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10 September 2026  ·  Reporting and valuation currency: Egyptian pounds  ·  Anchor price EGP 14.41 at the close of 2026-09-03</w:t>
      </w:r>
    </w:p>
    <w:p>
      <w:pPr>
        <w:keepNext/>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71% of its own stock-market value, and which was 12.9% built against a 37.0% plan at the last reported date. SO THIS DOCUMENT ANSWERS THE QUESTION TWICE, AND THE TWO ANSWERS HAVE NAMES. Carried through is the world in which the company finishes the plant — which is what management says it is doing. Stopped is the world in which it walks away now, writes off what it has already spent, and carries on as the urea producer it already is. Stopping is worth MORE: EGP 11.61 a share against EGP 8.07, a difference of EGP 3.53. That is not a quirk of the arithmetic and section 1.7 sets out why. Both are published side by side throughout.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8.07 a share if the capital programme is carried through and EGP 11.61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7.37 and EGP 19.93 a share. It trades at EGP 14.41. The gap is not a rounding difference between the lenses: it is the whole disagreement. The multiple lens, on the range Egyptian fertilizer producers actually trade at, centres at EGP 19.93 — above the traded price — and it reaches that answer only by never asking what the capital programme does to cash. THE TWO LENSES THAT DO ASK SPLIT ON THE ANSWER, and the split is the study: carrying the programme through gives EGP 8.07 and stopping it gives EGP 11.61 — a difference of EGP 3.53 a share that is what the capital costs its owners. Both sit below the traded price, and so does normalised earnings at EGP 7.37.</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15.0%,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25.6% to 16.9%, terminal growth 7.0%</w:t>
            </w:r>
          </w:p>
        </w:tc>
        <w:tc>
          <w:tcPr>
            <w:tcW w:type="dxa" w:w="1512"/>
          </w:tcPr>
          <w:p>
            <w:pPr>
              <w:spacing w:after="20"/>
              <w:jc w:val="right"/>
            </w:pPr>
            <w:r>
              <w:rPr>
                <w:color w:val="1C3A36"/>
                <w:sz w:val="15"/>
              </w:rPr>
              <w:t>3.99 to 8.39</w:t>
            </w:r>
          </w:p>
        </w:tc>
        <w:tc>
          <w:tcPr>
            <w:tcW w:type="dxa" w:w="1008"/>
          </w:tcPr>
          <w:p>
            <w:pPr>
              <w:spacing w:after="20"/>
              <w:jc w:val="right"/>
            </w:pPr>
            <w:r>
              <w:rPr>
                <w:color w:val="1C3A36"/>
                <w:sz w:val="15"/>
              </w:rPr>
              <w:t>8.07</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8.60 to 11.68</w:t>
            </w:r>
          </w:p>
        </w:tc>
        <w:tc>
          <w:tcPr>
            <w:tcW w:type="dxa" w:w="1008"/>
          </w:tcPr>
          <w:p>
            <w:pPr>
              <w:spacing w:after="20"/>
              <w:jc w:val="right"/>
            </w:pPr>
            <w:r>
              <w:rPr>
                <w:color w:val="1C3A36"/>
                <w:sz w:val="15"/>
              </w:rPr>
              <w:t>11.61</w:t>
            </w:r>
          </w:p>
        </w:tc>
        <w:tc>
          <w:tcPr>
            <w:tcW w:type="dxa" w:w="936"/>
          </w:tcPr>
          <w:p>
            <w:pPr>
              <w:spacing w:after="20"/>
              <w:jc w:val="right"/>
            </w:pPr>
            <w:r>
              <w:rPr>
                <w:color w:val="1C3A36"/>
                <w:sz w:val="15"/>
              </w:rPr>
              <w:t>-19%</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14.25 to 25.60</w:t>
            </w:r>
          </w:p>
        </w:tc>
        <w:tc>
          <w:tcPr>
            <w:tcW w:type="dxa" w:w="1008"/>
          </w:tcPr>
          <w:p>
            <w:pPr>
              <w:spacing w:after="20"/>
              <w:jc w:val="right"/>
            </w:pPr>
            <w:r>
              <w:rPr>
                <w:color w:val="1C3A36"/>
                <w:sz w:val="15"/>
              </w:rPr>
              <w:t>19.93</w:t>
            </w:r>
          </w:p>
        </w:tc>
        <w:tc>
          <w:tcPr>
            <w:tcW w:type="dxa" w:w="936"/>
          </w:tcPr>
          <w:p>
            <w:pPr>
              <w:spacing w:after="20"/>
              <w:jc w:val="right"/>
            </w:pPr>
            <w:r>
              <w:rPr>
                <w:color w:val="1C3A36"/>
                <w:sz w:val="15"/>
              </w:rPr>
              <w:t>+38%</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2,100m at 8x to 12x, 10x central</w:t>
            </w:r>
          </w:p>
        </w:tc>
        <w:tc>
          <w:tcPr>
            <w:tcW w:type="dxa" w:w="1512"/>
          </w:tcPr>
          <w:p>
            <w:pPr>
              <w:spacing w:after="20"/>
              <w:jc w:val="right"/>
            </w:pPr>
            <w:r>
              <w:rPr>
                <w:color w:val="1C3A36"/>
                <w:sz w:val="15"/>
              </w:rPr>
              <w:t>5.25 to 9.48</w:t>
            </w:r>
          </w:p>
        </w:tc>
        <w:tc>
          <w:tcPr>
            <w:tcW w:type="dxa" w:w="1008"/>
          </w:tcPr>
          <w:p>
            <w:pPr>
              <w:spacing w:after="20"/>
              <w:jc w:val="right"/>
            </w:pPr>
            <w:r>
              <w:rPr>
                <w:color w:val="1C3A36"/>
                <w:sz w:val="15"/>
              </w:rPr>
              <w:t>7.37</w:t>
            </w:r>
          </w:p>
        </w:tc>
        <w:tc>
          <w:tcPr>
            <w:tcW w:type="dxa" w:w="936"/>
          </w:tcPr>
          <w:p>
            <w:pPr>
              <w:spacing w:after="20"/>
              <w:jc w:val="right"/>
            </w:pPr>
            <w:r>
              <w:rPr>
                <w:color w:val="1C3A36"/>
                <w:sz w:val="15"/>
              </w:rPr>
              <w:t>-49%</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29.1%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8.07 with the capital programme carried through — the company's own stated plan — and EGP 11.61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7.37 to 19.93</w:t>
            </w:r>
          </w:p>
        </w:tc>
        <w:tc>
          <w:tcPr>
            <w:tcW w:type="dxa" w:w="1008"/>
            <w:shd w:val="clear" w:color="auto" w:fill="F6F1E6"/>
          </w:tcPr>
          <w:p>
            <w:pPr>
              <w:spacing w:after="20"/>
              <w:jc w:val="right"/>
            </w:pPr>
            <w:r>
              <w:rPr>
                <w:b/>
                <w:color w:val="1C3A36"/>
                <w:sz w:val="15"/>
              </w:rPr>
              <w:t>8.07</w:t>
            </w:r>
          </w:p>
        </w:tc>
        <w:tc>
          <w:tcPr>
            <w:tcW w:type="dxa" w:w="936"/>
            <w:shd w:val="clear" w:color="auto" w:fill="F6F1E6"/>
          </w:tcPr>
          <w:p>
            <w:pPr>
              <w:spacing w:after="20"/>
              <w:jc w:val="right"/>
            </w:pPr>
            <w:r>
              <w:rPr>
                <w:b/>
                <w:color w:val="1C3A36"/>
                <w:sz w:val="15"/>
              </w:rPr>
              <w:t>-44%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No export duty, because Ministerial Decision 340 of 2026 cancelled the levy with effect from 1 August 2026 — five weeks before this study's strike</w:t>
            </w:r>
          </w:p>
        </w:tc>
        <w:tc>
          <w:tcPr>
            <w:tcW w:type="dxa" w:w="3960"/>
          </w:tcPr>
          <w:p>
            <w:pPr>
              <w:spacing w:after="20"/>
            </w:pPr>
            <w:r>
              <w:rPr>
                <w:color w:val="1C3A36"/>
                <w:sz w:val="15"/>
              </w:rPr>
              <w:t>The 10% ad-valorem duty back, charged on every export tonne for ever (5.0966), or at half that rate (6.5857)</w:t>
            </w:r>
          </w:p>
        </w:tc>
        <w:tc>
          <w:tcPr>
            <w:tcW w:type="dxa" w:w="1512"/>
          </w:tcPr>
          <w:p>
            <w:pPr>
              <w:spacing w:after="20"/>
              <w:jc w:val="right"/>
            </w:pPr>
            <w:r>
              <w:rPr>
                <w:color w:val="1C3A36"/>
                <w:sz w:val="15"/>
              </w:rPr>
              <w:t>—</w:t>
            </w:r>
          </w:p>
        </w:tc>
        <w:tc>
          <w:tcPr>
            <w:tcW w:type="dxa" w:w="1008"/>
          </w:tcPr>
          <w:p>
            <w:pPr>
              <w:spacing w:after="20"/>
              <w:jc w:val="right"/>
            </w:pPr>
            <w:r>
              <w:rPr>
                <w:color w:val="1C3A36"/>
                <w:sz w:val="15"/>
              </w:rPr>
              <w:t>5.10</w:t>
            </w:r>
          </w:p>
        </w:tc>
        <w:tc>
          <w:tcPr>
            <w:tcW w:type="dxa" w:w="936"/>
          </w:tcPr>
          <w:p>
            <w:pPr>
              <w:spacing w:after="20"/>
              <w:jc w:val="right"/>
            </w:pPr>
            <w:r>
              <w:rPr>
                <w:color w:val="1C3A36"/>
                <w:sz w:val="15"/>
              </w:rPr>
              <w:t>-65%</w:t>
            </w:r>
          </w:p>
        </w:tc>
      </w:tr>
      <w:tr>
        <w:trPr>
          <w:cantSplit/>
        </w:trPr>
        <w:tc>
          <w:tcPr>
            <w:tcW w:type="dxa" w:w="2232"/>
          </w:tcPr>
          <w:p>
            <w:pPr>
              <w:spacing w:after="20"/>
            </w:pPr>
            <w:r>
              <w:rPr>
                <w:color w:val="1C3A36"/>
                <w:sz w:val="15"/>
              </w:rPr>
              <w:t>The new complex's granulated ammonium nitrate priced at the SAME PRODUCT'S OWN DISCLOSED REALISED PRICE — EGP 20,000/t from note 20, carried on the currency exactly as the existing nitrate business is</w:t>
            </w:r>
          </w:p>
        </w:tc>
        <w:tc>
          <w:tcPr>
            <w:tcW w:type="dxa" w:w="3960"/>
          </w:tcPr>
          <w:p>
            <w:pPr>
              <w:spacing w:after="20"/>
            </w:pPr>
            <w:r>
              <w:rPr>
                <w:color w:val="1C3A36"/>
                <w:sz w:val="15"/>
              </w:rPr>
              <w:t>Priced at the retired typed US$280/t, the weakest-sourced input in a 304-input register, whose source string was four words long and named no assessor, series, date or basis (7.5002)</w:t>
            </w:r>
          </w:p>
        </w:tc>
        <w:tc>
          <w:tcPr>
            <w:tcW w:type="dxa" w:w="1512"/>
          </w:tcPr>
          <w:p>
            <w:pPr>
              <w:spacing w:after="20"/>
              <w:jc w:val="right"/>
            </w:pPr>
            <w:r>
              <w:rPr>
                <w:color w:val="1C3A36"/>
                <w:sz w:val="15"/>
              </w:rPr>
              <w:t>—</w:t>
            </w:r>
          </w:p>
        </w:tc>
        <w:tc>
          <w:tcPr>
            <w:tcW w:type="dxa" w:w="1008"/>
          </w:tcPr>
          <w:p>
            <w:pPr>
              <w:spacing w:after="20"/>
              <w:jc w:val="right"/>
            </w:pPr>
            <w:r>
              <w:rPr>
                <w:color w:val="1C3A36"/>
                <w:sz w:val="15"/>
              </w:rPr>
              <w:t>7.50</w:t>
            </w:r>
          </w:p>
        </w:tc>
        <w:tc>
          <w:tcPr>
            <w:tcW w:type="dxa" w:w="936"/>
          </w:tcPr>
          <w:p>
            <w:pPr>
              <w:spacing w:after="20"/>
              <w:jc w:val="right"/>
            </w:pPr>
            <w:r>
              <w:rPr>
                <w:color w:val="1C3A36"/>
                <w:sz w:val="15"/>
              </w:rPr>
              <w:t>-48%</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104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5.41</w:t>
            </w:r>
          </w:p>
        </w:tc>
        <w:tc>
          <w:tcPr>
            <w:tcW w:type="dxa" w:w="936"/>
          </w:tcPr>
          <w:p>
            <w:pPr>
              <w:spacing w:after="20"/>
              <w:jc w:val="right"/>
            </w:pPr>
            <w:r>
              <w:rPr>
                <w:color w:val="1C3A36"/>
                <w:sz w:val="15"/>
              </w:rPr>
              <w:t>-62%</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3.15</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5.26</w:t>
            </w:r>
          </w:p>
        </w:tc>
        <w:tc>
          <w:tcPr>
            <w:tcW w:type="dxa" w:w="936"/>
          </w:tcPr>
          <w:p>
            <w:pPr>
              <w:spacing w:after="20"/>
              <w:jc w:val="right"/>
            </w:pPr>
            <w:r>
              <w:rPr>
                <w:color w:val="1C3A36"/>
                <w:sz w:val="15"/>
              </w:rPr>
              <w:t>-63%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6.03</w:t>
            </w:r>
          </w:p>
        </w:tc>
        <w:tc>
          <w:tcPr>
            <w:tcW w:type="dxa" w:w="936"/>
          </w:tcPr>
          <w:p>
            <w:pPr>
              <w:spacing w:after="20"/>
              <w:jc w:val="right"/>
            </w:pPr>
            <w:r>
              <w:rPr>
                <w:color w:val="1C3A36"/>
                <w:sz w:val="15"/>
              </w:rPr>
              <w:t>-58%</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9.29</w:t>
            </w:r>
          </w:p>
        </w:tc>
        <w:tc>
          <w:tcPr>
            <w:tcW w:type="dxa" w:w="936"/>
          </w:tcPr>
          <w:p>
            <w:pPr>
              <w:spacing w:after="20"/>
              <w:jc w:val="right"/>
            </w:pPr>
            <w:r>
              <w:rPr>
                <w:color w:val="1C3A36"/>
                <w:sz w:val="15"/>
              </w:rPr>
              <w:t>-36%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5.07</w:t>
            </w:r>
          </w:p>
        </w:tc>
        <w:tc>
          <w:tcPr>
            <w:tcW w:type="dxa" w:w="936"/>
          </w:tcPr>
          <w:p>
            <w:pPr>
              <w:spacing w:after="20"/>
              <w:jc w:val="right"/>
            </w:pPr>
            <w:r>
              <w:rPr>
                <w:color w:val="1C3A36"/>
                <w:sz w:val="15"/>
              </w:rPr>
              <w:t>-65%</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8.81</w:t>
            </w:r>
          </w:p>
        </w:tc>
        <w:tc>
          <w:tcPr>
            <w:tcW w:type="dxa" w:w="936"/>
          </w:tcPr>
          <w:p>
            <w:pPr>
              <w:spacing w:after="20"/>
              <w:jc w:val="right"/>
            </w:pPr>
            <w:r>
              <w:rPr>
                <w:color w:val="1C3A36"/>
                <w:sz w:val="15"/>
              </w:rPr>
              <w:t>-39%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7.08</w:t>
            </w:r>
          </w:p>
        </w:tc>
        <w:tc>
          <w:tcPr>
            <w:tcW w:type="dxa" w:w="936"/>
          </w:tcPr>
          <w:p>
            <w:pPr>
              <w:spacing w:after="20"/>
              <w:jc w:val="right"/>
            </w:pPr>
            <w:r>
              <w:rPr>
                <w:color w:val="1C3A36"/>
                <w:sz w:val="15"/>
              </w:rPr>
              <w:t>-51%</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5.46</w:t>
            </w:r>
          </w:p>
        </w:tc>
        <w:tc>
          <w:tcPr>
            <w:tcW w:type="dxa" w:w="936"/>
          </w:tcPr>
          <w:p>
            <w:pPr>
              <w:spacing w:after="20"/>
              <w:jc w:val="right"/>
            </w:pPr>
            <w:r>
              <w:rPr>
                <w:color w:val="1C3A36"/>
                <w:sz w:val="15"/>
              </w:rPr>
              <w:t>-62%</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9.01</w:t>
            </w:r>
          </w:p>
        </w:tc>
        <w:tc>
          <w:tcPr>
            <w:tcW w:type="dxa" w:w="936"/>
          </w:tcPr>
          <w:p>
            <w:pPr>
              <w:spacing w:after="20"/>
              <w:jc w:val="right"/>
            </w:pPr>
            <w:r>
              <w:rPr>
                <w:color w:val="1C3A36"/>
                <w:sz w:val="15"/>
              </w:rPr>
              <w:t>-37%</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7.87</w:t>
            </w:r>
          </w:p>
        </w:tc>
        <w:tc>
          <w:tcPr>
            <w:tcW w:type="dxa" w:w="936"/>
          </w:tcPr>
          <w:p>
            <w:pPr>
              <w:spacing w:after="20"/>
              <w:jc w:val="right"/>
            </w:pPr>
            <w:r>
              <w:rPr>
                <w:color w:val="1C3A36"/>
                <w:sz w:val="15"/>
              </w:rPr>
              <w:t>-45%</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77.8%</w:t>
            </w:r>
          </w:p>
        </w:tc>
        <w:tc>
          <w:tcPr>
            <w:tcW w:type="dxa" w:w="2736"/>
          </w:tcPr>
          <w:p>
            <w:pPr>
              <w:spacing w:after="20"/>
              <w:jc w:val="right"/>
            </w:pPr>
            <w:r>
              <w:rPr>
                <w:color w:val="1C3A36"/>
                <w:sz w:val="17"/>
              </w:rPr>
              <w:t>58.5%</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4,971 million on the carried-through case, so the terminal block carries 77.8%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3.00 a share. The narrowest is terminal growth, worth EGP 2.81.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12,643</w:t>
            </w:r>
          </w:p>
        </w:tc>
        <w:tc>
          <w:tcPr>
            <w:tcW w:type="dxa" w:w="1426"/>
          </w:tcPr>
          <w:p>
            <w:pPr>
              <w:spacing w:after="20"/>
              <w:jc w:val="right"/>
            </w:pPr>
            <w:r>
              <w:rPr>
                <w:color w:val="1C3A36"/>
                <w:sz w:val="16"/>
              </w:rPr>
              <w:t>13,736</w:t>
            </w:r>
          </w:p>
        </w:tc>
        <w:tc>
          <w:tcPr>
            <w:tcW w:type="dxa" w:w="1426"/>
          </w:tcPr>
          <w:p>
            <w:pPr>
              <w:spacing w:after="20"/>
              <w:jc w:val="right"/>
            </w:pPr>
            <w:r>
              <w:rPr>
                <w:color w:val="1C3A36"/>
                <w:sz w:val="16"/>
              </w:rPr>
              <w:t>14,611</w:t>
            </w:r>
          </w:p>
        </w:tc>
        <w:tc>
          <w:tcPr>
            <w:tcW w:type="dxa" w:w="1426"/>
          </w:tcPr>
          <w:p>
            <w:pPr>
              <w:spacing w:after="20"/>
              <w:jc w:val="right"/>
            </w:pPr>
            <w:r>
              <w:rPr>
                <w:color w:val="1C3A36"/>
                <w:sz w:val="16"/>
              </w:rPr>
              <w:t>15,424</w:t>
            </w:r>
          </w:p>
        </w:tc>
        <w:tc>
          <w:tcPr>
            <w:tcW w:type="dxa" w:w="1426"/>
          </w:tcPr>
          <w:p>
            <w:pPr>
              <w:spacing w:after="20"/>
              <w:jc w:val="right"/>
            </w:pPr>
            <w:r>
              <w:rPr>
                <w:color w:val="1C3A36"/>
                <w:sz w:val="16"/>
              </w:rPr>
              <w:t>16,239</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5,781</w:t>
            </w:r>
          </w:p>
        </w:tc>
        <w:tc>
          <w:tcPr>
            <w:tcW w:type="dxa" w:w="1426"/>
            <w:shd w:val="clear" w:color="auto" w:fill="F6F1E6"/>
          </w:tcPr>
          <w:p>
            <w:pPr>
              <w:spacing w:after="20"/>
              <w:jc w:val="right"/>
            </w:pPr>
            <w:r>
              <w:rPr>
                <w:b/>
                <w:color w:val="1C3A36"/>
                <w:sz w:val="16"/>
              </w:rPr>
              <w:t>6,246</w:t>
            </w:r>
          </w:p>
        </w:tc>
        <w:tc>
          <w:tcPr>
            <w:tcW w:type="dxa" w:w="1426"/>
            <w:shd w:val="clear" w:color="auto" w:fill="F6F1E6"/>
          </w:tcPr>
          <w:p>
            <w:pPr>
              <w:spacing w:after="20"/>
              <w:jc w:val="right"/>
            </w:pPr>
            <w:r>
              <w:rPr>
                <w:b/>
                <w:color w:val="1C3A36"/>
                <w:sz w:val="16"/>
              </w:rPr>
              <w:t>6,590</w:t>
            </w:r>
          </w:p>
        </w:tc>
        <w:tc>
          <w:tcPr>
            <w:tcW w:type="dxa" w:w="1426"/>
            <w:shd w:val="clear" w:color="auto" w:fill="F6F1E6"/>
          </w:tcPr>
          <w:p>
            <w:pPr>
              <w:spacing w:after="20"/>
              <w:jc w:val="right"/>
            </w:pPr>
            <w:r>
              <w:rPr>
                <w:b/>
                <w:color w:val="1C3A36"/>
                <w:sz w:val="16"/>
              </w:rPr>
              <w:t>6,893</w:t>
            </w:r>
          </w:p>
        </w:tc>
        <w:tc>
          <w:tcPr>
            <w:tcW w:type="dxa" w:w="1426"/>
            <w:shd w:val="clear" w:color="auto" w:fill="F6F1E6"/>
          </w:tcPr>
          <w:p>
            <w:pPr>
              <w:spacing w:after="20"/>
              <w:jc w:val="right"/>
            </w:pPr>
            <w:r>
              <w:rPr>
                <w:b/>
                <w:color w:val="1C3A36"/>
                <w:sz w:val="16"/>
              </w:rPr>
              <w:t>7,183</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4,890</w:t>
            </w:r>
          </w:p>
        </w:tc>
        <w:tc>
          <w:tcPr>
            <w:tcW w:type="dxa" w:w="1426"/>
            <w:shd w:val="clear" w:color="auto" w:fill="F6F1E6"/>
          </w:tcPr>
          <w:p>
            <w:pPr>
              <w:spacing w:after="20"/>
              <w:jc w:val="right"/>
            </w:pPr>
            <w:r>
              <w:rPr>
                <w:b/>
                <w:color w:val="1C3A36"/>
                <w:sz w:val="16"/>
              </w:rPr>
              <w:t>5,237</w:t>
            </w:r>
          </w:p>
        </w:tc>
        <w:tc>
          <w:tcPr>
            <w:tcW w:type="dxa" w:w="1426"/>
            <w:shd w:val="clear" w:color="auto" w:fill="F6F1E6"/>
          </w:tcPr>
          <w:p>
            <w:pPr>
              <w:spacing w:after="20"/>
              <w:jc w:val="right"/>
            </w:pPr>
            <w:r>
              <w:rPr>
                <w:b/>
                <w:color w:val="1C3A36"/>
                <w:sz w:val="16"/>
              </w:rPr>
              <w:t>5,444</w:t>
            </w:r>
          </w:p>
        </w:tc>
        <w:tc>
          <w:tcPr>
            <w:tcW w:type="dxa" w:w="1426"/>
            <w:shd w:val="clear" w:color="auto" w:fill="F6F1E6"/>
          </w:tcPr>
          <w:p>
            <w:pPr>
              <w:spacing w:after="20"/>
              <w:jc w:val="right"/>
            </w:pPr>
            <w:r>
              <w:rPr>
                <w:b/>
                <w:color w:val="1C3A36"/>
                <w:sz w:val="16"/>
              </w:rPr>
              <w:t>5,600</w:t>
            </w:r>
          </w:p>
        </w:tc>
        <w:tc>
          <w:tcPr>
            <w:tcW w:type="dxa" w:w="1426"/>
            <w:shd w:val="clear" w:color="auto" w:fill="F6F1E6"/>
          </w:tcPr>
          <w:p>
            <w:pPr>
              <w:spacing w:after="20"/>
              <w:jc w:val="right"/>
            </w:pPr>
            <w:r>
              <w:rPr>
                <w:b/>
                <w:color w:val="1C3A36"/>
                <w:sz w:val="16"/>
              </w:rPr>
              <w:t>5,749</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3,790</w:t>
            </w:r>
          </w:p>
        </w:tc>
        <w:tc>
          <w:tcPr>
            <w:tcW w:type="dxa" w:w="1426"/>
          </w:tcPr>
          <w:p>
            <w:pPr>
              <w:spacing w:after="20"/>
              <w:jc w:val="right"/>
            </w:pPr>
            <w:r>
              <w:rPr>
                <w:color w:val="1C3A36"/>
                <w:sz w:val="16"/>
              </w:rPr>
              <w:t>4,059</w:t>
            </w:r>
          </w:p>
        </w:tc>
        <w:tc>
          <w:tcPr>
            <w:tcW w:type="dxa" w:w="1426"/>
          </w:tcPr>
          <w:p>
            <w:pPr>
              <w:spacing w:after="20"/>
              <w:jc w:val="right"/>
            </w:pPr>
            <w:r>
              <w:rPr>
                <w:color w:val="1C3A36"/>
                <w:sz w:val="16"/>
              </w:rPr>
              <w:t>4,219</w:t>
            </w:r>
          </w:p>
        </w:tc>
        <w:tc>
          <w:tcPr>
            <w:tcW w:type="dxa" w:w="1426"/>
          </w:tcPr>
          <w:p>
            <w:pPr>
              <w:spacing w:after="20"/>
              <w:jc w:val="right"/>
            </w:pPr>
            <w:r>
              <w:rPr>
                <w:color w:val="1C3A36"/>
                <w:sz w:val="16"/>
              </w:rPr>
              <w:t>4,340</w:t>
            </w:r>
          </w:p>
        </w:tc>
        <w:tc>
          <w:tcPr>
            <w:tcW w:type="dxa" w:w="1426"/>
          </w:tcPr>
          <w:p>
            <w:pPr>
              <w:spacing w:after="20"/>
              <w:jc w:val="right"/>
            </w:pPr>
            <w:r>
              <w:rPr>
                <w:color w:val="1C3A36"/>
                <w:sz w:val="16"/>
              </w:rPr>
              <w:t>4,455</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-2,740</w:t>
            </w:r>
          </w:p>
        </w:tc>
        <w:tc>
          <w:tcPr>
            <w:tcW w:type="dxa" w:w="1426"/>
          </w:tcPr>
          <w:p>
            <w:pPr>
              <w:spacing w:after="20"/>
              <w:jc w:val="right"/>
            </w:pPr>
            <w:r>
              <w:rPr>
                <w:color w:val="1C3A36"/>
                <w:sz w:val="16"/>
              </w:rPr>
              <w:t>-3,253</w:t>
            </w:r>
          </w:p>
        </w:tc>
        <w:tc>
          <w:tcPr>
            <w:tcW w:type="dxa" w:w="1426"/>
          </w:tcPr>
          <w:p>
            <w:pPr>
              <w:spacing w:after="20"/>
              <w:jc w:val="right"/>
            </w:pPr>
            <w:r>
              <w:rPr>
                <w:color w:val="1C3A36"/>
                <w:sz w:val="16"/>
              </w:rPr>
              <w:t>-3,463</w:t>
            </w:r>
          </w:p>
        </w:tc>
        <w:tc>
          <w:tcPr>
            <w:tcW w:type="dxa" w:w="1426"/>
          </w:tcPr>
          <w:p>
            <w:pPr>
              <w:spacing w:after="20"/>
              <w:jc w:val="right"/>
            </w:pPr>
            <w:r>
              <w:rPr>
                <w:color w:val="1C3A36"/>
                <w:sz w:val="16"/>
              </w:rPr>
              <w:t>-3,372</w:t>
            </w:r>
          </w:p>
        </w:tc>
        <w:tc>
          <w:tcPr>
            <w:tcW w:type="dxa" w:w="1426"/>
          </w:tcPr>
          <w:p>
            <w:pPr>
              <w:spacing w:after="20"/>
              <w:jc w:val="right"/>
            </w:pPr>
            <w:r>
              <w:rPr>
                <w:color w:val="1C3A36"/>
                <w:sz w:val="16"/>
              </w:rPr>
              <w:t>-2,670</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-690</w:t>
            </w:r>
          </w:p>
        </w:tc>
        <w:tc>
          <w:tcPr>
            <w:tcW w:type="dxa" w:w="1426"/>
          </w:tcPr>
          <w:p>
            <w:pPr>
              <w:spacing w:after="20"/>
              <w:jc w:val="right"/>
            </w:pPr>
            <w:r>
              <w:rPr>
                <w:color w:val="1C3A36"/>
                <w:sz w:val="16"/>
              </w:rPr>
              <w:t>-225</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-186</w:t>
            </w:r>
          </w:p>
        </w:tc>
        <w:tc>
          <w:tcPr>
            <w:tcW w:type="dxa" w:w="1426"/>
          </w:tcPr>
          <w:p>
            <w:pPr>
              <w:spacing w:after="20"/>
              <w:jc w:val="right"/>
            </w:pPr>
            <w:r>
              <w:rPr>
                <w:color w:val="1C3A36"/>
                <w:sz w:val="16"/>
              </w:rPr>
              <w:t>-187</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1,251</w:t>
            </w:r>
          </w:p>
        </w:tc>
        <w:tc>
          <w:tcPr>
            <w:tcW w:type="dxa" w:w="1426"/>
            <w:shd w:val="clear" w:color="auto" w:fill="F6F1E6"/>
          </w:tcPr>
          <w:p>
            <w:pPr>
              <w:spacing w:after="20"/>
              <w:jc w:val="right"/>
            </w:pPr>
            <w:r>
              <w:rPr>
                <w:b/>
                <w:color w:val="1C3A36"/>
                <w:sz w:val="16"/>
              </w:rPr>
              <w:t>1,589</w:t>
            </w:r>
          </w:p>
        </w:tc>
        <w:tc>
          <w:tcPr>
            <w:tcW w:type="dxa" w:w="1426"/>
            <w:shd w:val="clear" w:color="auto" w:fill="F6F1E6"/>
          </w:tcPr>
          <w:p>
            <w:pPr>
              <w:spacing w:after="20"/>
              <w:jc w:val="right"/>
            </w:pPr>
            <w:r>
              <w:rPr>
                <w:b/>
                <w:color w:val="1C3A36"/>
                <w:sz w:val="16"/>
              </w:rPr>
              <w:t>1,709</w:t>
            </w:r>
          </w:p>
        </w:tc>
        <w:tc>
          <w:tcPr>
            <w:tcW w:type="dxa" w:w="1426"/>
            <w:shd w:val="clear" w:color="auto" w:fill="F6F1E6"/>
          </w:tcPr>
          <w:p>
            <w:pPr>
              <w:spacing w:after="20"/>
              <w:jc w:val="right"/>
            </w:pPr>
            <w:r>
              <w:rPr>
                <w:b/>
                <w:color w:val="1C3A36"/>
                <w:sz w:val="16"/>
              </w:rPr>
              <w:t>2,075</w:t>
            </w:r>
          </w:p>
        </w:tc>
        <w:tc>
          <w:tcPr>
            <w:tcW w:type="dxa" w:w="1426"/>
            <w:shd w:val="clear" w:color="auto" w:fill="F6F1E6"/>
          </w:tcPr>
          <w:p>
            <w:pPr>
              <w:spacing w:after="20"/>
              <w:jc w:val="right"/>
            </w:pPr>
            <w:r>
              <w:rPr>
                <w:b/>
                <w:color w:val="1C3A36"/>
                <w:sz w:val="16"/>
              </w:rPr>
              <w:t>3,032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25.63%</w:t>
            </w:r>
          </w:p>
        </w:tc>
        <w:tc>
          <w:tcPr>
            <w:tcW w:type="dxa" w:w="1426"/>
          </w:tcPr>
          <w:p>
            <w:pPr>
              <w:spacing w:after="20"/>
              <w:jc w:val="right"/>
            </w:pPr>
            <w:r>
              <w:rPr>
                <w:color w:val="1C3A36"/>
                <w:sz w:val="16"/>
              </w:rPr>
              <w:t>23.42%</w:t>
            </w:r>
          </w:p>
        </w:tc>
        <w:tc>
          <w:tcPr>
            <w:tcW w:type="dxa" w:w="1426"/>
          </w:tcPr>
          <w:p>
            <w:pPr>
              <w:spacing w:after="20"/>
              <w:jc w:val="right"/>
            </w:pPr>
            <w:r>
              <w:rPr>
                <w:color w:val="1C3A36"/>
                <w:sz w:val="16"/>
              </w:rPr>
              <w:t>21.58%</w:t>
            </w:r>
          </w:p>
        </w:tc>
        <w:tc>
          <w:tcPr>
            <w:tcW w:type="dxa" w:w="1426"/>
          </w:tcPr>
          <w:p>
            <w:pPr>
              <w:spacing w:after="20"/>
              <w:jc w:val="right"/>
            </w:pPr>
            <w:r>
              <w:rPr>
                <w:color w:val="1C3A36"/>
                <w:sz w:val="16"/>
              </w:rPr>
              <w:t>20.09%</w:t>
            </w:r>
          </w:p>
        </w:tc>
        <w:tc>
          <w:tcPr>
            <w:tcW w:type="dxa" w:w="1426"/>
          </w:tcPr>
          <w:p>
            <w:pPr>
              <w:spacing w:after="20"/>
              <w:jc w:val="right"/>
            </w:pPr>
            <w:r>
              <w:rPr>
                <w:color w:val="1C3A36"/>
                <w:sz w:val="16"/>
              </w:rPr>
              <w:t>18.82%</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0.7960</w:t>
            </w:r>
          </w:p>
        </w:tc>
        <w:tc>
          <w:tcPr>
            <w:tcW w:type="dxa" w:w="1426"/>
          </w:tcPr>
          <w:p>
            <w:pPr>
              <w:spacing w:after="20"/>
              <w:jc w:val="right"/>
            </w:pPr>
            <w:r>
              <w:rPr>
                <w:color w:val="1C3A36"/>
                <w:sz w:val="16"/>
              </w:rPr>
              <w:t>0.6449</w:t>
            </w:r>
          </w:p>
        </w:tc>
        <w:tc>
          <w:tcPr>
            <w:tcW w:type="dxa" w:w="1426"/>
          </w:tcPr>
          <w:p>
            <w:pPr>
              <w:spacing w:after="20"/>
              <w:jc w:val="right"/>
            </w:pPr>
            <w:r>
              <w:rPr>
                <w:color w:val="1C3A36"/>
                <w:sz w:val="16"/>
              </w:rPr>
              <w:t>0.5305</w:t>
            </w:r>
          </w:p>
        </w:tc>
        <w:tc>
          <w:tcPr>
            <w:tcW w:type="dxa" w:w="1426"/>
          </w:tcPr>
          <w:p>
            <w:pPr>
              <w:spacing w:after="20"/>
              <w:jc w:val="right"/>
            </w:pPr>
            <w:r>
              <w:rPr>
                <w:color w:val="1C3A36"/>
                <w:sz w:val="16"/>
              </w:rPr>
              <w:t>0.4417</w:t>
            </w:r>
          </w:p>
        </w:tc>
        <w:tc>
          <w:tcPr>
            <w:tcW w:type="dxa" w:w="1426"/>
          </w:tcPr>
          <w:p>
            <w:pPr>
              <w:spacing w:after="20"/>
              <w:jc w:val="right"/>
            </w:pPr>
            <w:r>
              <w:rPr>
                <w:color w:val="1C3A36"/>
                <w:sz w:val="16"/>
              </w:rPr>
              <w:t>0.3718</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995</w:t>
            </w:r>
          </w:p>
        </w:tc>
        <w:tc>
          <w:tcPr>
            <w:tcW w:type="dxa" w:w="1426"/>
            <w:shd w:val="clear" w:color="auto" w:fill="F6F1E6"/>
          </w:tcPr>
          <w:p>
            <w:pPr>
              <w:spacing w:after="20"/>
              <w:jc w:val="right"/>
            </w:pPr>
            <w:r>
              <w:rPr>
                <w:b/>
                <w:color w:val="1C3A36"/>
                <w:sz w:val="16"/>
              </w:rPr>
              <w:t>1,025</w:t>
            </w:r>
          </w:p>
        </w:tc>
        <w:tc>
          <w:tcPr>
            <w:tcW w:type="dxa" w:w="1426"/>
            <w:shd w:val="clear" w:color="auto" w:fill="F6F1E6"/>
          </w:tcPr>
          <w:p>
            <w:pPr>
              <w:spacing w:after="20"/>
              <w:jc w:val="right"/>
            </w:pPr>
            <w:r>
              <w:rPr>
                <w:b/>
                <w:color w:val="1C3A36"/>
                <w:sz w:val="16"/>
              </w:rPr>
              <w:t>906</w:t>
            </w:r>
          </w:p>
        </w:tc>
        <w:tc>
          <w:tcPr>
            <w:tcW w:type="dxa" w:w="1426"/>
            <w:shd w:val="clear" w:color="auto" w:fill="F6F1E6"/>
          </w:tcPr>
          <w:p>
            <w:pPr>
              <w:spacing w:after="20"/>
              <w:jc w:val="right"/>
            </w:pPr>
            <w:r>
              <w:rPr>
                <w:b/>
                <w:color w:val="1C3A36"/>
                <w:sz w:val="16"/>
              </w:rPr>
              <w:t>917</w:t>
            </w:r>
          </w:p>
        </w:tc>
        <w:tc>
          <w:tcPr>
            <w:tcW w:type="dxa" w:w="1426"/>
            <w:shd w:val="clear" w:color="auto" w:fill="F6F1E6"/>
          </w:tcPr>
          <w:p>
            <w:pPr>
              <w:spacing w:after="20"/>
              <w:jc w:val="right"/>
            </w:pPr>
            <w:r>
              <w:rPr>
                <w:b/>
                <w:color w:val="1C3A36"/>
                <w:sz w:val="16"/>
              </w:rPr>
              <w:t>1,127</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4,971</w:t>
            </w:r>
          </w:p>
        </w:tc>
        <w:tc>
          <w:tcPr>
            <w:tcW w:type="dxa" w:w="2808"/>
          </w:tcPr>
          <w:p>
            <w:pPr>
              <w:spacing w:after="20"/>
              <w:jc w:val="right"/>
            </w:pPr>
            <w:r>
              <w:rPr>
                <w:color w:val="1C3A36"/>
                <w:sz w:val="17"/>
              </w:rPr>
              <w:t>12,215</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17,439</w:t>
            </w:r>
          </w:p>
        </w:tc>
        <w:tc>
          <w:tcPr>
            <w:tcW w:type="dxa" w:w="2808"/>
          </w:tcPr>
          <w:p>
            <w:pPr>
              <w:spacing w:after="20"/>
              <w:jc w:val="right"/>
            </w:pPr>
            <w:r>
              <w:rPr>
                <w:color w:val="1C3A36"/>
                <w:sz w:val="17"/>
              </w:rPr>
              <w:t>17,211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22,410</w:t>
            </w:r>
          </w:p>
        </w:tc>
        <w:tc>
          <w:tcPr>
            <w:tcW w:type="dxa" w:w="2808"/>
            <w:shd w:val="clear" w:color="auto" w:fill="F6F1E6"/>
          </w:tcPr>
          <w:p>
            <w:pPr>
              <w:spacing w:after="20"/>
              <w:jc w:val="right"/>
            </w:pPr>
            <w:r>
              <w:rPr>
                <w:b/>
                <w:color w:val="1C3A36"/>
                <w:sz w:val="17"/>
              </w:rPr>
              <w:t>29,426</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77.8%</w:t>
            </w:r>
          </w:p>
        </w:tc>
        <w:tc>
          <w:tcPr>
            <w:tcW w:type="dxa" w:w="2808"/>
            <w:shd w:val="clear" w:color="auto" w:fill="F6F1E6"/>
          </w:tcPr>
          <w:p>
            <w:pPr>
              <w:spacing w:after="20"/>
              <w:jc w:val="right"/>
            </w:pPr>
            <w:r>
              <w:rPr>
                <w:b/>
                <w:color w:val="1C3A36"/>
                <w:sz w:val="17"/>
              </w:rPr>
              <w:t>58.5%</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1,509</w:t>
            </w:r>
          </w:p>
        </w:tc>
        <w:tc>
          <w:tcPr>
            <w:tcW w:type="dxa" w:w="2808"/>
          </w:tcPr>
          <w:p>
            <w:pPr>
              <w:spacing w:after="20"/>
              <w:jc w:val="right"/>
            </w:pPr>
            <w:r>
              <w:rPr>
                <w:color w:val="1C3A36"/>
                <w:sz w:val="17"/>
              </w:rPr>
              <w:t>1,509</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16,041</w:t>
            </w:r>
          </w:p>
        </w:tc>
        <w:tc>
          <w:tcPr>
            <w:tcW w:type="dxa" w:w="2808"/>
            <w:shd w:val="clear" w:color="auto" w:fill="F6F1E6"/>
          </w:tcPr>
          <w:p>
            <w:pPr>
              <w:spacing w:after="20"/>
              <w:jc w:val="right"/>
            </w:pPr>
            <w:r>
              <w:rPr>
                <w:b/>
                <w:color w:val="1C3A36"/>
                <w:sz w:val="17"/>
              </w:rPr>
              <w:t>23,057</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8.07</w:t>
            </w:r>
          </w:p>
        </w:tc>
        <w:tc>
          <w:tcPr>
            <w:tcW w:type="dxa" w:w="2808"/>
            <w:shd w:val="clear" w:color="auto" w:fill="F6F1E6"/>
          </w:tcPr>
          <w:p>
            <w:pPr>
              <w:spacing w:after="20"/>
              <w:jc w:val="right"/>
            </w:pPr>
            <w:r>
              <w:rPr>
                <w:b/>
                <w:color w:val="1C3A36"/>
                <w:sz w:val="17"/>
              </w:rPr>
              <w:t>11.61</w:t>
            </w:r>
          </w:p>
        </w:tc>
      </w:tr>
    </w:tbl>
    <w:p>
      <w:pPr>
        <w:spacing w:after="40"/>
      </w:pPr>
    </w:p>
    <w:p>
      <w:pPr>
        <w:spacing w:after="200" w:before="0"/>
      </w:pPr>
      <w:r>
        <w:rPr>
          <w:b w:val="0"/>
          <w:i/>
          <w:color w:val="6E7B77"/>
          <w:sz w:val="17"/>
        </w:rPr>
        <w:t>Table 5.  Net debt of EGP 10,032 million stands against an enterprise value of EGP 22,410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11.28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1.84</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8.07</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11.28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22,410 million is the right enterprise value for a business generating around EGP 5,781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3.42</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6.70</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8.90</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12.12</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17.26</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26.60</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15.0%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3.42 at 25.0% to EGP 26.60 at 12.0%; what moves is how far below the price it sits. Reaching the traded price needs about 15.0%, which is 8.0%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29.08%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29.08%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5,781 million the mid-point implies an enterprise value of EGP 45,960 million and, after the debt and the non-operating stack, EGP 19.93 a share — a range of EGP 14.25 to EGP 25.60 across the band.</w:t>
      </w:r>
    </w:p>
    <w:p>
      <w:pPr>
        <w:spacing w:after="120" w:before="0"/>
      </w:pPr>
      <w:r>
        <w:rPr>
          <w:b/>
          <w:i w:val="0"/>
          <w:color w:val="1C3A36"/>
          <w:sz w:val="21"/>
        </w:rPr>
        <w:t>The two numbers worth putting side by side are these: at the traded price the operating business changes hands at 6.1 times that same forward EBITDA, while the cash-flow lens values it at 3.9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6.7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10,429</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3,601</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2,710</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-610</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2,100</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21,003</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3,664</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14,635</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7.37</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5.25</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9.48</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7.37 to EGP 19.93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19.93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8.07 a share with the capital programme carried through, 44% below the traded price, and EGP 11.61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29.08%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49.9%</w:t>
            </w:r>
          </w:p>
        </w:tc>
        <w:tc>
          <w:tcPr>
            <w:tcW w:type="dxa" w:w="1843"/>
            <w:shd w:val="clear" w:color="auto" w:fill="F6F1E6"/>
          </w:tcPr>
          <w:p>
            <w:pPr>
              <w:spacing w:after="20"/>
              <w:jc w:val="right"/>
            </w:pPr>
            <w:r>
              <w:rPr>
                <w:b/>
                <w:color w:val="1C3A36"/>
                <w:sz w:val="17"/>
              </w:rPr>
              <w:t>46.5%</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44.2%</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12,643</w:t>
            </w:r>
          </w:p>
        </w:tc>
        <w:tc>
          <w:tcPr>
            <w:tcW w:type="dxa" w:w="1426"/>
          </w:tcPr>
          <w:p>
            <w:pPr>
              <w:spacing w:after="20"/>
              <w:jc w:val="right"/>
            </w:pPr>
            <w:r>
              <w:rPr>
                <w:color w:val="1C3A36"/>
                <w:sz w:val="16"/>
              </w:rPr>
              <w:t>13,736</w:t>
            </w:r>
          </w:p>
        </w:tc>
        <w:tc>
          <w:tcPr>
            <w:tcW w:type="dxa" w:w="1426"/>
          </w:tcPr>
          <w:p>
            <w:pPr>
              <w:spacing w:after="20"/>
              <w:jc w:val="right"/>
            </w:pPr>
            <w:r>
              <w:rPr>
                <w:color w:val="1C3A36"/>
                <w:sz w:val="16"/>
              </w:rPr>
              <w:t>14,611</w:t>
            </w:r>
          </w:p>
        </w:tc>
        <w:tc>
          <w:tcPr>
            <w:tcW w:type="dxa" w:w="1426"/>
          </w:tcPr>
          <w:p>
            <w:pPr>
              <w:spacing w:after="20"/>
              <w:jc w:val="right"/>
            </w:pPr>
            <w:r>
              <w:rPr>
                <w:color w:val="1C3A36"/>
                <w:sz w:val="16"/>
              </w:rPr>
              <w:t>15,424</w:t>
            </w:r>
          </w:p>
        </w:tc>
        <w:tc>
          <w:tcPr>
            <w:tcW w:type="dxa" w:w="1426"/>
          </w:tcPr>
          <w:p>
            <w:pPr>
              <w:spacing w:after="20"/>
              <w:jc w:val="right"/>
            </w:pPr>
            <w:r>
              <w:rPr>
                <w:color w:val="1C3A36"/>
                <w:sz w:val="16"/>
              </w:rPr>
              <w:t>16,239</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6,306</w:t>
            </w:r>
          </w:p>
        </w:tc>
        <w:tc>
          <w:tcPr>
            <w:tcW w:type="dxa" w:w="1426"/>
          </w:tcPr>
          <w:p>
            <w:pPr>
              <w:spacing w:after="20"/>
              <w:jc w:val="right"/>
            </w:pPr>
            <w:r>
              <w:rPr>
                <w:color w:val="1C3A36"/>
                <w:sz w:val="16"/>
              </w:rPr>
              <w:t>6,754</w:t>
            </w:r>
          </w:p>
        </w:tc>
        <w:tc>
          <w:tcPr>
            <w:tcW w:type="dxa" w:w="1426"/>
          </w:tcPr>
          <w:p>
            <w:pPr>
              <w:spacing w:after="20"/>
              <w:jc w:val="right"/>
            </w:pPr>
            <w:r>
              <w:rPr>
                <w:color w:val="1C3A36"/>
                <w:sz w:val="16"/>
              </w:rPr>
              <w:t>7,053</w:t>
            </w:r>
          </w:p>
        </w:tc>
        <w:tc>
          <w:tcPr>
            <w:tcW w:type="dxa" w:w="1426"/>
          </w:tcPr>
          <w:p>
            <w:pPr>
              <w:spacing w:after="20"/>
              <w:jc w:val="right"/>
            </w:pPr>
            <w:r>
              <w:rPr>
                <w:color w:val="1C3A36"/>
                <w:sz w:val="16"/>
              </w:rPr>
              <w:t>7,307</w:t>
            </w:r>
          </w:p>
        </w:tc>
        <w:tc>
          <w:tcPr>
            <w:tcW w:type="dxa" w:w="1426"/>
          </w:tcPr>
          <w:p>
            <w:pPr>
              <w:spacing w:after="20"/>
              <w:jc w:val="right"/>
            </w:pPr>
            <w:r>
              <w:rPr>
                <w:color w:val="1C3A36"/>
                <w:sz w:val="16"/>
              </w:rPr>
              <w:t>7,556</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49.9%</w:t>
            </w:r>
          </w:p>
        </w:tc>
        <w:tc>
          <w:tcPr>
            <w:tcW w:type="dxa" w:w="1426"/>
            <w:shd w:val="clear" w:color="auto" w:fill="F6F1E6"/>
          </w:tcPr>
          <w:p>
            <w:pPr>
              <w:spacing w:after="20"/>
              <w:jc w:val="right"/>
            </w:pPr>
            <w:r>
              <w:rPr>
                <w:b/>
                <w:color w:val="1C3A36"/>
                <w:sz w:val="16"/>
              </w:rPr>
              <w:t>49.2%</w:t>
            </w:r>
          </w:p>
        </w:tc>
        <w:tc>
          <w:tcPr>
            <w:tcW w:type="dxa" w:w="1426"/>
            <w:shd w:val="clear" w:color="auto" w:fill="F6F1E6"/>
          </w:tcPr>
          <w:p>
            <w:pPr>
              <w:spacing w:after="20"/>
              <w:jc w:val="right"/>
            </w:pPr>
            <w:r>
              <w:rPr>
                <w:b/>
                <w:color w:val="1C3A36"/>
                <w:sz w:val="16"/>
              </w:rPr>
              <w:t>48.3%</w:t>
            </w:r>
          </w:p>
        </w:tc>
        <w:tc>
          <w:tcPr>
            <w:tcW w:type="dxa" w:w="1426"/>
            <w:shd w:val="clear" w:color="auto" w:fill="F6F1E6"/>
          </w:tcPr>
          <w:p>
            <w:pPr>
              <w:spacing w:after="20"/>
              <w:jc w:val="right"/>
            </w:pPr>
            <w:r>
              <w:rPr>
                <w:b/>
                <w:color w:val="1C3A36"/>
                <w:sz w:val="16"/>
              </w:rPr>
              <w:t>47.4%</w:t>
            </w:r>
          </w:p>
        </w:tc>
        <w:tc>
          <w:tcPr>
            <w:tcW w:type="dxa" w:w="1426"/>
            <w:shd w:val="clear" w:color="auto" w:fill="F6F1E6"/>
          </w:tcPr>
          <w:p>
            <w:pPr>
              <w:spacing w:after="20"/>
              <w:jc w:val="right"/>
            </w:pPr>
            <w:r>
              <w:rPr>
                <w:b/>
                <w:color w:val="1C3A36"/>
                <w:sz w:val="16"/>
              </w:rPr>
              <w:t>46.5%</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5,781</w:t>
            </w:r>
          </w:p>
        </w:tc>
        <w:tc>
          <w:tcPr>
            <w:tcW w:type="dxa" w:w="1426"/>
          </w:tcPr>
          <w:p>
            <w:pPr>
              <w:spacing w:after="20"/>
              <w:jc w:val="right"/>
            </w:pPr>
            <w:r>
              <w:rPr>
                <w:color w:val="1C3A36"/>
                <w:sz w:val="16"/>
              </w:rPr>
              <w:t>6,246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6,893</w:t>
            </w:r>
          </w:p>
        </w:tc>
        <w:tc>
          <w:tcPr>
            <w:tcW w:type="dxa" w:w="1426"/>
          </w:tcPr>
          <w:p>
            <w:pPr>
              <w:spacing w:after="20"/>
              <w:jc w:val="right"/>
            </w:pPr>
            <w:r>
              <w:rPr>
                <w:color w:val="1C3A36"/>
                <w:sz w:val="16"/>
              </w:rPr>
              <w:t>7,183</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45.5%</w:t>
            </w:r>
          </w:p>
        </w:tc>
        <w:tc>
          <w:tcPr>
            <w:tcW w:type="dxa" w:w="1426"/>
            <w:shd w:val="clear" w:color="auto" w:fill="F6F1E6"/>
          </w:tcPr>
          <w:p>
            <w:pPr>
              <w:spacing w:after="20"/>
              <w:jc w:val="right"/>
            </w:pPr>
            <w:r>
              <w:rPr>
                <w:b/>
                <w:color w:val="1C3A36"/>
                <w:sz w:val="16"/>
              </w:rPr>
              <w:t>45.1%</w:t>
            </w:r>
          </w:p>
        </w:tc>
        <w:tc>
          <w:tcPr>
            <w:tcW w:type="dxa" w:w="1426"/>
            <w:shd w:val="clear" w:color="auto" w:fill="F6F1E6"/>
          </w:tcPr>
          <w:p>
            <w:pPr>
              <w:spacing w:after="20"/>
              <w:jc w:val="right"/>
            </w:pPr>
            <w:r>
              <w:rPr>
                <w:b/>
                <w:color w:val="1C3A36"/>
                <w:sz w:val="16"/>
              </w:rPr>
              <w:t>44.7%</w:t>
            </w:r>
          </w:p>
        </w:tc>
        <w:tc>
          <w:tcPr>
            <w:tcW w:type="dxa" w:w="1426"/>
            <w:shd w:val="clear" w:color="auto" w:fill="F6F1E6"/>
          </w:tcPr>
          <w:p>
            <w:pPr>
              <w:spacing w:after="20"/>
              <w:jc w:val="right"/>
            </w:pPr>
            <w:r>
              <w:rPr>
                <w:b/>
                <w:color w:val="1C3A36"/>
                <w:sz w:val="16"/>
              </w:rPr>
              <w:t>44.2%</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4,890</w:t>
            </w:r>
          </w:p>
        </w:tc>
        <w:tc>
          <w:tcPr>
            <w:tcW w:type="dxa" w:w="1426"/>
          </w:tcPr>
          <w:p>
            <w:pPr>
              <w:spacing w:after="20"/>
              <w:jc w:val="right"/>
            </w:pPr>
            <w:r>
              <w:rPr>
                <w:color w:val="1C3A36"/>
                <w:sz w:val="16"/>
              </w:rPr>
              <w:t>5,237</w:t>
            </w:r>
          </w:p>
        </w:tc>
        <w:tc>
          <w:tcPr>
            <w:tcW w:type="dxa" w:w="1426"/>
          </w:tcPr>
          <w:p>
            <w:pPr>
              <w:spacing w:after="20"/>
              <w:jc w:val="right"/>
            </w:pPr>
            <w:r>
              <w:rPr>
                <w:color w:val="1C3A36"/>
                <w:sz w:val="16"/>
              </w:rPr>
              <w:t>5,444</w:t>
            </w:r>
          </w:p>
        </w:tc>
        <w:tc>
          <w:tcPr>
            <w:tcW w:type="dxa" w:w="1426"/>
          </w:tcPr>
          <w:p>
            <w:pPr>
              <w:spacing w:after="20"/>
              <w:jc w:val="right"/>
            </w:pPr>
            <w:r>
              <w:rPr>
                <w:color w:val="1C3A36"/>
                <w:sz w:val="16"/>
              </w:rPr>
              <w:t>5,600</w:t>
            </w:r>
          </w:p>
        </w:tc>
        <w:tc>
          <w:tcPr>
            <w:tcW w:type="dxa" w:w="1426"/>
          </w:tcPr>
          <w:p>
            <w:pPr>
              <w:spacing w:after="20"/>
              <w:jc w:val="right"/>
            </w:pPr>
            <w:r>
              <w:rPr>
                <w:color w:val="1C3A36"/>
                <w:sz w:val="16"/>
              </w:rPr>
              <w:t>5,749</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38.7%</w:t>
            </w:r>
          </w:p>
        </w:tc>
        <w:tc>
          <w:tcPr>
            <w:tcW w:type="dxa" w:w="1426"/>
          </w:tcPr>
          <w:p>
            <w:pPr>
              <w:spacing w:after="20"/>
              <w:jc w:val="right"/>
            </w:pPr>
            <w:r>
              <w:rPr>
                <w:color w:val="1C3A36"/>
                <w:sz w:val="16"/>
              </w:rPr>
              <w:t>38.1%</w:t>
            </w:r>
          </w:p>
        </w:tc>
        <w:tc>
          <w:tcPr>
            <w:tcW w:type="dxa" w:w="1426"/>
          </w:tcPr>
          <w:p>
            <w:pPr>
              <w:spacing w:after="20"/>
              <w:jc w:val="right"/>
            </w:pPr>
            <w:r>
              <w:rPr>
                <w:color w:val="1C3A36"/>
                <w:sz w:val="16"/>
              </w:rPr>
              <w:t>37.3%</w:t>
            </w:r>
          </w:p>
        </w:tc>
        <w:tc>
          <w:tcPr>
            <w:tcW w:type="dxa" w:w="1426"/>
          </w:tcPr>
          <w:p>
            <w:pPr>
              <w:spacing w:after="20"/>
              <w:jc w:val="right"/>
            </w:pPr>
            <w:r>
              <w:rPr>
                <w:color w:val="1C3A36"/>
                <w:sz w:val="16"/>
              </w:rPr>
              <w:t>36.3%</w:t>
            </w:r>
          </w:p>
        </w:tc>
        <w:tc>
          <w:tcPr>
            <w:tcW w:type="dxa" w:w="1426"/>
          </w:tcPr>
          <w:p>
            <w:pPr>
              <w:spacing w:after="20"/>
              <w:jc w:val="right"/>
            </w:pPr>
            <w:r>
              <w:rPr>
                <w:color w:val="1C3A36"/>
                <w:sz w:val="16"/>
              </w:rPr>
              <w:t>35.4%</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49.9% to 46.5%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9,691</w:t>
            </w:r>
          </w:p>
        </w:tc>
        <w:tc>
          <w:tcPr>
            <w:tcW w:type="dxa" w:w="1296"/>
          </w:tcPr>
          <w:p>
            <w:pPr>
              <w:spacing w:after="20"/>
              <w:jc w:val="right"/>
            </w:pPr>
            <w:r>
              <w:rPr>
                <w:color w:val="1C3A36"/>
                <w:sz w:val="17"/>
              </w:rPr>
              <w:t>76.6%</w:t>
            </w:r>
          </w:p>
        </w:tc>
        <w:tc>
          <w:tcPr>
            <w:tcW w:type="dxa" w:w="1944"/>
          </w:tcPr>
          <w:p>
            <w:pPr>
              <w:spacing w:after="20"/>
              <w:jc w:val="right"/>
            </w:pPr>
            <w:r>
              <w:rPr>
                <w:color w:val="1C3A36"/>
                <w:sz w:val="17"/>
              </w:rPr>
              <w:t>11,956</w:t>
            </w:r>
          </w:p>
        </w:tc>
        <w:tc>
          <w:tcPr>
            <w:tcW w:type="dxa" w:w="1296"/>
          </w:tcPr>
          <w:p>
            <w:pPr>
              <w:spacing w:after="20"/>
              <w:jc w:val="right"/>
            </w:pPr>
            <w:r>
              <w:rPr>
                <w:color w:val="1C3A36"/>
                <w:sz w:val="17"/>
              </w:rPr>
              <w:t>73.6%</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9.2%</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11.8%</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8.4%</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8.9%</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4.7%</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4.5%</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1.1%</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1.1%</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12,643</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16,239</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8.07 a share. Stopped, EGP 11.61. The difference, EGP 3.53 a share or EGP 7,016 million of equity, is the cost of the programme to shareholders on this model's assumptions. What decides it is whether the plant, once built, earns a return above the capital sunk into it. On the disclosed cost and the derived nameplate it does not.</w:t>
      </w:r>
    </w:p>
    <w:p>
      <w:pPr>
        <w:spacing w:after="120" w:before="0"/>
      </w:pPr>
      <w:r>
        <w:rPr>
          <w:b/>
          <w:i w:val="0"/>
          <w:color w:val="1C3A36"/>
          <w:sz w:val="21"/>
        </w:rPr>
        <w:t>What the two branches actually assume.  Neither is a prediction of what the board will do. They are two complete worlds, each priced the whole way through to a value per share on identical prices, volumes, currency and rates. The only thing that differs between them is the capital programme, which is what makes the distance between them a measurement of the programme rather than of anything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rPr>
          <w:cantSplit/>
          <w:tblHeader/>
        </w:trPr>
        <w:tc>
          <w:tcPr>
            <w:tcW w:type="dxa" w:w="2664"/>
            <w:shd w:val="clear" w:color="auto" w:fill="EAF0EE"/>
          </w:tcPr>
          <w:p>
            <w:pPr>
              <w:spacing w:after="20"/>
            </w:pPr>
            <w:r>
              <w:rPr>
                <w:b/>
                <w:color w:val="1C3A36"/>
                <w:sz w:val="17"/>
              </w:rPr>
            </w:r>
          </w:p>
        </w:tc>
        <w:tc>
          <w:tcPr>
            <w:tcW w:type="dxa" w:w="3744"/>
            <w:shd w:val="clear" w:color="auto" w:fill="EAF0EE"/>
          </w:tcPr>
          <w:p>
            <w:pPr>
              <w:spacing w:after="20"/>
            </w:pPr>
            <w:r>
              <w:rPr>
                <w:b/>
                <w:color w:val="1C3A36"/>
                <w:sz w:val="17"/>
              </w:rPr>
              <w:t>Programme carried through</w:t>
            </w:r>
          </w:p>
        </w:tc>
        <w:tc>
          <w:tcPr>
            <w:tcW w:type="dxa" w:w="3672"/>
            <w:shd w:val="clear" w:color="auto" w:fill="EAF0EE"/>
          </w:tcPr>
          <w:p>
            <w:pPr>
              <w:spacing w:after="20"/>
            </w:pPr>
            <w:r>
              <w:rPr>
                <w:b/>
                <w:color w:val="1C3A36"/>
                <w:sz w:val="17"/>
              </w:rPr>
              <w:t>Programme stopped</w:t>
            </w:r>
          </w:p>
        </w:tc>
      </w:tr>
      <w:tr>
        <w:trPr>
          <w:cantSplit/>
        </w:trPr>
        <w:tc>
          <w:tcPr>
            <w:tcW w:type="dxa" w:w="2664"/>
          </w:tcPr>
          <w:p>
            <w:pPr>
              <w:spacing w:after="20"/>
            </w:pPr>
            <w:r>
              <w:rPr>
                <w:color w:val="1C3A36"/>
                <w:sz w:val="17"/>
              </w:rPr>
              <w:t>The money still to spend</w:t>
            </w:r>
          </w:p>
        </w:tc>
        <w:tc>
          <w:tcPr>
            <w:tcW w:type="dxa" w:w="3744"/>
          </w:tcPr>
          <w:p>
            <w:pPr>
              <w:spacing w:after="20"/>
            </w:pPr>
            <w:r>
              <w:rPr>
                <w:color w:val="1C3A36"/>
                <w:sz w:val="17"/>
              </w:rPr>
              <w:t>EGP 14,688m leaves over the five forecast years</w:t>
            </w:r>
          </w:p>
        </w:tc>
        <w:tc>
          <w:tcPr>
            <w:tcW w:type="dxa" w:w="3672"/>
          </w:tcPr>
          <w:p>
            <w:pPr>
              <w:spacing w:after="20"/>
            </w:pPr>
            <w:r>
              <w:rPr>
                <w:color w:val="1C3A36"/>
                <w:sz w:val="17"/>
              </w:rPr>
              <w:t>Nothing further is spent</w:t>
            </w:r>
          </w:p>
        </w:tc>
      </w:tr>
      <w:tr>
        <w:trPr>
          <w:cantSplit/>
        </w:trPr>
        <w:tc>
          <w:tcPr>
            <w:tcW w:type="dxa" w:w="2664"/>
          </w:tcPr>
          <w:p>
            <w:pPr>
              <w:spacing w:after="20"/>
            </w:pPr>
            <w:r>
              <w:rPr>
                <w:color w:val="1C3A36"/>
                <w:sz w:val="17"/>
              </w:rPr>
              <w:t>The money already in the ground</w:t>
            </w:r>
          </w:p>
        </w:tc>
        <w:tc>
          <w:tcPr>
            <w:tcW w:type="dxa" w:w="3744"/>
          </w:tcPr>
          <w:p>
            <w:pPr>
              <w:spacing w:after="20"/>
            </w:pPr>
            <w:r>
              <w:rPr>
                <w:color w:val="1C3A36"/>
                <w:sz w:val="17"/>
              </w:rPr>
              <w:t>EGP 5,654m becomes part of a working plant</w:t>
            </w:r>
          </w:p>
        </w:tc>
        <w:tc>
          <w:tcPr>
            <w:tcW w:type="dxa" w:w="3672"/>
          </w:tcPr>
          <w:p>
            <w:pPr>
              <w:spacing w:after="20"/>
            </w:pPr>
            <w:r>
              <w:rPr>
                <w:color w:val="1C3A36"/>
                <w:sz w:val="17"/>
              </w:rPr>
              <w:t>EGP 5,654m is written off against nothing</w:t>
            </w:r>
          </w:p>
        </w:tc>
      </w:tr>
      <w:tr>
        <w:trPr>
          <w:cantSplit/>
        </w:trPr>
        <w:tc>
          <w:tcPr>
            <w:tcW w:type="dxa" w:w="2664"/>
          </w:tcPr>
          <w:p>
            <w:pPr>
              <w:spacing w:after="20"/>
            </w:pPr>
            <w:r>
              <w:rPr>
                <w:color w:val="1C3A36"/>
                <w:sz w:val="17"/>
              </w:rPr>
              <w:t>The cost of walking away</w:t>
            </w:r>
          </w:p>
        </w:tc>
        <w:tc>
          <w:tcPr>
            <w:tcW w:type="dxa" w:w="3744"/>
          </w:tcPr>
          <w:p>
            <w:pPr>
              <w:spacing w:after="20"/>
            </w:pPr>
            <w:r>
              <w:rPr>
                <w:color w:val="1C3A36"/>
                <w:sz w:val="17"/>
              </w:rPr>
              <w:t>None arises</w:t>
            </w:r>
          </w:p>
        </w:tc>
        <w:tc>
          <w:tcPr>
            <w:tcW w:type="dxa" w:w="3672"/>
          </w:tcPr>
          <w:p>
            <w:pPr>
              <w:spacing w:after="20"/>
            </w:pPr>
            <w:r>
              <w:rPr>
                <w:color w:val="1C3A36"/>
                <w:sz w:val="17"/>
              </w:rPr>
              <w:t>EGP 1,000m, paid once in the first forecast year</w:t>
            </w:r>
          </w:p>
        </w:tc>
      </w:tr>
      <w:tr>
        <w:trPr>
          <w:cantSplit/>
        </w:trPr>
        <w:tc>
          <w:tcPr>
            <w:tcW w:type="dxa" w:w="2664"/>
          </w:tcPr>
          <w:p>
            <w:pPr>
              <w:spacing w:after="20"/>
            </w:pPr>
            <w:r>
              <w:rPr>
                <w:color w:val="1C3A36"/>
                <w:sz w:val="17"/>
              </w:rPr>
              <w:t>What is produced afterwards</w:t>
            </w:r>
          </w:p>
        </w:tc>
        <w:tc>
          <w:tcPr>
            <w:tcW w:type="dxa" w:w="3744"/>
          </w:tcPr>
          <w:p>
            <w:pPr>
              <w:spacing w:after="20"/>
            </w:pPr>
            <w:r>
              <w:rPr>
                <w:color w:val="1C3A36"/>
                <w:sz w:val="17"/>
              </w:rPr>
              <w:t>Urea and existing nitrates, plus the new complex's nitric acid and ammonium nitrate</w:t>
            </w:r>
          </w:p>
        </w:tc>
        <w:tc>
          <w:tcPr>
            <w:tcW w:type="dxa" w:w="3672"/>
          </w:tcPr>
          <w:p>
            <w:pPr>
              <w:spacing w:after="20"/>
            </w:pPr>
            <w:r>
              <w:rPr>
                <w:color w:val="1C3A36"/>
                <w:sz w:val="17"/>
              </w:rPr>
              <w:t>Urea and existing nitrates, exactly as today</w:t>
            </w:r>
          </w:p>
        </w:tc>
      </w:tr>
      <w:tr>
        <w:trPr>
          <w:cantSplit/>
        </w:trPr>
        <w:tc>
          <w:tcPr>
            <w:tcW w:type="dxa" w:w="2664"/>
          </w:tcPr>
          <w:p>
            <w:pPr>
              <w:spacing w:after="20"/>
            </w:pPr>
            <w:r>
              <w:rPr>
                <w:color w:val="1C3A36"/>
                <w:sz w:val="17"/>
              </w:rPr>
              <w:t>When the new plant's earnings arrive</w:t>
            </w:r>
          </w:p>
        </w:tc>
        <w:tc>
          <w:tcPr>
            <w:tcW w:type="dxa" w:w="3744"/>
          </w:tcPr>
          <w:p>
            <w:pPr>
              <w:spacing w:after="20"/>
            </w:pPr>
            <w:r>
              <w:rPr>
                <w:color w:val="1C3A36"/>
                <w:sz w:val="17"/>
              </w:rPr>
              <w:t>After the forecast window closes — in the terminal value, at 50% of nameplate</w:t>
            </w:r>
          </w:p>
        </w:tc>
        <w:tc>
          <w:tcPr>
            <w:tcW w:type="dxa" w:w="3672"/>
          </w:tcPr>
          <w:p>
            <w:pPr>
              <w:spacing w:after="20"/>
            </w:pPr>
            <w:r>
              <w:rPr>
                <w:color w:val="1C3A36"/>
                <w:sz w:val="17"/>
              </w:rPr>
              <w:t>They never arrive</w:t>
            </w:r>
          </w:p>
        </w:tc>
      </w:tr>
      <w:tr>
        <w:trPr>
          <w:cantSplit/>
        </w:trPr>
        <w:tc>
          <w:tcPr>
            <w:tcW w:type="dxa" w:w="2664"/>
            <w:shd w:val="clear" w:color="auto" w:fill="F6F1E6"/>
          </w:tcPr>
          <w:p>
            <w:pPr>
              <w:spacing w:after="20"/>
            </w:pPr>
            <w:r>
              <w:rPr>
                <w:b/>
                <w:color w:val="1C3A36"/>
                <w:sz w:val="17"/>
              </w:rPr>
              <w:t>Value per share</w:t>
            </w:r>
          </w:p>
        </w:tc>
        <w:tc>
          <w:tcPr>
            <w:tcW w:type="dxa" w:w="3744"/>
            <w:shd w:val="clear" w:color="auto" w:fill="F6F1E6"/>
          </w:tcPr>
          <w:p>
            <w:pPr>
              <w:spacing w:after="20"/>
            </w:pPr>
            <w:r>
              <w:rPr>
                <w:b/>
                <w:color w:val="1C3A36"/>
                <w:sz w:val="17"/>
              </w:rPr>
              <w:t>EGP 8.07</w:t>
            </w:r>
          </w:p>
        </w:tc>
        <w:tc>
          <w:tcPr>
            <w:tcW w:type="dxa" w:w="3672"/>
            <w:shd w:val="clear" w:color="auto" w:fill="F6F1E6"/>
          </w:tcPr>
          <w:p>
            <w:pPr>
              <w:spacing w:after="20"/>
            </w:pPr>
            <w:r>
              <w:rPr>
                <w:b/>
                <w:color w:val="1C3A36"/>
                <w:sz w:val="17"/>
              </w:rPr>
              <w:t>EGP 11.61</w:t>
            </w:r>
          </w:p>
        </w:tc>
      </w:tr>
    </w:tbl>
    <w:p>
      <w:pPr>
        <w:spacing w:after="40"/>
      </w:pPr>
    </w:p>
    <w:p>
      <w:pPr>
        <w:spacing w:after="200" w:before="0"/>
      </w:pPr>
      <w:r>
        <w:rPr>
          <w:b w:val="0"/>
          <w:i/>
          <w:color w:val="6E7B77"/>
          <w:sz w:val="17"/>
        </w:rPr>
        <w:t>Table 14.  The two worlds, line by line. Every driver outside this table — urea prices, the gas bill, the exchange-rate path, the cost of capital — is the same in both.</w:t>
      </w:r>
    </w:p>
    <w:p>
      <w:pPr>
        <w:spacing w:after="120" w:before="0"/>
      </w:pPr>
      <w:r>
        <w:rPr>
          <w:b w:val="0"/>
          <w:i w:val="0"/>
          <w:color w:val="1C3A36"/>
          <w:sz w:val="21"/>
        </w:rPr>
        <w:t>Why stopping is worth more, in one line: the money leaves early and the earnings arrive late. The remaining EGP 14.7 billion goes out across the five forecast years, discounted at 25.6% in the first of them; the plant that money buys earns nothing until after the window closes, and that later stream is discounted at 16.9% for every year of the wait. Put the same point without the discounting and it is starker still: on the bank-approved cost and the nameplate this model derives, the finished complex earns 1.69% after tax on the money sunk into it, against capital that costs 16.9%. A plant returning less than a tenth of what its funding costs subtracts value by being built, however well it is run.</w:t>
      </w:r>
    </w:p>
    <w:p>
      <w:pPr>
        <w:spacing w:after="120" w:before="0"/>
      </w:pPr>
      <w:r>
        <w:rPr>
          <w:b w:val="0"/>
          <w:i/>
          <w:color w:val="1C3A36"/>
          <w:sz w:val="19"/>
        </w:rPr>
        <w:t>Three things this comparison is NOT, because each has been read into it before.  It is not a forecast that the programme will be abandoned; management has said it is building, and the carried-through branch is the one that follows the company's own stated plan. It is not a judgement that the plant is badly conceived — the arithmetic turns on a cost and a nameplate, and a reader who holds a different nameplate gets a different answer, which is exactly why section 1.9 reprices it. And it is not a range to average: there is no world in which the company half-builds a complex, so the midpoint of these two numbers describes nothing that can happen.</w:t>
      </w:r>
    </w:p>
    <w:p>
      <w:pPr>
        <w:spacing w:after="120" w:before="0"/>
      </w:pPr>
      <w:r>
        <w:rPr>
          <w:b w:val="0"/>
          <w:i w:val="0"/>
          <w:color w:val="1C3A36"/>
          <w:sz w:val="21"/>
        </w:rPr>
        <w:t>How to use the pair.  If you believe the company will finish the plant and that it will earn what this model assumes, the number is EGP 8.07. If you believe the money would be better not spent, it is EGP 11.61. The EGP 3.53 between them — EGP 7,016 million across all the shares — is the size of that single bet, and it is larger than either the multiple lens or the book-value lens moves for any other reason in this study. The falsifier is stated and dated: the nameplate this study derives is tested against KIMA's own annual report for FY2025/26.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343m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1.7%</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16.9%</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15.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16.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0.99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2,352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18.6%</w:t>
            </w:r>
          </w:p>
        </w:tc>
      </w:tr>
    </w:tbl>
    <w:p>
      <w:pPr>
        <w:spacing w:after="40"/>
      </w:pPr>
    </w:p>
    <w:p>
      <w:pPr>
        <w:spacing w:after="200" w:before="0"/>
      </w:pPr>
      <w:r>
        <w:rPr>
          <w:b w:val="0"/>
          <w:i/>
          <w:color w:val="6E7B77"/>
          <w:sz w:val="17"/>
        </w:rPr>
        <w:t>Table 17.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1.020</w:t>
            </w:r>
          </w:p>
        </w:tc>
        <w:tc>
          <w:tcPr>
            <w:tcW w:type="dxa" w:w="1512"/>
          </w:tcPr>
          <w:p>
            <w:pPr>
              <w:spacing w:after="20"/>
              <w:jc w:val="right"/>
            </w:pPr>
            <w:r>
              <w:rPr>
                <w:color w:val="1C3A36"/>
                <w:sz w:val="17"/>
              </w:rPr>
              <w:t>1.020</w:t>
            </w:r>
          </w:p>
        </w:tc>
        <w:tc>
          <w:tcPr>
            <w:tcW w:type="dxa" w:w="4248"/>
          </w:tcPr>
          <w:p>
            <w:pPr>
              <w:spacing w:after="20"/>
            </w:pPr>
            <w:r>
              <w:rPr>
                <w:color w:val="1C3A36"/>
                <w:sz w:val="17"/>
              </w:rPr>
              <w:t>Own-stock weekly regression, 256 observations, R-squared 0.248,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30.65%</w:t>
            </w:r>
          </w:p>
        </w:tc>
        <w:tc>
          <w:tcPr>
            <w:tcW w:type="dxa" w:w="1512"/>
            <w:shd w:val="clear" w:color="auto" w:fill="F6F1E6"/>
          </w:tcPr>
          <w:p>
            <w:pPr>
              <w:spacing w:after="20"/>
              <w:jc w:val="right"/>
            </w:pPr>
            <w:r>
              <w:rPr>
                <w:b/>
                <w:color w:val="1C3A36"/>
                <w:sz w:val="17"/>
              </w:rPr>
              <w:t>29.08%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26.66%</w:t>
            </w:r>
          </w:p>
        </w:tc>
        <w:tc>
          <w:tcPr>
            <w:tcW w:type="dxa" w:w="1512"/>
            <w:shd w:val="clear" w:color="auto" w:fill="F6F1E6"/>
          </w:tcPr>
          <w:p>
            <w:pPr>
              <w:spacing w:after="20"/>
              <w:jc w:val="right"/>
            </w:pPr>
            <w:r>
              <w:rPr>
                <w:b/>
                <w:color w:val="1C3A36"/>
                <w:sz w:val="17"/>
              </w:rPr>
              <w:t>25.63%</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104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18.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6.03 a share on the carried-through cash-flow lens against EGP 8.07, a difference of EGP -2.05.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3.5% real rate gives a normalised risk-free rate of 10.50%, and the terminal cost of capital is 16.88%.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8.07</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No export duty, because Ministerial Decision 340 of 2026 cancelled the levy with effect from 1 August 2026 — five weeks before this study's strike</w:t>
            </w:r>
          </w:p>
        </w:tc>
        <w:tc>
          <w:tcPr>
            <w:tcW w:type="dxa" w:w="2563"/>
          </w:tcPr>
          <w:p>
            <w:pPr>
              <w:spacing w:after="20"/>
            </w:pPr>
            <w:r>
              <w:rPr>
                <w:color w:val="1C3A36"/>
                <w:sz w:val="15"/>
              </w:rPr>
              <w:t>The 10% ad-valorem duty back, charged on every export tonne for ever (5.0966), or at half that rate (6.5857)</w:t>
            </w:r>
          </w:p>
        </w:tc>
        <w:tc>
          <w:tcPr>
            <w:tcW w:type="dxa" w:w="950"/>
          </w:tcPr>
          <w:p>
            <w:pPr>
              <w:spacing w:after="20"/>
              <w:jc w:val="right"/>
            </w:pPr>
            <w:r>
              <w:rPr>
                <w:color w:val="1C3A36"/>
                <w:sz w:val="15"/>
              </w:rPr>
              <w:t>5.10</w:t>
            </w:r>
          </w:p>
        </w:tc>
        <w:tc>
          <w:tcPr>
            <w:tcW w:type="dxa" w:w="950"/>
          </w:tcPr>
          <w:p>
            <w:pPr>
              <w:spacing w:after="20"/>
              <w:jc w:val="right"/>
            </w:pPr>
            <w:r>
              <w:rPr>
                <w:color w:val="1C3A36"/>
                <w:sz w:val="15"/>
              </w:rPr>
              <w:t>-2.98</w:t>
            </w:r>
          </w:p>
        </w:tc>
        <w:tc>
          <w:tcPr>
            <w:tcW w:type="dxa" w:w="3139"/>
          </w:tcPr>
          <w:p>
            <w:pPr>
              <w:spacing w:after="20"/>
            </w:pPr>
            <w:r>
              <w:rPr>
                <w:color w:val="1C3A36"/>
                <w:sz w:val="15"/>
              </w:rPr>
              <w:t>THIS IS THE LARGEST SINGLE LINE IN THE STUDY AND IT TURNED OVER TWICE. The instrument was found in June and adopted: Decree 258 of 2026, 10% ad valorem on the FOB invoice value of nitrogen fertiliser exports, carrying no stated expiry of its own. It was then CANCELLED — Ministerial Decision 340 of 2026, effective 1 August 2026, striking down Decisions 190, 203 and 258 together. The Egyptian Customs Authority issued Circular 46 of 2026 to govern shipments whose declarations were opened before the levy ceased, which is the administrative trace a real cancellation leaves behind. This study strikes on 3 September, so the rate in force at the strike is NIL and the duty belonged to a window that had closed. IT WAS MISSED BECAUSE IT WAS SEARCHED FOR IN ENGLISH. Three searches found nothing and NOT FOUND WAS REPORTED AS NOT TRUE, on an Egyptian ministerial decision whose register, customs circular and trade coverage are all Arabic. Absence of evidence produced by looking in the wrong language is not evidence of absence, and five forecast years of a repealed duty is what it cost — EGP 2.98 a share against a gap of 9.21. THE ALTERNATIVE IS NOW THE DUTY'S RETURN, which is the honest direction to price it in: it was imposed once this year and can be imposed again, and a reader is entitled to see what the largest line in the study is worth if it comes back. PURE AMMONIUM NITRATE ABOVE 34.2% NITROGEN AND FREE-ZONE SHIPMENTS WERE EXEMPT while it ran, and the duty was applied to the UREA export leg alone, where urea is not exempt. What would improve the citation: the Gazette text of Decision 340 itself rather than the decree register and the customs circular that implement it.</w:t>
            </w:r>
          </w:p>
        </w:tc>
      </w:tr>
      <w:tr>
        <w:trPr>
          <w:cantSplit/>
        </w:trPr>
        <w:tc>
          <w:tcPr>
            <w:tcW w:type="dxa" w:w="2477"/>
          </w:tcPr>
          <w:p>
            <w:pPr>
              <w:spacing w:after="20"/>
            </w:pPr>
            <w:r>
              <w:rPr>
                <w:color w:val="1C3A36"/>
                <w:sz w:val="15"/>
              </w:rPr>
              <w:t>The new complex's granulated ammonium nitrate priced at the SAME PRODUCT'S OWN DISCLOSED REALISED PRICE — EGP 20,000/t from note 20, carried on the currency exactly as the existing nitrate business is</w:t>
            </w:r>
          </w:p>
        </w:tc>
        <w:tc>
          <w:tcPr>
            <w:tcW w:type="dxa" w:w="2563"/>
          </w:tcPr>
          <w:p>
            <w:pPr>
              <w:spacing w:after="20"/>
            </w:pPr>
            <w:r>
              <w:rPr>
                <w:color w:val="1C3A36"/>
                <w:sz w:val="15"/>
              </w:rPr>
              <w:t>Priced at the retired typed US$280/t, the weakest-sourced input in a 304-input register, whose source string was four words long and named no assessor, series, date or basis (7.5002)</w:t>
            </w:r>
          </w:p>
        </w:tc>
        <w:tc>
          <w:tcPr>
            <w:tcW w:type="dxa" w:w="950"/>
          </w:tcPr>
          <w:p>
            <w:pPr>
              <w:spacing w:after="20"/>
              <w:jc w:val="right"/>
            </w:pPr>
            <w:r>
              <w:rPr>
                <w:color w:val="1C3A36"/>
                <w:sz w:val="15"/>
              </w:rPr>
              <w:t>7.50</w:t>
            </w:r>
          </w:p>
        </w:tc>
        <w:tc>
          <w:tcPr>
            <w:tcW w:type="dxa" w:w="950"/>
          </w:tcPr>
          <w:p>
            <w:pPr>
              <w:spacing w:after="20"/>
              <w:jc w:val="right"/>
            </w:pPr>
            <w:r>
              <w:rPr>
                <w:color w:val="1C3A36"/>
                <w:sz w:val="15"/>
              </w:rPr>
              <w:t>-0.57</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104 basis points higher</w:t>
            </w:r>
          </w:p>
        </w:tc>
        <w:tc>
          <w:tcPr>
            <w:tcW w:type="dxa" w:w="950"/>
          </w:tcPr>
          <w:p>
            <w:pPr>
              <w:spacing w:after="20"/>
              <w:jc w:val="right"/>
            </w:pPr>
            <w:r>
              <w:rPr>
                <w:color w:val="1C3A36"/>
                <w:sz w:val="15"/>
              </w:rPr>
              <w:t>5.41</w:t>
            </w:r>
          </w:p>
        </w:tc>
        <w:tc>
          <w:tcPr>
            <w:tcW w:type="dxa" w:w="950"/>
          </w:tcPr>
          <w:p>
            <w:pPr>
              <w:spacing w:after="20"/>
              <w:jc w:val="right"/>
            </w:pPr>
            <w:r>
              <w:rPr>
                <w:color w:val="1C3A36"/>
                <w:sz w:val="15"/>
              </w:rPr>
              <w:t>-2.67</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3.15</w:t>
            </w:r>
          </w:p>
        </w:tc>
        <w:tc>
          <w:tcPr>
            <w:tcW w:type="dxa" w:w="950"/>
          </w:tcPr>
          <w:p>
            <w:pPr>
              <w:spacing w:after="20"/>
              <w:jc w:val="right"/>
            </w:pPr>
            <w:r>
              <w:rPr>
                <w:color w:val="1C3A36"/>
                <w:sz w:val="15"/>
              </w:rPr>
              <w:t>-4.93</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5.26</w:t>
            </w:r>
          </w:p>
        </w:tc>
        <w:tc>
          <w:tcPr>
            <w:tcW w:type="dxa" w:w="950"/>
          </w:tcPr>
          <w:p>
            <w:pPr>
              <w:spacing w:after="20"/>
              <w:jc w:val="right"/>
            </w:pPr>
            <w:r>
              <w:rPr>
                <w:color w:val="1C3A36"/>
                <w:sz w:val="15"/>
              </w:rPr>
              <w:t>-2.81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6.03</w:t>
            </w:r>
          </w:p>
        </w:tc>
        <w:tc>
          <w:tcPr>
            <w:tcW w:type="dxa" w:w="950"/>
          </w:tcPr>
          <w:p>
            <w:pPr>
              <w:spacing w:after="20"/>
              <w:jc w:val="right"/>
            </w:pPr>
            <w:r>
              <w:rPr>
                <w:color w:val="1C3A36"/>
                <w:sz w:val="15"/>
              </w:rPr>
              <w:t>-2.05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9.29</w:t>
            </w:r>
          </w:p>
        </w:tc>
        <w:tc>
          <w:tcPr>
            <w:tcW w:type="dxa" w:w="950"/>
          </w:tcPr>
          <w:p>
            <w:pPr>
              <w:spacing w:after="20"/>
              <w:jc w:val="right"/>
            </w:pPr>
            <w:r>
              <w:rPr>
                <w:color w:val="1C3A36"/>
                <w:sz w:val="15"/>
              </w:rPr>
              <w:t>+1.22</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5.07</w:t>
            </w:r>
          </w:p>
        </w:tc>
        <w:tc>
          <w:tcPr>
            <w:tcW w:type="dxa" w:w="950"/>
          </w:tcPr>
          <w:p>
            <w:pPr>
              <w:spacing w:after="20"/>
              <w:jc w:val="right"/>
            </w:pPr>
            <w:r>
              <w:rPr>
                <w:color w:val="1C3A36"/>
                <w:sz w:val="15"/>
              </w:rPr>
              <w:t>-3.00</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8.81</w:t>
            </w:r>
          </w:p>
        </w:tc>
        <w:tc>
          <w:tcPr>
            <w:tcW w:type="dxa" w:w="950"/>
          </w:tcPr>
          <w:p>
            <w:pPr>
              <w:spacing w:after="20"/>
              <w:jc w:val="right"/>
            </w:pPr>
            <w:r>
              <w:rPr>
                <w:color w:val="1C3A36"/>
                <w:sz w:val="15"/>
              </w:rPr>
              <w:t>+0.73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7.08</w:t>
            </w:r>
          </w:p>
        </w:tc>
        <w:tc>
          <w:tcPr>
            <w:tcW w:type="dxa" w:w="950"/>
          </w:tcPr>
          <w:p>
            <w:pPr>
              <w:spacing w:after="20"/>
              <w:jc w:val="right"/>
            </w:pPr>
            <w:r>
              <w:rPr>
                <w:color w:val="1C3A36"/>
                <w:sz w:val="15"/>
              </w:rPr>
              <w:t>-0.99</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5.46</w:t>
            </w:r>
          </w:p>
        </w:tc>
        <w:tc>
          <w:tcPr>
            <w:tcW w:type="dxa" w:w="950"/>
          </w:tcPr>
          <w:p>
            <w:pPr>
              <w:spacing w:after="20"/>
              <w:jc w:val="right"/>
            </w:pPr>
            <w:r>
              <w:rPr>
                <w:color w:val="1C3A36"/>
                <w:sz w:val="15"/>
              </w:rPr>
              <w:t>-2.62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9.01</w:t>
            </w:r>
          </w:p>
        </w:tc>
        <w:tc>
          <w:tcPr>
            <w:tcW w:type="dxa" w:w="950"/>
          </w:tcPr>
          <w:p>
            <w:pPr>
              <w:spacing w:after="20"/>
              <w:jc w:val="right"/>
            </w:pPr>
            <w:r>
              <w:rPr>
                <w:color w:val="1C3A36"/>
                <w:sz w:val="15"/>
              </w:rPr>
              <w:t>+0.93</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7.87</w:t>
            </w:r>
          </w:p>
        </w:tc>
        <w:tc>
          <w:tcPr>
            <w:tcW w:type="dxa" w:w="950"/>
          </w:tcPr>
          <w:p>
            <w:pPr>
              <w:spacing w:after="20"/>
              <w:jc w:val="right"/>
            </w:pPr>
            <w:r>
              <w:rPr>
                <w:color w:val="1C3A36"/>
                <w:sz w:val="15"/>
              </w:rPr>
              <w:t>-0.20</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19.  The two that move the answer most are glide (-4.93) and gas (-3.00);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-0.34</w:t>
            </w:r>
          </w:p>
        </w:tc>
        <w:tc>
          <w:tcPr>
            <w:tcW w:type="dxa" w:w="1483"/>
          </w:tcPr>
          <w:p>
            <w:pPr>
              <w:spacing w:after="20"/>
              <w:jc w:val="right"/>
            </w:pPr>
            <w:r>
              <w:rPr>
                <w:color w:val="1C3A36"/>
                <w:sz w:val="17"/>
              </w:rPr>
              <w:t>2.15</w:t>
            </w:r>
          </w:p>
        </w:tc>
        <w:tc>
          <w:tcPr>
            <w:tcW w:type="dxa" w:w="1483"/>
          </w:tcPr>
          <w:p>
            <w:pPr>
              <w:spacing w:after="20"/>
              <w:jc w:val="right"/>
            </w:pPr>
            <w:r>
              <w:rPr>
                <w:color w:val="1C3A36"/>
                <w:sz w:val="17"/>
              </w:rPr>
              <w:t>4.65</w:t>
            </w:r>
          </w:p>
        </w:tc>
        <w:tc>
          <w:tcPr>
            <w:tcW w:type="dxa" w:w="1483"/>
          </w:tcPr>
          <w:p>
            <w:pPr>
              <w:spacing w:after="20"/>
              <w:jc w:val="right"/>
            </w:pPr>
            <w:r>
              <w:rPr>
                <w:color w:val="1C3A36"/>
                <w:sz w:val="17"/>
              </w:rPr>
              <w:t>7.14</w:t>
            </w:r>
          </w:p>
        </w:tc>
        <w:tc>
          <w:tcPr>
            <w:tcW w:type="dxa" w:w="1483"/>
          </w:tcPr>
          <w:p>
            <w:pPr>
              <w:spacing w:after="20"/>
              <w:jc w:val="right"/>
            </w:pPr>
            <w:r>
              <w:rPr>
                <w:color w:val="1C3A36"/>
                <w:sz w:val="17"/>
              </w:rPr>
              <w:t>9.64</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1.58</w:t>
            </w:r>
          </w:p>
        </w:tc>
        <w:tc>
          <w:tcPr>
            <w:tcW w:type="dxa" w:w="1483"/>
          </w:tcPr>
          <w:p>
            <w:pPr>
              <w:spacing w:after="20"/>
              <w:jc w:val="right"/>
            </w:pPr>
            <w:r>
              <w:rPr>
                <w:color w:val="1C3A36"/>
                <w:sz w:val="17"/>
              </w:rPr>
              <w:t>3.87</w:t>
            </w:r>
          </w:p>
        </w:tc>
        <w:tc>
          <w:tcPr>
            <w:tcW w:type="dxa" w:w="1483"/>
          </w:tcPr>
          <w:p>
            <w:pPr>
              <w:spacing w:after="20"/>
              <w:jc w:val="right"/>
            </w:pPr>
            <w:r>
              <w:rPr>
                <w:color w:val="1C3A36"/>
                <w:sz w:val="17"/>
              </w:rPr>
              <w:t>6.17</w:t>
            </w:r>
          </w:p>
        </w:tc>
        <w:tc>
          <w:tcPr>
            <w:tcW w:type="dxa" w:w="1483"/>
          </w:tcPr>
          <w:p>
            <w:pPr>
              <w:spacing w:after="20"/>
              <w:jc w:val="right"/>
            </w:pPr>
            <w:r>
              <w:rPr>
                <w:color w:val="1C3A36"/>
                <w:sz w:val="17"/>
              </w:rPr>
              <w:t>8.46</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-1.06</w:t>
            </w:r>
          </w:p>
        </w:tc>
        <w:tc>
          <w:tcPr>
            <w:tcW w:type="dxa" w:w="1483"/>
          </w:tcPr>
          <w:p>
            <w:pPr>
              <w:spacing w:after="20"/>
              <w:jc w:val="right"/>
            </w:pPr>
            <w:r>
              <w:rPr>
                <w:color w:val="1C3A36"/>
                <w:sz w:val="17"/>
              </w:rPr>
              <w:t>1.04</w:t>
            </w:r>
          </w:p>
        </w:tc>
        <w:tc>
          <w:tcPr>
            <w:tcW w:type="dxa" w:w="1483"/>
          </w:tcPr>
          <w:p>
            <w:pPr>
              <w:spacing w:after="20"/>
              <w:jc w:val="right"/>
            </w:pPr>
            <w:r>
              <w:rPr>
                <w:color w:val="1C3A36"/>
                <w:sz w:val="17"/>
              </w:rPr>
              <w:t>3.14</w:t>
            </w:r>
          </w:p>
        </w:tc>
        <w:tc>
          <w:tcPr>
            <w:tcW w:type="dxa" w:w="1483"/>
          </w:tcPr>
          <w:p>
            <w:pPr>
              <w:spacing w:after="20"/>
              <w:jc w:val="right"/>
            </w:pPr>
            <w:r>
              <w:rPr>
                <w:color w:val="1C3A36"/>
                <w:sz w:val="17"/>
              </w:rPr>
              <w:t>5.24</w:t>
            </w:r>
          </w:p>
        </w:tc>
        <w:tc>
          <w:tcPr>
            <w:tcW w:type="dxa" w:w="1483"/>
          </w:tcPr>
          <w:p>
            <w:pPr>
              <w:spacing w:after="20"/>
              <w:jc w:val="right"/>
            </w:pPr>
            <w:r>
              <w:rPr>
                <w:color w:val="1C3A36"/>
                <w:sz w:val="17"/>
              </w:rPr>
              <w:t>7.34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-1.28</w:t>
            </w:r>
          </w:p>
        </w:tc>
        <w:tc>
          <w:tcPr>
            <w:tcW w:type="dxa" w:w="1483"/>
          </w:tcPr>
          <w:p>
            <w:pPr>
              <w:spacing w:after="20"/>
              <w:jc w:val="right"/>
            </w:pPr>
            <w:r>
              <w:rPr>
                <w:color w:val="1C3A36"/>
                <w:sz w:val="17"/>
              </w:rPr>
              <w:t>0.69</w:t>
            </w:r>
          </w:p>
        </w:tc>
        <w:tc>
          <w:tcPr>
            <w:tcW w:type="dxa" w:w="1483"/>
          </w:tcPr>
          <w:p>
            <w:pPr>
              <w:spacing w:after="20"/>
              <w:jc w:val="right"/>
            </w:pPr>
            <w:r>
              <w:rPr>
                <w:color w:val="1C3A36"/>
                <w:sz w:val="17"/>
              </w:rPr>
              <w:t>2.67</w:t>
            </w:r>
          </w:p>
        </w:tc>
        <w:tc>
          <w:tcPr>
            <w:tcW w:type="dxa" w:w="1483"/>
          </w:tcPr>
          <w:p>
            <w:pPr>
              <w:spacing w:after="20"/>
              <w:jc w:val="right"/>
            </w:pPr>
            <w:r>
              <w:rPr>
                <w:color w:val="1C3A36"/>
                <w:sz w:val="17"/>
              </w:rPr>
              <w:t>4.64</w:t>
            </w:r>
          </w:p>
        </w:tc>
        <w:tc>
          <w:tcPr>
            <w:tcW w:type="dxa" w:w="1483"/>
          </w:tcPr>
          <w:p>
            <w:pPr>
              <w:spacing w:after="20"/>
              <w:jc w:val="right"/>
            </w:pPr>
            <w:r>
              <w:rPr>
                <w:color w:val="1C3A36"/>
                <w:sz w:val="17"/>
              </w:rPr>
              <w:t>6.62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-1.50</w:t>
            </w:r>
          </w:p>
        </w:tc>
        <w:tc>
          <w:tcPr>
            <w:tcW w:type="dxa" w:w="1483"/>
          </w:tcPr>
          <w:p>
            <w:pPr>
              <w:spacing w:after="20"/>
              <w:jc w:val="right"/>
            </w:pPr>
            <w:r>
              <w:rPr>
                <w:color w:val="1C3A36"/>
                <w:sz w:val="17"/>
              </w:rPr>
              <w:t>0.35</w:t>
            </w:r>
          </w:p>
        </w:tc>
        <w:tc>
          <w:tcPr>
            <w:tcW w:type="dxa" w:w="1483"/>
          </w:tcPr>
          <w:p>
            <w:pPr>
              <w:spacing w:after="20"/>
              <w:jc w:val="right"/>
            </w:pPr>
            <w:r>
              <w:rPr>
                <w:color w:val="1C3A36"/>
                <w:sz w:val="17"/>
              </w:rPr>
              <w:t>2.20</w:t>
            </w:r>
          </w:p>
        </w:tc>
        <w:tc>
          <w:tcPr>
            <w:tcW w:type="dxa" w:w="1483"/>
          </w:tcPr>
          <w:p>
            <w:pPr>
              <w:spacing w:after="20"/>
              <w:jc w:val="right"/>
            </w:pPr>
            <w:r>
              <w:rPr>
                <w:color w:val="1C3A36"/>
                <w:sz w:val="17"/>
              </w:rPr>
              <w:t>4.06</w:t>
            </w:r>
          </w:p>
        </w:tc>
        <w:tc>
          <w:tcPr>
            <w:tcW w:type="dxa" w:w="1483"/>
          </w:tcPr>
          <w:p>
            <w:pPr>
              <w:spacing w:after="20"/>
              <w:jc w:val="right"/>
            </w:pPr>
            <w:r>
              <w:rPr>
                <w:color w:val="1C3A36"/>
                <w:sz w:val="17"/>
              </w:rPr>
              <w:t>5.91</w:t>
            </w:r>
          </w:p>
        </w:tc>
      </w:tr>
    </w:tbl>
    <w:p>
      <w:pPr>
        <w:spacing w:after="40"/>
      </w:pPr>
    </w:p>
    <w:p>
      <w:pPr>
        <w:spacing w:after="200" w:before="0"/>
      </w:pPr>
      <w:r>
        <w:rPr>
          <w:b w:val="0"/>
          <w:i/>
          <w:color w:val="6E7B77"/>
          <w:sz w:val="17"/>
        </w:rPr>
        <w:t>Table 20.  The highest cell in the grid is EGP 9.64,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-1.06 to 7.34</w:t>
            </w:r>
          </w:p>
        </w:tc>
        <w:tc>
          <w:tcPr>
            <w:tcW w:type="dxa" w:w="1152"/>
            <w:shd w:val="clear" w:color="auto" w:fill="F6F1E6"/>
          </w:tcPr>
          <w:p>
            <w:pPr>
              <w:spacing w:after="20"/>
              <w:jc w:val="right"/>
            </w:pPr>
            <w:r>
              <w:rPr>
                <w:b/>
                <w:color w:val="1C3A36"/>
                <w:sz w:val="16"/>
              </w:rPr>
              <w:t>8.40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8.07 to 11.61</w:t>
            </w:r>
          </w:p>
        </w:tc>
        <w:tc>
          <w:tcPr>
            <w:tcW w:type="dxa" w:w="1152"/>
          </w:tcPr>
          <w:p>
            <w:pPr>
              <w:spacing w:after="20"/>
              <w:jc w:val="right"/>
            </w:pPr>
            <w:r>
              <w:rPr>
                <w:color w:val="1C3A36"/>
                <w:sz w:val="16"/>
              </w:rPr>
              <w:t>3.53</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5.07 to 8.07</w:t>
            </w:r>
          </w:p>
        </w:tc>
        <w:tc>
          <w:tcPr>
            <w:tcW w:type="dxa" w:w="1152"/>
          </w:tcPr>
          <w:p>
            <w:pPr>
              <w:spacing w:after="20"/>
              <w:jc w:val="right"/>
            </w:pPr>
            <w:r>
              <w:rPr>
                <w:color w:val="1C3A36"/>
                <w:sz w:val="16"/>
              </w:rPr>
              <w:t>3.00</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5.26 to 8.07</w:t>
            </w:r>
          </w:p>
        </w:tc>
        <w:tc>
          <w:tcPr>
            <w:tcW w:type="dxa" w:w="1152"/>
          </w:tcPr>
          <w:p>
            <w:pPr>
              <w:spacing w:after="20"/>
              <w:jc w:val="right"/>
            </w:pPr>
            <w:r>
              <w:rPr>
                <w:color w:val="1C3A36"/>
                <w:sz w:val="16"/>
              </w:rPr>
              <w:t>2.81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5.41 to 8.07</w:t>
            </w:r>
          </w:p>
        </w:tc>
        <w:tc>
          <w:tcPr>
            <w:tcW w:type="dxa" w:w="1152"/>
          </w:tcPr>
          <w:p>
            <w:pPr>
              <w:spacing w:after="20"/>
              <w:jc w:val="right"/>
            </w:pPr>
            <w:r>
              <w:rPr>
                <w:color w:val="1C3A36"/>
                <w:sz w:val="16"/>
              </w:rPr>
              <w:t>2.67</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2.20 to 4.65</w:t>
            </w:r>
          </w:p>
        </w:tc>
        <w:tc>
          <w:tcPr>
            <w:tcW w:type="dxa" w:w="1152"/>
          </w:tcPr>
          <w:p>
            <w:pPr>
              <w:spacing w:after="20"/>
              <w:jc w:val="right"/>
            </w:pPr>
            <w:r>
              <w:rPr>
                <w:color w:val="1C3A36"/>
                <w:sz w:val="16"/>
              </w:rPr>
              <w:t>2.45</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6.03 to 8.07</w:t>
            </w:r>
          </w:p>
        </w:tc>
        <w:tc>
          <w:tcPr>
            <w:tcW w:type="dxa" w:w="1152"/>
          </w:tcPr>
          <w:p>
            <w:pPr>
              <w:spacing w:after="20"/>
              <w:jc w:val="right"/>
            </w:pPr>
            <w:r>
              <w:rPr>
                <w:color w:val="1C3A36"/>
                <w:sz w:val="16"/>
              </w:rPr>
              <w:t>2.05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1.020 against the lower bound of its own ninety-per-cent interval, 0.717</w:t>
            </w:r>
          </w:p>
        </w:tc>
        <w:tc>
          <w:tcPr>
            <w:tcW w:type="dxa" w:w="2160"/>
          </w:tcPr>
          <w:p>
            <w:pPr>
              <w:spacing w:after="20"/>
              <w:jc w:val="right"/>
            </w:pPr>
            <w:r>
              <w:rPr>
                <w:color w:val="1C3A36"/>
                <w:sz w:val="16"/>
              </w:rPr>
              <w:t>8.07 to 9.29</w:t>
            </w:r>
          </w:p>
        </w:tc>
        <w:tc>
          <w:tcPr>
            <w:tcW w:type="dxa" w:w="1152"/>
          </w:tcPr>
          <w:p>
            <w:pPr>
              <w:spacing w:after="20"/>
              <w:jc w:val="right"/>
            </w:pPr>
            <w:r>
              <w:rPr>
                <w:color w:val="1C3A36"/>
                <w:sz w:val="16"/>
              </w:rPr>
              <w:t>1.22</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7.08 to 8.07</w:t>
            </w:r>
          </w:p>
        </w:tc>
        <w:tc>
          <w:tcPr>
            <w:tcW w:type="dxa" w:w="1152"/>
          </w:tcPr>
          <w:p>
            <w:pPr>
              <w:spacing w:after="20"/>
              <w:jc w:val="right"/>
            </w:pPr>
            <w:r>
              <w:rPr>
                <w:color w:val="1C3A36"/>
                <w:sz w:val="16"/>
              </w:rPr>
              <w:t>0.99</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8.07 to 8.81</w:t>
            </w:r>
          </w:p>
        </w:tc>
        <w:tc>
          <w:tcPr>
            <w:tcW w:type="dxa" w:w="1152"/>
          </w:tcPr>
          <w:p>
            <w:pPr>
              <w:spacing w:after="20"/>
              <w:jc w:val="right"/>
            </w:pPr>
            <w:r>
              <w:rPr>
                <w:color w:val="1C3A36"/>
                <w:sz w:val="16"/>
              </w:rPr>
              <w:t>0.73</w:t>
            </w:r>
          </w:p>
        </w:tc>
      </w:tr>
    </w:tbl>
    <w:p>
      <w:pPr>
        <w:spacing w:after="40"/>
      </w:pPr>
    </w:p>
    <w:p>
      <w:pPr>
        <w:spacing w:after="200" w:before="0"/>
      </w:pPr>
      <w:r>
        <w:rPr>
          <w:b w:val="0"/>
          <w:i/>
          <w:color w:val="6E7B77"/>
          <w:sz w:val="17"/>
        </w:rPr>
        <w:t>Table 21.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1.020, from 256 weekly observations over 4.9 years of the share against the published EGX30 index — the index of the exchange the share is listed on, as of 2026-09-08 — on the exchange's own Sunday-to-Thursday week. The regression explains 24.8% of the variation with a standard error of 0.191, so all three conditions of the usability test are met and the estimate is adopted rather than defaulted; the Blume-adjusted cross-check is 1.013. The interval is wide, 0.71 to 1.33 at ninety per cent, because the share is thinly traded, and the lower bound is priced with the other contested constructions in section 1.8 rather than argued away: at 0.72 the answer is EGP 9.29 instead of EGP 8.07.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22.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23.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24.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8.07</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11.61</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3.53</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29.08%)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19.93</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7.37</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25.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19.93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15.0%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26.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29.1%,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27.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3.00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0.37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2.62 a share — the sixth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77.8% of enterprise value on the carried-through case and 58.5% on the stopped case. The explicit years are a construction window: free cash flow to the firm is positive in 5 of the five years and negative in the other 0, and their present value is EGP 4,971 million against a terminal block of EGP 17,439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12,643</w:t>
            </w:r>
          </w:p>
        </w:tc>
        <w:tc>
          <w:tcPr>
            <w:tcW w:type="dxa" w:w="893"/>
          </w:tcPr>
          <w:p>
            <w:pPr>
              <w:spacing w:after="20"/>
              <w:jc w:val="right"/>
            </w:pPr>
            <w:r>
              <w:rPr>
                <w:color w:val="1C3A36"/>
                <w:sz w:val="14"/>
              </w:rPr>
              <w:t>13,736</w:t>
            </w:r>
          </w:p>
        </w:tc>
        <w:tc>
          <w:tcPr>
            <w:tcW w:type="dxa" w:w="893"/>
          </w:tcPr>
          <w:p>
            <w:pPr>
              <w:spacing w:after="20"/>
              <w:jc w:val="right"/>
            </w:pPr>
            <w:r>
              <w:rPr>
                <w:color w:val="1C3A36"/>
                <w:sz w:val="14"/>
              </w:rPr>
              <w:t>14,611</w:t>
            </w:r>
          </w:p>
        </w:tc>
        <w:tc>
          <w:tcPr>
            <w:tcW w:type="dxa" w:w="893"/>
          </w:tcPr>
          <w:p>
            <w:pPr>
              <w:spacing w:after="20"/>
              <w:jc w:val="right"/>
            </w:pPr>
            <w:r>
              <w:rPr>
                <w:color w:val="1C3A36"/>
                <w:sz w:val="14"/>
              </w:rPr>
              <w:t>15,424</w:t>
            </w:r>
          </w:p>
        </w:tc>
        <w:tc>
          <w:tcPr>
            <w:tcW w:type="dxa" w:w="893"/>
          </w:tcPr>
          <w:p>
            <w:pPr>
              <w:spacing w:after="20"/>
              <w:jc w:val="right"/>
            </w:pPr>
            <w:r>
              <w:rPr>
                <w:color w:val="1C3A36"/>
                <w:sz w:val="14"/>
              </w:rPr>
              <w:t>16,239</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6,306</w:t>
            </w:r>
          </w:p>
        </w:tc>
        <w:tc>
          <w:tcPr>
            <w:tcW w:type="dxa" w:w="893"/>
            <w:shd w:val="clear" w:color="auto" w:fill="F6F1E6"/>
          </w:tcPr>
          <w:p>
            <w:pPr>
              <w:spacing w:after="20"/>
              <w:jc w:val="right"/>
            </w:pPr>
            <w:r>
              <w:rPr>
                <w:b/>
                <w:color w:val="1C3A36"/>
                <w:sz w:val="14"/>
              </w:rPr>
              <w:t>6,754</w:t>
            </w:r>
          </w:p>
        </w:tc>
        <w:tc>
          <w:tcPr>
            <w:tcW w:type="dxa" w:w="893"/>
            <w:shd w:val="clear" w:color="auto" w:fill="F6F1E6"/>
          </w:tcPr>
          <w:p>
            <w:pPr>
              <w:spacing w:after="20"/>
              <w:jc w:val="right"/>
            </w:pPr>
            <w:r>
              <w:rPr>
                <w:b/>
                <w:color w:val="1C3A36"/>
                <w:sz w:val="14"/>
              </w:rPr>
              <w:t>7,053</w:t>
            </w:r>
          </w:p>
        </w:tc>
        <w:tc>
          <w:tcPr>
            <w:tcW w:type="dxa" w:w="893"/>
            <w:shd w:val="clear" w:color="auto" w:fill="F6F1E6"/>
          </w:tcPr>
          <w:p>
            <w:pPr>
              <w:spacing w:after="20"/>
              <w:jc w:val="right"/>
            </w:pPr>
            <w:r>
              <w:rPr>
                <w:b/>
                <w:color w:val="1C3A36"/>
                <w:sz w:val="14"/>
              </w:rPr>
              <w:t>7,307</w:t>
            </w:r>
          </w:p>
        </w:tc>
        <w:tc>
          <w:tcPr>
            <w:tcW w:type="dxa" w:w="893"/>
            <w:shd w:val="clear" w:color="auto" w:fill="F6F1E6"/>
          </w:tcPr>
          <w:p>
            <w:pPr>
              <w:spacing w:after="20"/>
              <w:jc w:val="right"/>
            </w:pPr>
            <w:r>
              <w:rPr>
                <w:b/>
                <w:color w:val="1C3A36"/>
                <w:sz w:val="14"/>
              </w:rPr>
              <w:t>7,556</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4,890</w:t>
            </w:r>
          </w:p>
        </w:tc>
        <w:tc>
          <w:tcPr>
            <w:tcW w:type="dxa" w:w="893"/>
            <w:shd w:val="clear" w:color="auto" w:fill="F6F1E6"/>
          </w:tcPr>
          <w:p>
            <w:pPr>
              <w:spacing w:after="20"/>
              <w:jc w:val="right"/>
            </w:pPr>
            <w:r>
              <w:rPr>
                <w:b/>
                <w:color w:val="1C3A36"/>
                <w:sz w:val="14"/>
              </w:rPr>
              <w:t>5,237</w:t>
            </w:r>
          </w:p>
        </w:tc>
        <w:tc>
          <w:tcPr>
            <w:tcW w:type="dxa" w:w="893"/>
            <w:shd w:val="clear" w:color="auto" w:fill="F6F1E6"/>
          </w:tcPr>
          <w:p>
            <w:pPr>
              <w:spacing w:after="20"/>
              <w:jc w:val="right"/>
            </w:pPr>
            <w:r>
              <w:rPr>
                <w:b/>
                <w:color w:val="1C3A36"/>
                <w:sz w:val="14"/>
              </w:rPr>
              <w:t>5,444</w:t>
            </w:r>
          </w:p>
        </w:tc>
        <w:tc>
          <w:tcPr>
            <w:tcW w:type="dxa" w:w="893"/>
            <w:shd w:val="clear" w:color="auto" w:fill="F6F1E6"/>
          </w:tcPr>
          <w:p>
            <w:pPr>
              <w:spacing w:after="20"/>
              <w:jc w:val="right"/>
            </w:pPr>
            <w:r>
              <w:rPr>
                <w:b/>
                <w:color w:val="1C3A36"/>
                <w:sz w:val="14"/>
              </w:rPr>
              <w:t>5,600</w:t>
            </w:r>
          </w:p>
        </w:tc>
        <w:tc>
          <w:tcPr>
            <w:tcW w:type="dxa" w:w="893"/>
            <w:shd w:val="clear" w:color="auto" w:fill="F6F1E6"/>
          </w:tcPr>
          <w:p>
            <w:pPr>
              <w:spacing w:after="20"/>
              <w:jc w:val="right"/>
            </w:pPr>
            <w:r>
              <w:rPr>
                <w:b/>
                <w:color w:val="1C3A36"/>
                <w:sz w:val="14"/>
              </w:rPr>
              <w:t>5,749</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5,781</w:t>
            </w:r>
          </w:p>
        </w:tc>
        <w:tc>
          <w:tcPr>
            <w:tcW w:type="dxa" w:w="893"/>
            <w:shd w:val="clear" w:color="auto" w:fill="F6F1E6"/>
          </w:tcPr>
          <w:p>
            <w:pPr>
              <w:spacing w:after="20"/>
              <w:jc w:val="right"/>
            </w:pPr>
            <w:r>
              <w:rPr>
                <w:b/>
                <w:color w:val="1C3A36"/>
                <w:sz w:val="14"/>
              </w:rPr>
              <w:t>6,246</w:t>
            </w:r>
          </w:p>
        </w:tc>
        <w:tc>
          <w:tcPr>
            <w:tcW w:type="dxa" w:w="893"/>
            <w:shd w:val="clear" w:color="auto" w:fill="F6F1E6"/>
          </w:tcPr>
          <w:p>
            <w:pPr>
              <w:spacing w:after="20"/>
              <w:jc w:val="right"/>
            </w:pPr>
            <w:r>
              <w:rPr>
                <w:b/>
                <w:color w:val="1C3A36"/>
                <w:sz w:val="14"/>
              </w:rPr>
              <w:t>6,590</w:t>
            </w:r>
          </w:p>
        </w:tc>
        <w:tc>
          <w:tcPr>
            <w:tcW w:type="dxa" w:w="893"/>
            <w:shd w:val="clear" w:color="auto" w:fill="F6F1E6"/>
          </w:tcPr>
          <w:p>
            <w:pPr>
              <w:spacing w:after="20"/>
              <w:jc w:val="right"/>
            </w:pPr>
            <w:r>
              <w:rPr>
                <w:b/>
                <w:color w:val="1C3A36"/>
                <w:sz w:val="14"/>
              </w:rPr>
              <w:t>6,893</w:t>
            </w:r>
          </w:p>
        </w:tc>
        <w:tc>
          <w:tcPr>
            <w:tcW w:type="dxa" w:w="893"/>
            <w:shd w:val="clear" w:color="auto" w:fill="F6F1E6"/>
          </w:tcPr>
          <w:p>
            <w:pPr>
              <w:spacing w:after="20"/>
              <w:jc w:val="right"/>
            </w:pPr>
            <w:r>
              <w:rPr>
                <w:b/>
                <w:color w:val="1C3A36"/>
                <w:sz w:val="14"/>
              </w:rPr>
              <w:t>7,183</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49.9%</w:t>
            </w:r>
          </w:p>
        </w:tc>
        <w:tc>
          <w:tcPr>
            <w:tcW w:type="dxa" w:w="893"/>
          </w:tcPr>
          <w:p>
            <w:pPr>
              <w:spacing w:after="20"/>
              <w:jc w:val="right"/>
            </w:pPr>
            <w:r>
              <w:rPr>
                <w:color w:val="1C3A36"/>
                <w:sz w:val="14"/>
              </w:rPr>
              <w:t>49.2%</w:t>
            </w:r>
          </w:p>
        </w:tc>
        <w:tc>
          <w:tcPr>
            <w:tcW w:type="dxa" w:w="893"/>
          </w:tcPr>
          <w:p>
            <w:pPr>
              <w:spacing w:after="20"/>
              <w:jc w:val="right"/>
            </w:pPr>
            <w:r>
              <w:rPr>
                <w:color w:val="1C3A36"/>
                <w:sz w:val="14"/>
              </w:rPr>
              <w:t>48.3%</w:t>
            </w:r>
          </w:p>
        </w:tc>
        <w:tc>
          <w:tcPr>
            <w:tcW w:type="dxa" w:w="893"/>
          </w:tcPr>
          <w:p>
            <w:pPr>
              <w:spacing w:after="20"/>
              <w:jc w:val="right"/>
            </w:pPr>
            <w:r>
              <w:rPr>
                <w:color w:val="1C3A36"/>
                <w:sz w:val="14"/>
              </w:rPr>
              <w:t>47.4%</w:t>
            </w:r>
          </w:p>
        </w:tc>
        <w:tc>
          <w:tcPr>
            <w:tcW w:type="dxa" w:w="893"/>
          </w:tcPr>
          <w:p>
            <w:pPr>
              <w:spacing w:after="20"/>
              <w:jc w:val="right"/>
            </w:pPr>
            <w:r>
              <w:rPr>
                <w:color w:val="1C3A36"/>
                <w:sz w:val="14"/>
              </w:rPr>
              <w:t>46.5%</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45.5%</w:t>
            </w:r>
          </w:p>
        </w:tc>
        <w:tc>
          <w:tcPr>
            <w:tcW w:type="dxa" w:w="893"/>
          </w:tcPr>
          <w:p>
            <w:pPr>
              <w:spacing w:after="20"/>
              <w:jc w:val="right"/>
            </w:pPr>
            <w:r>
              <w:rPr>
                <w:color w:val="1C3A36"/>
                <w:sz w:val="14"/>
              </w:rPr>
              <w:t>45.1%</w:t>
            </w:r>
          </w:p>
        </w:tc>
        <w:tc>
          <w:tcPr>
            <w:tcW w:type="dxa" w:w="893"/>
          </w:tcPr>
          <w:p>
            <w:pPr>
              <w:spacing w:after="20"/>
              <w:jc w:val="right"/>
            </w:pPr>
            <w:r>
              <w:rPr>
                <w:color w:val="1C3A36"/>
                <w:sz w:val="14"/>
              </w:rPr>
              <w:t>44.7%</w:t>
            </w:r>
          </w:p>
        </w:tc>
        <w:tc>
          <w:tcPr>
            <w:tcW w:type="dxa" w:w="893"/>
          </w:tcPr>
          <w:p>
            <w:pPr>
              <w:spacing w:after="20"/>
              <w:jc w:val="right"/>
            </w:pPr>
            <w:r>
              <w:rPr>
                <w:color w:val="1C3A36"/>
                <w:sz w:val="14"/>
              </w:rPr>
              <w:t>44.2%</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28.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2,740</w:t>
            </w:r>
          </w:p>
        </w:tc>
        <w:tc>
          <w:tcPr>
            <w:tcW w:type="dxa" w:w="1426"/>
          </w:tcPr>
          <w:p>
            <w:pPr>
              <w:spacing w:after="20"/>
              <w:jc w:val="right"/>
            </w:pPr>
            <w:r>
              <w:rPr>
                <w:color w:val="1C3A36"/>
                <w:sz w:val="16"/>
              </w:rPr>
              <w:t>3,253</w:t>
            </w:r>
          </w:p>
        </w:tc>
        <w:tc>
          <w:tcPr>
            <w:tcW w:type="dxa" w:w="1426"/>
          </w:tcPr>
          <w:p>
            <w:pPr>
              <w:spacing w:after="20"/>
              <w:jc w:val="right"/>
            </w:pPr>
            <w:r>
              <w:rPr>
                <w:color w:val="1C3A36"/>
                <w:sz w:val="16"/>
              </w:rPr>
              <w:t>3,463</w:t>
            </w:r>
          </w:p>
        </w:tc>
        <w:tc>
          <w:tcPr>
            <w:tcW w:type="dxa" w:w="1426"/>
          </w:tcPr>
          <w:p>
            <w:pPr>
              <w:spacing w:after="20"/>
              <w:jc w:val="right"/>
            </w:pPr>
            <w:r>
              <w:rPr>
                <w:color w:val="1C3A36"/>
                <w:sz w:val="16"/>
              </w:rPr>
              <w:t>3,372</w:t>
            </w:r>
          </w:p>
        </w:tc>
        <w:tc>
          <w:tcPr>
            <w:tcW w:type="dxa" w:w="1426"/>
          </w:tcPr>
          <w:p>
            <w:pPr>
              <w:spacing w:after="20"/>
              <w:jc w:val="right"/>
            </w:pPr>
            <w:r>
              <w:rPr>
                <w:color w:val="1C3A36"/>
                <w:sz w:val="16"/>
              </w:rPr>
              <w:t>2,670</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927</w:t>
            </w:r>
          </w:p>
        </w:tc>
        <w:tc>
          <w:tcPr>
            <w:tcW w:type="dxa" w:w="1426"/>
          </w:tcPr>
          <w:p>
            <w:pPr>
              <w:spacing w:after="20"/>
              <w:jc w:val="right"/>
            </w:pPr>
            <w:r>
              <w:rPr>
                <w:color w:val="1C3A36"/>
                <w:sz w:val="16"/>
              </w:rPr>
              <w:t>1,008</w:t>
            </w:r>
          </w:p>
        </w:tc>
        <w:tc>
          <w:tcPr>
            <w:tcW w:type="dxa" w:w="1426"/>
          </w:tcPr>
          <w:p>
            <w:pPr>
              <w:spacing w:after="20"/>
              <w:jc w:val="right"/>
            </w:pPr>
            <w:r>
              <w:rPr>
                <w:color w:val="1C3A36"/>
                <w:sz w:val="16"/>
              </w:rPr>
              <w:t>1,072</w:t>
            </w:r>
          </w:p>
        </w:tc>
        <w:tc>
          <w:tcPr>
            <w:tcW w:type="dxa" w:w="1426"/>
          </w:tcPr>
          <w:p>
            <w:pPr>
              <w:spacing w:after="20"/>
              <w:jc w:val="right"/>
            </w:pPr>
            <w:r>
              <w:rPr>
                <w:color w:val="1C3A36"/>
                <w:sz w:val="16"/>
              </w:rPr>
              <w:t>1,131</w:t>
            </w:r>
          </w:p>
        </w:tc>
        <w:tc>
          <w:tcPr>
            <w:tcW w:type="dxa" w:w="1426"/>
          </w:tcPr>
          <w:p>
            <w:pPr>
              <w:spacing w:after="20"/>
              <w:jc w:val="right"/>
            </w:pPr>
            <w:r>
              <w:rPr>
                <w:color w:val="1C3A36"/>
                <w:sz w:val="16"/>
              </w:rPr>
              <w:t>1,191</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2,352</w:t>
            </w:r>
          </w:p>
        </w:tc>
        <w:tc>
          <w:tcPr>
            <w:tcW w:type="dxa" w:w="1426"/>
          </w:tcPr>
          <w:p>
            <w:pPr>
              <w:spacing w:after="20"/>
              <w:jc w:val="right"/>
            </w:pPr>
            <w:r>
              <w:rPr>
                <w:color w:val="1C3A36"/>
                <w:sz w:val="16"/>
              </w:rPr>
              <w:t>2,578</w:t>
            </w:r>
          </w:p>
        </w:tc>
        <w:tc>
          <w:tcPr>
            <w:tcW w:type="dxa" w:w="1426"/>
          </w:tcPr>
          <w:p>
            <w:pPr>
              <w:spacing w:after="20"/>
              <w:jc w:val="right"/>
            </w:pPr>
            <w:r>
              <w:rPr>
                <w:color w:val="1C3A36"/>
                <w:sz w:val="16"/>
              </w:rPr>
              <w:t>2,771</w:t>
            </w:r>
          </w:p>
        </w:tc>
        <w:tc>
          <w:tcPr>
            <w:tcW w:type="dxa" w:w="1426"/>
          </w:tcPr>
          <w:p>
            <w:pPr>
              <w:spacing w:after="20"/>
              <w:jc w:val="right"/>
            </w:pPr>
            <w:r>
              <w:rPr>
                <w:color w:val="1C3A36"/>
                <w:sz w:val="16"/>
              </w:rPr>
              <w:t>2,957</w:t>
            </w:r>
          </w:p>
        </w:tc>
        <w:tc>
          <w:tcPr>
            <w:tcW w:type="dxa" w:w="1426"/>
          </w:tcPr>
          <w:p>
            <w:pPr>
              <w:spacing w:after="20"/>
              <w:jc w:val="right"/>
            </w:pPr>
            <w:r>
              <w:rPr>
                <w:color w:val="1C3A36"/>
                <w:sz w:val="16"/>
              </w:rPr>
              <w:t>3,144</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690</w:t>
            </w:r>
          </w:p>
        </w:tc>
        <w:tc>
          <w:tcPr>
            <w:tcW w:type="dxa" w:w="1426"/>
          </w:tcPr>
          <w:p>
            <w:pPr>
              <w:spacing w:after="20"/>
              <w:jc w:val="right"/>
            </w:pPr>
            <w:r>
              <w:rPr>
                <w:color w:val="1C3A36"/>
                <w:sz w:val="16"/>
              </w:rPr>
              <w:t>225</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186</w:t>
            </w:r>
          </w:p>
        </w:tc>
        <w:tc>
          <w:tcPr>
            <w:tcW w:type="dxa" w:w="1426"/>
          </w:tcPr>
          <w:p>
            <w:pPr>
              <w:spacing w:after="20"/>
              <w:jc w:val="right"/>
            </w:pPr>
            <w:r>
              <w:rPr>
                <w:color w:val="1C3A36"/>
                <w:sz w:val="16"/>
              </w:rPr>
              <w:t>187</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1,251</w:t>
            </w:r>
          </w:p>
        </w:tc>
        <w:tc>
          <w:tcPr>
            <w:tcW w:type="dxa" w:w="1426"/>
            <w:shd w:val="clear" w:color="auto" w:fill="F6F1E6"/>
          </w:tcPr>
          <w:p>
            <w:pPr>
              <w:spacing w:after="20"/>
              <w:jc w:val="right"/>
            </w:pPr>
            <w:r>
              <w:rPr>
                <w:b/>
                <w:color w:val="1C3A36"/>
                <w:sz w:val="16"/>
              </w:rPr>
              <w:t>1,589</w:t>
            </w:r>
          </w:p>
        </w:tc>
        <w:tc>
          <w:tcPr>
            <w:tcW w:type="dxa" w:w="1426"/>
            <w:shd w:val="clear" w:color="auto" w:fill="F6F1E6"/>
          </w:tcPr>
          <w:p>
            <w:pPr>
              <w:spacing w:after="20"/>
              <w:jc w:val="right"/>
            </w:pPr>
            <w:r>
              <w:rPr>
                <w:b/>
                <w:color w:val="1C3A36"/>
                <w:sz w:val="16"/>
              </w:rPr>
              <w:t>1,709</w:t>
            </w:r>
          </w:p>
        </w:tc>
        <w:tc>
          <w:tcPr>
            <w:tcW w:type="dxa" w:w="1426"/>
            <w:shd w:val="clear" w:color="auto" w:fill="F6F1E6"/>
          </w:tcPr>
          <w:p>
            <w:pPr>
              <w:spacing w:after="20"/>
              <w:jc w:val="right"/>
            </w:pPr>
            <w:r>
              <w:rPr>
                <w:b/>
                <w:color w:val="1C3A36"/>
                <w:sz w:val="16"/>
              </w:rPr>
              <w:t>2,075</w:t>
            </w:r>
          </w:p>
        </w:tc>
        <w:tc>
          <w:tcPr>
            <w:tcW w:type="dxa" w:w="1426"/>
            <w:shd w:val="clear" w:color="auto" w:fill="F6F1E6"/>
          </w:tcPr>
          <w:p>
            <w:pPr>
              <w:spacing w:after="20"/>
              <w:jc w:val="right"/>
            </w:pPr>
            <w:r>
              <w:rPr>
                <w:b/>
                <w:color w:val="1C3A36"/>
                <w:sz w:val="16"/>
              </w:rPr>
              <w:t>3,032</w:t>
            </w:r>
          </w:p>
        </w:tc>
      </w:tr>
    </w:tbl>
    <w:p>
      <w:pPr>
        <w:spacing w:after="40"/>
      </w:pPr>
    </w:p>
    <w:p>
      <w:pPr>
        <w:spacing w:after="200" w:before="0"/>
      </w:pPr>
      <w:r>
        <w:rPr>
          <w:b w:val="0"/>
          <w:i/>
          <w:color w:val="6E7B77"/>
          <w:sz w:val="17"/>
        </w:rPr>
        <w:t>Table 29.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14,611</w:t>
            </w:r>
          </w:p>
        </w:tc>
        <w:tc>
          <w:tcPr>
            <w:tcW w:type="dxa" w:w="2016"/>
          </w:tcPr>
          <w:p>
            <w:pPr>
              <w:spacing w:after="20"/>
              <w:jc w:val="right"/>
            </w:pPr>
            <w:r>
              <w:rPr>
                <w:color w:val="1C3A36"/>
                <w:sz w:val="16"/>
              </w:rPr>
              <w:t>15,424</w:t>
            </w:r>
          </w:p>
        </w:tc>
        <w:tc>
          <w:tcPr>
            <w:tcW w:type="dxa" w:w="2016"/>
          </w:tcPr>
          <w:p>
            <w:pPr>
              <w:spacing w:after="20"/>
              <w:jc w:val="right"/>
            </w:pPr>
            <w:r>
              <w:rPr>
                <w:color w:val="1C3A36"/>
                <w:sz w:val="16"/>
              </w:rPr>
              <w:t>16,239</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7,053</w:t>
            </w:r>
          </w:p>
        </w:tc>
        <w:tc>
          <w:tcPr>
            <w:tcW w:type="dxa" w:w="2016"/>
          </w:tcPr>
          <w:p>
            <w:pPr>
              <w:spacing w:after="20"/>
              <w:jc w:val="right"/>
            </w:pPr>
            <w:r>
              <w:rPr>
                <w:color w:val="1C3A36"/>
                <w:sz w:val="16"/>
              </w:rPr>
              <w:t>7,307</w:t>
            </w:r>
          </w:p>
        </w:tc>
        <w:tc>
          <w:tcPr>
            <w:tcW w:type="dxa" w:w="2016"/>
          </w:tcPr>
          <w:p>
            <w:pPr>
              <w:spacing w:after="20"/>
              <w:jc w:val="right"/>
            </w:pPr>
            <w:r>
              <w:rPr>
                <w:color w:val="1C3A36"/>
                <w:sz w:val="16"/>
              </w:rPr>
              <w:t>7,556</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6,590</w:t>
            </w:r>
          </w:p>
        </w:tc>
        <w:tc>
          <w:tcPr>
            <w:tcW w:type="dxa" w:w="2016"/>
            <w:shd w:val="clear" w:color="auto" w:fill="F6F1E6"/>
          </w:tcPr>
          <w:p>
            <w:pPr>
              <w:spacing w:after="20"/>
              <w:jc w:val="right"/>
            </w:pPr>
            <w:r>
              <w:rPr>
                <w:b/>
                <w:color w:val="1C3A36"/>
                <w:sz w:val="16"/>
              </w:rPr>
              <w:t>6,893</w:t>
            </w:r>
          </w:p>
        </w:tc>
        <w:tc>
          <w:tcPr>
            <w:tcW w:type="dxa" w:w="2016"/>
            <w:shd w:val="clear" w:color="auto" w:fill="F6F1E6"/>
          </w:tcPr>
          <w:p>
            <w:pPr>
              <w:spacing w:after="20"/>
              <w:jc w:val="right"/>
            </w:pPr>
            <w:r>
              <w:rPr>
                <w:b/>
                <w:color w:val="1C3A36"/>
                <w:sz w:val="16"/>
              </w:rPr>
              <w:t>7,183</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1,563</w:t>
            </w:r>
          </w:p>
        </w:tc>
        <w:tc>
          <w:tcPr>
            <w:tcW w:type="dxa" w:w="2016"/>
          </w:tcPr>
          <w:p>
            <w:pPr>
              <w:spacing w:after="20"/>
              <w:jc w:val="right"/>
            </w:pPr>
            <w:r>
              <w:rPr>
                <w:color w:val="1C3A36"/>
                <w:sz w:val="16"/>
              </w:rPr>
              <w:t>548</w:t>
            </w:r>
          </w:p>
        </w:tc>
        <w:tc>
          <w:tcPr>
            <w:tcW w:type="dxa" w:w="2016"/>
          </w:tcPr>
          <w:p>
            <w:pPr>
              <w:spacing w:after="20"/>
              <w:jc w:val="right"/>
            </w:pPr>
            <w:r>
              <w:rPr>
                <w:color w:val="1C3A36"/>
                <w:sz w:val="16"/>
              </w:rPr>
              <w:t>1,317</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17,172</w:t>
            </w:r>
          </w:p>
        </w:tc>
        <w:tc>
          <w:tcPr>
            <w:tcW w:type="dxa" w:w="2016"/>
          </w:tcPr>
          <w:p>
            <w:pPr>
              <w:spacing w:after="20"/>
              <w:jc w:val="right"/>
            </w:pPr>
            <w:r>
              <w:rPr>
                <w:color w:val="1C3A36"/>
                <w:sz w:val="16"/>
              </w:rPr>
              <w:t>18,516</w:t>
            </w:r>
          </w:p>
        </w:tc>
        <w:tc>
          <w:tcPr>
            <w:tcW w:type="dxa" w:w="2016"/>
          </w:tcPr>
          <w:p>
            <w:pPr>
              <w:spacing w:after="20"/>
              <w:jc w:val="right"/>
            </w:pPr>
            <w:r>
              <w:rPr>
                <w:color w:val="1C3A36"/>
                <w:sz w:val="16"/>
              </w:rPr>
              <w:t>21,584</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1,844</w:t>
            </w:r>
          </w:p>
        </w:tc>
        <w:tc>
          <w:tcPr>
            <w:tcW w:type="dxa" w:w="2016"/>
          </w:tcPr>
          <w:p>
            <w:pPr>
              <w:spacing w:after="20"/>
              <w:jc w:val="right"/>
            </w:pPr>
            <w:r>
              <w:rPr>
                <w:color w:val="1C3A36"/>
                <w:sz w:val="16"/>
              </w:rPr>
              <w:t>1,645</w:t>
            </w:r>
          </w:p>
        </w:tc>
        <w:tc>
          <w:tcPr>
            <w:tcW w:type="dxa" w:w="2016"/>
          </w:tcPr>
          <w:p>
            <w:pPr>
              <w:spacing w:after="20"/>
              <w:jc w:val="right"/>
            </w:pPr>
            <w:r>
              <w:rPr>
                <w:color w:val="1C3A36"/>
                <w:sz w:val="16"/>
              </w:rPr>
              <w:t>639</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14,111</w:t>
            </w:r>
          </w:p>
        </w:tc>
        <w:tc>
          <w:tcPr>
            <w:tcW w:type="dxa" w:w="2016"/>
            <w:shd w:val="clear" w:color="auto" w:fill="F6F1E6"/>
          </w:tcPr>
          <w:p>
            <w:pPr>
              <w:spacing w:after="20"/>
              <w:jc w:val="right"/>
            </w:pPr>
            <w:r>
              <w:rPr>
                <w:b/>
                <w:color w:val="1C3A36"/>
                <w:sz w:val="16"/>
              </w:rPr>
              <w:t>13,251</w:t>
            </w:r>
          </w:p>
        </w:tc>
        <w:tc>
          <w:tcPr>
            <w:tcW w:type="dxa" w:w="2016"/>
            <w:shd w:val="clear" w:color="auto" w:fill="F6F1E6"/>
          </w:tcPr>
          <w:p>
            <w:pPr>
              <w:spacing w:after="20"/>
              <w:jc w:val="right"/>
            </w:pPr>
            <w:r>
              <w:rPr>
                <w:b/>
                <w:color w:val="1C3A36"/>
                <w:sz w:val="16"/>
              </w:rPr>
              <w:t>10,176</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30.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193</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15</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310</w:t>
            </w:r>
          </w:p>
        </w:tc>
      </w:tr>
    </w:tbl>
    <w:p>
      <w:pPr>
        <w:spacing w:after="40"/>
      </w:pPr>
    </w:p>
    <w:p>
      <w:pPr>
        <w:spacing w:after="200" w:before="0"/>
      </w:pPr>
      <w:r>
        <w:rPr>
          <w:b w:val="0"/>
          <w:i/>
          <w:color w:val="6E7B77"/>
          <w:sz w:val="17"/>
        </w:rPr>
        <w:t>Table 31.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1,509</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24,946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14,913</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7.51</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8,948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4.50</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1's workings in full — every intermediate line, not a summary of them.</w:t>
      </w:r>
    </w:p>
    <w:p>
      <w:pPr>
        <w:spacing w:after="120" w:before="0"/>
      </w:pPr>
      <w:r>
        <w:rPr>
          <w:b/>
          <w:i w:val="0"/>
          <w:color w:val="1C3A36"/>
          <w:sz w:val="21"/>
        </w:rPr>
        <w:t>Range: EGP 3.86 to EGP 8.59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3.86; at US$700 with no discount it is EGP 8.59. The mid-point build cost with the discount, the central reading, is EGP 4.50.</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7,725</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10,429</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3,601</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-610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2,100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21,003</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3,664</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7.37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2's workings in full — every intermediate line, not a summary of them.</w:t>
      </w:r>
    </w:p>
    <w:p>
      <w:pPr>
        <w:spacing w:after="120" w:before="0"/>
      </w:pPr>
      <w:r>
        <w:rPr>
          <w:b/>
          <w:i w:val="0"/>
          <w:color w:val="1C3A36"/>
          <w:sz w:val="21"/>
        </w:rPr>
        <w:t>Range: EGP 5.25 to EGP 9.48 a share.</w:t>
      </w:r>
    </w:p>
    <w:p>
      <w:pPr>
        <w:spacing w:after="120" w:before="0"/>
      </w:pPr>
      <w:r>
        <w:rPr>
          <w:b w:val="0"/>
          <w:i w:val="0"/>
          <w:color w:val="1C3A36"/>
          <w:sz w:val="19"/>
        </w:rPr>
        <w:t>Reading it.  The middle reading, and the one closest to a conventional analyst's answer. It credits an ordinary year — EGP 10,429m of revenue and EGP 3,601m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5.25, twelve times EGP 9.48.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26,074</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20,961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20,759</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21,293</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15,721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7.91</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34.  Expert 3's workings in full — every intermediate line, not a summary of them.</w:t>
      </w:r>
    </w:p>
    <w:p>
      <w:pPr>
        <w:spacing w:after="120" w:before="0"/>
      </w:pPr>
      <w:r>
        <w:rPr>
          <w:b/>
          <w:i w:val="0"/>
          <w:color w:val="1C3A36"/>
          <w:sz w:val="21"/>
        </w:rPr>
        <w:t>Range: EGP 0.00 to EGP 8.04 a share.</w:t>
      </w:r>
    </w:p>
    <w:p>
      <w:pPr>
        <w:spacing w:after="120" w:before="0"/>
      </w:pPr>
      <w:r>
        <w:rPr>
          <w:b w:val="0"/>
          <w:i w:val="0"/>
          <w:color w:val="1C3A36"/>
          <w:sz w:val="19"/>
        </w:rPr>
        <w:t>On both sides of the contested judgement.  With the programme carried through the claim is worth EGP 7.91 a share (EGP 0.00 to 8.04 across the volatility range); with the programme stopped the enterprise value rises to EGP 33,090 million and the same claim is worth EGP 10.52 (EGP 10.47 to 10.63).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26,074m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6.82 a share, and at 60% over seven years EGP 8.72.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6.82</w:t>
            </w:r>
          </w:p>
        </w:tc>
        <w:tc>
          <w:tcPr>
            <w:tcW w:type="dxa" w:w="1541"/>
          </w:tcPr>
          <w:p>
            <w:pPr>
              <w:spacing w:after="20"/>
              <w:jc w:val="right"/>
            </w:pPr>
            <w:r>
              <w:rPr>
                <w:color w:val="1C3A36"/>
                <w:sz w:val="17"/>
              </w:rPr>
              <w:t>6.84</w:t>
            </w:r>
          </w:p>
        </w:tc>
        <w:tc>
          <w:tcPr>
            <w:tcW w:type="dxa" w:w="1541"/>
          </w:tcPr>
          <w:p>
            <w:pPr>
              <w:spacing w:after="20"/>
              <w:jc w:val="right"/>
            </w:pPr>
            <w:r>
              <w:rPr>
                <w:color w:val="1C3A36"/>
                <w:sz w:val="17"/>
              </w:rPr>
              <w:t>6.93</w:t>
            </w:r>
          </w:p>
        </w:tc>
        <w:tc>
          <w:tcPr>
            <w:tcW w:type="dxa" w:w="1541"/>
          </w:tcPr>
          <w:p>
            <w:pPr>
              <w:spacing w:after="20"/>
              <w:jc w:val="right"/>
            </w:pPr>
            <w:r>
              <w:rPr>
                <w:color w:val="1C3A36"/>
                <w:sz w:val="17"/>
              </w:rPr>
              <w:t>7.06</w:t>
            </w:r>
          </w:p>
        </w:tc>
        <w:tc>
          <w:tcPr>
            <w:tcW w:type="dxa" w:w="1541"/>
          </w:tcPr>
          <w:p>
            <w:pPr>
              <w:spacing w:after="20"/>
              <w:jc w:val="right"/>
            </w:pPr>
            <w:r>
              <w:rPr>
                <w:color w:val="1C3A36"/>
                <w:sz w:val="17"/>
              </w:rPr>
              <w:t>7.14</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7.82</w:t>
            </w:r>
          </w:p>
        </w:tc>
        <w:tc>
          <w:tcPr>
            <w:tcW w:type="dxa" w:w="1541"/>
          </w:tcPr>
          <w:p>
            <w:pPr>
              <w:spacing w:after="20"/>
              <w:jc w:val="right"/>
            </w:pPr>
            <w:r>
              <w:rPr>
                <w:color w:val="1C3A36"/>
                <w:sz w:val="17"/>
              </w:rPr>
              <w:t>7.84</w:t>
            </w:r>
          </w:p>
        </w:tc>
        <w:tc>
          <w:tcPr>
            <w:tcW w:type="dxa" w:w="1541"/>
          </w:tcPr>
          <w:p>
            <w:pPr>
              <w:spacing w:after="20"/>
              <w:jc w:val="right"/>
            </w:pPr>
            <w:r>
              <w:rPr>
                <w:color w:val="1C3A36"/>
                <w:sz w:val="17"/>
              </w:rPr>
              <w:t>7.91</w:t>
            </w:r>
          </w:p>
        </w:tc>
        <w:tc>
          <w:tcPr>
            <w:tcW w:type="dxa" w:w="1541"/>
          </w:tcPr>
          <w:p>
            <w:pPr>
              <w:spacing w:after="20"/>
              <w:jc w:val="right"/>
            </w:pPr>
            <w:r>
              <w:rPr>
                <w:color w:val="1C3A36"/>
                <w:sz w:val="17"/>
              </w:rPr>
              <w:t>8.04</w:t>
            </w:r>
          </w:p>
        </w:tc>
        <w:tc>
          <w:tcPr>
            <w:tcW w:type="dxa" w:w="1541"/>
          </w:tcPr>
          <w:p>
            <w:pPr>
              <w:spacing w:after="20"/>
              <w:jc w:val="right"/>
            </w:pPr>
            <w:r>
              <w:rPr>
                <w:color w:val="1C3A36"/>
                <w:sz w:val="17"/>
              </w:rPr>
              <w:t>8.12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8.49</w:t>
            </w:r>
          </w:p>
        </w:tc>
        <w:tc>
          <w:tcPr>
            <w:tcW w:type="dxa" w:w="1541"/>
          </w:tcPr>
          <w:p>
            <w:pPr>
              <w:spacing w:after="20"/>
              <w:jc w:val="right"/>
            </w:pPr>
            <w:r>
              <w:rPr>
                <w:color w:val="1C3A36"/>
                <w:sz w:val="17"/>
              </w:rPr>
              <w:t>8.50</w:t>
            </w:r>
          </w:p>
        </w:tc>
        <w:tc>
          <w:tcPr>
            <w:tcW w:type="dxa" w:w="1541"/>
          </w:tcPr>
          <w:p>
            <w:pPr>
              <w:spacing w:after="20"/>
              <w:jc w:val="right"/>
            </w:pPr>
            <w:r>
              <w:rPr>
                <w:color w:val="1C3A36"/>
                <w:sz w:val="17"/>
              </w:rPr>
              <w:t>8.56</w:t>
            </w:r>
          </w:p>
        </w:tc>
        <w:tc>
          <w:tcPr>
            <w:tcW w:type="dxa" w:w="1541"/>
          </w:tcPr>
          <w:p>
            <w:pPr>
              <w:spacing w:after="20"/>
              <w:jc w:val="right"/>
            </w:pPr>
            <w:r>
              <w:rPr>
                <w:color w:val="1C3A36"/>
                <w:sz w:val="17"/>
              </w:rPr>
              <w:t>8.66</w:t>
            </w:r>
          </w:p>
        </w:tc>
        <w:tc>
          <w:tcPr>
            <w:tcW w:type="dxa" w:w="1541"/>
          </w:tcPr>
          <w:p>
            <w:pPr>
              <w:spacing w:after="20"/>
              <w:jc w:val="right"/>
            </w:pPr>
            <w:r>
              <w:rPr>
                <w:color w:val="1C3A36"/>
                <w:sz w:val="17"/>
              </w:rPr>
              <w:t>8.72</w:t>
            </w:r>
          </w:p>
        </w:tc>
      </w:tr>
    </w:tbl>
    <w:p>
      <w:pPr>
        <w:spacing w:after="40"/>
      </w:pPr>
    </w:p>
    <w:p>
      <w:pPr>
        <w:spacing w:after="200" w:before="0"/>
      </w:pPr>
      <w:r>
        <w:rPr>
          <w:b w:val="0"/>
          <w:i/>
          <w:color w:val="6E7B77"/>
          <w:sz w:val="17"/>
        </w:rPr>
        <w:t>Table 35.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7.84 a share, at 55% EGP 8.04.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9.48.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-1.40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-2.79</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-4.18</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-8.07</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-6.34</w:t>
            </w:r>
          </w:p>
        </w:tc>
        <w:tc>
          <w:tcPr>
            <w:tcW w:type="dxa" w:w="5904"/>
          </w:tcPr>
          <w:p>
            <w:pPr>
              <w:spacing w:after="20"/>
            </w:pPr>
            <w:r>
              <w:rPr>
                <w:color w:val="1C3A36"/>
                <w:sz w:val="16"/>
              </w:rPr>
              <w:t>The discount rate, and only the discount rate. At about 15.0%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5.52</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36.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310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10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