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50" w:type="dxa"/>
          <w:bottom w:w="90" w:type="dxa"/>
          <w:right w:w="150" w:type="dxa"/>
        </w:tblCellMar>
      </w:tblPr>
      <w:tblGrid>
        <w:gridCol w:w="14112"/>
      </w:tblGrid>
      <w:tr>
        <w:tc>
          <w:tcPr>
            <w:tcW w:type="dxa" w:w="14112"/>
            <w:shd w:val="clear" w:color="auto" w:fill="1C3A36"/>
          </w:tcPr>
          <w:p>
            <w:r>
              <w:rPr>
                <w:b/>
                <w:color w:val="FFFFFF"/>
                <w:sz w:val="24"/>
              </w:rPr>
              <w:t>Testahil · Sinai Cement Company S.A.E. (EGX: SCEM) — Source Register</w:t>
            </w:r>
            <w:r>
              <w:rPr>
                <w:color w:val="9FB0AC"/>
                <w:sz w:val="20"/>
              </w:rPr>
              <w:t xml:space="preserve">   6 August 2026</w:t>
            </w:r>
          </w:p>
        </w:tc>
      </w:tr>
    </w:tbl>
    <w:p>
      <w:pPr>
        <w:spacing w:after="80"/>
      </w:pPr>
    </w:p>
    <w:p>
      <w:pPr>
        <w:spacing w:after="100" w:before="0"/>
      </w:pPr>
      <w:r>
        <w:rPr>
          <w:b w:val="0"/>
          <w:i w:val="0"/>
          <w:color w:val="1C3A36"/>
          <w:sz w:val="20"/>
        </w:rPr>
        <w:t>Where every number came from. This register accompanies the valuation study and the companion model. Each input carries the source it was taken from, the type of that source, and the date the source itself bears — not the date it was read.</w:t>
      </w:r>
    </w:p>
    <w:p>
      <w:pPr>
        <w:spacing w:after="80" w:before="200"/>
      </w:pPr>
      <w:r>
        <w:rPr>
          <w:b/>
          <w:i w:val="0"/>
          <w:color w:val="1C3A36"/>
          <w:sz w:val="23"/>
        </w:rPr>
        <w:t>A limitation to state at the top</w:t>
      </w:r>
    </w:p>
    <w:p>
      <w:pPr>
        <w:spacing w:after="100" w:before="0"/>
      </w:pPr>
      <w:r>
        <w:rPr>
          <w:b w:val="0"/>
          <w:i w:val="0"/>
          <w:color w:val="1C3A36"/>
          <w:sz w:val="19"/>
        </w:rPr>
        <w:t>The company's audited consolidated financial statements could not be retrieved while this work was carried out. They are known to be published at sinaicement.com/wp-content/uploads/2025/05/SCC-AFS-E-1224.pdf, and every attempt to reach that address — along with the exchange's own disclosure portal and every financial data provider — was refused by the network policy governing this environment. Thirteen separate hosts were blocked.</w:t>
      </w:r>
    </w:p>
    <w:p>
      <w:pPr>
        <w:spacing w:after="100" w:before="0"/>
      </w:pPr>
      <w:r>
        <w:rPr>
          <w:b w:val="0"/>
          <w:i w:val="0"/>
          <w:color w:val="1C3A36"/>
          <w:sz w:val="19"/>
        </w:rPr>
        <w:t>The consequence is stated rather than hidden. Revenue and profit after tax are carried as reported through press coverage of the company's exchange filings — one step removed from the audited print. Every line between revenue and profit after tax is DERIVED by closing the disclosed profit, and is labelled as derived wherever it appears. Two entries below are flagged accordingly. A reader with access to the audited statements should re-run the model against them; the workbook is built so that changing the input reprices everything downstream.</w:t>
      </w:r>
    </w:p>
    <w:p>
      <w:r>
        <w:br w:type="page"/>
      </w:r>
    </w:p>
    <w:p>
      <w:pPr>
        <w:spacing w:after="120" w:before="240"/>
      </w:pPr>
      <w:r>
        <w:rPr>
          <w:b/>
          <w:i w:val="0"/>
          <w:color w:val="1C3A36"/>
          <w:sz w:val="30"/>
        </w:rPr>
        <w:t>1  Input register — every figure in the model</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518"/>
        <w:gridCol w:w="2448"/>
        <w:gridCol w:w="1325"/>
        <w:gridCol w:w="1066"/>
        <w:gridCol w:w="7085"/>
        <w:gridCol w:w="1210"/>
      </w:tblGrid>
      <w:tr>
        <w:tc>
          <w:tcPr>
            <w:tcW w:type="dxa" w:w="518"/>
            <w:shd w:val="clear" w:color="auto" w:fill="EAF0EE"/>
          </w:tcPr>
          <w:p>
            <w:pPr>
              <w:spacing w:after="20"/>
            </w:pPr>
            <w:r>
              <w:rPr>
                <w:b/>
                <w:color w:val="1C3A36"/>
                <w:sz w:val="14"/>
              </w:rPr>
              <w:t>#</w:t>
            </w:r>
          </w:p>
        </w:tc>
        <w:tc>
          <w:tcPr>
            <w:tcW w:type="dxa" w:w="2448"/>
            <w:shd w:val="clear" w:color="auto" w:fill="EAF0EE"/>
          </w:tcPr>
          <w:p>
            <w:pPr>
              <w:spacing w:after="20"/>
            </w:pPr>
            <w:r>
              <w:rPr>
                <w:b/>
                <w:color w:val="1C3A36"/>
                <w:sz w:val="14"/>
              </w:rPr>
              <w:t>Input</w:t>
            </w:r>
          </w:p>
        </w:tc>
        <w:tc>
          <w:tcPr>
            <w:tcW w:type="dxa" w:w="1325"/>
            <w:shd w:val="clear" w:color="auto" w:fill="EAF0EE"/>
          </w:tcPr>
          <w:p>
            <w:pPr>
              <w:spacing w:after="20"/>
            </w:pPr>
            <w:r>
              <w:rPr>
                <w:b/>
                <w:color w:val="1C3A36"/>
                <w:sz w:val="14"/>
              </w:rPr>
              <w:t>Value</w:t>
            </w:r>
          </w:p>
        </w:tc>
        <w:tc>
          <w:tcPr>
            <w:tcW w:type="dxa" w:w="1066"/>
            <w:shd w:val="clear" w:color="auto" w:fill="EAF0EE"/>
          </w:tcPr>
          <w:p>
            <w:pPr>
              <w:spacing w:after="20"/>
            </w:pPr>
            <w:r>
              <w:rPr>
                <w:b/>
                <w:color w:val="1C3A36"/>
                <w:sz w:val="14"/>
              </w:rPr>
              <w:t>Ring</w:t>
            </w:r>
          </w:p>
        </w:tc>
        <w:tc>
          <w:tcPr>
            <w:tcW w:type="dxa" w:w="7085"/>
            <w:shd w:val="clear" w:color="auto" w:fill="EAF0EE"/>
          </w:tcPr>
          <w:p>
            <w:pPr>
              <w:spacing w:after="20"/>
            </w:pPr>
            <w:r>
              <w:rPr>
                <w:b/>
                <w:color w:val="1C3A36"/>
                <w:sz w:val="14"/>
              </w:rPr>
              <w:t>Source</w:t>
            </w:r>
          </w:p>
        </w:tc>
        <w:tc>
          <w:tcPr>
            <w:tcW w:type="dxa" w:w="1210"/>
            <w:shd w:val="clear" w:color="auto" w:fill="EAF0EE"/>
          </w:tcPr>
          <w:p>
            <w:pPr>
              <w:spacing w:after="20"/>
            </w:pPr>
            <w:r>
              <w:rPr>
                <w:b/>
                <w:color w:val="1C3A36"/>
                <w:sz w:val="14"/>
              </w:rPr>
              <w:t>Source date</w:t>
            </w:r>
          </w:p>
        </w:tc>
      </w:tr>
      <w:tr>
        <w:tc>
          <w:tcPr>
            <w:tcW w:type="dxa" w:w="518"/>
          </w:tcPr>
          <w:p>
            <w:pPr>
              <w:spacing w:after="20"/>
            </w:pPr>
            <w:r>
              <w:rPr>
                <w:color w:val="1C3A36"/>
                <w:sz w:val="14"/>
              </w:rPr>
              <w:t>1</w:t>
            </w:r>
          </w:p>
        </w:tc>
        <w:tc>
          <w:tcPr>
            <w:tcW w:type="dxa" w:w="2448"/>
          </w:tcPr>
          <w:p>
            <w:pPr>
              <w:spacing w:after="20"/>
            </w:pPr>
            <w:r>
              <w:rPr>
                <w:color w:val="1C3A36"/>
                <w:sz w:val="14"/>
              </w:rPr>
              <w:t>spot</w:t>
            </w:r>
          </w:p>
        </w:tc>
        <w:tc>
          <w:tcPr>
            <w:tcW w:type="dxa" w:w="1325"/>
          </w:tcPr>
          <w:p>
            <w:pPr>
              <w:spacing w:after="20"/>
            </w:pPr>
            <w:r>
              <w:rPr>
                <w:color w:val="1C3A36"/>
                <w:sz w:val="14"/>
              </w:rPr>
              <w:t>100.5</w:t>
            </w:r>
          </w:p>
        </w:tc>
        <w:tc>
          <w:tcPr>
            <w:tcW w:type="dxa" w:w="1066"/>
          </w:tcPr>
          <w:p>
            <w:pPr>
              <w:spacing w:after="20"/>
            </w:pPr>
            <w:r>
              <w:rPr>
                <w:color w:val="1C3A36"/>
                <w:sz w:val="14"/>
              </w:rPr>
              <w:t>Market</w:t>
            </w:r>
          </w:p>
        </w:tc>
        <w:tc>
          <w:tcPr>
            <w:tcW w:type="dxa" w:w="7085"/>
          </w:tcPr>
          <w:p>
            <w:pPr>
              <w:spacing w:after="20"/>
            </w:pPr>
            <w:r>
              <w:rPr>
                <w:color w:val="1C3A36"/>
                <w:sz w:val="14"/>
              </w:rPr>
              <w:t>Closing price 02-Sep-2026, from the price file the principal supplied on 3 September 2026 and committed at NO STUDY IS DELIVERED AGAINST A STALE PRICE: this edition was struck against the 06-Aug close of 79.00, and the shares have risen 27.2% in the month since. A fair value published against a month-old price is a comparison a reader cannot use, whatever the fair value is worth</w:t>
            </w:r>
          </w:p>
        </w:tc>
        <w:tc>
          <w:tcPr>
            <w:tcW w:type="dxa" w:w="1210"/>
          </w:tcPr>
          <w:p>
            <w:pPr>
              <w:spacing w:after="20"/>
            </w:pPr>
            <w:r>
              <w:rPr>
                <w:color w:val="1C3A36"/>
                <w:sz w:val="14"/>
              </w:rPr>
              <w:t>2026-09-02</w:t>
            </w:r>
          </w:p>
        </w:tc>
      </w:tr>
      <w:tr>
        <w:tc>
          <w:tcPr>
            <w:tcW w:type="dxa" w:w="518"/>
          </w:tcPr>
          <w:p>
            <w:pPr>
              <w:spacing w:after="20"/>
            </w:pPr>
            <w:r>
              <w:rPr>
                <w:color w:val="1C3A36"/>
                <w:sz w:val="14"/>
              </w:rPr>
              <w:t>2</w:t>
            </w:r>
          </w:p>
        </w:tc>
        <w:tc>
          <w:tcPr>
            <w:tcW w:type="dxa" w:w="2448"/>
          </w:tcPr>
          <w:p>
            <w:pPr>
              <w:spacing w:after="20"/>
            </w:pPr>
            <w:r>
              <w:rPr>
                <w:color w:val="1C3A36"/>
                <w:sz w:val="14"/>
              </w:rPr>
              <w:t>spot_prev</w:t>
            </w:r>
          </w:p>
        </w:tc>
        <w:tc>
          <w:tcPr>
            <w:tcW w:type="dxa" w:w="1325"/>
          </w:tcPr>
          <w:p>
            <w:pPr>
              <w:spacing w:after="20"/>
            </w:pPr>
            <w:r>
              <w:rPr>
                <w:color w:val="1C3A36"/>
                <w:sz w:val="14"/>
              </w:rPr>
              <w:t>79</w:t>
            </w:r>
          </w:p>
        </w:tc>
        <w:tc>
          <w:tcPr>
            <w:tcW w:type="dxa" w:w="1066"/>
          </w:tcPr>
          <w:p>
            <w:pPr>
              <w:spacing w:after="20"/>
            </w:pPr>
            <w:r>
              <w:rPr>
                <w:color w:val="1C3A36"/>
                <w:sz w:val="14"/>
              </w:rPr>
              <w:t>Market</w:t>
            </w:r>
          </w:p>
        </w:tc>
        <w:tc>
          <w:tcPr>
            <w:tcW w:type="dxa" w:w="7085"/>
          </w:tcPr>
          <w:p>
            <w:pPr>
              <w:spacing w:after="20"/>
            </w:pPr>
            <w:r>
              <w:rPr>
                <w:color w:val="1C3A36"/>
                <w:sz w:val="14"/>
              </w:rPr>
              <w:t>The 06-Aug-2026 close this study was previously struck against (open 81.80, high 82.50, low 78.30), kept so the re-strike is visible rather than silent</w:t>
            </w:r>
          </w:p>
        </w:tc>
        <w:tc>
          <w:tcPr>
            <w:tcW w:type="dxa" w:w="1210"/>
          </w:tcPr>
          <w:p>
            <w:pPr>
              <w:spacing w:after="20"/>
            </w:pPr>
            <w:r>
              <w:rPr>
                <w:color w:val="1C3A36"/>
                <w:sz w:val="14"/>
              </w:rPr>
              <w:t>2026-08-06</w:t>
            </w:r>
          </w:p>
        </w:tc>
      </w:tr>
      <w:tr>
        <w:tc>
          <w:tcPr>
            <w:tcW w:type="dxa" w:w="518"/>
          </w:tcPr>
          <w:p>
            <w:pPr>
              <w:spacing w:after="20"/>
            </w:pPr>
            <w:r>
              <w:rPr>
                <w:color w:val="1C3A36"/>
                <w:sz w:val="14"/>
              </w:rPr>
              <w:t>3</w:t>
            </w:r>
          </w:p>
        </w:tc>
        <w:tc>
          <w:tcPr>
            <w:tcW w:type="dxa" w:w="2448"/>
          </w:tcPr>
          <w:p>
            <w:pPr>
              <w:spacing w:after="20"/>
            </w:pPr>
            <w:r>
              <w:rPr>
                <w:color w:val="1C3A36"/>
                <w:sz w:val="14"/>
              </w:rPr>
              <w:t>cap_cement_mt</w:t>
            </w:r>
          </w:p>
        </w:tc>
        <w:tc>
          <w:tcPr>
            <w:tcW w:type="dxa" w:w="1325"/>
          </w:tcPr>
          <w:p>
            <w:pPr>
              <w:spacing w:after="20"/>
            </w:pPr>
            <w:r>
              <w:rPr>
                <w:color w:val="1C3A36"/>
                <w:sz w:val="14"/>
              </w:rPr>
              <w:t>3.8</w:t>
            </w:r>
          </w:p>
        </w:tc>
        <w:tc>
          <w:tcPr>
            <w:tcW w:type="dxa" w:w="1066"/>
          </w:tcPr>
          <w:p>
            <w:pPr>
              <w:spacing w:after="20"/>
            </w:pPr>
            <w:r>
              <w:rPr>
                <w:color w:val="1C3A36"/>
                <w:sz w:val="14"/>
              </w:rPr>
              <w:t>Company</w:t>
            </w:r>
          </w:p>
        </w:tc>
        <w:tc>
          <w:tcPr>
            <w:tcW w:type="dxa" w:w="7085"/>
          </w:tcPr>
          <w:p>
            <w:pPr>
              <w:spacing w:after="20"/>
            </w:pPr>
            <w:r>
              <w:rPr>
                <w:color w:val="1C3A36"/>
                <w:sz w:val="14"/>
              </w:rPr>
              <w:t>Cement grinding capacity, El Hassana, two lines</w:t>
            </w:r>
          </w:p>
        </w:tc>
        <w:tc>
          <w:tcPr>
            <w:tcW w:type="dxa" w:w="1210"/>
          </w:tcPr>
          <w:p>
            <w:pPr>
              <w:spacing w:after="20"/>
            </w:pPr>
            <w:r>
              <w:rPr>
                <w:color w:val="1C3A36"/>
                <w:sz w:val="14"/>
              </w:rPr>
              <w:t>2025-03-23</w:t>
            </w:r>
          </w:p>
        </w:tc>
      </w:tr>
      <w:tr>
        <w:tc>
          <w:tcPr>
            <w:tcW w:type="dxa" w:w="518"/>
          </w:tcPr>
          <w:p>
            <w:pPr>
              <w:spacing w:after="20"/>
            </w:pPr>
            <w:r>
              <w:rPr>
                <w:color w:val="1C3A36"/>
                <w:sz w:val="14"/>
              </w:rPr>
              <w:t>4</w:t>
            </w:r>
          </w:p>
        </w:tc>
        <w:tc>
          <w:tcPr>
            <w:tcW w:type="dxa" w:w="2448"/>
          </w:tcPr>
          <w:p>
            <w:pPr>
              <w:spacing w:after="20"/>
            </w:pPr>
            <w:r>
              <w:rPr>
                <w:color w:val="1C3A36"/>
                <w:sz w:val="14"/>
              </w:rPr>
              <w:t>cap_clinker_mt</w:t>
            </w:r>
          </w:p>
        </w:tc>
        <w:tc>
          <w:tcPr>
            <w:tcW w:type="dxa" w:w="1325"/>
          </w:tcPr>
          <w:p>
            <w:pPr>
              <w:spacing w:after="20"/>
            </w:pPr>
            <w:r>
              <w:rPr>
                <w:color w:val="1C3A36"/>
                <w:sz w:val="14"/>
              </w:rPr>
              <w:t>2.57</w:t>
            </w:r>
          </w:p>
        </w:tc>
        <w:tc>
          <w:tcPr>
            <w:tcW w:type="dxa" w:w="1066"/>
          </w:tcPr>
          <w:p>
            <w:pPr>
              <w:spacing w:after="20"/>
            </w:pPr>
            <w:r>
              <w:rPr>
                <w:color w:val="1C3A36"/>
                <w:sz w:val="14"/>
              </w:rPr>
              <w:t>Company</w:t>
            </w:r>
          </w:p>
        </w:tc>
        <w:tc>
          <w:tcPr>
            <w:tcW w:type="dxa" w:w="7085"/>
          </w:tcPr>
          <w:p>
            <w:pPr>
              <w:spacing w:after="20"/>
            </w:pPr>
            <w:r>
              <w:rPr>
                <w:color w:val="1C3A36"/>
                <w:sz w:val="14"/>
              </w:rPr>
              <w:t>Kiln clinker capacity. The PAIR with cement capacity OBSERVES the clinker factor rather than assuming it, and settles which base a USD-per-tonne benchmark is quoted on</w:t>
            </w:r>
          </w:p>
        </w:tc>
        <w:tc>
          <w:tcPr>
            <w:tcW w:type="dxa" w:w="1210"/>
          </w:tcPr>
          <w:p>
            <w:pPr>
              <w:spacing w:after="20"/>
            </w:pPr>
            <w:r>
              <w:rPr>
                <w:color w:val="1C3A36"/>
                <w:sz w:val="14"/>
              </w:rPr>
              <w:t>2025-03-23</w:t>
            </w:r>
          </w:p>
        </w:tc>
      </w:tr>
      <w:tr>
        <w:tc>
          <w:tcPr>
            <w:tcW w:type="dxa" w:w="518"/>
          </w:tcPr>
          <w:p>
            <w:pPr>
              <w:spacing w:after="20"/>
            </w:pPr>
            <w:r>
              <w:rPr>
                <w:color w:val="1C3A36"/>
                <w:sz w:val="14"/>
              </w:rPr>
              <w:t>5</w:t>
            </w:r>
          </w:p>
        </w:tc>
        <w:tc>
          <w:tcPr>
            <w:tcW w:type="dxa" w:w="2448"/>
          </w:tcPr>
          <w:p>
            <w:pPr>
              <w:spacing w:after="20"/>
            </w:pPr>
            <w:r>
              <w:rPr>
                <w:color w:val="1C3A36"/>
                <w:sz w:val="14"/>
              </w:rPr>
              <w:t>capacity_mt</w:t>
            </w:r>
          </w:p>
        </w:tc>
        <w:tc>
          <w:tcPr>
            <w:tcW w:type="dxa" w:w="1325"/>
          </w:tcPr>
          <w:p>
            <w:pPr>
              <w:spacing w:after="20"/>
            </w:pPr>
            <w:r>
              <w:rPr>
                <w:color w:val="1C3A36"/>
                <w:sz w:val="14"/>
              </w:rPr>
              <w:t>3.8</w:t>
            </w:r>
          </w:p>
        </w:tc>
        <w:tc>
          <w:tcPr>
            <w:tcW w:type="dxa" w:w="1066"/>
          </w:tcPr>
          <w:p>
            <w:pPr>
              <w:spacing w:after="20"/>
            </w:pPr>
            <w:r>
              <w:rPr>
                <w:color w:val="1C3A36"/>
                <w:sz w:val="14"/>
              </w:rPr>
              <w:t>Company</w:t>
            </w:r>
          </w:p>
        </w:tc>
        <w:tc>
          <w:tcPr>
            <w:tcW w:type="dxa" w:w="7085"/>
          </w:tcPr>
          <w:p>
            <w:pPr>
              <w:spacing w:after="20"/>
            </w:pPr>
            <w:r>
              <w:rPr>
                <w:color w:val="1C3A36"/>
                <w:sz w:val="14"/>
              </w:rPr>
              <w:t>Alias of cement grinding capacity</w:t>
            </w:r>
          </w:p>
        </w:tc>
        <w:tc>
          <w:tcPr>
            <w:tcW w:type="dxa" w:w="1210"/>
          </w:tcPr>
          <w:p>
            <w:pPr>
              <w:spacing w:after="20"/>
            </w:pPr>
            <w:r>
              <w:rPr>
                <w:color w:val="1C3A36"/>
                <w:sz w:val="14"/>
              </w:rPr>
              <w:t>2025-03-23</w:t>
            </w:r>
          </w:p>
        </w:tc>
      </w:tr>
      <w:tr>
        <w:tc>
          <w:tcPr>
            <w:tcW w:type="dxa" w:w="518"/>
          </w:tcPr>
          <w:p>
            <w:pPr>
              <w:spacing w:after="20"/>
            </w:pPr>
            <w:r>
              <w:rPr>
                <w:color w:val="1C3A36"/>
                <w:sz w:val="14"/>
              </w:rPr>
              <w:t>6</w:t>
            </w:r>
          </w:p>
        </w:tc>
        <w:tc>
          <w:tcPr>
            <w:tcW w:type="dxa" w:w="2448"/>
          </w:tcPr>
          <w:p>
            <w:pPr>
              <w:spacing w:after="20"/>
            </w:pPr>
            <w:r>
              <w:rPr>
                <w:color w:val="1C3A36"/>
                <w:sz w:val="14"/>
              </w:rPr>
              <w:t>capex_run_rate</w:t>
            </w:r>
          </w:p>
        </w:tc>
        <w:tc>
          <w:tcPr>
            <w:tcW w:type="dxa" w:w="1325"/>
          </w:tcPr>
          <w:p>
            <w:pPr>
              <w:spacing w:after="20"/>
            </w:pPr>
            <w:r>
              <w:rPr>
                <w:color w:val="1C3A36"/>
                <w:sz w:val="14"/>
              </w:rPr>
              <w:t>303.211</w:t>
            </w:r>
          </w:p>
        </w:tc>
        <w:tc>
          <w:tcPr>
            <w:tcW w:type="dxa" w:w="1066"/>
          </w:tcPr>
          <w:p>
            <w:pPr>
              <w:spacing w:after="20"/>
            </w:pPr>
            <w:r>
              <w:rPr>
                <w:color w:val="1C3A36"/>
                <w:sz w:val="14"/>
              </w:rPr>
              <w:t>Company</w:t>
            </w:r>
          </w:p>
        </w:tc>
        <w:tc>
          <w:tcPr>
            <w:tcW w:type="dxa" w:w="7085"/>
          </w:tcPr>
          <w:p>
            <w:pPr>
              <w:spacing w:after="20"/>
            </w:pPr>
            <w:r>
              <w:rPr>
                <w:color w:val="1C3A36"/>
                <w:sz w:val="14"/>
              </w:rPr>
              <w:t>Capex on the company's own cash-flow statements: FY2023 120.827, FY2024 526.408, FY2025 262.397, average 303.211. Revision 2 assumed 4.5-5.0% of revenue, which is 435-484mn and rising</w:t>
            </w:r>
          </w:p>
        </w:tc>
        <w:tc>
          <w:tcPr>
            <w:tcW w:type="dxa" w:w="1210"/>
          </w:tcPr>
          <w:p>
            <w:pPr>
              <w:spacing w:after="20"/>
            </w:pPr>
            <w:r>
              <w:rPr>
                <w:color w:val="1C3A36"/>
                <w:sz w:val="14"/>
              </w:rPr>
              <w:t>2025-12-31</w:t>
            </w:r>
          </w:p>
        </w:tc>
      </w:tr>
      <w:tr>
        <w:tc>
          <w:tcPr>
            <w:tcW w:type="dxa" w:w="518"/>
          </w:tcPr>
          <w:p>
            <w:pPr>
              <w:spacing w:after="20"/>
            </w:pPr>
            <w:r>
              <w:rPr>
                <w:color w:val="1C3A36"/>
                <w:sz w:val="14"/>
              </w:rPr>
              <w:t>7</w:t>
            </w:r>
          </w:p>
        </w:tc>
        <w:tc>
          <w:tcPr>
            <w:tcW w:type="dxa" w:w="2448"/>
          </w:tcPr>
          <w:p>
            <w:pPr>
              <w:spacing w:after="20"/>
            </w:pPr>
            <w:r>
              <w:rPr>
                <w:color w:val="1C3A36"/>
                <w:sz w:val="14"/>
              </w:rPr>
              <w:t>cash_fy25</w:t>
            </w:r>
          </w:p>
        </w:tc>
        <w:tc>
          <w:tcPr>
            <w:tcW w:type="dxa" w:w="1325"/>
          </w:tcPr>
          <w:p>
            <w:pPr>
              <w:spacing w:after="20"/>
            </w:pPr>
            <w:r>
              <w:rPr>
                <w:color w:val="1C3A36"/>
                <w:sz w:val="14"/>
              </w:rPr>
              <w:t>4,762.3487</w:t>
            </w:r>
          </w:p>
        </w:tc>
        <w:tc>
          <w:tcPr>
            <w:tcW w:type="dxa" w:w="1066"/>
          </w:tcPr>
          <w:p>
            <w:pPr>
              <w:spacing w:after="20"/>
            </w:pPr>
            <w:r>
              <w:rPr>
                <w:color w:val="1C3A36"/>
                <w:sz w:val="14"/>
              </w:rPr>
              <w:t>Company</w:t>
            </w:r>
          </w:p>
        </w:tc>
        <w:tc>
          <w:tcPr>
            <w:tcW w:type="dxa" w:w="7085"/>
          </w:tcPr>
          <w:p>
            <w:pPr>
              <w:spacing w:after="20"/>
            </w:pPr>
            <w:r>
              <w:rPr>
                <w:color w:val="1C3A36"/>
                <w:sz w:val="14"/>
              </w:rPr>
              <w:t>Cash on hand and at banks at 31 December 2025. Audited statement of financial position at 31 December 2025, printed page 2, from the company's own website. Revision 2 used an aggregator's carry of S&amp;P Global Market Intelligence</w:t>
            </w:r>
          </w:p>
        </w:tc>
        <w:tc>
          <w:tcPr>
            <w:tcW w:type="dxa" w:w="1210"/>
          </w:tcPr>
          <w:p>
            <w:pPr>
              <w:spacing w:after="20"/>
            </w:pPr>
            <w:r>
              <w:rPr>
                <w:color w:val="1C3A36"/>
                <w:sz w:val="14"/>
              </w:rPr>
              <w:t>2025-12-31</w:t>
            </w:r>
          </w:p>
        </w:tc>
      </w:tr>
      <w:tr>
        <w:tc>
          <w:tcPr>
            <w:tcW w:type="dxa" w:w="518"/>
          </w:tcPr>
          <w:p>
            <w:pPr>
              <w:spacing w:after="20"/>
            </w:pPr>
            <w:r>
              <w:rPr>
                <w:color w:val="1C3A36"/>
                <w:sz w:val="14"/>
              </w:rPr>
              <w:t>8</w:t>
            </w:r>
          </w:p>
        </w:tc>
        <w:tc>
          <w:tcPr>
            <w:tcW w:type="dxa" w:w="2448"/>
          </w:tcPr>
          <w:p>
            <w:pPr>
              <w:spacing w:after="20"/>
            </w:pPr>
            <w:r>
              <w:rPr>
                <w:color w:val="1C3A36"/>
                <w:sz w:val="14"/>
              </w:rPr>
              <w:t>cash_mar26</w:t>
            </w:r>
          </w:p>
        </w:tc>
        <w:tc>
          <w:tcPr>
            <w:tcW w:type="dxa" w:w="1325"/>
          </w:tcPr>
          <w:p>
            <w:pPr>
              <w:spacing w:after="20"/>
            </w:pPr>
            <w:r>
              <w:rPr>
                <w:color w:val="1C3A36"/>
                <w:sz w:val="14"/>
              </w:rPr>
              <w:t>5,801.9817</w:t>
            </w:r>
          </w:p>
        </w:tc>
        <w:tc>
          <w:tcPr>
            <w:tcW w:type="dxa" w:w="1066"/>
          </w:tcPr>
          <w:p>
            <w:pPr>
              <w:spacing w:after="20"/>
            </w:pPr>
            <w:r>
              <w:rPr>
                <w:color w:val="1C3A36"/>
                <w:sz w:val="14"/>
              </w:rPr>
              <w:t>Company</w:t>
            </w:r>
          </w:p>
        </w:tc>
        <w:tc>
          <w:tcPr>
            <w:tcW w:type="dxa" w:w="7085"/>
          </w:tcPr>
          <w:p>
            <w:pPr>
              <w:spacing w:after="20"/>
            </w:pPr>
            <w:r>
              <w:rPr>
                <w:color w:val="1C3A36"/>
                <w:sz w:val="14"/>
              </w:rPr>
              <w:t>Cash on hand and at banks, REVIEWED interim statement of financial position as at 31 March 2026, printed page 2. This is the latest disclosed sheet and the bridge stands on it; revision 2 stood on 31-Dec-2025 and rolled it forward on an estimate</w:t>
            </w:r>
          </w:p>
        </w:tc>
        <w:tc>
          <w:tcPr>
            <w:tcW w:type="dxa" w:w="1210"/>
          </w:tcPr>
          <w:p>
            <w:pPr>
              <w:spacing w:after="20"/>
            </w:pPr>
            <w:r>
              <w:rPr>
                <w:color w:val="1C3A36"/>
                <w:sz w:val="14"/>
              </w:rPr>
              <w:t>2026-03-31</w:t>
            </w:r>
          </w:p>
        </w:tc>
      </w:tr>
      <w:tr>
        <w:tc>
          <w:tcPr>
            <w:tcW w:type="dxa" w:w="518"/>
          </w:tcPr>
          <w:p>
            <w:pPr>
              <w:spacing w:after="20"/>
            </w:pPr>
            <w:r>
              <w:rPr>
                <w:color w:val="1C3A36"/>
                <w:sz w:val="14"/>
              </w:rPr>
              <w:t>9</w:t>
            </w:r>
          </w:p>
        </w:tc>
        <w:tc>
          <w:tcPr>
            <w:tcW w:type="dxa" w:w="2448"/>
          </w:tcPr>
          <w:p>
            <w:pPr>
              <w:spacing w:after="20"/>
            </w:pPr>
            <w:r>
              <w:rPr>
                <w:color w:val="1C3A36"/>
                <w:sz w:val="14"/>
              </w:rPr>
              <w:t>clinker_factor</w:t>
            </w:r>
          </w:p>
        </w:tc>
        <w:tc>
          <w:tcPr>
            <w:tcW w:type="dxa" w:w="1325"/>
          </w:tcPr>
          <w:p>
            <w:pPr>
              <w:spacing w:after="20"/>
            </w:pPr>
            <w:r>
              <w:rPr>
                <w:color w:val="1C3A36"/>
                <w:sz w:val="14"/>
              </w:rPr>
              <w:t>0.6763</w:t>
            </w:r>
          </w:p>
        </w:tc>
        <w:tc>
          <w:tcPr>
            <w:tcW w:type="dxa" w:w="1066"/>
          </w:tcPr>
          <w:p>
            <w:pPr>
              <w:spacing w:after="20"/>
            </w:pPr>
            <w:r>
              <w:rPr>
                <w:color w:val="1C3A36"/>
                <w:sz w:val="14"/>
              </w:rPr>
              <w:t>Company</w:t>
            </w:r>
          </w:p>
        </w:tc>
        <w:tc>
          <w:tcPr>
            <w:tcW w:type="dxa" w:w="7085"/>
          </w:tcPr>
          <w:p>
            <w:pPr>
              <w:spacing w:after="20"/>
            </w:pPr>
            <w:r>
              <w:rPr>
                <w:color w:val="1C3A36"/>
                <w:sz w:val="14"/>
              </w:rPr>
              <w:t>Tonnes of clinker per tonne of cement. ANCHORED on the plant register's two capacities (2.57/3.80 = 0.676) but carried as an independent input, because blending is a real operating lever: a lower factor means more cement per tonne of clinker and less fuel per tonne of cement. Deriving it from the capacity pair made kiln capacity cancel out of cement output algebraically — the driver test caught that</w:t>
            </w:r>
          </w:p>
        </w:tc>
        <w:tc>
          <w:tcPr>
            <w:tcW w:type="dxa" w:w="1210"/>
          </w:tcPr>
          <w:p>
            <w:pPr>
              <w:spacing w:after="20"/>
            </w:pPr>
            <w:r>
              <w:rPr>
                <w:color w:val="1C3A36"/>
                <w:sz w:val="14"/>
              </w:rPr>
              <w:t>2025-03-23</w:t>
            </w:r>
          </w:p>
        </w:tc>
      </w:tr>
      <w:tr>
        <w:tc>
          <w:tcPr>
            <w:tcW w:type="dxa" w:w="518"/>
          </w:tcPr>
          <w:p>
            <w:pPr>
              <w:spacing w:after="20"/>
            </w:pPr>
            <w:r>
              <w:rPr>
                <w:color w:val="1C3A36"/>
                <w:sz w:val="14"/>
              </w:rPr>
              <w:t>10</w:t>
            </w:r>
          </w:p>
        </w:tc>
        <w:tc>
          <w:tcPr>
            <w:tcW w:type="dxa" w:w="2448"/>
          </w:tcPr>
          <w:p>
            <w:pPr>
              <w:spacing w:after="20"/>
            </w:pPr>
            <w:r>
              <w:rPr>
                <w:color w:val="1C3A36"/>
                <w:sz w:val="14"/>
              </w:rPr>
              <w:t>cost_distribution_fy25</w:t>
            </w:r>
          </w:p>
        </w:tc>
        <w:tc>
          <w:tcPr>
            <w:tcW w:type="dxa" w:w="1325"/>
          </w:tcPr>
          <w:p>
            <w:pPr>
              <w:spacing w:after="20"/>
            </w:pPr>
            <w:r>
              <w:rPr>
                <w:color w:val="1C3A36"/>
                <w:sz w:val="14"/>
              </w:rPr>
              <w:t>770.5241</w:t>
            </w:r>
          </w:p>
        </w:tc>
        <w:tc>
          <w:tcPr>
            <w:tcW w:type="dxa" w:w="1066"/>
          </w:tcPr>
          <w:p>
            <w:pPr>
              <w:spacing w:after="20"/>
            </w:pPr>
            <w:r>
              <w:rPr>
                <w:color w:val="1C3A36"/>
                <w:sz w:val="14"/>
              </w:rPr>
              <w:t>Company</w:t>
            </w:r>
          </w:p>
        </w:tc>
        <w:tc>
          <w:tcPr>
            <w:tcW w:type="dxa" w:w="7085"/>
          </w:tcPr>
          <w:p>
            <w:pPr>
              <w:spacing w:after="20"/>
            </w:pPr>
            <w:r>
              <w:rPr>
                <w:color w:val="1C3A36"/>
                <w:sz w:val="14"/>
              </w:rPr>
              <w:t>Note 25 'Transfer &amp; loading expenses &amp; renting cars to transport cement' 579.219496 plus 'Export expenses and quality mark' 185.690219, plus note 24's own 'Transfer &amp; loading' 5.614378, FY2025 audited statements for the year ended 31 December 2025, read from the company's own website; committed with its footings in filings_extract.py</w:t>
            </w:r>
          </w:p>
        </w:tc>
        <w:tc>
          <w:tcPr>
            <w:tcW w:type="dxa" w:w="1210"/>
          </w:tcPr>
          <w:p>
            <w:pPr>
              <w:spacing w:after="20"/>
            </w:pPr>
            <w:r>
              <w:rPr>
                <w:color w:val="1C3A36"/>
                <w:sz w:val="14"/>
              </w:rPr>
              <w:t>2025-12-31</w:t>
            </w:r>
          </w:p>
        </w:tc>
      </w:tr>
      <w:tr>
        <w:tc>
          <w:tcPr>
            <w:tcW w:type="dxa" w:w="518"/>
          </w:tcPr>
          <w:p>
            <w:pPr>
              <w:spacing w:after="20"/>
            </w:pPr>
            <w:r>
              <w:rPr>
                <w:color w:val="1C3A36"/>
                <w:sz w:val="14"/>
              </w:rPr>
              <w:t>11</w:t>
            </w:r>
          </w:p>
        </w:tc>
        <w:tc>
          <w:tcPr>
            <w:tcW w:type="dxa" w:w="2448"/>
          </w:tcPr>
          <w:p>
            <w:pPr>
              <w:spacing w:after="20"/>
            </w:pPr>
            <w:r>
              <w:rPr>
                <w:color w:val="1C3A36"/>
                <w:sz w:val="14"/>
              </w:rPr>
              <w:t>cost_fixed_fy25</w:t>
            </w:r>
          </w:p>
        </w:tc>
        <w:tc>
          <w:tcPr>
            <w:tcW w:type="dxa" w:w="1325"/>
          </w:tcPr>
          <w:p>
            <w:pPr>
              <w:spacing w:after="20"/>
            </w:pPr>
            <w:r>
              <w:rPr>
                <w:color w:val="1C3A36"/>
                <w:sz w:val="14"/>
              </w:rPr>
              <w:t>1,270.9542</w:t>
            </w:r>
          </w:p>
        </w:tc>
        <w:tc>
          <w:tcPr>
            <w:tcW w:type="dxa" w:w="1066"/>
          </w:tcPr>
          <w:p>
            <w:pPr>
              <w:spacing w:after="20"/>
            </w:pPr>
            <w:r>
              <w:rPr>
                <w:color w:val="1C3A36"/>
                <w:sz w:val="14"/>
              </w:rPr>
              <w:t>Company</w:t>
            </w:r>
          </w:p>
        </w:tc>
        <w:tc>
          <w:tcPr>
            <w:tcW w:type="dxa" w:w="7085"/>
          </w:tcPr>
          <w:p>
            <w:pPr>
              <w:spacing w:after="20"/>
            </w:pPr>
            <w:r>
              <w:rPr>
                <w:color w:val="1C3A36"/>
                <w:sz w:val="14"/>
              </w:rPr>
              <w:t>The rest of the disclosed cash operating cost: revenue 9,089.149688 less EBITDA 3,455.205144 less the two lines above. It is wages, maintenance, subcontractors, clay resource fees, rents, technical assistance, insurance and general administration across notes 24, 25 and 26. Revision 2 assumed USD 14.60 per tonne of installed capacity = EGP 2,762.9mn, 2.17x the company's actual fixed cost, and that single assumption is most of why its FY2025 backcast came out 355mn light on EBITDA</w:t>
            </w:r>
          </w:p>
        </w:tc>
        <w:tc>
          <w:tcPr>
            <w:tcW w:type="dxa" w:w="1210"/>
          </w:tcPr>
          <w:p>
            <w:pPr>
              <w:spacing w:after="20"/>
            </w:pPr>
            <w:r>
              <w:rPr>
                <w:color w:val="1C3A36"/>
                <w:sz w:val="14"/>
              </w:rPr>
              <w:t>2025-12-31</w:t>
            </w:r>
          </w:p>
        </w:tc>
      </w:tr>
      <w:tr>
        <w:tc>
          <w:tcPr>
            <w:tcW w:type="dxa" w:w="518"/>
          </w:tcPr>
          <w:p>
            <w:pPr>
              <w:spacing w:after="20"/>
            </w:pPr>
            <w:r>
              <w:rPr>
                <w:color w:val="1C3A36"/>
                <w:sz w:val="14"/>
              </w:rPr>
              <w:t>12</w:t>
            </w:r>
          </w:p>
        </w:tc>
        <w:tc>
          <w:tcPr>
            <w:tcW w:type="dxa" w:w="2448"/>
          </w:tcPr>
          <w:p>
            <w:pPr>
              <w:spacing w:after="20"/>
            </w:pPr>
            <w:r>
              <w:rPr>
                <w:color w:val="1C3A36"/>
                <w:sz w:val="14"/>
              </w:rPr>
              <w:t>cost_materials_fy25</w:t>
            </w:r>
          </w:p>
        </w:tc>
        <w:tc>
          <w:tcPr>
            <w:tcW w:type="dxa" w:w="1325"/>
          </w:tcPr>
          <w:p>
            <w:pPr>
              <w:spacing w:after="20"/>
            </w:pPr>
            <w:r>
              <w:rPr>
                <w:color w:val="1C3A36"/>
                <w:sz w:val="14"/>
              </w:rPr>
              <w:t>3,592.4662</w:t>
            </w:r>
          </w:p>
        </w:tc>
        <w:tc>
          <w:tcPr>
            <w:tcW w:type="dxa" w:w="1066"/>
          </w:tcPr>
          <w:p>
            <w:pPr>
              <w:spacing w:after="20"/>
            </w:pPr>
            <w:r>
              <w:rPr>
                <w:color w:val="1C3A36"/>
                <w:sz w:val="14"/>
              </w:rPr>
              <w:t>Company</w:t>
            </w:r>
          </w:p>
        </w:tc>
        <w:tc>
          <w:tcPr>
            <w:tcW w:type="dxa" w:w="7085"/>
          </w:tcPr>
          <w:p>
            <w:pPr>
              <w:spacing w:after="20"/>
            </w:pPr>
            <w:r>
              <w:rPr>
                <w:color w:val="1C3A36"/>
                <w:sz w:val="14"/>
              </w:rPr>
              <w:t>Note 24, 'Raw materials, Supplies, fuel, power, packing sacks', FY2025 audited statements for the year ended 31 December 2025, read from the company's own website; committed with its footings in filings_extract.py. Revision 2 built this from four industry rules of thumb summing to EGP 2,553.7mn, which is -28.9 per cent BELOW the disclosed line, the disclosed line being 40.7 per cent above the assumption</w:t>
            </w:r>
          </w:p>
        </w:tc>
        <w:tc>
          <w:tcPr>
            <w:tcW w:type="dxa" w:w="1210"/>
          </w:tcPr>
          <w:p>
            <w:pPr>
              <w:spacing w:after="20"/>
            </w:pPr>
            <w:r>
              <w:rPr>
                <w:color w:val="1C3A36"/>
                <w:sz w:val="14"/>
              </w:rPr>
              <w:t>2025-12-31</w:t>
            </w:r>
          </w:p>
        </w:tc>
      </w:tr>
      <w:tr>
        <w:tc>
          <w:tcPr>
            <w:tcW w:type="dxa" w:w="518"/>
          </w:tcPr>
          <w:p>
            <w:pPr>
              <w:spacing w:after="20"/>
            </w:pPr>
            <w:r>
              <w:rPr>
                <w:color w:val="1C3A36"/>
                <w:sz w:val="14"/>
              </w:rPr>
              <w:t>13</w:t>
            </w:r>
          </w:p>
        </w:tc>
        <w:tc>
          <w:tcPr>
            <w:tcW w:type="dxa" w:w="2448"/>
          </w:tcPr>
          <w:p>
            <w:pPr>
              <w:spacing w:after="20"/>
            </w:pPr>
            <w:r>
              <w:rPr>
                <w:color w:val="1C3A36"/>
                <w:sz w:val="14"/>
              </w:rPr>
              <w:t>debt_fy25</w:t>
            </w:r>
          </w:p>
        </w:tc>
        <w:tc>
          <w:tcPr>
            <w:tcW w:type="dxa" w:w="1325"/>
          </w:tcPr>
          <w:p>
            <w:pPr>
              <w:spacing w:after="20"/>
            </w:pPr>
            <w:r>
              <w:rPr>
                <w:color w:val="1C3A36"/>
                <w:sz w:val="14"/>
              </w:rPr>
              <w:t>137.5659</w:t>
            </w:r>
          </w:p>
        </w:tc>
        <w:tc>
          <w:tcPr>
            <w:tcW w:type="dxa" w:w="1066"/>
          </w:tcPr>
          <w:p>
            <w:pPr>
              <w:spacing w:after="20"/>
            </w:pPr>
            <w:r>
              <w:rPr>
                <w:color w:val="1C3A36"/>
                <w:sz w:val="14"/>
              </w:rPr>
              <w:t>Company</w:t>
            </w:r>
          </w:p>
        </w:tc>
        <w:tc>
          <w:tcPr>
            <w:tcW w:type="dxa" w:w="7085"/>
          </w:tcPr>
          <w:p>
            <w:pPr>
              <w:spacing w:after="20"/>
            </w:pPr>
            <w:r>
              <w:rPr>
                <w:color w:val="1C3A36"/>
                <w:sz w:val="14"/>
              </w:rPr>
              <w:t>Lease liabilities at 31 December 2025, 111.742265 long-term and 25.823623 current. THE COMPANY HAS NO BANK BORROWINGS. Audited statement of financial position at 31 December 2025, printed page 2, from the company's own website. Revision 2 used an aggregator's carry of S&amp;P Global Market Intelligence</w:t>
            </w:r>
          </w:p>
        </w:tc>
        <w:tc>
          <w:tcPr>
            <w:tcW w:type="dxa" w:w="1210"/>
          </w:tcPr>
          <w:p>
            <w:pPr>
              <w:spacing w:after="20"/>
            </w:pPr>
            <w:r>
              <w:rPr>
                <w:color w:val="1C3A36"/>
                <w:sz w:val="14"/>
              </w:rPr>
              <w:t>2025-12-31</w:t>
            </w:r>
          </w:p>
        </w:tc>
      </w:tr>
      <w:tr>
        <w:tc>
          <w:tcPr>
            <w:tcW w:type="dxa" w:w="518"/>
          </w:tcPr>
          <w:p>
            <w:pPr>
              <w:spacing w:after="20"/>
            </w:pPr>
            <w:r>
              <w:rPr>
                <w:color w:val="1C3A36"/>
                <w:sz w:val="14"/>
              </w:rPr>
              <w:t>14</w:t>
            </w:r>
          </w:p>
        </w:tc>
        <w:tc>
          <w:tcPr>
            <w:tcW w:type="dxa" w:w="2448"/>
          </w:tcPr>
          <w:p>
            <w:pPr>
              <w:spacing w:after="20"/>
            </w:pPr>
            <w:r>
              <w:rPr>
                <w:color w:val="1C3A36"/>
                <w:sz w:val="14"/>
              </w:rPr>
              <w:t>debt_mar26</w:t>
            </w:r>
          </w:p>
        </w:tc>
        <w:tc>
          <w:tcPr>
            <w:tcW w:type="dxa" w:w="1325"/>
          </w:tcPr>
          <w:p>
            <w:pPr>
              <w:spacing w:after="20"/>
            </w:pPr>
            <w:r>
              <w:rPr>
                <w:color w:val="1C3A36"/>
                <w:sz w:val="14"/>
              </w:rPr>
              <w:t>152.71</w:t>
            </w:r>
          </w:p>
        </w:tc>
        <w:tc>
          <w:tcPr>
            <w:tcW w:type="dxa" w:w="1066"/>
          </w:tcPr>
          <w:p>
            <w:pPr>
              <w:spacing w:after="20"/>
            </w:pPr>
            <w:r>
              <w:rPr>
                <w:color w:val="1C3A36"/>
                <w:sz w:val="14"/>
              </w:rPr>
              <w:t>Company</w:t>
            </w:r>
          </w:p>
        </w:tc>
        <w:tc>
          <w:tcPr>
            <w:tcW w:type="dxa" w:w="7085"/>
          </w:tcPr>
          <w:p>
            <w:pPr>
              <w:spacing w:after="20"/>
            </w:pPr>
            <w:r>
              <w:rPr>
                <w:color w:val="1C3A36"/>
                <w:sz w:val="14"/>
              </w:rPr>
              <w:t>Lease liabilities, 137.620919 long-term and 15.089045 current, reviewed sheet at 31 March 2026. THE COMPANY HAS NO BANK BORROWINGS AT EITHER DATE — the whole of its interest-bearing debt is leases under EAS 49</w:t>
            </w:r>
          </w:p>
        </w:tc>
        <w:tc>
          <w:tcPr>
            <w:tcW w:type="dxa" w:w="1210"/>
          </w:tcPr>
          <w:p>
            <w:pPr>
              <w:spacing w:after="20"/>
            </w:pPr>
            <w:r>
              <w:rPr>
                <w:color w:val="1C3A36"/>
                <w:sz w:val="14"/>
              </w:rPr>
              <w:t>2026-03-31</w:t>
            </w:r>
          </w:p>
        </w:tc>
      </w:tr>
      <w:tr>
        <w:tc>
          <w:tcPr>
            <w:tcW w:type="dxa" w:w="518"/>
          </w:tcPr>
          <w:p>
            <w:pPr>
              <w:spacing w:after="20"/>
            </w:pPr>
            <w:r>
              <w:rPr>
                <w:color w:val="1C3A36"/>
                <w:sz w:val="14"/>
              </w:rPr>
              <w:t>15</w:t>
            </w:r>
          </w:p>
        </w:tc>
        <w:tc>
          <w:tcPr>
            <w:tcW w:type="dxa" w:w="2448"/>
          </w:tcPr>
          <w:p>
            <w:pPr>
              <w:spacing w:after="20"/>
            </w:pPr>
            <w:r>
              <w:rPr>
                <w:color w:val="1C3A36"/>
                <w:sz w:val="14"/>
              </w:rPr>
              <w:t>dep_rate_disclosed</w:t>
            </w:r>
          </w:p>
        </w:tc>
        <w:tc>
          <w:tcPr>
            <w:tcW w:type="dxa" w:w="1325"/>
          </w:tcPr>
          <w:p>
            <w:pPr>
              <w:spacing w:after="20"/>
            </w:pPr>
            <w:r>
              <w:rPr>
                <w:color w:val="1C3A36"/>
                <w:sz w:val="14"/>
              </w:rPr>
              <w:t>0.0386</w:t>
            </w:r>
          </w:p>
        </w:tc>
        <w:tc>
          <w:tcPr>
            <w:tcW w:type="dxa" w:w="1066"/>
          </w:tcPr>
          <w:p>
            <w:pPr>
              <w:spacing w:after="20"/>
            </w:pPr>
            <w:r>
              <w:rPr>
                <w:color w:val="1C3A36"/>
                <w:sz w:val="14"/>
              </w:rPr>
              <w:t>Company</w:t>
            </w:r>
          </w:p>
        </w:tc>
        <w:tc>
          <w:tcPr>
            <w:tcW w:type="dxa" w:w="7085"/>
          </w:tcPr>
          <w:p>
            <w:pPr>
              <w:spacing w:after="20"/>
            </w:pPr>
            <w:r>
              <w:rPr>
                <w:color w:val="1C3A36"/>
                <w:sz w:val="14"/>
              </w:rPr>
              <w:t>The weighted depreciation rate implied by note 3/2's disclosed rates on note 4's own gross-cost mix: buildings 2-2.5%, machinery 5%, vehicles and tools 20%, furniture 10-25%. It reproduces the filed FY2025 charge to within 1.2% (121.3 against 122.6), which is what makes it a sourced forward rule rather than an assumption</w:t>
            </w:r>
          </w:p>
        </w:tc>
        <w:tc>
          <w:tcPr>
            <w:tcW w:type="dxa" w:w="1210"/>
          </w:tcPr>
          <w:p>
            <w:pPr>
              <w:spacing w:after="20"/>
            </w:pPr>
            <w:r>
              <w:rPr>
                <w:color w:val="1C3A36"/>
                <w:sz w:val="14"/>
              </w:rPr>
              <w:t>2025-12-31</w:t>
            </w:r>
          </w:p>
        </w:tc>
      </w:tr>
      <w:tr>
        <w:tc>
          <w:tcPr>
            <w:tcW w:type="dxa" w:w="518"/>
          </w:tcPr>
          <w:p>
            <w:pPr>
              <w:spacing w:after="20"/>
            </w:pPr>
            <w:r>
              <w:rPr>
                <w:color w:val="1C3A36"/>
                <w:sz w:val="14"/>
              </w:rPr>
              <w:t>16</w:t>
            </w:r>
          </w:p>
        </w:tc>
        <w:tc>
          <w:tcPr>
            <w:tcW w:type="dxa" w:w="2448"/>
          </w:tcPr>
          <w:p>
            <w:pPr>
              <w:spacing w:after="20"/>
            </w:pPr>
            <w:r>
              <w:rPr>
                <w:color w:val="1C3A36"/>
                <w:sz w:val="14"/>
              </w:rPr>
              <w:t>ebitda_fy24</w:t>
            </w:r>
          </w:p>
        </w:tc>
        <w:tc>
          <w:tcPr>
            <w:tcW w:type="dxa" w:w="1325"/>
          </w:tcPr>
          <w:p>
            <w:pPr>
              <w:spacing w:after="20"/>
            </w:pPr>
            <w:r>
              <w:rPr>
                <w:color w:val="1C3A36"/>
                <w:sz w:val="14"/>
              </w:rPr>
              <w:t>1,590</w:t>
            </w:r>
          </w:p>
        </w:tc>
        <w:tc>
          <w:tcPr>
            <w:tcW w:type="dxa" w:w="1066"/>
          </w:tcPr>
          <w:p>
            <w:pPr>
              <w:spacing w:after="20"/>
            </w:pPr>
            <w:r>
              <w:rPr>
                <w:color w:val="1C3A36"/>
                <w:sz w:val="14"/>
              </w:rPr>
              <w:t>Company</w:t>
            </w:r>
          </w:p>
        </w:tc>
        <w:tc>
          <w:tcPr>
            <w:tcW w:type="dxa" w:w="7085"/>
          </w:tcPr>
          <w:p>
            <w:pPr>
              <w:spacing w:after="20"/>
            </w:pPr>
            <w:r>
              <w:rPr>
                <w:color w:val="1C3A36"/>
                <w:sz w:val="14"/>
              </w:rPr>
              <w:t>FY2024 EBITDA, the one disclosed margin anchor</w:t>
            </w:r>
          </w:p>
        </w:tc>
        <w:tc>
          <w:tcPr>
            <w:tcW w:type="dxa" w:w="1210"/>
          </w:tcPr>
          <w:p>
            <w:pPr>
              <w:spacing w:after="20"/>
            </w:pPr>
            <w:r>
              <w:rPr>
                <w:color w:val="1C3A36"/>
                <w:sz w:val="14"/>
              </w:rPr>
              <w:t>2026-03-10</w:t>
            </w:r>
          </w:p>
        </w:tc>
      </w:tr>
      <w:tr>
        <w:tc>
          <w:tcPr>
            <w:tcW w:type="dxa" w:w="518"/>
          </w:tcPr>
          <w:p>
            <w:pPr>
              <w:spacing w:after="20"/>
            </w:pPr>
            <w:r>
              <w:rPr>
                <w:color w:val="1C3A36"/>
                <w:sz w:val="14"/>
              </w:rPr>
              <w:t>17</w:t>
            </w:r>
          </w:p>
        </w:tc>
        <w:tc>
          <w:tcPr>
            <w:tcW w:type="dxa" w:w="2448"/>
          </w:tcPr>
          <w:p>
            <w:pPr>
              <w:spacing w:after="20"/>
            </w:pPr>
            <w:r>
              <w:rPr>
                <w:color w:val="1C3A36"/>
                <w:sz w:val="14"/>
              </w:rPr>
              <w:t>eq_fy25_rep</w:t>
            </w:r>
          </w:p>
        </w:tc>
        <w:tc>
          <w:tcPr>
            <w:tcW w:type="dxa" w:w="1325"/>
          </w:tcPr>
          <w:p>
            <w:pPr>
              <w:spacing w:after="20"/>
            </w:pPr>
            <w:r>
              <w:rPr>
                <w:color w:val="1C3A36"/>
                <w:sz w:val="14"/>
              </w:rPr>
              <w:t>6,020.3387</w:t>
            </w:r>
          </w:p>
        </w:tc>
        <w:tc>
          <w:tcPr>
            <w:tcW w:type="dxa" w:w="1066"/>
          </w:tcPr>
          <w:p>
            <w:pPr>
              <w:spacing w:after="20"/>
            </w:pPr>
            <w:r>
              <w:rPr>
                <w:color w:val="1C3A36"/>
                <w:sz w:val="14"/>
              </w:rPr>
              <w:t>Company</w:t>
            </w:r>
          </w:p>
        </w:tc>
        <w:tc>
          <w:tcPr>
            <w:tcW w:type="dxa" w:w="7085"/>
          </w:tcPr>
          <w:p>
            <w:pPr>
              <w:spacing w:after="20"/>
            </w:pPr>
            <w:r>
              <w:rPr>
                <w:color w:val="1C3A36"/>
                <w:sz w:val="14"/>
              </w:rPr>
              <w:t>Total shareholders' equity at 31 December 2025, footing across capital, reserves, retained earnings and the year's profit. Audited statement of financial position at 31 December 2025, printed page 2, from the company's own website. Revision 2 used an aggregator's carry of S&amp;P Global Market Intelligence</w:t>
            </w:r>
          </w:p>
        </w:tc>
        <w:tc>
          <w:tcPr>
            <w:tcW w:type="dxa" w:w="1210"/>
          </w:tcPr>
          <w:p>
            <w:pPr>
              <w:spacing w:after="20"/>
            </w:pPr>
            <w:r>
              <w:rPr>
                <w:color w:val="1C3A36"/>
                <w:sz w:val="14"/>
              </w:rPr>
              <w:t>2025-12-31</w:t>
            </w:r>
          </w:p>
        </w:tc>
      </w:tr>
      <w:tr>
        <w:tc>
          <w:tcPr>
            <w:tcW w:type="dxa" w:w="518"/>
          </w:tcPr>
          <w:p>
            <w:pPr>
              <w:spacing w:after="20"/>
            </w:pPr>
            <w:r>
              <w:rPr>
                <w:color w:val="1C3A36"/>
                <w:sz w:val="14"/>
              </w:rPr>
              <w:t>18</w:t>
            </w:r>
          </w:p>
        </w:tc>
        <w:tc>
          <w:tcPr>
            <w:tcW w:type="dxa" w:w="2448"/>
          </w:tcPr>
          <w:p>
            <w:pPr>
              <w:spacing w:after="20"/>
            </w:pPr>
            <w:r>
              <w:rPr>
                <w:color w:val="1C3A36"/>
                <w:sz w:val="14"/>
              </w:rPr>
              <w:t>eq_mar26</w:t>
            </w:r>
          </w:p>
        </w:tc>
        <w:tc>
          <w:tcPr>
            <w:tcW w:type="dxa" w:w="1325"/>
          </w:tcPr>
          <w:p>
            <w:pPr>
              <w:spacing w:after="20"/>
            </w:pPr>
            <w:r>
              <w:rPr>
                <w:color w:val="1C3A36"/>
                <w:sz w:val="14"/>
              </w:rPr>
              <w:t>7,134.8177</w:t>
            </w:r>
          </w:p>
        </w:tc>
        <w:tc>
          <w:tcPr>
            <w:tcW w:type="dxa" w:w="1066"/>
          </w:tcPr>
          <w:p>
            <w:pPr>
              <w:spacing w:after="20"/>
            </w:pPr>
            <w:r>
              <w:rPr>
                <w:color w:val="1C3A36"/>
                <w:sz w:val="14"/>
              </w:rPr>
              <w:t>Company</w:t>
            </w:r>
          </w:p>
        </w:tc>
        <w:tc>
          <w:tcPr>
            <w:tcW w:type="dxa" w:w="7085"/>
          </w:tcPr>
          <w:p>
            <w:pPr>
              <w:spacing w:after="20"/>
            </w:pPr>
            <w:r>
              <w:rPr>
                <w:color w:val="1C3A36"/>
                <w:sz w:val="14"/>
              </w:rPr>
              <w:t>Total equity, reviewed sheet at 31 March 2026</w:t>
            </w:r>
          </w:p>
        </w:tc>
        <w:tc>
          <w:tcPr>
            <w:tcW w:type="dxa" w:w="1210"/>
          </w:tcPr>
          <w:p>
            <w:pPr>
              <w:spacing w:after="20"/>
            </w:pPr>
            <w:r>
              <w:rPr>
                <w:color w:val="1C3A36"/>
                <w:sz w:val="14"/>
              </w:rPr>
              <w:t>2026-03-31</w:t>
            </w:r>
          </w:p>
        </w:tc>
      </w:tr>
      <w:tr>
        <w:tc>
          <w:tcPr>
            <w:tcW w:type="dxa" w:w="518"/>
          </w:tcPr>
          <w:p>
            <w:pPr>
              <w:spacing w:after="20"/>
            </w:pPr>
            <w:r>
              <w:rPr>
                <w:color w:val="1C3A36"/>
                <w:sz w:val="14"/>
              </w:rPr>
              <w:t>19</w:t>
            </w:r>
          </w:p>
        </w:tc>
        <w:tc>
          <w:tcPr>
            <w:tcW w:type="dxa" w:w="2448"/>
          </w:tcPr>
          <w:p>
            <w:pPr>
              <w:spacing w:after="20"/>
            </w:pPr>
            <w:r>
              <w:rPr>
                <w:color w:val="1C3A36"/>
                <w:sz w:val="14"/>
              </w:rPr>
              <w:t>gross_fixed_fy25</w:t>
            </w:r>
          </w:p>
        </w:tc>
        <w:tc>
          <w:tcPr>
            <w:tcW w:type="dxa" w:w="1325"/>
          </w:tcPr>
          <w:p>
            <w:pPr>
              <w:spacing w:after="20"/>
            </w:pPr>
            <w:r>
              <w:rPr>
                <w:color w:val="1C3A36"/>
                <w:sz w:val="14"/>
              </w:rPr>
              <w:t>3,140.8552</w:t>
            </w:r>
          </w:p>
        </w:tc>
        <w:tc>
          <w:tcPr>
            <w:tcW w:type="dxa" w:w="1066"/>
          </w:tcPr>
          <w:p>
            <w:pPr>
              <w:spacing w:after="20"/>
            </w:pPr>
            <w:r>
              <w:rPr>
                <w:color w:val="1C3A36"/>
                <w:sz w:val="14"/>
              </w:rPr>
              <w:t>Company</w:t>
            </w:r>
          </w:p>
        </w:tc>
        <w:tc>
          <w:tcPr>
            <w:tcW w:type="dxa" w:w="7085"/>
          </w:tcPr>
          <w:p>
            <w:pPr>
              <w:spacing w:after="20"/>
            </w:pPr>
            <w:r>
              <w:rPr>
                <w:color w:val="1C3A36"/>
                <w:sz w:val="14"/>
              </w:rPr>
              <w:t>Note 4, gross cost of fixed assets at 31-Dec-2025, footing across five classes audited statements for the year ended 31 December 2025, read from the company's own website; committed with its footings in filings_extract.py</w:t>
            </w:r>
          </w:p>
        </w:tc>
        <w:tc>
          <w:tcPr>
            <w:tcW w:type="dxa" w:w="1210"/>
          </w:tcPr>
          <w:p>
            <w:pPr>
              <w:spacing w:after="20"/>
            </w:pPr>
            <w:r>
              <w:rPr>
                <w:color w:val="1C3A36"/>
                <w:sz w:val="14"/>
              </w:rPr>
              <w:t>2025-12-31</w:t>
            </w:r>
          </w:p>
        </w:tc>
      </w:tr>
      <w:tr>
        <w:tc>
          <w:tcPr>
            <w:tcW w:type="dxa" w:w="518"/>
          </w:tcPr>
          <w:p>
            <w:pPr>
              <w:spacing w:after="20"/>
            </w:pPr>
            <w:r>
              <w:rPr>
                <w:color w:val="1C3A36"/>
                <w:sz w:val="14"/>
              </w:rPr>
              <w:t>20</w:t>
            </w:r>
          </w:p>
        </w:tc>
        <w:tc>
          <w:tcPr>
            <w:tcW w:type="dxa" w:w="2448"/>
          </w:tcPr>
          <w:p>
            <w:pPr>
              <w:spacing w:after="20"/>
            </w:pPr>
            <w:r>
              <w:rPr>
                <w:color w:val="1C3A36"/>
                <w:sz w:val="14"/>
              </w:rPr>
              <w:t>mto_price</w:t>
            </w:r>
          </w:p>
        </w:tc>
        <w:tc>
          <w:tcPr>
            <w:tcW w:type="dxa" w:w="1325"/>
          </w:tcPr>
          <w:p>
            <w:pPr>
              <w:spacing w:after="20"/>
            </w:pPr>
            <w:r>
              <w:rPr>
                <w:color w:val="1C3A36"/>
                <w:sz w:val="14"/>
              </w:rPr>
              <w:t>41</w:t>
            </w:r>
          </w:p>
        </w:tc>
        <w:tc>
          <w:tcPr>
            <w:tcW w:type="dxa" w:w="1066"/>
          </w:tcPr>
          <w:p>
            <w:pPr>
              <w:spacing w:after="20"/>
            </w:pPr>
            <w:r>
              <w:rPr>
                <w:color w:val="1C3A36"/>
                <w:sz w:val="14"/>
              </w:rPr>
              <w:t>Company</w:t>
            </w:r>
          </w:p>
        </w:tc>
        <w:tc>
          <w:tcPr>
            <w:tcW w:type="dxa" w:w="7085"/>
          </w:tcPr>
          <w:p>
            <w:pPr>
              <w:spacing w:after="20"/>
            </w:pPr>
            <w:r>
              <w:rPr>
                <w:color w:val="1C3A36"/>
                <w:sz w:val="14"/>
              </w:rPr>
              <w:t>Vicat mandatory tender offer, July 2025. A disclosed reference point and an overhang, never a fair value</w:t>
            </w:r>
          </w:p>
        </w:tc>
        <w:tc>
          <w:tcPr>
            <w:tcW w:type="dxa" w:w="1210"/>
          </w:tcPr>
          <w:p>
            <w:pPr>
              <w:spacing w:after="20"/>
            </w:pPr>
            <w:r>
              <w:rPr>
                <w:color w:val="1C3A36"/>
                <w:sz w:val="14"/>
              </w:rPr>
              <w:t>2025-07-28</w:t>
            </w:r>
          </w:p>
        </w:tc>
      </w:tr>
      <w:tr>
        <w:tc>
          <w:tcPr>
            <w:tcW w:type="dxa" w:w="518"/>
          </w:tcPr>
          <w:p>
            <w:pPr>
              <w:spacing w:after="20"/>
            </w:pPr>
            <w:r>
              <w:rPr>
                <w:color w:val="1C3A36"/>
                <w:sz w:val="14"/>
              </w:rPr>
              <w:t>21</w:t>
            </w:r>
          </w:p>
        </w:tc>
        <w:tc>
          <w:tcPr>
            <w:tcW w:type="dxa" w:w="2448"/>
          </w:tcPr>
          <w:p>
            <w:pPr>
              <w:spacing w:after="20"/>
            </w:pPr>
            <w:r>
              <w:rPr>
                <w:color w:val="1C3A36"/>
                <w:sz w:val="14"/>
              </w:rPr>
              <w:t>pat_fy23</w:t>
            </w:r>
          </w:p>
        </w:tc>
        <w:tc>
          <w:tcPr>
            <w:tcW w:type="dxa" w:w="1325"/>
          </w:tcPr>
          <w:p>
            <w:pPr>
              <w:spacing w:after="20"/>
            </w:pPr>
            <w:r>
              <w:rPr>
                <w:color w:val="1C3A36"/>
                <w:sz w:val="14"/>
              </w:rPr>
              <w:t>-117.5816</w:t>
            </w:r>
          </w:p>
        </w:tc>
        <w:tc>
          <w:tcPr>
            <w:tcW w:type="dxa" w:w="1066"/>
          </w:tcPr>
          <w:p>
            <w:pPr>
              <w:spacing w:after="20"/>
            </w:pPr>
            <w:r>
              <w:rPr>
                <w:color w:val="1C3A36"/>
                <w:sz w:val="14"/>
              </w:rPr>
              <w:t>Company</w:t>
            </w:r>
          </w:p>
        </w:tc>
        <w:tc>
          <w:tcPr>
            <w:tcW w:type="dxa" w:w="7085"/>
          </w:tcPr>
          <w:p>
            <w:pPr>
              <w:spacing w:after="20"/>
            </w:pPr>
            <w:r>
              <w:rPr>
                <w:color w:val="1C3A36"/>
                <w:sz w:val="14"/>
              </w:rPr>
              <w:t>Audited statement of profit or loss for the year ended 31 December 2023 (the comparative column of the FY2024 filing), printed page 3, read from the company's own website and committed with its footings in filings_extract.py. Revision 2 used a trade-press figure relayed from an EGX filing it had not read</w:t>
            </w:r>
          </w:p>
        </w:tc>
        <w:tc>
          <w:tcPr>
            <w:tcW w:type="dxa" w:w="1210"/>
          </w:tcPr>
          <w:p>
            <w:pPr>
              <w:spacing w:after="20"/>
            </w:pPr>
            <w:r>
              <w:rPr>
                <w:color w:val="1C3A36"/>
                <w:sz w:val="14"/>
              </w:rPr>
              <w:t>2025-12-31</w:t>
            </w:r>
          </w:p>
        </w:tc>
      </w:tr>
      <w:tr>
        <w:tc>
          <w:tcPr>
            <w:tcW w:type="dxa" w:w="518"/>
          </w:tcPr>
          <w:p>
            <w:pPr>
              <w:spacing w:after="20"/>
            </w:pPr>
            <w:r>
              <w:rPr>
                <w:color w:val="1C3A36"/>
                <w:sz w:val="14"/>
              </w:rPr>
              <w:t>22</w:t>
            </w:r>
          </w:p>
        </w:tc>
        <w:tc>
          <w:tcPr>
            <w:tcW w:type="dxa" w:w="2448"/>
          </w:tcPr>
          <w:p>
            <w:pPr>
              <w:spacing w:after="20"/>
            </w:pPr>
            <w:r>
              <w:rPr>
                <w:color w:val="1C3A36"/>
                <w:sz w:val="14"/>
              </w:rPr>
              <w:t>pat_fy24</w:t>
            </w:r>
          </w:p>
        </w:tc>
        <w:tc>
          <w:tcPr>
            <w:tcW w:type="dxa" w:w="1325"/>
          </w:tcPr>
          <w:p>
            <w:pPr>
              <w:spacing w:after="20"/>
            </w:pPr>
            <w:r>
              <w:rPr>
                <w:color w:val="1C3A36"/>
                <w:sz w:val="14"/>
              </w:rPr>
              <w:t>3,072.3618</w:t>
            </w:r>
          </w:p>
        </w:tc>
        <w:tc>
          <w:tcPr>
            <w:tcW w:type="dxa" w:w="1066"/>
          </w:tcPr>
          <w:p>
            <w:pPr>
              <w:spacing w:after="20"/>
            </w:pPr>
            <w:r>
              <w:rPr>
                <w:color w:val="1C3A36"/>
                <w:sz w:val="14"/>
              </w:rPr>
              <w:t>Company</w:t>
            </w:r>
          </w:p>
        </w:tc>
        <w:tc>
          <w:tcPr>
            <w:tcW w:type="dxa" w:w="7085"/>
          </w:tcPr>
          <w:p>
            <w:pPr>
              <w:spacing w:after="20"/>
            </w:pPr>
            <w:r>
              <w:rPr>
                <w:color w:val="1C3A36"/>
                <w:sz w:val="14"/>
              </w:rPr>
              <w:t>Audited statement of profit or loss for the year ended 31 December 2024, printed page 3, read from the company's own website and committed with its footings in filings_extract.py. Revision 2 used a trade-press figure relayed from an EGX filing it had not read</w:t>
            </w:r>
          </w:p>
        </w:tc>
        <w:tc>
          <w:tcPr>
            <w:tcW w:type="dxa" w:w="1210"/>
          </w:tcPr>
          <w:p>
            <w:pPr>
              <w:spacing w:after="20"/>
            </w:pPr>
            <w:r>
              <w:rPr>
                <w:color w:val="1C3A36"/>
                <w:sz w:val="14"/>
              </w:rPr>
              <w:t>2025-12-31</w:t>
            </w:r>
          </w:p>
        </w:tc>
      </w:tr>
      <w:tr>
        <w:tc>
          <w:tcPr>
            <w:tcW w:type="dxa" w:w="518"/>
          </w:tcPr>
          <w:p>
            <w:pPr>
              <w:spacing w:after="20"/>
            </w:pPr>
            <w:r>
              <w:rPr>
                <w:color w:val="1C3A36"/>
                <w:sz w:val="14"/>
              </w:rPr>
              <w:t>23</w:t>
            </w:r>
          </w:p>
        </w:tc>
        <w:tc>
          <w:tcPr>
            <w:tcW w:type="dxa" w:w="2448"/>
          </w:tcPr>
          <w:p>
            <w:pPr>
              <w:spacing w:after="20"/>
            </w:pPr>
            <w:r>
              <w:rPr>
                <w:color w:val="1C3A36"/>
                <w:sz w:val="14"/>
              </w:rPr>
              <w:t>pat_fy25</w:t>
            </w:r>
          </w:p>
        </w:tc>
        <w:tc>
          <w:tcPr>
            <w:tcW w:type="dxa" w:w="1325"/>
          </w:tcPr>
          <w:p>
            <w:pPr>
              <w:spacing w:after="20"/>
            </w:pPr>
            <w:r>
              <w:rPr>
                <w:color w:val="1C3A36"/>
                <w:sz w:val="14"/>
              </w:rPr>
              <w:t>2,284.539</w:t>
            </w:r>
          </w:p>
        </w:tc>
        <w:tc>
          <w:tcPr>
            <w:tcW w:type="dxa" w:w="1066"/>
          </w:tcPr>
          <w:p>
            <w:pPr>
              <w:spacing w:after="20"/>
            </w:pPr>
            <w:r>
              <w:rPr>
                <w:color w:val="1C3A36"/>
                <w:sz w:val="14"/>
              </w:rPr>
              <w:t>Company</w:t>
            </w:r>
          </w:p>
        </w:tc>
        <w:tc>
          <w:tcPr>
            <w:tcW w:type="dxa" w:w="7085"/>
          </w:tcPr>
          <w:p>
            <w:pPr>
              <w:spacing w:after="20"/>
            </w:pPr>
            <w:r>
              <w:rPr>
                <w:color w:val="1C3A36"/>
                <w:sz w:val="14"/>
              </w:rPr>
              <w:t>Audited statement of profit or loss for the year ended 31 December 2025, printed page 3, read from the company's own website and committed with its footings in filings_extract.py. Revision 2 used a trade-press figure relayed from an EGX filing it had not read</w:t>
            </w:r>
          </w:p>
        </w:tc>
        <w:tc>
          <w:tcPr>
            <w:tcW w:type="dxa" w:w="1210"/>
          </w:tcPr>
          <w:p>
            <w:pPr>
              <w:spacing w:after="20"/>
            </w:pPr>
            <w:r>
              <w:rPr>
                <w:color w:val="1C3A36"/>
                <w:sz w:val="14"/>
              </w:rPr>
              <w:t>2025-12-31</w:t>
            </w:r>
          </w:p>
        </w:tc>
      </w:tr>
      <w:tr>
        <w:tc>
          <w:tcPr>
            <w:tcW w:type="dxa" w:w="518"/>
          </w:tcPr>
          <w:p>
            <w:pPr>
              <w:spacing w:after="20"/>
            </w:pPr>
            <w:r>
              <w:rPr>
                <w:color w:val="1C3A36"/>
                <w:sz w:val="14"/>
              </w:rPr>
              <w:t>24</w:t>
            </w:r>
          </w:p>
        </w:tc>
        <w:tc>
          <w:tcPr>
            <w:tcW w:type="dxa" w:w="2448"/>
          </w:tcPr>
          <w:p>
            <w:pPr>
              <w:spacing w:after="20"/>
            </w:pPr>
            <w:r>
              <w:rPr>
                <w:color w:val="1C3A36"/>
                <w:sz w:val="14"/>
              </w:rPr>
              <w:t>payout</w:t>
            </w:r>
          </w:p>
        </w:tc>
        <w:tc>
          <w:tcPr>
            <w:tcW w:type="dxa" w:w="1325"/>
          </w:tcPr>
          <w:p>
            <w:pPr>
              <w:spacing w:after="20"/>
            </w:pPr>
            <w:r>
              <w:rPr>
                <w:color w:val="1C3A36"/>
                <w:sz w:val="14"/>
              </w:rPr>
              <w:t>0</w:t>
            </w:r>
          </w:p>
        </w:tc>
        <w:tc>
          <w:tcPr>
            <w:tcW w:type="dxa" w:w="1066"/>
          </w:tcPr>
          <w:p>
            <w:pPr>
              <w:spacing w:after="20"/>
            </w:pPr>
            <w:r>
              <w:rPr>
                <w:color w:val="1C3A36"/>
                <w:sz w:val="14"/>
              </w:rPr>
              <w:t>Company</w:t>
            </w:r>
          </w:p>
        </w:tc>
        <w:tc>
          <w:tcPr>
            <w:tcW w:type="dxa" w:w="7085"/>
          </w:tcPr>
          <w:p>
            <w:pPr>
              <w:spacing w:after="20"/>
            </w:pPr>
            <w:r>
              <w:rPr>
                <w:color w:val="1C3A36"/>
                <w:sz w:val="14"/>
              </w:rPr>
              <w:t>Dividend payout from FY2026E. THE FILED EQUITY STATEMENTS SHOW NO DISTRIBUTION AT ALL, twice over and to the pound: equity of EGP 3,735.80mn at 31-Dec-2024 plus FY2025 profit of 2,284.54mn is exactly the filed 6,020.34mn, and that plus the reviewed quarter's 1,114.48mn is exactly the filed 7,134.82mn at 31-Mar-2026. A 60% payout was assumed against a company whose own statements reconcile with none, and an earlier edition called the implied distribution its 'largest single uncertainty' — it dissolves against the record. This changes no valuation number, because free cash flow to the firm is struck before financing; it changes the projected balance sheet a reader is shown</w:t>
            </w:r>
          </w:p>
        </w:tc>
        <w:tc>
          <w:tcPr>
            <w:tcW w:type="dxa" w:w="1210"/>
          </w:tcPr>
          <w:p>
            <w:pPr>
              <w:spacing w:after="20"/>
            </w:pPr>
            <w:r>
              <w:rPr>
                <w:color w:val="1C3A36"/>
                <w:sz w:val="14"/>
              </w:rPr>
              <w:t>2026-09-04</w:t>
            </w:r>
          </w:p>
        </w:tc>
      </w:tr>
      <w:tr>
        <w:tc>
          <w:tcPr>
            <w:tcW w:type="dxa" w:w="518"/>
          </w:tcPr>
          <w:p>
            <w:pPr>
              <w:spacing w:after="20"/>
            </w:pPr>
            <w:r>
              <w:rPr>
                <w:color w:val="1C3A36"/>
                <w:sz w:val="14"/>
              </w:rPr>
              <w:t>25</w:t>
            </w:r>
          </w:p>
        </w:tc>
        <w:tc>
          <w:tcPr>
            <w:tcW w:type="dxa" w:w="2448"/>
          </w:tcPr>
          <w:p>
            <w:pPr>
              <w:spacing w:after="20"/>
            </w:pPr>
            <w:r>
              <w:rPr>
                <w:color w:val="1C3A36"/>
                <w:sz w:val="14"/>
              </w:rPr>
              <w:t>rev_fy23</w:t>
            </w:r>
          </w:p>
        </w:tc>
        <w:tc>
          <w:tcPr>
            <w:tcW w:type="dxa" w:w="1325"/>
          </w:tcPr>
          <w:p>
            <w:pPr>
              <w:spacing w:after="20"/>
            </w:pPr>
            <w:r>
              <w:rPr>
                <w:color w:val="1C3A36"/>
                <w:sz w:val="14"/>
              </w:rPr>
              <w:t>4,285.4702</w:t>
            </w:r>
          </w:p>
        </w:tc>
        <w:tc>
          <w:tcPr>
            <w:tcW w:type="dxa" w:w="1066"/>
          </w:tcPr>
          <w:p>
            <w:pPr>
              <w:spacing w:after="20"/>
            </w:pPr>
            <w:r>
              <w:rPr>
                <w:color w:val="1C3A36"/>
                <w:sz w:val="14"/>
              </w:rPr>
              <w:t>Company</w:t>
            </w:r>
          </w:p>
        </w:tc>
        <w:tc>
          <w:tcPr>
            <w:tcW w:type="dxa" w:w="7085"/>
          </w:tcPr>
          <w:p>
            <w:pPr>
              <w:spacing w:after="20"/>
            </w:pPr>
            <w:r>
              <w:rPr>
                <w:color w:val="1C3A36"/>
                <w:sz w:val="14"/>
              </w:rPr>
              <w:t>Audited statement of profit or loss for the year ended 31 December 2023 (the comparative column of the FY2024 filing), printed page 3, read from the company's own website and committed with its footings in filings_extract.py. Revision 2 used a trade-press figure relayed from an EGX filing it had not read</w:t>
            </w:r>
          </w:p>
        </w:tc>
        <w:tc>
          <w:tcPr>
            <w:tcW w:type="dxa" w:w="1210"/>
          </w:tcPr>
          <w:p>
            <w:pPr>
              <w:spacing w:after="20"/>
            </w:pPr>
            <w:r>
              <w:rPr>
                <w:color w:val="1C3A36"/>
                <w:sz w:val="14"/>
              </w:rPr>
              <w:t>2025-12-31</w:t>
            </w:r>
          </w:p>
        </w:tc>
      </w:tr>
      <w:tr>
        <w:tc>
          <w:tcPr>
            <w:tcW w:type="dxa" w:w="518"/>
          </w:tcPr>
          <w:p>
            <w:pPr>
              <w:spacing w:after="20"/>
            </w:pPr>
            <w:r>
              <w:rPr>
                <w:color w:val="1C3A36"/>
                <w:sz w:val="14"/>
              </w:rPr>
              <w:t>26</w:t>
            </w:r>
          </w:p>
        </w:tc>
        <w:tc>
          <w:tcPr>
            <w:tcW w:type="dxa" w:w="2448"/>
          </w:tcPr>
          <w:p>
            <w:pPr>
              <w:spacing w:after="20"/>
            </w:pPr>
            <w:r>
              <w:rPr>
                <w:color w:val="1C3A36"/>
                <w:sz w:val="14"/>
              </w:rPr>
              <w:t>rev_fy24</w:t>
            </w:r>
          </w:p>
        </w:tc>
        <w:tc>
          <w:tcPr>
            <w:tcW w:type="dxa" w:w="1325"/>
          </w:tcPr>
          <w:p>
            <w:pPr>
              <w:spacing w:after="20"/>
            </w:pPr>
            <w:r>
              <w:rPr>
                <w:color w:val="1C3A36"/>
                <w:sz w:val="14"/>
              </w:rPr>
              <w:t>6,428.0119</w:t>
            </w:r>
          </w:p>
        </w:tc>
        <w:tc>
          <w:tcPr>
            <w:tcW w:type="dxa" w:w="1066"/>
          </w:tcPr>
          <w:p>
            <w:pPr>
              <w:spacing w:after="20"/>
            </w:pPr>
            <w:r>
              <w:rPr>
                <w:color w:val="1C3A36"/>
                <w:sz w:val="14"/>
              </w:rPr>
              <w:t>Company</w:t>
            </w:r>
          </w:p>
        </w:tc>
        <w:tc>
          <w:tcPr>
            <w:tcW w:type="dxa" w:w="7085"/>
          </w:tcPr>
          <w:p>
            <w:pPr>
              <w:spacing w:after="20"/>
            </w:pPr>
            <w:r>
              <w:rPr>
                <w:color w:val="1C3A36"/>
                <w:sz w:val="14"/>
              </w:rPr>
              <w:t>Audited statement of profit or loss for the year ended 31 December 2024, printed page 3, read from the company's own website and committed with its footings in filings_extract.py. Revision 2 used a trade-press figure relayed from an EGX filing it had not read</w:t>
            </w:r>
          </w:p>
        </w:tc>
        <w:tc>
          <w:tcPr>
            <w:tcW w:type="dxa" w:w="1210"/>
          </w:tcPr>
          <w:p>
            <w:pPr>
              <w:spacing w:after="20"/>
            </w:pPr>
            <w:r>
              <w:rPr>
                <w:color w:val="1C3A36"/>
                <w:sz w:val="14"/>
              </w:rPr>
              <w:t>2025-12-31</w:t>
            </w:r>
          </w:p>
        </w:tc>
      </w:tr>
      <w:tr>
        <w:tc>
          <w:tcPr>
            <w:tcW w:type="dxa" w:w="518"/>
          </w:tcPr>
          <w:p>
            <w:pPr>
              <w:spacing w:after="20"/>
            </w:pPr>
            <w:r>
              <w:rPr>
                <w:color w:val="1C3A36"/>
                <w:sz w:val="14"/>
              </w:rPr>
              <w:t>27</w:t>
            </w:r>
          </w:p>
        </w:tc>
        <w:tc>
          <w:tcPr>
            <w:tcW w:type="dxa" w:w="2448"/>
          </w:tcPr>
          <w:p>
            <w:pPr>
              <w:spacing w:after="20"/>
            </w:pPr>
            <w:r>
              <w:rPr>
                <w:color w:val="1C3A36"/>
                <w:sz w:val="14"/>
              </w:rPr>
              <w:t>rev_fy25</w:t>
            </w:r>
          </w:p>
        </w:tc>
        <w:tc>
          <w:tcPr>
            <w:tcW w:type="dxa" w:w="1325"/>
          </w:tcPr>
          <w:p>
            <w:pPr>
              <w:spacing w:after="20"/>
            </w:pPr>
            <w:r>
              <w:rPr>
                <w:color w:val="1C3A36"/>
                <w:sz w:val="14"/>
              </w:rPr>
              <w:t>9,089.1497</w:t>
            </w:r>
          </w:p>
        </w:tc>
        <w:tc>
          <w:tcPr>
            <w:tcW w:type="dxa" w:w="1066"/>
          </w:tcPr>
          <w:p>
            <w:pPr>
              <w:spacing w:after="20"/>
            </w:pPr>
            <w:r>
              <w:rPr>
                <w:color w:val="1C3A36"/>
                <w:sz w:val="14"/>
              </w:rPr>
              <w:t>Company</w:t>
            </w:r>
          </w:p>
        </w:tc>
        <w:tc>
          <w:tcPr>
            <w:tcW w:type="dxa" w:w="7085"/>
          </w:tcPr>
          <w:p>
            <w:pPr>
              <w:spacing w:after="20"/>
            </w:pPr>
            <w:r>
              <w:rPr>
                <w:color w:val="1C3A36"/>
                <w:sz w:val="14"/>
              </w:rPr>
              <w:t>Audited statement of profit or loss for the year ended 31 December 2025, printed page 3, read from the company's own website and committed with its footings in filings_extract.py. Revision 2 used a trade-press figure relayed from an EGX filing it had not read</w:t>
            </w:r>
          </w:p>
        </w:tc>
        <w:tc>
          <w:tcPr>
            <w:tcW w:type="dxa" w:w="1210"/>
          </w:tcPr>
          <w:p>
            <w:pPr>
              <w:spacing w:after="20"/>
            </w:pPr>
            <w:r>
              <w:rPr>
                <w:color w:val="1C3A36"/>
                <w:sz w:val="14"/>
              </w:rPr>
              <w:t>2025-12-31</w:t>
            </w:r>
          </w:p>
        </w:tc>
      </w:tr>
      <w:tr>
        <w:tc>
          <w:tcPr>
            <w:tcW w:type="dxa" w:w="518"/>
          </w:tcPr>
          <w:p>
            <w:pPr>
              <w:spacing w:after="20"/>
            </w:pPr>
            <w:r>
              <w:rPr>
                <w:color w:val="1C3A36"/>
                <w:sz w:val="14"/>
              </w:rPr>
              <w:t>28</w:t>
            </w:r>
          </w:p>
        </w:tc>
        <w:tc>
          <w:tcPr>
            <w:tcW w:type="dxa" w:w="2448"/>
          </w:tcPr>
          <w:p>
            <w:pPr>
              <w:spacing w:after="20"/>
            </w:pPr>
            <w:r>
              <w:rPr>
                <w:color w:val="1C3A36"/>
                <w:sz w:val="14"/>
              </w:rPr>
              <w:t>shares_fy23</w:t>
            </w:r>
          </w:p>
        </w:tc>
        <w:tc>
          <w:tcPr>
            <w:tcW w:type="dxa" w:w="1325"/>
          </w:tcPr>
          <w:p>
            <w:pPr>
              <w:spacing w:after="20"/>
            </w:pPr>
            <w:r>
              <w:rPr>
                <w:color w:val="1C3A36"/>
                <w:sz w:val="14"/>
              </w:rPr>
              <w:t>133.07</w:t>
            </w:r>
          </w:p>
        </w:tc>
        <w:tc>
          <w:tcPr>
            <w:tcW w:type="dxa" w:w="1066"/>
          </w:tcPr>
          <w:p>
            <w:pPr>
              <w:spacing w:after="20"/>
            </w:pPr>
            <w:r>
              <w:rPr>
                <w:color w:val="1C3A36"/>
                <w:sz w:val="14"/>
              </w:rPr>
              <w:t>Company</w:t>
            </w:r>
          </w:p>
        </w:tc>
        <w:tc>
          <w:tcPr>
            <w:tcW w:type="dxa" w:w="7085"/>
          </w:tcPr>
          <w:p>
            <w:pPr>
              <w:spacing w:after="20"/>
            </w:pPr>
            <w:r>
              <w:rPr>
                <w:color w:val="1C3A36"/>
                <w:sz w:val="14"/>
              </w:rPr>
              <w:t>Weighted-average shares FY2023, pre-rights-issue. Corroborated by the 2022 tender offer (56.063mn = 42.12%) and by disclosed EPS</w:t>
            </w:r>
          </w:p>
        </w:tc>
        <w:tc>
          <w:tcPr>
            <w:tcW w:type="dxa" w:w="1210"/>
          </w:tcPr>
          <w:p>
            <w:pPr>
              <w:spacing w:after="20"/>
            </w:pPr>
            <w:r>
              <w:rPr>
                <w:color w:val="1C3A36"/>
                <w:sz w:val="14"/>
              </w:rPr>
              <w:t>2025-03-16</w:t>
            </w:r>
          </w:p>
        </w:tc>
      </w:tr>
      <w:tr>
        <w:tc>
          <w:tcPr>
            <w:tcW w:type="dxa" w:w="518"/>
          </w:tcPr>
          <w:p>
            <w:pPr>
              <w:spacing w:after="20"/>
            </w:pPr>
            <w:r>
              <w:rPr>
                <w:color w:val="1C3A36"/>
                <w:sz w:val="14"/>
              </w:rPr>
              <w:t>29</w:t>
            </w:r>
          </w:p>
        </w:tc>
        <w:tc>
          <w:tcPr>
            <w:tcW w:type="dxa" w:w="2448"/>
          </w:tcPr>
          <w:p>
            <w:pPr>
              <w:spacing w:after="20"/>
            </w:pPr>
            <w:r>
              <w:rPr>
                <w:color w:val="1C3A36"/>
                <w:sz w:val="14"/>
              </w:rPr>
              <w:t>shares_fy24</w:t>
            </w:r>
          </w:p>
        </w:tc>
        <w:tc>
          <w:tcPr>
            <w:tcW w:type="dxa" w:w="1325"/>
          </w:tcPr>
          <w:p>
            <w:pPr>
              <w:spacing w:after="20"/>
            </w:pPr>
            <w:r>
              <w:rPr>
                <w:color w:val="1C3A36"/>
                <w:sz w:val="14"/>
              </w:rPr>
              <w:t>133.07</w:t>
            </w:r>
          </w:p>
        </w:tc>
        <w:tc>
          <w:tcPr>
            <w:tcW w:type="dxa" w:w="1066"/>
          </w:tcPr>
          <w:p>
            <w:pPr>
              <w:spacing w:after="20"/>
            </w:pPr>
            <w:r>
              <w:rPr>
                <w:color w:val="1C3A36"/>
                <w:sz w:val="14"/>
              </w:rPr>
              <w:t>Company</w:t>
            </w:r>
          </w:p>
        </w:tc>
        <w:tc>
          <w:tcPr>
            <w:tcW w:type="dxa" w:w="7085"/>
          </w:tcPr>
          <w:p>
            <w:pPr>
              <w:spacing w:after="20"/>
            </w:pPr>
            <w:r>
              <w:rPr>
                <w:color w:val="1C3A36"/>
                <w:sz w:val="14"/>
              </w:rPr>
              <w:t>Weighted-average shares FY2024. Disclosed EPS of EGP 23.13 on attributable profit implies 132.7mn</w:t>
            </w:r>
          </w:p>
        </w:tc>
        <w:tc>
          <w:tcPr>
            <w:tcW w:type="dxa" w:w="1210"/>
          </w:tcPr>
          <w:p>
            <w:pPr>
              <w:spacing w:after="20"/>
            </w:pPr>
            <w:r>
              <w:rPr>
                <w:color w:val="1C3A36"/>
                <w:sz w:val="14"/>
              </w:rPr>
              <w:t>2025-03-16</w:t>
            </w:r>
          </w:p>
        </w:tc>
      </w:tr>
      <w:tr>
        <w:tc>
          <w:tcPr>
            <w:tcW w:type="dxa" w:w="518"/>
          </w:tcPr>
          <w:p>
            <w:pPr>
              <w:spacing w:after="20"/>
            </w:pPr>
            <w:r>
              <w:rPr>
                <w:color w:val="1C3A36"/>
                <w:sz w:val="14"/>
              </w:rPr>
              <w:t>30</w:t>
            </w:r>
          </w:p>
        </w:tc>
        <w:tc>
          <w:tcPr>
            <w:tcW w:type="dxa" w:w="2448"/>
          </w:tcPr>
          <w:p>
            <w:pPr>
              <w:spacing w:after="20"/>
            </w:pPr>
            <w:r>
              <w:rPr>
                <w:color w:val="1C3A36"/>
                <w:sz w:val="14"/>
              </w:rPr>
              <w:t>shares_fy25</w:t>
            </w:r>
          </w:p>
        </w:tc>
        <w:tc>
          <w:tcPr>
            <w:tcW w:type="dxa" w:w="1325"/>
          </w:tcPr>
          <w:p>
            <w:pPr>
              <w:spacing w:after="20"/>
            </w:pPr>
            <w:r>
              <w:rPr>
                <w:color w:val="1C3A36"/>
                <w:sz w:val="14"/>
              </w:rPr>
              <w:t>222</w:t>
            </w:r>
          </w:p>
        </w:tc>
        <w:tc>
          <w:tcPr>
            <w:tcW w:type="dxa" w:w="1066"/>
          </w:tcPr>
          <w:p>
            <w:pPr>
              <w:spacing w:after="20"/>
            </w:pPr>
            <w:r>
              <w:rPr>
                <w:color w:val="1C3A36"/>
                <w:sz w:val="14"/>
              </w:rPr>
              <w:t>Company</w:t>
            </w:r>
          </w:p>
        </w:tc>
        <w:tc>
          <w:tcPr>
            <w:tcW w:type="dxa" w:w="7085"/>
          </w:tcPr>
          <w:p>
            <w:pPr>
              <w:spacing w:after="20"/>
            </w:pPr>
            <w:r>
              <w:rPr>
                <w:color w:val="1C3A36"/>
                <w:sz w:val="14"/>
              </w:rPr>
              <w:t>Weighted-average shares FY2025, the rights issue having completed during the year</w:t>
            </w:r>
          </w:p>
        </w:tc>
        <w:tc>
          <w:tcPr>
            <w:tcW w:type="dxa" w:w="1210"/>
          </w:tcPr>
          <w:p>
            <w:pPr>
              <w:spacing w:after="20"/>
            </w:pPr>
            <w:r>
              <w:rPr>
                <w:color w:val="1C3A36"/>
                <w:sz w:val="14"/>
              </w:rPr>
              <w:t>2026-03-10</w:t>
            </w:r>
          </w:p>
        </w:tc>
      </w:tr>
      <w:tr>
        <w:tc>
          <w:tcPr>
            <w:tcW w:type="dxa" w:w="518"/>
          </w:tcPr>
          <w:p>
            <w:pPr>
              <w:spacing w:after="20"/>
            </w:pPr>
            <w:r>
              <w:rPr>
                <w:color w:val="1C3A36"/>
                <w:sz w:val="14"/>
              </w:rPr>
              <w:t>31</w:t>
            </w:r>
          </w:p>
        </w:tc>
        <w:tc>
          <w:tcPr>
            <w:tcW w:type="dxa" w:w="2448"/>
          </w:tcPr>
          <w:p>
            <w:pPr>
              <w:spacing w:after="20"/>
            </w:pPr>
            <w:r>
              <w:rPr>
                <w:color w:val="1C3A36"/>
                <w:sz w:val="14"/>
              </w:rPr>
              <w:t>shares_mn</w:t>
            </w:r>
          </w:p>
        </w:tc>
        <w:tc>
          <w:tcPr>
            <w:tcW w:type="dxa" w:w="1325"/>
          </w:tcPr>
          <w:p>
            <w:pPr>
              <w:spacing w:after="20"/>
            </w:pPr>
            <w:r>
              <w:rPr>
                <w:color w:val="1C3A36"/>
                <w:sz w:val="14"/>
              </w:rPr>
              <w:t>260.8125</w:t>
            </w:r>
          </w:p>
        </w:tc>
        <w:tc>
          <w:tcPr>
            <w:tcW w:type="dxa" w:w="1066"/>
          </w:tcPr>
          <w:p>
            <w:pPr>
              <w:spacing w:after="20"/>
            </w:pPr>
            <w:r>
              <w:rPr>
                <w:color w:val="1C3A36"/>
                <w:sz w:val="14"/>
              </w:rPr>
              <w:t>Company</w:t>
            </w:r>
          </w:p>
        </w:tc>
        <w:tc>
          <w:tcPr>
            <w:tcW w:type="dxa" w:w="7085"/>
          </w:tcPr>
          <w:p>
            <w:pPr>
              <w:spacing w:after="20"/>
            </w:pPr>
            <w:r>
              <w:rPr>
                <w:color w:val="1C3A36"/>
                <w:sz w:val="14"/>
              </w:rPr>
              <w:t>260,812,477 shares, corroborated FIVE ways: issued capital EGP 2,608,124,770 at EGP 10 par; Jul-2025 tender offer of 58,416,664 shares at 22.4%; quoted market capitalisation over price; the reconstruction 133.07mn pre-issue + 127.74mn subscribed. Revision 1 wrongly described the pre-issue count as 92.61mn by subtracting shares OFFERED (168.20mn) instead of shares SUBSCRIBED (127.74mn, a 75.95% take-up)</w:t>
            </w:r>
          </w:p>
        </w:tc>
        <w:tc>
          <w:tcPr>
            <w:tcW w:type="dxa" w:w="1210"/>
          </w:tcPr>
          <w:p>
            <w:pPr>
              <w:spacing w:after="20"/>
            </w:pPr>
            <w:r>
              <w:rPr>
                <w:color w:val="1C3A36"/>
                <w:sz w:val="14"/>
              </w:rPr>
              <w:t>2025-07-28</w:t>
            </w:r>
          </w:p>
        </w:tc>
      </w:tr>
      <w:tr>
        <w:tc>
          <w:tcPr>
            <w:tcW w:type="dxa" w:w="518"/>
          </w:tcPr>
          <w:p>
            <w:pPr>
              <w:spacing w:after="20"/>
            </w:pPr>
            <w:r>
              <w:rPr>
                <w:color w:val="1C3A36"/>
                <w:sz w:val="14"/>
              </w:rPr>
              <w:t>32</w:t>
            </w:r>
          </w:p>
        </w:tc>
        <w:tc>
          <w:tcPr>
            <w:tcW w:type="dxa" w:w="2448"/>
          </w:tcPr>
          <w:p>
            <w:pPr>
              <w:spacing w:after="20"/>
            </w:pPr>
            <w:r>
              <w:rPr>
                <w:color w:val="1C3A36"/>
                <w:sz w:val="14"/>
              </w:rPr>
              <w:t>swcc_eur</w:t>
            </w:r>
          </w:p>
        </w:tc>
        <w:tc>
          <w:tcPr>
            <w:tcW w:type="dxa" w:w="1325"/>
          </w:tcPr>
          <w:p>
            <w:pPr>
              <w:spacing w:after="20"/>
            </w:pPr>
            <w:r>
              <w:rPr>
                <w:color w:val="1C3A36"/>
                <w:sz w:val="14"/>
              </w:rPr>
              <w:t>30</w:t>
            </w:r>
          </w:p>
        </w:tc>
        <w:tc>
          <w:tcPr>
            <w:tcW w:type="dxa" w:w="1066"/>
          </w:tcPr>
          <w:p>
            <w:pPr>
              <w:spacing w:after="20"/>
            </w:pPr>
            <w:r>
              <w:rPr>
                <w:color w:val="1C3A36"/>
                <w:sz w:val="14"/>
              </w:rPr>
              <w:t>Company</w:t>
            </w:r>
          </w:p>
        </w:tc>
        <w:tc>
          <w:tcPr>
            <w:tcW w:type="dxa" w:w="7085"/>
          </w:tcPr>
          <w:p>
            <w:pPr>
              <w:spacing w:after="20"/>
            </w:pPr>
            <w:r>
              <w:rPr>
                <w:color w:val="1C3A36"/>
                <w:sz w:val="14"/>
              </w:rPr>
              <w:t>EUR 30mn for the 25.40% Sinai White stake, completed 13-Aug-2024</w:t>
            </w:r>
          </w:p>
        </w:tc>
        <w:tc>
          <w:tcPr>
            <w:tcW w:type="dxa" w:w="1210"/>
          </w:tcPr>
          <w:p>
            <w:pPr>
              <w:spacing w:after="20"/>
            </w:pPr>
            <w:r>
              <w:rPr>
                <w:color w:val="1C3A36"/>
                <w:sz w:val="14"/>
              </w:rPr>
              <w:t>2024-08-13</w:t>
            </w:r>
          </w:p>
        </w:tc>
      </w:tr>
      <w:tr>
        <w:tc>
          <w:tcPr>
            <w:tcW w:type="dxa" w:w="518"/>
          </w:tcPr>
          <w:p>
            <w:pPr>
              <w:spacing w:after="20"/>
            </w:pPr>
            <w:r>
              <w:rPr>
                <w:color w:val="1C3A36"/>
                <w:sz w:val="14"/>
              </w:rPr>
              <w:t>33</w:t>
            </w:r>
          </w:p>
        </w:tc>
        <w:tc>
          <w:tcPr>
            <w:tcW w:type="dxa" w:w="2448"/>
          </w:tcPr>
          <w:p>
            <w:pPr>
              <w:spacing w:after="20"/>
            </w:pPr>
            <w:r>
              <w:rPr>
                <w:color w:val="1C3A36"/>
                <w:sz w:val="14"/>
              </w:rPr>
              <w:t>ta_fy24</w:t>
            </w:r>
          </w:p>
        </w:tc>
        <w:tc>
          <w:tcPr>
            <w:tcW w:type="dxa" w:w="1325"/>
          </w:tcPr>
          <w:p>
            <w:pPr>
              <w:spacing w:after="20"/>
            </w:pPr>
            <w:r>
              <w:rPr>
                <w:color w:val="1C3A36"/>
                <w:sz w:val="14"/>
              </w:rPr>
              <w:t>6,385.92</w:t>
            </w:r>
          </w:p>
        </w:tc>
        <w:tc>
          <w:tcPr>
            <w:tcW w:type="dxa" w:w="1066"/>
          </w:tcPr>
          <w:p>
            <w:pPr>
              <w:spacing w:after="20"/>
            </w:pPr>
            <w:r>
              <w:rPr>
                <w:color w:val="1C3A36"/>
                <w:sz w:val="14"/>
              </w:rPr>
              <w:t>Company</w:t>
            </w:r>
          </w:p>
        </w:tc>
        <w:tc>
          <w:tcPr>
            <w:tcW w:type="dxa" w:w="7085"/>
          </w:tcPr>
          <w:p>
            <w:pPr>
              <w:spacing w:after="20"/>
            </w:pPr>
            <w:r>
              <w:rPr>
                <w:color w:val="1C3A36"/>
                <w:sz w:val="14"/>
              </w:rPr>
              <w:t>EGX filing reported by Global Cement, cemnet/International Cement Review, Daily News Egypt and Arab Finance — FY2024 total assets</w:t>
            </w:r>
          </w:p>
        </w:tc>
        <w:tc>
          <w:tcPr>
            <w:tcW w:type="dxa" w:w="1210"/>
          </w:tcPr>
          <w:p>
            <w:pPr>
              <w:spacing w:after="20"/>
            </w:pPr>
            <w:r>
              <w:rPr>
                <w:color w:val="1C3A36"/>
                <w:sz w:val="14"/>
              </w:rPr>
              <w:t>2025-03-16</w:t>
            </w:r>
          </w:p>
        </w:tc>
      </w:tr>
      <w:tr>
        <w:tc>
          <w:tcPr>
            <w:tcW w:type="dxa" w:w="518"/>
          </w:tcPr>
          <w:p>
            <w:pPr>
              <w:spacing w:after="20"/>
            </w:pPr>
            <w:r>
              <w:rPr>
                <w:color w:val="1C3A36"/>
                <w:sz w:val="14"/>
              </w:rPr>
              <w:t>34</w:t>
            </w:r>
          </w:p>
        </w:tc>
        <w:tc>
          <w:tcPr>
            <w:tcW w:type="dxa" w:w="2448"/>
          </w:tcPr>
          <w:p>
            <w:pPr>
              <w:spacing w:after="20"/>
            </w:pPr>
            <w:r>
              <w:rPr>
                <w:color w:val="1C3A36"/>
                <w:sz w:val="14"/>
              </w:rPr>
              <w:t>tax_eff</w:t>
            </w:r>
          </w:p>
        </w:tc>
        <w:tc>
          <w:tcPr>
            <w:tcW w:type="dxa" w:w="1325"/>
          </w:tcPr>
          <w:p>
            <w:pPr>
              <w:spacing w:after="20"/>
            </w:pPr>
            <w:r>
              <w:rPr>
                <w:color w:val="1C3A36"/>
                <w:sz w:val="14"/>
              </w:rPr>
              <w:t>0.32</w:t>
            </w:r>
          </w:p>
        </w:tc>
        <w:tc>
          <w:tcPr>
            <w:tcW w:type="dxa" w:w="1066"/>
          </w:tcPr>
          <w:p>
            <w:pPr>
              <w:spacing w:after="20"/>
            </w:pPr>
            <w:r>
              <w:rPr>
                <w:color w:val="1C3A36"/>
                <w:sz w:val="14"/>
              </w:rPr>
              <w:t>Company</w:t>
            </w:r>
          </w:p>
        </w:tc>
        <w:tc>
          <w:tcPr>
            <w:tcW w:type="dxa" w:w="7085"/>
          </w:tcPr>
          <w:p>
            <w:pPr>
              <w:spacing w:after="20"/>
            </w:pPr>
            <w:r>
              <w:rPr>
                <w:color w:val="1C3A36"/>
                <w:sz w:val="14"/>
              </w:rPr>
              <w:t>EFFECTIVE tax rate on the FY2025 closure. Disclosed pre-tax profit of 3,378.7 against profit after tax of 2,298.2 gives 32.0%. Revision 1 used the statutory 22.5% here, which understated every derived operating line</w:t>
            </w:r>
          </w:p>
        </w:tc>
        <w:tc>
          <w:tcPr>
            <w:tcW w:type="dxa" w:w="1210"/>
          </w:tcPr>
          <w:p>
            <w:pPr>
              <w:spacing w:after="20"/>
            </w:pPr>
            <w:r>
              <w:rPr>
                <w:color w:val="1C3A36"/>
                <w:sz w:val="14"/>
              </w:rPr>
              <w:t>2026-03-10</w:t>
            </w:r>
          </w:p>
        </w:tc>
      </w:tr>
      <w:tr>
        <w:tc>
          <w:tcPr>
            <w:tcW w:type="dxa" w:w="518"/>
          </w:tcPr>
          <w:p>
            <w:pPr>
              <w:spacing w:after="20"/>
            </w:pPr>
            <w:r>
              <w:rPr>
                <w:color w:val="1C3A36"/>
                <w:sz w:val="14"/>
              </w:rPr>
              <w:t>35</w:t>
            </w:r>
          </w:p>
        </w:tc>
        <w:tc>
          <w:tcPr>
            <w:tcW w:type="dxa" w:w="2448"/>
          </w:tcPr>
          <w:p>
            <w:pPr>
              <w:spacing w:after="20"/>
            </w:pPr>
            <w:r>
              <w:rPr>
                <w:color w:val="1C3A36"/>
                <w:sz w:val="14"/>
              </w:rPr>
              <w:t>tl_fy24</w:t>
            </w:r>
          </w:p>
        </w:tc>
        <w:tc>
          <w:tcPr>
            <w:tcW w:type="dxa" w:w="1325"/>
          </w:tcPr>
          <w:p>
            <w:pPr>
              <w:spacing w:after="20"/>
            </w:pPr>
            <w:r>
              <w:rPr>
                <w:color w:val="1C3A36"/>
                <w:sz w:val="14"/>
              </w:rPr>
              <w:t>1,610.86</w:t>
            </w:r>
          </w:p>
        </w:tc>
        <w:tc>
          <w:tcPr>
            <w:tcW w:type="dxa" w:w="1066"/>
          </w:tcPr>
          <w:p>
            <w:pPr>
              <w:spacing w:after="20"/>
            </w:pPr>
            <w:r>
              <w:rPr>
                <w:color w:val="1C3A36"/>
                <w:sz w:val="14"/>
              </w:rPr>
              <w:t>Company</w:t>
            </w:r>
          </w:p>
        </w:tc>
        <w:tc>
          <w:tcPr>
            <w:tcW w:type="dxa" w:w="7085"/>
          </w:tcPr>
          <w:p>
            <w:pPr>
              <w:spacing w:after="20"/>
            </w:pPr>
            <w:r>
              <w:rPr>
                <w:color w:val="1C3A36"/>
                <w:sz w:val="14"/>
              </w:rPr>
              <w:t>EGX filing reported by Global Cement, cemnet/International Cement Review, Daily News Egypt and Arab Finance — FY2024 total liabilities; triple closes to equity of 4,775.06 exactly</w:t>
            </w:r>
          </w:p>
        </w:tc>
        <w:tc>
          <w:tcPr>
            <w:tcW w:type="dxa" w:w="1210"/>
          </w:tcPr>
          <w:p>
            <w:pPr>
              <w:spacing w:after="20"/>
            </w:pPr>
            <w:r>
              <w:rPr>
                <w:color w:val="1C3A36"/>
                <w:sz w:val="14"/>
              </w:rPr>
              <w:t>2025-03-16</w:t>
            </w:r>
          </w:p>
        </w:tc>
      </w:tr>
      <w:tr>
        <w:tc>
          <w:tcPr>
            <w:tcW w:type="dxa" w:w="518"/>
          </w:tcPr>
          <w:p>
            <w:pPr>
              <w:spacing w:after="20"/>
            </w:pPr>
            <w:r>
              <w:rPr>
                <w:color w:val="1C3A36"/>
                <w:sz w:val="14"/>
              </w:rPr>
              <w:t>36</w:t>
            </w:r>
          </w:p>
        </w:tc>
        <w:tc>
          <w:tcPr>
            <w:tcW w:type="dxa" w:w="2448"/>
          </w:tcPr>
          <w:p>
            <w:pPr>
              <w:spacing w:after="20"/>
            </w:pPr>
            <w:r>
              <w:rPr>
                <w:color w:val="1C3A36"/>
                <w:sz w:val="14"/>
              </w:rPr>
              <w:t>bagged_share</w:t>
            </w:r>
          </w:p>
        </w:tc>
        <w:tc>
          <w:tcPr>
            <w:tcW w:type="dxa" w:w="1325"/>
          </w:tcPr>
          <w:p>
            <w:pPr>
              <w:spacing w:after="20"/>
            </w:pPr>
            <w:r>
              <w:rPr>
                <w:color w:val="1C3A36"/>
                <w:sz w:val="14"/>
              </w:rPr>
              <w:t>0.7</w:t>
            </w:r>
          </w:p>
        </w:tc>
        <w:tc>
          <w:tcPr>
            <w:tcW w:type="dxa" w:w="1066"/>
          </w:tcPr>
          <w:p>
            <w:pPr>
              <w:spacing w:after="20"/>
            </w:pPr>
            <w:r>
              <w:rPr>
                <w:color w:val="1C3A36"/>
                <w:sz w:val="14"/>
              </w:rPr>
              <w:t>Industry</w:t>
            </w:r>
          </w:p>
        </w:tc>
        <w:tc>
          <w:tcPr>
            <w:tcW w:type="dxa" w:w="7085"/>
          </w:tcPr>
          <w:p>
            <w:pPr>
              <w:spacing w:after="20"/>
            </w:pPr>
            <w:r>
              <w:rPr>
                <w:color w:val="1C3A36"/>
                <w:sz w:val="14"/>
              </w:rPr>
              <w:t>Bagged share of Egyptian despatches</w:t>
            </w:r>
          </w:p>
        </w:tc>
        <w:tc>
          <w:tcPr>
            <w:tcW w:type="dxa" w:w="1210"/>
          </w:tcPr>
          <w:p>
            <w:pPr>
              <w:spacing w:after="20"/>
            </w:pPr>
            <w:r>
              <w:rPr>
                <w:color w:val="1C3A36"/>
                <w:sz w:val="14"/>
              </w:rPr>
              <w:t>2026-08-06</w:t>
            </w:r>
          </w:p>
        </w:tc>
      </w:tr>
      <w:tr>
        <w:tc>
          <w:tcPr>
            <w:tcW w:type="dxa" w:w="518"/>
          </w:tcPr>
          <w:p>
            <w:pPr>
              <w:spacing w:after="20"/>
            </w:pPr>
            <w:r>
              <w:rPr>
                <w:color w:val="1C3A36"/>
                <w:sz w:val="14"/>
              </w:rPr>
              <w:t>37</w:t>
            </w:r>
          </w:p>
        </w:tc>
        <w:tc>
          <w:tcPr>
            <w:tcW w:type="dxa" w:w="2448"/>
          </w:tcPr>
          <w:p>
            <w:pPr>
              <w:spacing w:after="20"/>
            </w:pPr>
            <w:r>
              <w:rPr>
                <w:color w:val="1C3A36"/>
                <w:sz w:val="14"/>
              </w:rPr>
              <w:t>domestic_share</w:t>
            </w:r>
          </w:p>
        </w:tc>
        <w:tc>
          <w:tcPr>
            <w:tcW w:type="dxa" w:w="1325"/>
          </w:tcPr>
          <w:p>
            <w:pPr>
              <w:spacing w:after="20"/>
            </w:pPr>
            <w:r>
              <w:rPr>
                <w:color w:val="1C3A36"/>
                <w:sz w:val="14"/>
              </w:rPr>
              <w:t>0.88, 0.87, 0.86, 0.85, 0.84, 0.83</w:t>
            </w:r>
          </w:p>
        </w:tc>
        <w:tc>
          <w:tcPr>
            <w:tcW w:type="dxa" w:w="1066"/>
          </w:tcPr>
          <w:p>
            <w:pPr>
              <w:spacing w:after="20"/>
            </w:pPr>
            <w:r>
              <w:rPr>
                <w:color w:val="1C3A36"/>
                <w:sz w:val="14"/>
              </w:rPr>
              <w:t>Industry</w:t>
            </w:r>
          </w:p>
        </w:tc>
        <w:tc>
          <w:tcPr>
            <w:tcW w:type="dxa" w:w="7085"/>
          </w:tcPr>
          <w:p>
            <w:pPr>
              <w:spacing w:after="20"/>
            </w:pPr>
            <w:r>
              <w:rPr>
                <w:color w:val="1C3A36"/>
                <w:sz w:val="14"/>
              </w:rPr>
              <w:t>Domestic share of despatches</w:t>
            </w:r>
          </w:p>
        </w:tc>
        <w:tc>
          <w:tcPr>
            <w:tcW w:type="dxa" w:w="1210"/>
          </w:tcPr>
          <w:p>
            <w:pPr>
              <w:spacing w:after="20"/>
            </w:pPr>
            <w:r>
              <w:rPr>
                <w:color w:val="1C3A36"/>
                <w:sz w:val="14"/>
              </w:rPr>
              <w:t>2026-01-01</w:t>
            </w:r>
          </w:p>
        </w:tc>
      </w:tr>
      <w:tr>
        <w:tc>
          <w:tcPr>
            <w:tcW w:type="dxa" w:w="518"/>
          </w:tcPr>
          <w:p>
            <w:pPr>
              <w:spacing w:after="20"/>
            </w:pPr>
            <w:r>
              <w:rPr>
                <w:color w:val="1C3A36"/>
                <w:sz w:val="14"/>
              </w:rPr>
              <w:t>38</w:t>
            </w:r>
          </w:p>
        </w:tc>
        <w:tc>
          <w:tcPr>
            <w:tcW w:type="dxa" w:w="2448"/>
          </w:tcPr>
          <w:p>
            <w:pPr>
              <w:spacing w:after="20"/>
            </w:pPr>
            <w:r>
              <w:rPr>
                <w:color w:val="1C3A36"/>
                <w:sz w:val="14"/>
              </w:rPr>
              <w:t>egy_capacity_mt</w:t>
            </w:r>
          </w:p>
        </w:tc>
        <w:tc>
          <w:tcPr>
            <w:tcW w:type="dxa" w:w="1325"/>
          </w:tcPr>
          <w:p>
            <w:pPr>
              <w:spacing w:after="20"/>
            </w:pPr>
            <w:r>
              <w:rPr>
                <w:color w:val="1C3A36"/>
                <w:sz w:val="14"/>
              </w:rPr>
              <w:t>76</w:t>
            </w:r>
          </w:p>
        </w:tc>
        <w:tc>
          <w:tcPr>
            <w:tcW w:type="dxa" w:w="1066"/>
          </w:tcPr>
          <w:p>
            <w:pPr>
              <w:spacing w:after="20"/>
            </w:pPr>
            <w:r>
              <w:rPr>
                <w:color w:val="1C3A36"/>
                <w:sz w:val="14"/>
              </w:rPr>
              <w:t>Industry</w:t>
            </w:r>
          </w:p>
        </w:tc>
        <w:tc>
          <w:tcPr>
            <w:tcW w:type="dxa" w:w="7085"/>
          </w:tcPr>
          <w:p>
            <w:pPr>
              <w:spacing w:after="20"/>
            </w:pPr>
            <w:r>
              <w:rPr>
                <w:color w:val="1C3A36"/>
                <w:sz w:val="14"/>
              </w:rPr>
              <w:t>Egyptian nameplate capacity</w:t>
            </w:r>
          </w:p>
        </w:tc>
        <w:tc>
          <w:tcPr>
            <w:tcW w:type="dxa" w:w="1210"/>
          </w:tcPr>
          <w:p>
            <w:pPr>
              <w:spacing w:after="20"/>
            </w:pPr>
            <w:r>
              <w:rPr>
                <w:color w:val="1C3A36"/>
                <w:sz w:val="14"/>
              </w:rPr>
              <w:t>2025-10-01</w:t>
            </w:r>
          </w:p>
        </w:tc>
      </w:tr>
      <w:tr>
        <w:tc>
          <w:tcPr>
            <w:tcW w:type="dxa" w:w="518"/>
          </w:tcPr>
          <w:p>
            <w:pPr>
              <w:spacing w:after="20"/>
            </w:pPr>
            <w:r>
              <w:rPr>
                <w:color w:val="1C3A36"/>
                <w:sz w:val="14"/>
              </w:rPr>
              <w:t>39</w:t>
            </w:r>
          </w:p>
        </w:tc>
        <w:tc>
          <w:tcPr>
            <w:tcW w:type="dxa" w:w="2448"/>
          </w:tcPr>
          <w:p>
            <w:pPr>
              <w:spacing w:after="20"/>
            </w:pPr>
            <w:r>
              <w:rPr>
                <w:color w:val="1C3A36"/>
                <w:sz w:val="14"/>
              </w:rPr>
              <w:t>egy_cons_mt</w:t>
            </w:r>
          </w:p>
        </w:tc>
        <w:tc>
          <w:tcPr>
            <w:tcW w:type="dxa" w:w="1325"/>
          </w:tcPr>
          <w:p>
            <w:pPr>
              <w:spacing w:after="20"/>
            </w:pPr>
            <w:r>
              <w:rPr>
                <w:color w:val="1C3A36"/>
                <w:sz w:val="14"/>
              </w:rPr>
              <w:t>54</w:t>
            </w:r>
          </w:p>
        </w:tc>
        <w:tc>
          <w:tcPr>
            <w:tcW w:type="dxa" w:w="1066"/>
          </w:tcPr>
          <w:p>
            <w:pPr>
              <w:spacing w:after="20"/>
            </w:pPr>
            <w:r>
              <w:rPr>
                <w:color w:val="1C3A36"/>
                <w:sz w:val="14"/>
              </w:rPr>
              <w:t>Industry</w:t>
            </w:r>
          </w:p>
        </w:tc>
        <w:tc>
          <w:tcPr>
            <w:tcW w:type="dxa" w:w="7085"/>
          </w:tcPr>
          <w:p>
            <w:pPr>
              <w:spacing w:after="20"/>
            </w:pPr>
            <w:r>
              <w:rPr>
                <w:color w:val="1C3A36"/>
                <w:sz w:val="14"/>
              </w:rPr>
              <w:t>Egyptian domestic consumption 2025</w:t>
            </w:r>
          </w:p>
        </w:tc>
        <w:tc>
          <w:tcPr>
            <w:tcW w:type="dxa" w:w="1210"/>
          </w:tcPr>
          <w:p>
            <w:pPr>
              <w:spacing w:after="20"/>
            </w:pPr>
            <w:r>
              <w:rPr>
                <w:color w:val="1C3A36"/>
                <w:sz w:val="14"/>
              </w:rPr>
              <w:t>2025-10-01</w:t>
            </w:r>
          </w:p>
        </w:tc>
      </w:tr>
      <w:tr>
        <w:tc>
          <w:tcPr>
            <w:tcW w:type="dxa" w:w="518"/>
          </w:tcPr>
          <w:p>
            <w:pPr>
              <w:spacing w:after="20"/>
            </w:pPr>
            <w:r>
              <w:rPr>
                <w:color w:val="1C3A36"/>
                <w:sz w:val="14"/>
              </w:rPr>
              <w:t>40</w:t>
            </w:r>
          </w:p>
        </w:tc>
        <w:tc>
          <w:tcPr>
            <w:tcW w:type="dxa" w:w="2448"/>
          </w:tcPr>
          <w:p>
            <w:pPr>
              <w:spacing w:after="20"/>
            </w:pPr>
            <w:r>
              <w:rPr>
                <w:color w:val="1C3A36"/>
                <w:sz w:val="14"/>
              </w:rPr>
              <w:t>egy_exports_mt</w:t>
            </w:r>
          </w:p>
        </w:tc>
        <w:tc>
          <w:tcPr>
            <w:tcW w:type="dxa" w:w="1325"/>
          </w:tcPr>
          <w:p>
            <w:pPr>
              <w:spacing w:after="20"/>
            </w:pPr>
            <w:r>
              <w:rPr>
                <w:color w:val="1C3A36"/>
                <w:sz w:val="14"/>
              </w:rPr>
              <w:t>18.5</w:t>
            </w:r>
          </w:p>
        </w:tc>
        <w:tc>
          <w:tcPr>
            <w:tcW w:type="dxa" w:w="1066"/>
          </w:tcPr>
          <w:p>
            <w:pPr>
              <w:spacing w:after="20"/>
            </w:pPr>
            <w:r>
              <w:rPr>
                <w:color w:val="1C3A36"/>
                <w:sz w:val="14"/>
              </w:rPr>
              <w:t>Industry</w:t>
            </w:r>
          </w:p>
        </w:tc>
        <w:tc>
          <w:tcPr>
            <w:tcW w:type="dxa" w:w="7085"/>
          </w:tcPr>
          <w:p>
            <w:pPr>
              <w:spacing w:after="20"/>
            </w:pPr>
            <w:r>
              <w:rPr>
                <w:color w:val="1C3A36"/>
                <w:sz w:val="14"/>
              </w:rPr>
              <w:t>Egyptian cement and clinker exports 2025</w:t>
            </w:r>
          </w:p>
        </w:tc>
        <w:tc>
          <w:tcPr>
            <w:tcW w:type="dxa" w:w="1210"/>
          </w:tcPr>
          <w:p>
            <w:pPr>
              <w:spacing w:after="20"/>
            </w:pPr>
            <w:r>
              <w:rPr>
                <w:color w:val="1C3A36"/>
                <w:sz w:val="14"/>
              </w:rPr>
              <w:t>2026-01-01</w:t>
            </w:r>
          </w:p>
        </w:tc>
      </w:tr>
      <w:tr>
        <w:tc>
          <w:tcPr>
            <w:tcW w:type="dxa" w:w="518"/>
          </w:tcPr>
          <w:p>
            <w:pPr>
              <w:spacing w:after="20"/>
            </w:pPr>
            <w:r>
              <w:rPr>
                <w:color w:val="1C3A36"/>
                <w:sz w:val="14"/>
              </w:rPr>
              <w:t>41</w:t>
            </w:r>
          </w:p>
        </w:tc>
        <w:tc>
          <w:tcPr>
            <w:tcW w:type="dxa" w:w="2448"/>
          </w:tcPr>
          <w:p>
            <w:pPr>
              <w:spacing w:after="20"/>
            </w:pPr>
            <w:r>
              <w:rPr>
                <w:color w:val="1C3A36"/>
                <w:sz w:val="14"/>
              </w:rPr>
              <w:t>egy_prod_mt</w:t>
            </w:r>
          </w:p>
        </w:tc>
        <w:tc>
          <w:tcPr>
            <w:tcW w:type="dxa" w:w="1325"/>
          </w:tcPr>
          <w:p>
            <w:pPr>
              <w:spacing w:after="20"/>
            </w:pPr>
            <w:r>
              <w:rPr>
                <w:color w:val="1C3A36"/>
                <w:sz w:val="14"/>
              </w:rPr>
              <w:t>65</w:t>
            </w:r>
          </w:p>
        </w:tc>
        <w:tc>
          <w:tcPr>
            <w:tcW w:type="dxa" w:w="1066"/>
          </w:tcPr>
          <w:p>
            <w:pPr>
              <w:spacing w:after="20"/>
            </w:pPr>
            <w:r>
              <w:rPr>
                <w:color w:val="1C3A36"/>
                <w:sz w:val="14"/>
              </w:rPr>
              <w:t>Industry</w:t>
            </w:r>
          </w:p>
        </w:tc>
        <w:tc>
          <w:tcPr>
            <w:tcW w:type="dxa" w:w="7085"/>
          </w:tcPr>
          <w:p>
            <w:pPr>
              <w:spacing w:after="20"/>
            </w:pPr>
            <w:r>
              <w:rPr>
                <w:color w:val="1C3A36"/>
                <w:sz w:val="14"/>
              </w:rPr>
              <w:t>Egyptian cement production 2025</w:t>
            </w:r>
          </w:p>
        </w:tc>
        <w:tc>
          <w:tcPr>
            <w:tcW w:type="dxa" w:w="1210"/>
          </w:tcPr>
          <w:p>
            <w:pPr>
              <w:spacing w:after="20"/>
            </w:pPr>
            <w:r>
              <w:rPr>
                <w:color w:val="1C3A36"/>
                <w:sz w:val="14"/>
              </w:rPr>
              <w:t>2026-01-01</w:t>
            </w:r>
          </w:p>
        </w:tc>
      </w:tr>
      <w:tr>
        <w:tc>
          <w:tcPr>
            <w:tcW w:type="dxa" w:w="518"/>
          </w:tcPr>
          <w:p>
            <w:pPr>
              <w:spacing w:after="20"/>
            </w:pPr>
            <w:r>
              <w:rPr>
                <w:color w:val="1C3A36"/>
                <w:sz w:val="14"/>
              </w:rPr>
              <w:t>42</w:t>
            </w:r>
          </w:p>
        </w:tc>
        <w:tc>
          <w:tcPr>
            <w:tcW w:type="dxa" w:w="2448"/>
          </w:tcPr>
          <w:p>
            <w:pPr>
              <w:spacing w:after="20"/>
            </w:pPr>
            <w:r>
              <w:rPr>
                <w:color w:val="1C3A36"/>
                <w:sz w:val="14"/>
              </w:rPr>
              <w:t>egy_revival_mt</w:t>
            </w:r>
          </w:p>
        </w:tc>
        <w:tc>
          <w:tcPr>
            <w:tcW w:type="dxa" w:w="1325"/>
          </w:tcPr>
          <w:p>
            <w:pPr>
              <w:spacing w:after="20"/>
            </w:pPr>
            <w:r>
              <w:rPr>
                <w:color w:val="1C3A36"/>
                <w:sz w:val="14"/>
              </w:rPr>
              <w:t>12.6</w:t>
            </w:r>
          </w:p>
        </w:tc>
        <w:tc>
          <w:tcPr>
            <w:tcW w:type="dxa" w:w="1066"/>
          </w:tcPr>
          <w:p>
            <w:pPr>
              <w:spacing w:after="20"/>
            </w:pPr>
            <w:r>
              <w:rPr>
                <w:color w:val="1C3A36"/>
                <w:sz w:val="14"/>
              </w:rPr>
              <w:t>Industry</w:t>
            </w:r>
          </w:p>
        </w:tc>
        <w:tc>
          <w:tcPr>
            <w:tcW w:type="dxa" w:w="7085"/>
          </w:tcPr>
          <w:p>
            <w:pPr>
              <w:spacing w:after="20"/>
            </w:pPr>
            <w:r>
              <w:rPr>
                <w:color w:val="1C3A36"/>
                <w:sz w:val="14"/>
              </w:rPr>
              <w:t>Dormant capacity under revival from 2H-2026</w:t>
            </w:r>
          </w:p>
        </w:tc>
        <w:tc>
          <w:tcPr>
            <w:tcW w:type="dxa" w:w="1210"/>
          </w:tcPr>
          <w:p>
            <w:pPr>
              <w:spacing w:after="20"/>
            </w:pPr>
            <w:r>
              <w:rPr>
                <w:color w:val="1C3A36"/>
                <w:sz w:val="14"/>
              </w:rPr>
              <w:t>2025-10-01</w:t>
            </w:r>
          </w:p>
        </w:tc>
      </w:tr>
      <w:tr>
        <w:tc>
          <w:tcPr>
            <w:tcW w:type="dxa" w:w="518"/>
          </w:tcPr>
          <w:p>
            <w:pPr>
              <w:spacing w:after="20"/>
            </w:pPr>
            <w:r>
              <w:rPr>
                <w:color w:val="1C3A36"/>
                <w:sz w:val="14"/>
              </w:rPr>
              <w:t>43</w:t>
            </w:r>
          </w:p>
        </w:tc>
        <w:tc>
          <w:tcPr>
            <w:tcW w:type="dxa" w:w="2448"/>
          </w:tcPr>
          <w:p>
            <w:pPr>
              <w:spacing w:after="20"/>
            </w:pPr>
            <w:r>
              <w:rPr>
                <w:color w:val="1C3A36"/>
                <w:sz w:val="14"/>
              </w:rPr>
              <w:t>fuel_usd_gj</w:t>
            </w:r>
          </w:p>
        </w:tc>
        <w:tc>
          <w:tcPr>
            <w:tcW w:type="dxa" w:w="1325"/>
          </w:tcPr>
          <w:p>
            <w:pPr>
              <w:spacing w:after="20"/>
            </w:pPr>
            <w:r>
              <w:rPr>
                <w:color w:val="1C3A36"/>
                <w:sz w:val="14"/>
              </w:rPr>
              <w:t>4</w:t>
            </w:r>
          </w:p>
        </w:tc>
        <w:tc>
          <w:tcPr>
            <w:tcW w:type="dxa" w:w="1066"/>
          </w:tcPr>
          <w:p>
            <w:pPr>
              <w:spacing w:after="20"/>
            </w:pPr>
            <w:r>
              <w:rPr>
                <w:color w:val="1C3A36"/>
                <w:sz w:val="14"/>
              </w:rPr>
              <w:t>Industry</w:t>
            </w:r>
          </w:p>
        </w:tc>
        <w:tc>
          <w:tcPr>
            <w:tcW w:type="dxa" w:w="7085"/>
          </w:tcPr>
          <w:p>
            <w:pPr>
              <w:spacing w:after="20"/>
            </w:pPr>
            <w:r>
              <w:rPr>
                <w:color w:val="1C3A36"/>
                <w:sz w:val="14"/>
              </w:rPr>
              <w:t>Delivered solid fuel, petcoke/coal ~USD 128/t at ~32 GJ/t</w:t>
            </w:r>
          </w:p>
        </w:tc>
        <w:tc>
          <w:tcPr>
            <w:tcW w:type="dxa" w:w="1210"/>
          </w:tcPr>
          <w:p>
            <w:pPr>
              <w:spacing w:after="20"/>
            </w:pPr>
            <w:r>
              <w:rPr>
                <w:color w:val="1C3A36"/>
                <w:sz w:val="14"/>
              </w:rPr>
              <w:t>2026-08-06</w:t>
            </w:r>
          </w:p>
        </w:tc>
      </w:tr>
      <w:tr>
        <w:tc>
          <w:tcPr>
            <w:tcW w:type="dxa" w:w="518"/>
          </w:tcPr>
          <w:p>
            <w:pPr>
              <w:spacing w:after="20"/>
            </w:pPr>
            <w:r>
              <w:rPr>
                <w:color w:val="1C3A36"/>
                <w:sz w:val="14"/>
              </w:rPr>
              <w:t>44</w:t>
            </w:r>
          </w:p>
        </w:tc>
        <w:tc>
          <w:tcPr>
            <w:tcW w:type="dxa" w:w="2448"/>
          </w:tcPr>
          <w:p>
            <w:pPr>
              <w:spacing w:after="20"/>
            </w:pPr>
            <w:r>
              <w:rPr>
                <w:color w:val="1C3A36"/>
                <w:sz w:val="14"/>
              </w:rPr>
              <w:t>packaging_egp_t</w:t>
            </w:r>
          </w:p>
        </w:tc>
        <w:tc>
          <w:tcPr>
            <w:tcW w:type="dxa" w:w="1325"/>
          </w:tcPr>
          <w:p>
            <w:pPr>
              <w:spacing w:after="20"/>
            </w:pPr>
            <w:r>
              <w:rPr>
                <w:color w:val="1C3A36"/>
                <w:sz w:val="14"/>
              </w:rPr>
              <w:t>55</w:t>
            </w:r>
          </w:p>
        </w:tc>
        <w:tc>
          <w:tcPr>
            <w:tcW w:type="dxa" w:w="1066"/>
          </w:tcPr>
          <w:p>
            <w:pPr>
              <w:spacing w:after="20"/>
            </w:pPr>
            <w:r>
              <w:rPr>
                <w:color w:val="1C3A36"/>
                <w:sz w:val="14"/>
              </w:rPr>
              <w:t>Industry</w:t>
            </w:r>
          </w:p>
        </w:tc>
        <w:tc>
          <w:tcPr>
            <w:tcW w:type="dxa" w:w="7085"/>
          </w:tcPr>
          <w:p>
            <w:pPr>
              <w:spacing w:after="20"/>
            </w:pPr>
            <w:r>
              <w:rPr>
                <w:color w:val="1C3A36"/>
                <w:sz w:val="14"/>
              </w:rPr>
              <w:t>Bag cost per tonne of bagged cement</w:t>
            </w:r>
          </w:p>
        </w:tc>
        <w:tc>
          <w:tcPr>
            <w:tcW w:type="dxa" w:w="1210"/>
          </w:tcPr>
          <w:p>
            <w:pPr>
              <w:spacing w:after="20"/>
            </w:pPr>
            <w:r>
              <w:rPr>
                <w:color w:val="1C3A36"/>
                <w:sz w:val="14"/>
              </w:rPr>
              <w:t>2026-08-06</w:t>
            </w:r>
          </w:p>
        </w:tc>
      </w:tr>
      <w:tr>
        <w:tc>
          <w:tcPr>
            <w:tcW w:type="dxa" w:w="518"/>
          </w:tcPr>
          <w:p>
            <w:pPr>
              <w:spacing w:after="20"/>
            </w:pPr>
            <w:r>
              <w:rPr>
                <w:color w:val="1C3A36"/>
                <w:sz w:val="14"/>
              </w:rPr>
              <w:t>45</w:t>
            </w:r>
          </w:p>
        </w:tc>
        <w:tc>
          <w:tcPr>
            <w:tcW w:type="dxa" w:w="2448"/>
          </w:tcPr>
          <w:p>
            <w:pPr>
              <w:spacing w:after="20"/>
            </w:pPr>
            <w:r>
              <w:rPr>
                <w:color w:val="1C3A36"/>
                <w:sz w:val="14"/>
              </w:rPr>
              <w:t>peer_arcc_pat</w:t>
            </w:r>
          </w:p>
        </w:tc>
        <w:tc>
          <w:tcPr>
            <w:tcW w:type="dxa" w:w="1325"/>
          </w:tcPr>
          <w:p>
            <w:pPr>
              <w:spacing w:after="20"/>
            </w:pPr>
            <w:r>
              <w:rPr>
                <w:color w:val="1C3A36"/>
                <w:sz w:val="14"/>
              </w:rPr>
              <w:t>3,600</w:t>
            </w:r>
          </w:p>
        </w:tc>
        <w:tc>
          <w:tcPr>
            <w:tcW w:type="dxa" w:w="1066"/>
          </w:tcPr>
          <w:p>
            <w:pPr>
              <w:spacing w:after="20"/>
            </w:pPr>
            <w:r>
              <w:rPr>
                <w:color w:val="1C3A36"/>
                <w:sz w:val="14"/>
              </w:rPr>
              <w:t>Industry</w:t>
            </w:r>
          </w:p>
        </w:tc>
        <w:tc>
          <w:tcPr>
            <w:tcW w:type="dxa" w:w="7085"/>
          </w:tcPr>
          <w:p>
            <w:pPr>
              <w:spacing w:after="20"/>
            </w:pPr>
            <w:r>
              <w:rPr>
                <w:color w:val="1C3A36"/>
                <w:sz w:val="14"/>
              </w:rPr>
              <w:t>Arabian Cement FY2025 consolidated profit</w:t>
            </w:r>
          </w:p>
        </w:tc>
        <w:tc>
          <w:tcPr>
            <w:tcW w:type="dxa" w:w="1210"/>
          </w:tcPr>
          <w:p>
            <w:pPr>
              <w:spacing w:after="20"/>
            </w:pPr>
            <w:r>
              <w:rPr>
                <w:color w:val="1C3A36"/>
                <w:sz w:val="14"/>
              </w:rPr>
              <w:t>2026-03-01</w:t>
            </w:r>
          </w:p>
        </w:tc>
      </w:tr>
      <w:tr>
        <w:tc>
          <w:tcPr>
            <w:tcW w:type="dxa" w:w="518"/>
          </w:tcPr>
          <w:p>
            <w:pPr>
              <w:spacing w:after="20"/>
            </w:pPr>
            <w:r>
              <w:rPr>
                <w:color w:val="1C3A36"/>
                <w:sz w:val="14"/>
              </w:rPr>
              <w:t>46</w:t>
            </w:r>
          </w:p>
        </w:tc>
        <w:tc>
          <w:tcPr>
            <w:tcW w:type="dxa" w:w="2448"/>
          </w:tcPr>
          <w:p>
            <w:pPr>
              <w:spacing w:after="20"/>
            </w:pPr>
            <w:r>
              <w:rPr>
                <w:color w:val="1C3A36"/>
                <w:sz w:val="14"/>
              </w:rPr>
              <w:t>peer_mbsc_eps</w:t>
            </w:r>
          </w:p>
        </w:tc>
        <w:tc>
          <w:tcPr>
            <w:tcW w:type="dxa" w:w="1325"/>
          </w:tcPr>
          <w:p>
            <w:pPr>
              <w:spacing w:after="20"/>
            </w:pPr>
            <w:r>
              <w:rPr>
                <w:color w:val="1C3A36"/>
                <w:sz w:val="14"/>
              </w:rPr>
              <w:t>61.25</w:t>
            </w:r>
          </w:p>
        </w:tc>
        <w:tc>
          <w:tcPr>
            <w:tcW w:type="dxa" w:w="1066"/>
          </w:tcPr>
          <w:p>
            <w:pPr>
              <w:spacing w:after="20"/>
            </w:pPr>
            <w:r>
              <w:rPr>
                <w:color w:val="1C3A36"/>
                <w:sz w:val="14"/>
              </w:rPr>
              <w:t>Industry</w:t>
            </w:r>
          </w:p>
        </w:tc>
        <w:tc>
          <w:tcPr>
            <w:tcW w:type="dxa" w:w="7085"/>
          </w:tcPr>
          <w:p>
            <w:pPr>
              <w:spacing w:after="20"/>
            </w:pPr>
            <w:r>
              <w:rPr>
                <w:color w:val="1C3A36"/>
                <w:sz w:val="14"/>
              </w:rPr>
              <w:t>Misr Beni Suef FY2025 EPS</w:t>
            </w:r>
          </w:p>
        </w:tc>
        <w:tc>
          <w:tcPr>
            <w:tcW w:type="dxa" w:w="1210"/>
          </w:tcPr>
          <w:p>
            <w:pPr>
              <w:spacing w:after="20"/>
            </w:pPr>
            <w:r>
              <w:rPr>
                <w:color w:val="1C3A36"/>
                <w:sz w:val="14"/>
              </w:rPr>
              <w:t>2026-03-01</w:t>
            </w:r>
          </w:p>
        </w:tc>
      </w:tr>
      <w:tr>
        <w:tc>
          <w:tcPr>
            <w:tcW w:type="dxa" w:w="518"/>
          </w:tcPr>
          <w:p>
            <w:pPr>
              <w:spacing w:after="20"/>
            </w:pPr>
            <w:r>
              <w:rPr>
                <w:color w:val="1C3A36"/>
                <w:sz w:val="14"/>
              </w:rPr>
              <w:t>47</w:t>
            </w:r>
          </w:p>
        </w:tc>
        <w:tc>
          <w:tcPr>
            <w:tcW w:type="dxa" w:w="2448"/>
          </w:tcPr>
          <w:p>
            <w:pPr>
              <w:spacing w:after="20"/>
            </w:pPr>
            <w:r>
              <w:rPr>
                <w:color w:val="1C3A36"/>
                <w:sz w:val="14"/>
              </w:rPr>
              <w:t>peer_mbsc_evebitda</w:t>
            </w:r>
          </w:p>
        </w:tc>
        <w:tc>
          <w:tcPr>
            <w:tcW w:type="dxa" w:w="1325"/>
          </w:tcPr>
          <w:p>
            <w:pPr>
              <w:spacing w:after="20"/>
            </w:pPr>
            <w:r>
              <w:rPr>
                <w:color w:val="1C3A36"/>
                <w:sz w:val="14"/>
              </w:rPr>
              <w:t>5.03</w:t>
            </w:r>
          </w:p>
        </w:tc>
        <w:tc>
          <w:tcPr>
            <w:tcW w:type="dxa" w:w="1066"/>
          </w:tcPr>
          <w:p>
            <w:pPr>
              <w:spacing w:after="20"/>
            </w:pPr>
            <w:r>
              <w:rPr>
                <w:color w:val="1C3A36"/>
                <w:sz w:val="14"/>
              </w:rPr>
              <w:t>Industry</w:t>
            </w:r>
          </w:p>
        </w:tc>
        <w:tc>
          <w:tcPr>
            <w:tcW w:type="dxa" w:w="7085"/>
          </w:tcPr>
          <w:p>
            <w:pPr>
              <w:spacing w:after="20"/>
            </w:pPr>
            <w:r>
              <w:rPr>
                <w:color w:val="1C3A36"/>
                <w:sz w:val="14"/>
              </w:rPr>
              <w:t>Misr Beni Suef EV/EBITDA as quoted. Carried with a caution: no enterprise value, EBITDA or net-cash figure is published for it, and pairing it with the stated profit implies a 68% EBITDA margin, which no cement company earns</w:t>
            </w:r>
          </w:p>
        </w:tc>
        <w:tc>
          <w:tcPr>
            <w:tcW w:type="dxa" w:w="1210"/>
          </w:tcPr>
          <w:p>
            <w:pPr>
              <w:spacing w:after="20"/>
            </w:pPr>
            <w:r>
              <w:rPr>
                <w:color w:val="1C3A36"/>
                <w:sz w:val="14"/>
              </w:rPr>
              <w:t>2026-08-06</w:t>
            </w:r>
          </w:p>
        </w:tc>
      </w:tr>
      <w:tr>
        <w:tc>
          <w:tcPr>
            <w:tcW w:type="dxa" w:w="518"/>
          </w:tcPr>
          <w:p>
            <w:pPr>
              <w:spacing w:after="20"/>
            </w:pPr>
            <w:r>
              <w:rPr>
                <w:color w:val="1C3A36"/>
                <w:sz w:val="14"/>
              </w:rPr>
              <w:t>48</w:t>
            </w:r>
          </w:p>
        </w:tc>
        <w:tc>
          <w:tcPr>
            <w:tcW w:type="dxa" w:w="2448"/>
          </w:tcPr>
          <w:p>
            <w:pPr>
              <w:spacing w:after="20"/>
            </w:pPr>
            <w:r>
              <w:rPr>
                <w:color w:val="1C3A36"/>
                <w:sz w:val="14"/>
              </w:rPr>
              <w:t>peer_mbsc_mcap</w:t>
            </w:r>
          </w:p>
        </w:tc>
        <w:tc>
          <w:tcPr>
            <w:tcW w:type="dxa" w:w="1325"/>
          </w:tcPr>
          <w:p>
            <w:pPr>
              <w:spacing w:after="20"/>
            </w:pPr>
            <w:r>
              <w:rPr>
                <w:color w:val="1C3A36"/>
                <w:sz w:val="14"/>
              </w:rPr>
              <w:t>13,730</w:t>
            </w:r>
          </w:p>
        </w:tc>
        <w:tc>
          <w:tcPr>
            <w:tcW w:type="dxa" w:w="1066"/>
          </w:tcPr>
          <w:p>
            <w:pPr>
              <w:spacing w:after="20"/>
            </w:pPr>
            <w:r>
              <w:rPr>
                <w:color w:val="1C3A36"/>
                <w:sz w:val="14"/>
              </w:rPr>
              <w:t>Industry</w:t>
            </w:r>
          </w:p>
        </w:tc>
        <w:tc>
          <w:tcPr>
            <w:tcW w:type="dxa" w:w="7085"/>
          </w:tcPr>
          <w:p>
            <w:pPr>
              <w:spacing w:after="20"/>
            </w:pPr>
            <w:r>
              <w:rPr>
                <w:color w:val="1C3A36"/>
                <w:sz w:val="14"/>
              </w:rPr>
              <w:t>Misr Beni Suef market capitalisation</w:t>
            </w:r>
          </w:p>
        </w:tc>
        <w:tc>
          <w:tcPr>
            <w:tcW w:type="dxa" w:w="1210"/>
          </w:tcPr>
          <w:p>
            <w:pPr>
              <w:spacing w:after="20"/>
            </w:pPr>
            <w:r>
              <w:rPr>
                <w:color w:val="1C3A36"/>
                <w:sz w:val="14"/>
              </w:rPr>
              <w:t>2026-08-06</w:t>
            </w:r>
          </w:p>
        </w:tc>
      </w:tr>
      <w:tr>
        <w:tc>
          <w:tcPr>
            <w:tcW w:type="dxa" w:w="518"/>
          </w:tcPr>
          <w:p>
            <w:pPr>
              <w:spacing w:after="20"/>
            </w:pPr>
            <w:r>
              <w:rPr>
                <w:color w:val="1C3A36"/>
                <w:sz w:val="14"/>
              </w:rPr>
              <w:t>49</w:t>
            </w:r>
          </w:p>
        </w:tc>
        <w:tc>
          <w:tcPr>
            <w:tcW w:type="dxa" w:w="2448"/>
          </w:tcPr>
          <w:p>
            <w:pPr>
              <w:spacing w:after="20"/>
            </w:pPr>
            <w:r>
              <w:rPr>
                <w:color w:val="1C3A36"/>
                <w:sz w:val="14"/>
              </w:rPr>
              <w:t>peer_mbsc_pat</w:t>
            </w:r>
          </w:p>
        </w:tc>
        <w:tc>
          <w:tcPr>
            <w:tcW w:type="dxa" w:w="1325"/>
          </w:tcPr>
          <w:p>
            <w:pPr>
              <w:spacing w:after="20"/>
            </w:pPr>
            <w:r>
              <w:rPr>
                <w:color w:val="1C3A36"/>
                <w:sz w:val="14"/>
              </w:rPr>
              <w:t>3,946</w:t>
            </w:r>
          </w:p>
        </w:tc>
        <w:tc>
          <w:tcPr>
            <w:tcW w:type="dxa" w:w="1066"/>
          </w:tcPr>
          <w:p>
            <w:pPr>
              <w:spacing w:after="20"/>
            </w:pPr>
            <w:r>
              <w:rPr>
                <w:color w:val="1C3A36"/>
                <w:sz w:val="14"/>
              </w:rPr>
              <w:t>Industry</w:t>
            </w:r>
          </w:p>
        </w:tc>
        <w:tc>
          <w:tcPr>
            <w:tcW w:type="dxa" w:w="7085"/>
          </w:tcPr>
          <w:p>
            <w:pPr>
              <w:spacing w:after="20"/>
            </w:pPr>
            <w:r>
              <w:rPr>
                <w:color w:val="1C3A36"/>
                <w:sz w:val="14"/>
              </w:rPr>
              <w:t>Misr Beni Suef FY2025 attributable profit</w:t>
            </w:r>
          </w:p>
        </w:tc>
        <w:tc>
          <w:tcPr>
            <w:tcW w:type="dxa" w:w="1210"/>
          </w:tcPr>
          <w:p>
            <w:pPr>
              <w:spacing w:after="20"/>
            </w:pPr>
            <w:r>
              <w:rPr>
                <w:color w:val="1C3A36"/>
                <w:sz w:val="14"/>
              </w:rPr>
              <w:t>2026-03-01</w:t>
            </w:r>
          </w:p>
        </w:tc>
      </w:tr>
      <w:tr>
        <w:tc>
          <w:tcPr>
            <w:tcW w:type="dxa" w:w="518"/>
          </w:tcPr>
          <w:p>
            <w:pPr>
              <w:spacing w:after="20"/>
            </w:pPr>
            <w:r>
              <w:rPr>
                <w:color w:val="1C3A36"/>
                <w:sz w:val="14"/>
              </w:rPr>
              <w:t>50</w:t>
            </w:r>
          </w:p>
        </w:tc>
        <w:tc>
          <w:tcPr>
            <w:tcW w:type="dxa" w:w="2448"/>
          </w:tcPr>
          <w:p>
            <w:pPr>
              <w:spacing w:after="20"/>
            </w:pPr>
            <w:r>
              <w:rPr>
                <w:color w:val="1C3A36"/>
                <w:sz w:val="14"/>
              </w:rPr>
              <w:t>peer_mbsc_pe</w:t>
            </w:r>
          </w:p>
        </w:tc>
        <w:tc>
          <w:tcPr>
            <w:tcW w:type="dxa" w:w="1325"/>
          </w:tcPr>
          <w:p>
            <w:pPr>
              <w:spacing w:after="20"/>
            </w:pPr>
            <w:r>
              <w:rPr>
                <w:color w:val="1C3A36"/>
                <w:sz w:val="14"/>
              </w:rPr>
              <w:t>3.48</w:t>
            </w:r>
          </w:p>
        </w:tc>
        <w:tc>
          <w:tcPr>
            <w:tcW w:type="dxa" w:w="1066"/>
          </w:tcPr>
          <w:p>
            <w:pPr>
              <w:spacing w:after="20"/>
            </w:pPr>
            <w:r>
              <w:rPr>
                <w:color w:val="1C3A36"/>
                <w:sz w:val="14"/>
              </w:rPr>
              <w:t>Industry</w:t>
            </w:r>
          </w:p>
        </w:tc>
        <w:tc>
          <w:tcPr>
            <w:tcW w:type="dxa" w:w="7085"/>
          </w:tcPr>
          <w:p>
            <w:pPr>
              <w:spacing w:after="20"/>
            </w:pPr>
            <w:r>
              <w:rPr>
                <w:color w:val="1C3A36"/>
                <w:sz w:val="14"/>
              </w:rPr>
              <w:t>Misr Beni Suef trailing price/earnings RECOMPUTED as market capitalisation over attributable profit. The 6.44x printed by data providers cannot be reconciled with the market capitalisation printed beside it — 6.44 x 3,946 = 25,412 against a stated 13,730</w:t>
            </w:r>
          </w:p>
        </w:tc>
        <w:tc>
          <w:tcPr>
            <w:tcW w:type="dxa" w:w="1210"/>
          </w:tcPr>
          <w:p>
            <w:pPr>
              <w:spacing w:after="20"/>
            </w:pPr>
            <w:r>
              <w:rPr>
                <w:color w:val="1C3A36"/>
                <w:sz w:val="14"/>
              </w:rPr>
              <w:t>2026-08-06</w:t>
            </w:r>
          </w:p>
        </w:tc>
      </w:tr>
      <w:tr>
        <w:tc>
          <w:tcPr>
            <w:tcW w:type="dxa" w:w="518"/>
          </w:tcPr>
          <w:p>
            <w:pPr>
              <w:spacing w:after="20"/>
            </w:pPr>
            <w:r>
              <w:rPr>
                <w:color w:val="1C3A36"/>
                <w:sz w:val="14"/>
              </w:rPr>
              <w:t>51</w:t>
            </w:r>
          </w:p>
        </w:tc>
        <w:tc>
          <w:tcPr>
            <w:tcW w:type="dxa" w:w="2448"/>
          </w:tcPr>
          <w:p>
            <w:pPr>
              <w:spacing w:after="20"/>
            </w:pPr>
            <w:r>
              <w:rPr>
                <w:color w:val="1C3A36"/>
                <w:sz w:val="14"/>
              </w:rPr>
              <w:t>peer_mbsc_rev</w:t>
            </w:r>
          </w:p>
        </w:tc>
        <w:tc>
          <w:tcPr>
            <w:tcW w:type="dxa" w:w="1325"/>
          </w:tcPr>
          <w:p>
            <w:pPr>
              <w:spacing w:after="20"/>
            </w:pPr>
            <w:r>
              <w:rPr>
                <w:color w:val="1C3A36"/>
                <w:sz w:val="14"/>
              </w:rPr>
              <w:t>5,700</w:t>
            </w:r>
          </w:p>
        </w:tc>
        <w:tc>
          <w:tcPr>
            <w:tcW w:type="dxa" w:w="1066"/>
          </w:tcPr>
          <w:p>
            <w:pPr>
              <w:spacing w:after="20"/>
            </w:pPr>
            <w:r>
              <w:rPr>
                <w:color w:val="1C3A36"/>
                <w:sz w:val="14"/>
              </w:rPr>
              <w:t>Industry</w:t>
            </w:r>
          </w:p>
        </w:tc>
        <w:tc>
          <w:tcPr>
            <w:tcW w:type="dxa" w:w="7085"/>
          </w:tcPr>
          <w:p>
            <w:pPr>
              <w:spacing w:after="20"/>
            </w:pPr>
            <w:r>
              <w:rPr>
                <w:color w:val="1C3A36"/>
                <w:sz w:val="14"/>
              </w:rPr>
              <w:t>Misr Beni Suef FY2025 net sales</w:t>
            </w:r>
          </w:p>
        </w:tc>
        <w:tc>
          <w:tcPr>
            <w:tcW w:type="dxa" w:w="1210"/>
          </w:tcPr>
          <w:p>
            <w:pPr>
              <w:spacing w:after="20"/>
            </w:pPr>
            <w:r>
              <w:rPr>
                <w:color w:val="1C3A36"/>
                <w:sz w:val="14"/>
              </w:rPr>
              <w:t>2026-03-01</w:t>
            </w:r>
          </w:p>
        </w:tc>
      </w:tr>
      <w:tr>
        <w:tc>
          <w:tcPr>
            <w:tcW w:type="dxa" w:w="518"/>
          </w:tcPr>
          <w:p>
            <w:pPr>
              <w:spacing w:after="20"/>
            </w:pPr>
            <w:r>
              <w:rPr>
                <w:color w:val="1C3A36"/>
                <w:sz w:val="14"/>
              </w:rPr>
              <w:t>52</w:t>
            </w:r>
          </w:p>
        </w:tc>
        <w:tc>
          <w:tcPr>
            <w:tcW w:type="dxa" w:w="2448"/>
          </w:tcPr>
          <w:p>
            <w:pPr>
              <w:spacing w:after="20"/>
            </w:pPr>
            <w:r>
              <w:rPr>
                <w:color w:val="1C3A36"/>
                <w:sz w:val="14"/>
              </w:rPr>
              <w:t>power_kwh_t_cement</w:t>
            </w:r>
          </w:p>
        </w:tc>
        <w:tc>
          <w:tcPr>
            <w:tcW w:type="dxa" w:w="1325"/>
          </w:tcPr>
          <w:p>
            <w:pPr>
              <w:spacing w:after="20"/>
            </w:pPr>
            <w:r>
              <w:rPr>
                <w:color w:val="1C3A36"/>
                <w:sz w:val="14"/>
              </w:rPr>
              <w:t>100</w:t>
            </w:r>
          </w:p>
        </w:tc>
        <w:tc>
          <w:tcPr>
            <w:tcW w:type="dxa" w:w="1066"/>
          </w:tcPr>
          <w:p>
            <w:pPr>
              <w:spacing w:after="20"/>
            </w:pPr>
            <w:r>
              <w:rPr>
                <w:color w:val="1C3A36"/>
                <w:sz w:val="14"/>
              </w:rPr>
              <w:t>Industry</w:t>
            </w:r>
          </w:p>
        </w:tc>
        <w:tc>
          <w:tcPr>
            <w:tcW w:type="dxa" w:w="7085"/>
          </w:tcPr>
          <w:p>
            <w:pPr>
              <w:spacing w:after="20"/>
            </w:pPr>
            <w:r>
              <w:rPr>
                <w:color w:val="1C3A36"/>
                <w:sz w:val="14"/>
              </w:rPr>
              <w:t>Specific electrical energy, 90-110 kWh/t cement</w:t>
            </w:r>
          </w:p>
        </w:tc>
        <w:tc>
          <w:tcPr>
            <w:tcW w:type="dxa" w:w="1210"/>
          </w:tcPr>
          <w:p>
            <w:pPr>
              <w:spacing w:after="20"/>
            </w:pPr>
            <w:r>
              <w:rPr>
                <w:color w:val="1C3A36"/>
                <w:sz w:val="14"/>
              </w:rPr>
              <w:t>2026-08-06</w:t>
            </w:r>
          </w:p>
        </w:tc>
      </w:tr>
      <w:tr>
        <w:tc>
          <w:tcPr>
            <w:tcW w:type="dxa" w:w="518"/>
          </w:tcPr>
          <w:p>
            <w:pPr>
              <w:spacing w:after="20"/>
            </w:pPr>
            <w:r>
              <w:rPr>
                <w:color w:val="1C3A36"/>
                <w:sz w:val="14"/>
              </w:rPr>
              <w:t>53</w:t>
            </w:r>
          </w:p>
        </w:tc>
        <w:tc>
          <w:tcPr>
            <w:tcW w:type="dxa" w:w="2448"/>
          </w:tcPr>
          <w:p>
            <w:pPr>
              <w:spacing w:after="20"/>
            </w:pPr>
            <w:r>
              <w:rPr>
                <w:color w:val="1C3A36"/>
                <w:sz w:val="14"/>
              </w:rPr>
              <w:t>price_exp_usd_t</w:t>
            </w:r>
          </w:p>
        </w:tc>
        <w:tc>
          <w:tcPr>
            <w:tcW w:type="dxa" w:w="1325"/>
          </w:tcPr>
          <w:p>
            <w:pPr>
              <w:spacing w:after="20"/>
            </w:pPr>
            <w:r>
              <w:rPr>
                <w:color w:val="1C3A36"/>
                <w:sz w:val="14"/>
              </w:rPr>
              <w:t>48, 47, 46, 45.5, 45, 45</w:t>
            </w:r>
          </w:p>
        </w:tc>
        <w:tc>
          <w:tcPr>
            <w:tcW w:type="dxa" w:w="1066"/>
          </w:tcPr>
          <w:p>
            <w:pPr>
              <w:spacing w:after="20"/>
            </w:pPr>
            <w:r>
              <w:rPr>
                <w:color w:val="1C3A36"/>
                <w:sz w:val="14"/>
              </w:rPr>
              <w:t>Industry</w:t>
            </w:r>
          </w:p>
        </w:tc>
        <w:tc>
          <w:tcPr>
            <w:tcW w:type="dxa" w:w="7085"/>
          </w:tcPr>
          <w:p>
            <w:pPr>
              <w:spacing w:after="20"/>
            </w:pPr>
            <w:r>
              <w:rPr>
                <w:color w:val="1C3A36"/>
                <w:sz w:val="14"/>
              </w:rPr>
              <w:t>Export FOB per tonne, declining because the EU carbon border mechanism raises the landed cost of Egyptian cement into Europe from 2026</w:t>
            </w:r>
          </w:p>
        </w:tc>
        <w:tc>
          <w:tcPr>
            <w:tcW w:type="dxa" w:w="1210"/>
          </w:tcPr>
          <w:p>
            <w:pPr>
              <w:spacing w:after="20"/>
            </w:pPr>
            <w:r>
              <w:rPr>
                <w:color w:val="1C3A36"/>
                <w:sz w:val="14"/>
              </w:rPr>
              <w:t>2026-01-01</w:t>
            </w:r>
          </w:p>
        </w:tc>
      </w:tr>
      <w:tr>
        <w:tc>
          <w:tcPr>
            <w:tcW w:type="dxa" w:w="518"/>
          </w:tcPr>
          <w:p>
            <w:pPr>
              <w:spacing w:after="20"/>
            </w:pPr>
            <w:r>
              <w:rPr>
                <w:color w:val="1C3A36"/>
                <w:sz w:val="14"/>
              </w:rPr>
              <w:t>54</w:t>
            </w:r>
          </w:p>
        </w:tc>
        <w:tc>
          <w:tcPr>
            <w:tcW w:type="dxa" w:w="2448"/>
          </w:tcPr>
          <w:p>
            <w:pPr>
              <w:spacing w:after="20"/>
            </w:pPr>
            <w:r>
              <w:rPr>
                <w:color w:val="1C3A36"/>
                <w:sz w:val="14"/>
              </w:rPr>
              <w:t>rawmat_egp_t</w:t>
            </w:r>
          </w:p>
        </w:tc>
        <w:tc>
          <w:tcPr>
            <w:tcW w:type="dxa" w:w="1325"/>
          </w:tcPr>
          <w:p>
            <w:pPr>
              <w:spacing w:after="20"/>
            </w:pPr>
            <w:r>
              <w:rPr>
                <w:color w:val="1C3A36"/>
                <w:sz w:val="14"/>
              </w:rPr>
              <w:t>190</w:t>
            </w:r>
          </w:p>
        </w:tc>
        <w:tc>
          <w:tcPr>
            <w:tcW w:type="dxa" w:w="1066"/>
          </w:tcPr>
          <w:p>
            <w:pPr>
              <w:spacing w:after="20"/>
            </w:pPr>
            <w:r>
              <w:rPr>
                <w:color w:val="1C3A36"/>
                <w:sz w:val="14"/>
              </w:rPr>
              <w:t>Industry</w:t>
            </w:r>
          </w:p>
        </w:tc>
        <w:tc>
          <w:tcPr>
            <w:tcW w:type="dxa" w:w="7085"/>
          </w:tcPr>
          <w:p>
            <w:pPr>
              <w:spacing w:after="20"/>
            </w:pPr>
            <w:r>
              <w:rPr>
                <w:color w:val="1C3A36"/>
                <w:sz w:val="14"/>
              </w:rPr>
              <w:t>Quarrying, raw meal and additives per tonne of cement</w:t>
            </w:r>
          </w:p>
        </w:tc>
        <w:tc>
          <w:tcPr>
            <w:tcW w:type="dxa" w:w="1210"/>
          </w:tcPr>
          <w:p>
            <w:pPr>
              <w:spacing w:after="20"/>
            </w:pPr>
            <w:r>
              <w:rPr>
                <w:color w:val="1C3A36"/>
                <w:sz w:val="14"/>
              </w:rPr>
              <w:t>2026-08-06</w:t>
            </w:r>
          </w:p>
        </w:tc>
      </w:tr>
      <w:tr>
        <w:tc>
          <w:tcPr>
            <w:tcW w:type="dxa" w:w="518"/>
          </w:tcPr>
          <w:p>
            <w:pPr>
              <w:spacing w:after="20"/>
            </w:pPr>
            <w:r>
              <w:rPr>
                <w:color w:val="1C3A36"/>
                <w:sz w:val="14"/>
              </w:rPr>
              <w:t>55</w:t>
            </w:r>
          </w:p>
        </w:tc>
        <w:tc>
          <w:tcPr>
            <w:tcW w:type="dxa" w:w="2448"/>
          </w:tcPr>
          <w:p>
            <w:pPr>
              <w:spacing w:after="20"/>
            </w:pPr>
            <w:r>
              <w:rPr>
                <w:color w:val="1C3A36"/>
                <w:sz w:val="14"/>
              </w:rPr>
              <w:t>repl_usd_t</w:t>
            </w:r>
          </w:p>
        </w:tc>
        <w:tc>
          <w:tcPr>
            <w:tcW w:type="dxa" w:w="1325"/>
          </w:tcPr>
          <w:p>
            <w:pPr>
              <w:spacing w:after="20"/>
            </w:pPr>
            <w:r>
              <w:rPr>
                <w:color w:val="1C3A36"/>
                <w:sz w:val="14"/>
              </w:rPr>
              <w:t>130</w:t>
            </w:r>
          </w:p>
        </w:tc>
        <w:tc>
          <w:tcPr>
            <w:tcW w:type="dxa" w:w="1066"/>
          </w:tcPr>
          <w:p>
            <w:pPr>
              <w:spacing w:after="20"/>
            </w:pPr>
            <w:r>
              <w:rPr>
                <w:color w:val="1C3A36"/>
                <w:sz w:val="14"/>
              </w:rPr>
              <w:t>Industry</w:t>
            </w:r>
          </w:p>
        </w:tc>
        <w:tc>
          <w:tcPr>
            <w:tcW w:type="dxa" w:w="7085"/>
          </w:tcPr>
          <w:p>
            <w:pPr>
              <w:spacing w:after="20"/>
            </w:pPr>
            <w:r>
              <w:rPr>
                <w:color w:val="1C3A36"/>
                <w:sz w:val="14"/>
              </w:rPr>
              <w:t>Replacement cost per annual tonne of CEMENT capacity, USD 120-150 band</w:t>
            </w:r>
          </w:p>
        </w:tc>
        <w:tc>
          <w:tcPr>
            <w:tcW w:type="dxa" w:w="1210"/>
          </w:tcPr>
          <w:p>
            <w:pPr>
              <w:spacing w:after="20"/>
            </w:pPr>
            <w:r>
              <w:rPr>
                <w:color w:val="1C3A36"/>
                <w:sz w:val="14"/>
              </w:rPr>
              <w:t>2026-08-06</w:t>
            </w:r>
          </w:p>
        </w:tc>
      </w:tr>
      <w:tr>
        <w:tc>
          <w:tcPr>
            <w:tcW w:type="dxa" w:w="518"/>
          </w:tcPr>
          <w:p>
            <w:pPr>
              <w:spacing w:after="20"/>
            </w:pPr>
            <w:r>
              <w:rPr>
                <w:color w:val="1C3A36"/>
                <w:sz w:val="14"/>
              </w:rPr>
              <w:t>56</w:t>
            </w:r>
          </w:p>
        </w:tc>
        <w:tc>
          <w:tcPr>
            <w:tcW w:type="dxa" w:w="2448"/>
          </w:tcPr>
          <w:p>
            <w:pPr>
              <w:spacing w:after="20"/>
            </w:pPr>
            <w:r>
              <w:rPr>
                <w:color w:val="1C3A36"/>
                <w:sz w:val="14"/>
              </w:rPr>
              <w:t>thermal_gj_t_clinker</w:t>
            </w:r>
          </w:p>
        </w:tc>
        <w:tc>
          <w:tcPr>
            <w:tcW w:type="dxa" w:w="1325"/>
          </w:tcPr>
          <w:p>
            <w:pPr>
              <w:spacing w:after="20"/>
            </w:pPr>
            <w:r>
              <w:rPr>
                <w:color w:val="1C3A36"/>
                <w:sz w:val="14"/>
              </w:rPr>
              <w:t>3.4</w:t>
            </w:r>
          </w:p>
        </w:tc>
        <w:tc>
          <w:tcPr>
            <w:tcW w:type="dxa" w:w="1066"/>
          </w:tcPr>
          <w:p>
            <w:pPr>
              <w:spacing w:after="20"/>
            </w:pPr>
            <w:r>
              <w:rPr>
                <w:color w:val="1C3A36"/>
                <w:sz w:val="14"/>
              </w:rPr>
              <w:t>Industry</w:t>
            </w:r>
          </w:p>
        </w:tc>
        <w:tc>
          <w:tcPr>
            <w:tcW w:type="dxa" w:w="7085"/>
          </w:tcPr>
          <w:p>
            <w:pPr>
              <w:spacing w:after="20"/>
            </w:pPr>
            <w:r>
              <w:rPr>
                <w:color w:val="1C3A36"/>
                <w:sz w:val="14"/>
              </w:rPr>
              <w:t>Specific thermal energy, 3.2-3.6 GJ/t clinker for a dry preheater/precalciner kiln</w:t>
            </w:r>
          </w:p>
        </w:tc>
        <w:tc>
          <w:tcPr>
            <w:tcW w:type="dxa" w:w="1210"/>
          </w:tcPr>
          <w:p>
            <w:pPr>
              <w:spacing w:after="20"/>
            </w:pPr>
            <w:r>
              <w:rPr>
                <w:color w:val="1C3A36"/>
                <w:sz w:val="14"/>
              </w:rPr>
              <w:t>2026-08-06</w:t>
            </w:r>
          </w:p>
        </w:tc>
      </w:tr>
      <w:tr>
        <w:tc>
          <w:tcPr>
            <w:tcW w:type="dxa" w:w="518"/>
          </w:tcPr>
          <w:p>
            <w:pPr>
              <w:spacing w:after="20"/>
            </w:pPr>
            <w:r>
              <w:rPr>
                <w:color w:val="1C3A36"/>
                <w:sz w:val="14"/>
              </w:rPr>
              <w:t>57</w:t>
            </w:r>
          </w:p>
        </w:tc>
        <w:tc>
          <w:tcPr>
            <w:tcW w:type="dxa" w:w="2448"/>
          </w:tcPr>
          <w:p>
            <w:pPr>
              <w:spacing w:after="20"/>
            </w:pPr>
            <w:r>
              <w:rPr>
                <w:color w:val="1C3A36"/>
                <w:sz w:val="14"/>
              </w:rPr>
              <w:t>cost_infl</w:t>
            </w:r>
          </w:p>
        </w:tc>
        <w:tc>
          <w:tcPr>
            <w:tcW w:type="dxa" w:w="1325"/>
          </w:tcPr>
          <w:p>
            <w:pPr>
              <w:spacing w:after="20"/>
            </w:pPr>
            <w:r>
              <w:rPr>
                <w:color w:val="1C3A36"/>
                <w:sz w:val="14"/>
              </w:rPr>
              <w:t>1, 1.16, 1.299, 1.416, 1.522, 1.629</w:t>
            </w:r>
          </w:p>
        </w:tc>
        <w:tc>
          <w:tcPr>
            <w:tcW w:type="dxa" w:w="1066"/>
          </w:tcPr>
          <w:p>
            <w:pPr>
              <w:spacing w:after="20"/>
            </w:pPr>
            <w:r>
              <w:rPr>
                <w:color w:val="1C3A36"/>
                <w:sz w:val="14"/>
              </w:rPr>
              <w:t>Country</w:t>
            </w:r>
          </w:p>
        </w:tc>
        <w:tc>
          <w:tcPr>
            <w:tcW w:type="dxa" w:w="7085"/>
          </w:tcPr>
          <w:p>
            <w:pPr>
              <w:spacing w:after="20"/>
            </w:pPr>
            <w:r>
              <w:rPr>
                <w:color w:val="1C3A36"/>
                <w:sz w:val="14"/>
              </w:rPr>
              <w:t>Cumulative local cost inflation index on the EGP cost lines, compounded from the HOUSE calendar ladder — 16.0/12.0/9.0/7.5/7.0 per cent for 2026-2030, sourced to the Central Bank of Egypt's own baseline and its published glide to the target band. Revision 3 typed 14.0/11.0/7.9/6.2/5.5, roughly two points a year below the house path, and no source in this study supported the gap</w:t>
            </w:r>
          </w:p>
        </w:tc>
        <w:tc>
          <w:tcPr>
            <w:tcW w:type="dxa" w:w="1210"/>
          </w:tcPr>
          <w:p>
            <w:pPr>
              <w:spacing w:after="20"/>
            </w:pPr>
            <w:r>
              <w:rPr>
                <w:color w:val="1C3A36"/>
                <w:sz w:val="14"/>
              </w:rPr>
              <w:t>2026-09-02</w:t>
            </w:r>
          </w:p>
        </w:tc>
      </w:tr>
      <w:tr>
        <w:tc>
          <w:tcPr>
            <w:tcW w:type="dxa" w:w="518"/>
          </w:tcPr>
          <w:p>
            <w:pPr>
              <w:spacing w:after="20"/>
            </w:pPr>
            <w:r>
              <w:rPr>
                <w:color w:val="1C3A36"/>
                <w:sz w:val="14"/>
              </w:rPr>
              <w:t>58</w:t>
            </w:r>
          </w:p>
        </w:tc>
        <w:tc>
          <w:tcPr>
            <w:tcW w:type="dxa" w:w="2448"/>
          </w:tcPr>
          <w:p>
            <w:pPr>
              <w:spacing w:after="20"/>
            </w:pPr>
            <w:r>
              <w:rPr>
                <w:color w:val="1C3A36"/>
                <w:sz w:val="14"/>
              </w:rPr>
              <w:t>egp_per_eur_aug24</w:t>
            </w:r>
          </w:p>
        </w:tc>
        <w:tc>
          <w:tcPr>
            <w:tcW w:type="dxa" w:w="1325"/>
          </w:tcPr>
          <w:p>
            <w:pPr>
              <w:spacing w:after="20"/>
            </w:pPr>
            <w:r>
              <w:rPr>
                <w:color w:val="1C3A36"/>
                <w:sz w:val="14"/>
              </w:rPr>
              <w:t>53.4</w:t>
            </w:r>
          </w:p>
        </w:tc>
        <w:tc>
          <w:tcPr>
            <w:tcW w:type="dxa" w:w="1066"/>
          </w:tcPr>
          <w:p>
            <w:pPr>
              <w:spacing w:after="20"/>
            </w:pPr>
            <w:r>
              <w:rPr>
                <w:color w:val="1C3A36"/>
                <w:sz w:val="14"/>
              </w:rPr>
              <w:t>Country</w:t>
            </w:r>
          </w:p>
        </w:tc>
        <w:tc>
          <w:tcPr>
            <w:tcW w:type="dxa" w:w="7085"/>
          </w:tcPr>
          <w:p>
            <w:pPr>
              <w:spacing w:after="20"/>
            </w:pPr>
            <w:r>
              <w:rPr>
                <w:color w:val="1C3A36"/>
                <w:sz w:val="14"/>
              </w:rPr>
              <w:t>EGP per EUR at completion</w:t>
            </w:r>
          </w:p>
        </w:tc>
        <w:tc>
          <w:tcPr>
            <w:tcW w:type="dxa" w:w="1210"/>
          </w:tcPr>
          <w:p>
            <w:pPr>
              <w:spacing w:after="20"/>
            </w:pPr>
            <w:r>
              <w:rPr>
                <w:color w:val="1C3A36"/>
                <w:sz w:val="14"/>
              </w:rPr>
              <w:t>2024-08-13</w:t>
            </w:r>
          </w:p>
        </w:tc>
      </w:tr>
      <w:tr>
        <w:tc>
          <w:tcPr>
            <w:tcW w:type="dxa" w:w="518"/>
          </w:tcPr>
          <w:p>
            <w:pPr>
              <w:spacing w:after="20"/>
            </w:pPr>
            <w:r>
              <w:rPr>
                <w:color w:val="1C3A36"/>
                <w:sz w:val="14"/>
              </w:rPr>
              <w:t>59</w:t>
            </w:r>
          </w:p>
        </w:tc>
        <w:tc>
          <w:tcPr>
            <w:tcW w:type="dxa" w:w="2448"/>
          </w:tcPr>
          <w:p>
            <w:pPr>
              <w:spacing w:after="20"/>
            </w:pPr>
            <w:r>
              <w:rPr>
                <w:color w:val="1C3A36"/>
                <w:sz w:val="14"/>
              </w:rPr>
              <w:t>erp_cds</w:t>
            </w:r>
          </w:p>
        </w:tc>
        <w:tc>
          <w:tcPr>
            <w:tcW w:type="dxa" w:w="1325"/>
          </w:tcPr>
          <w:p>
            <w:pPr>
              <w:spacing w:after="20"/>
            </w:pPr>
            <w:r>
              <w:rPr>
                <w:color w:val="1C3A36"/>
                <w:sz w:val="14"/>
              </w:rPr>
              <w:t>0.0941</w:t>
            </w:r>
          </w:p>
        </w:tc>
        <w:tc>
          <w:tcPr>
            <w:tcW w:type="dxa" w:w="1066"/>
          </w:tcPr>
          <w:p>
            <w:pPr>
              <w:spacing w:after="20"/>
            </w:pPr>
            <w:r>
              <w:rPr>
                <w:color w:val="1C3A36"/>
                <w:sz w:val="14"/>
              </w:rPr>
              <w:t>Country</w:t>
            </w:r>
          </w:p>
        </w:tc>
        <w:tc>
          <w:tcPr>
            <w:tcW w:type="dxa" w:w="7085"/>
          </w:tcPr>
          <w:p>
            <w:pPr>
              <w:spacing w:after="20"/>
            </w:pPr>
            <w:r>
              <w:rPr>
                <w:color w:val="1C3A36"/>
                <w:sz w:val="14"/>
              </w:rPr>
              <w:t>Damodaran Egypt, CDS-BASED, January-2026: mature-market 4.23% + 3.40% x (9.71/6.37) = 9.4127%. Revision 1 cited 'Damodaran, Egypt row' without naming the variant; a checker following that citation lands on the rating-based 13.94%</w:t>
            </w:r>
          </w:p>
        </w:tc>
        <w:tc>
          <w:tcPr>
            <w:tcW w:type="dxa" w:w="1210"/>
          </w:tcPr>
          <w:p>
            <w:pPr>
              <w:spacing w:after="20"/>
            </w:pPr>
            <w:r>
              <w:rPr>
                <w:color w:val="1C3A36"/>
                <w:sz w:val="14"/>
              </w:rPr>
              <w:t>2026-01-05</w:t>
            </w:r>
          </w:p>
        </w:tc>
      </w:tr>
      <w:tr>
        <w:tc>
          <w:tcPr>
            <w:tcW w:type="dxa" w:w="518"/>
          </w:tcPr>
          <w:p>
            <w:pPr>
              <w:spacing w:after="20"/>
            </w:pPr>
            <w:r>
              <w:rPr>
                <w:color w:val="1C3A36"/>
                <w:sz w:val="14"/>
              </w:rPr>
              <w:t>60</w:t>
            </w:r>
          </w:p>
        </w:tc>
        <w:tc>
          <w:tcPr>
            <w:tcW w:type="dxa" w:w="2448"/>
          </w:tcPr>
          <w:p>
            <w:pPr>
              <w:spacing w:after="20"/>
            </w:pPr>
            <w:r>
              <w:rPr>
                <w:color w:val="1C3A36"/>
                <w:sz w:val="14"/>
              </w:rPr>
              <w:t>erp_rating</w:t>
            </w:r>
          </w:p>
        </w:tc>
        <w:tc>
          <w:tcPr>
            <w:tcW w:type="dxa" w:w="1325"/>
          </w:tcPr>
          <w:p>
            <w:pPr>
              <w:spacing w:after="20"/>
            </w:pPr>
            <w:r>
              <w:rPr>
                <w:color w:val="1C3A36"/>
                <w:sz w:val="14"/>
              </w:rPr>
              <w:t>0.1394</w:t>
            </w:r>
          </w:p>
        </w:tc>
        <w:tc>
          <w:tcPr>
            <w:tcW w:type="dxa" w:w="1066"/>
          </w:tcPr>
          <w:p>
            <w:pPr>
              <w:spacing w:after="20"/>
            </w:pPr>
            <w:r>
              <w:rPr>
                <w:color w:val="1C3A36"/>
                <w:sz w:val="14"/>
              </w:rPr>
              <w:t>Country</w:t>
            </w:r>
          </w:p>
        </w:tc>
        <w:tc>
          <w:tcPr>
            <w:tcW w:type="dxa" w:w="7085"/>
          </w:tcPr>
          <w:p>
            <w:pPr>
              <w:spacing w:after="20"/>
            </w:pPr>
            <w:r>
              <w:rPr>
                <w:color w:val="1C3A36"/>
                <w:sz w:val="14"/>
              </w:rPr>
              <w:t>Damodaran Egypt, RATING-BASED, January-2026. The alternative premium basis, published beside the adopted CDS one under. Revision 1 cited 'Damodaran, Egypt row' without naming the variant, and a checker following that citation lands here rather than on the 9.41% actually used</w:t>
            </w:r>
          </w:p>
        </w:tc>
        <w:tc>
          <w:tcPr>
            <w:tcW w:type="dxa" w:w="1210"/>
          </w:tcPr>
          <w:p>
            <w:pPr>
              <w:spacing w:after="20"/>
            </w:pPr>
            <w:r>
              <w:rPr>
                <w:color w:val="1C3A36"/>
                <w:sz w:val="14"/>
              </w:rPr>
              <w:t>2026-01-05</w:t>
            </w:r>
          </w:p>
        </w:tc>
      </w:tr>
      <w:tr>
        <w:tc>
          <w:tcPr>
            <w:tcW w:type="dxa" w:w="518"/>
          </w:tcPr>
          <w:p>
            <w:pPr>
              <w:spacing w:after="20"/>
            </w:pPr>
            <w:r>
              <w:rPr>
                <w:color w:val="1C3A36"/>
                <w:sz w:val="14"/>
              </w:rPr>
              <w:t>61</w:t>
            </w:r>
          </w:p>
        </w:tc>
        <w:tc>
          <w:tcPr>
            <w:tcW w:type="dxa" w:w="2448"/>
          </w:tcPr>
          <w:p>
            <w:pPr>
              <w:spacing w:after="20"/>
            </w:pPr>
            <w:r>
              <w:rPr>
                <w:color w:val="1C3A36"/>
                <w:sz w:val="14"/>
              </w:rPr>
              <w:t>fx</w:t>
            </w:r>
          </w:p>
        </w:tc>
        <w:tc>
          <w:tcPr>
            <w:tcW w:type="dxa" w:w="1325"/>
          </w:tcPr>
          <w:p>
            <w:pPr>
              <w:spacing w:after="20"/>
            </w:pPr>
            <w:r>
              <w:rPr>
                <w:color w:val="1C3A36"/>
                <w:sz w:val="14"/>
              </w:rPr>
              <w:t>50.25</w:t>
            </w:r>
          </w:p>
        </w:tc>
        <w:tc>
          <w:tcPr>
            <w:tcW w:type="dxa" w:w="1066"/>
          </w:tcPr>
          <w:p>
            <w:pPr>
              <w:spacing w:after="20"/>
            </w:pPr>
            <w:r>
              <w:rPr>
                <w:color w:val="1C3A36"/>
                <w:sz w:val="14"/>
              </w:rPr>
              <w:t>Country</w:t>
            </w:r>
          </w:p>
        </w:tc>
        <w:tc>
          <w:tcPr>
            <w:tcW w:type="dxa" w:w="7085"/>
          </w:tcPr>
          <w:p>
            <w:pPr>
              <w:spacing w:after="20"/>
            </w:pPr>
            <w:r>
              <w:rPr>
                <w:color w:val="1C3A36"/>
                <w:sz w:val="14"/>
              </w:rPr>
              <w:t>USD/EGP spot, from the house macro path and not from this study. Revision 3 carried 49.80 for the 6-August-2026 quote and the house path carries 50.25 for the SAME quote on the same date — two numbers for one fact, which is the defect that rule was adopted on. The house figure governs</w:t>
            </w:r>
          </w:p>
        </w:tc>
        <w:tc>
          <w:tcPr>
            <w:tcW w:type="dxa" w:w="1210"/>
          </w:tcPr>
          <w:p>
            <w:pPr>
              <w:spacing w:after="20"/>
            </w:pPr>
            <w:r>
              <w:rPr>
                <w:color w:val="1C3A36"/>
                <w:sz w:val="14"/>
              </w:rPr>
              <w:t>2026-08-06</w:t>
            </w:r>
          </w:p>
        </w:tc>
      </w:tr>
      <w:tr>
        <w:tc>
          <w:tcPr>
            <w:tcW w:type="dxa" w:w="518"/>
          </w:tcPr>
          <w:p>
            <w:pPr>
              <w:spacing w:after="20"/>
            </w:pPr>
            <w:r>
              <w:rPr>
                <w:color w:val="1C3A36"/>
                <w:sz w:val="14"/>
              </w:rPr>
              <w:t>62</w:t>
            </w:r>
          </w:p>
        </w:tc>
        <w:tc>
          <w:tcPr>
            <w:tcW w:type="dxa" w:w="2448"/>
          </w:tcPr>
          <w:p>
            <w:pPr>
              <w:spacing w:after="20"/>
            </w:pPr>
            <w:r>
              <w:rPr>
                <w:color w:val="1C3A36"/>
                <w:sz w:val="14"/>
              </w:rPr>
              <w:t>fx_path</w:t>
            </w:r>
          </w:p>
        </w:tc>
        <w:tc>
          <w:tcPr>
            <w:tcW w:type="dxa" w:w="1325"/>
          </w:tcPr>
          <w:p>
            <w:pPr>
              <w:spacing w:after="20"/>
            </w:pPr>
            <w:r>
              <w:rPr>
                <w:color w:val="1C3A36"/>
                <w:sz w:val="14"/>
              </w:rPr>
              <w:t>50.25, 55.11, 60.22, 64.04, 67.17, 70.11</w:t>
            </w:r>
          </w:p>
        </w:tc>
        <w:tc>
          <w:tcPr>
            <w:tcW w:type="dxa" w:w="1066"/>
          </w:tcPr>
          <w:p>
            <w:pPr>
              <w:spacing w:after="20"/>
            </w:pPr>
            <w:r>
              <w:rPr>
                <w:color w:val="1C3A36"/>
                <w:sz w:val="14"/>
              </w:rPr>
              <w:t>Country</w:t>
            </w:r>
          </w:p>
        </w:tc>
        <w:tc>
          <w:tcPr>
            <w:tcW w:type="dxa" w:w="7085"/>
          </w:tcPr>
          <w:p>
            <w:pPr>
              <w:spacing w:after="20"/>
            </w:pPr>
            <w:r>
              <w:rPr>
                <w:color w:val="1C3A36"/>
                <w:sz w:val="14"/>
              </w:rPr>
              <w:t>USD/EGP path, the HOUSE derived purchasing-power path — relative PPP on the house inflation ladder against long-run United States inflation, read from and not computed here. Revision 3 derived the same identity from THIS STUDY's own ladder, which was two points a year below the house one, so the pound slid more slowly than the house path says it does: one economy cannot have two inflations, and the currency is where that shows. Raises the EGP cost of imported fuel AND the EGP value of export revenue</w:t>
            </w:r>
          </w:p>
        </w:tc>
        <w:tc>
          <w:tcPr>
            <w:tcW w:type="dxa" w:w="1210"/>
          </w:tcPr>
          <w:p>
            <w:pPr>
              <w:spacing w:after="20"/>
            </w:pPr>
            <w:r>
              <w:rPr>
                <w:color w:val="1C3A36"/>
                <w:sz w:val="14"/>
              </w:rPr>
              <w:t>2026-09-02</w:t>
            </w:r>
          </w:p>
        </w:tc>
      </w:tr>
      <w:tr>
        <w:tc>
          <w:tcPr>
            <w:tcW w:type="dxa" w:w="518"/>
          </w:tcPr>
          <w:p>
            <w:pPr>
              <w:spacing w:after="20"/>
            </w:pPr>
            <w:r>
              <w:rPr>
                <w:color w:val="1C3A36"/>
                <w:sz w:val="14"/>
              </w:rPr>
              <w:t>63</w:t>
            </w:r>
          </w:p>
        </w:tc>
        <w:tc>
          <w:tcPr>
            <w:tcW w:type="dxa" w:w="2448"/>
          </w:tcPr>
          <w:p>
            <w:pPr>
              <w:spacing w:after="20"/>
            </w:pPr>
            <w:r>
              <w:rPr>
                <w:color w:val="1C3A36"/>
                <w:sz w:val="14"/>
              </w:rPr>
              <w:t>g_term</w:t>
            </w:r>
          </w:p>
        </w:tc>
        <w:tc>
          <w:tcPr>
            <w:tcW w:type="dxa" w:w="1325"/>
          </w:tcPr>
          <w:p>
            <w:pPr>
              <w:spacing w:after="20"/>
            </w:pPr>
            <w:r>
              <w:rPr>
                <w:color w:val="1C3A36"/>
                <w:sz w:val="14"/>
              </w:rPr>
              <w:t>0.07</w:t>
            </w:r>
          </w:p>
        </w:tc>
        <w:tc>
          <w:tcPr>
            <w:tcW w:type="dxa" w:w="1066"/>
          </w:tcPr>
          <w:p>
            <w:pPr>
              <w:spacing w:after="20"/>
            </w:pPr>
            <w:r>
              <w:rPr>
                <w:color w:val="1C3A36"/>
                <w:sz w:val="14"/>
              </w:rPr>
              <w:t>Country</w:t>
            </w:r>
          </w:p>
        </w:tc>
        <w:tc>
          <w:tcPr>
            <w:tcW w:type="dxa" w:w="7085"/>
          </w:tcPr>
          <w:p>
            <w:pPr>
              <w:spacing w:after="20"/>
            </w:pPr>
            <w:r>
              <w:rPr>
                <w:color w:val="1C3A36"/>
                <w:sz w:val="14"/>
              </w:rPr>
              <w:t>Terminal growth, DERIVED as the house terminal inflation of 7.0% plus a STATED real growth of ZERO. Revision 3 held 5% against a terminal risk-free rate of 12.5% built on that same 7% inflation — a perpetual REAL DECLINE of about two points a year that nothing in the study disclosed and nothing supports. Real decline in perpetuity stays permitted and must be written down as the real number it is; this study assumes none</w:t>
            </w:r>
          </w:p>
        </w:tc>
        <w:tc>
          <w:tcPr>
            <w:tcW w:type="dxa" w:w="1210"/>
          </w:tcPr>
          <w:p>
            <w:pPr>
              <w:spacing w:after="20"/>
            </w:pPr>
            <w:r>
              <w:rPr>
                <w:color w:val="1C3A36"/>
                <w:sz w:val="14"/>
              </w:rPr>
              <w:t>2026-09-02</w:t>
            </w:r>
          </w:p>
        </w:tc>
      </w:tr>
      <w:tr>
        <w:tc>
          <w:tcPr>
            <w:tcW w:type="dxa" w:w="518"/>
          </w:tcPr>
          <w:p>
            <w:pPr>
              <w:spacing w:after="20"/>
            </w:pPr>
            <w:r>
              <w:rPr>
                <w:color w:val="1C3A36"/>
                <w:sz w:val="14"/>
              </w:rPr>
              <w:t>64</w:t>
            </w:r>
          </w:p>
        </w:tc>
        <w:tc>
          <w:tcPr>
            <w:tcW w:type="dxa" w:w="2448"/>
          </w:tcPr>
          <w:p>
            <w:pPr>
              <w:spacing w:after="20"/>
            </w:pPr>
            <w:r>
              <w:rPr>
                <w:color w:val="1C3A36"/>
                <w:sz w:val="14"/>
              </w:rPr>
              <w:t>power_tariff</w:t>
            </w:r>
          </w:p>
        </w:tc>
        <w:tc>
          <w:tcPr>
            <w:tcW w:type="dxa" w:w="1325"/>
          </w:tcPr>
          <w:p>
            <w:pPr>
              <w:spacing w:after="20"/>
            </w:pPr>
            <w:r>
              <w:rPr>
                <w:color w:val="1C3A36"/>
                <w:sz w:val="14"/>
              </w:rPr>
              <w:t>2.6</w:t>
            </w:r>
          </w:p>
        </w:tc>
        <w:tc>
          <w:tcPr>
            <w:tcW w:type="dxa" w:w="1066"/>
          </w:tcPr>
          <w:p>
            <w:pPr>
              <w:spacing w:after="20"/>
            </w:pPr>
            <w:r>
              <w:rPr>
                <w:color w:val="1C3A36"/>
                <w:sz w:val="14"/>
              </w:rPr>
              <w:t>Country</w:t>
            </w:r>
          </w:p>
        </w:tc>
        <w:tc>
          <w:tcPr>
            <w:tcW w:type="dxa" w:w="7085"/>
          </w:tcPr>
          <w:p>
            <w:pPr>
              <w:spacing w:after="20"/>
            </w:pPr>
            <w:r>
              <w:rPr>
                <w:color w:val="1C3A36"/>
                <w:sz w:val="14"/>
              </w:rPr>
              <w:t>Egyptian industrial electricity tariff after subsidy reform</w:t>
            </w:r>
          </w:p>
        </w:tc>
        <w:tc>
          <w:tcPr>
            <w:tcW w:type="dxa" w:w="1210"/>
          </w:tcPr>
          <w:p>
            <w:pPr>
              <w:spacing w:after="20"/>
            </w:pPr>
            <w:r>
              <w:rPr>
                <w:color w:val="1C3A36"/>
                <w:sz w:val="14"/>
              </w:rPr>
              <w:t>2026-08-06</w:t>
            </w:r>
          </w:p>
        </w:tc>
      </w:tr>
      <w:tr>
        <w:tc>
          <w:tcPr>
            <w:tcW w:type="dxa" w:w="518"/>
          </w:tcPr>
          <w:p>
            <w:pPr>
              <w:spacing w:after="20"/>
            </w:pPr>
            <w:r>
              <w:rPr>
                <w:color w:val="1C3A36"/>
                <w:sz w:val="14"/>
              </w:rPr>
              <w:t>65</w:t>
            </w:r>
          </w:p>
        </w:tc>
        <w:tc>
          <w:tcPr>
            <w:tcW w:type="dxa" w:w="2448"/>
          </w:tcPr>
          <w:p>
            <w:pPr>
              <w:spacing w:after="20"/>
            </w:pPr>
            <w:r>
              <w:rPr>
                <w:color w:val="1C3A36"/>
                <w:sz w:val="14"/>
              </w:rPr>
              <w:t>rf</w:t>
            </w:r>
          </w:p>
        </w:tc>
        <w:tc>
          <w:tcPr>
            <w:tcW w:type="dxa" w:w="1325"/>
          </w:tcPr>
          <w:p>
            <w:pPr>
              <w:spacing w:after="20"/>
            </w:pPr>
            <w:r>
              <w:rPr>
                <w:color w:val="1C3A36"/>
                <w:sz w:val="14"/>
              </w:rPr>
              <w:t>0.23</w:t>
            </w:r>
          </w:p>
        </w:tc>
        <w:tc>
          <w:tcPr>
            <w:tcW w:type="dxa" w:w="1066"/>
          </w:tcPr>
          <w:p>
            <w:pPr>
              <w:spacing w:after="20"/>
            </w:pPr>
            <w:r>
              <w:rPr>
                <w:color w:val="1C3A36"/>
                <w:sz w:val="14"/>
              </w:rPr>
              <w:t>Country</w:t>
            </w:r>
          </w:p>
        </w:tc>
        <w:tc>
          <w:tcPr>
            <w:tcW w:type="dxa" w:w="7085"/>
          </w:tcPr>
          <w:p>
            <w:pPr>
              <w:spacing w:after="20"/>
            </w:pPr>
            <w:r>
              <w:rPr>
                <w:color w:val="1C3A36"/>
                <w:sz w:val="14"/>
              </w:rPr>
              <w:t>Egypt 10-year local-currency government yield, from the HOUSE macro path and not from this study. Revision 3 carried 22.31% at a 21-July quote while the house path carries 23.00% at 6-August: one sovereign, one yield, and the later quote is the right one for a study struck in September. THE QUOTE IS OLDER THAN THE 14-DAY BOUND and is accepted deliberately with its age disclosed in the cost-of-capital record, rather than used quietly</w:t>
            </w:r>
          </w:p>
        </w:tc>
        <w:tc>
          <w:tcPr>
            <w:tcW w:type="dxa" w:w="1210"/>
          </w:tcPr>
          <w:p>
            <w:pPr>
              <w:spacing w:after="20"/>
            </w:pPr>
            <w:r>
              <w:rPr>
                <w:color w:val="1C3A36"/>
                <w:sz w:val="14"/>
              </w:rPr>
              <w:t>2026-08-06</w:t>
            </w:r>
          </w:p>
        </w:tc>
      </w:tr>
      <w:tr>
        <w:tc>
          <w:tcPr>
            <w:tcW w:type="dxa" w:w="518"/>
          </w:tcPr>
          <w:p>
            <w:pPr>
              <w:spacing w:after="20"/>
            </w:pPr>
            <w:r>
              <w:rPr>
                <w:color w:val="1C3A36"/>
                <w:sz w:val="14"/>
              </w:rPr>
              <w:t>66</w:t>
            </w:r>
          </w:p>
        </w:tc>
        <w:tc>
          <w:tcPr>
            <w:tcW w:type="dxa" w:w="2448"/>
          </w:tcPr>
          <w:p>
            <w:pPr>
              <w:spacing w:after="20"/>
            </w:pPr>
            <w:r>
              <w:rPr>
                <w:color w:val="1C3A36"/>
                <w:sz w:val="14"/>
              </w:rPr>
              <w:t>sov_spread_cds</w:t>
            </w:r>
          </w:p>
        </w:tc>
        <w:tc>
          <w:tcPr>
            <w:tcW w:type="dxa" w:w="1325"/>
          </w:tcPr>
          <w:p>
            <w:pPr>
              <w:spacing w:after="20"/>
            </w:pPr>
            <w:r>
              <w:rPr>
                <w:color w:val="1C3A36"/>
                <w:sz w:val="14"/>
              </w:rPr>
              <w:t>0.034</w:t>
            </w:r>
          </w:p>
        </w:tc>
        <w:tc>
          <w:tcPr>
            <w:tcW w:type="dxa" w:w="1066"/>
          </w:tcPr>
          <w:p>
            <w:pPr>
              <w:spacing w:after="20"/>
            </w:pPr>
            <w:r>
              <w:rPr>
                <w:color w:val="1C3A36"/>
                <w:sz w:val="14"/>
              </w:rPr>
              <w:t>Country</w:t>
            </w:r>
          </w:p>
        </w:tc>
        <w:tc>
          <w:tcPr>
            <w:tcW w:type="dxa" w:w="7085"/>
          </w:tcPr>
          <w:p>
            <w:pPr>
              <w:spacing w:after="20"/>
            </w:pPr>
            <w:r>
              <w:rPr>
                <w:color w:val="1C3A36"/>
                <w:sz w:val="14"/>
              </w:rPr>
              <w:t>Egypt CDS-implied sovereign default spread, Damodaran January-2026, CDS column. NETTED OUT of the local risk-free rate so sovereign default risk is not charged twice. One reviewer called this a manipulation; two others cleared it explicitly, and it is Damodaran's own construction — the country premium in the ERP is DERIVED from this same spread</w:t>
            </w:r>
          </w:p>
        </w:tc>
        <w:tc>
          <w:tcPr>
            <w:tcW w:type="dxa" w:w="1210"/>
          </w:tcPr>
          <w:p>
            <w:pPr>
              <w:spacing w:after="20"/>
            </w:pPr>
            <w:r>
              <w:rPr>
                <w:color w:val="1C3A36"/>
                <w:sz w:val="14"/>
              </w:rPr>
              <w:t>2026-01-05</w:t>
            </w:r>
          </w:p>
        </w:tc>
      </w:tr>
      <w:tr>
        <w:tc>
          <w:tcPr>
            <w:tcW w:type="dxa" w:w="518"/>
          </w:tcPr>
          <w:p>
            <w:pPr>
              <w:spacing w:after="20"/>
            </w:pPr>
            <w:r>
              <w:rPr>
                <w:color w:val="1C3A36"/>
                <w:sz w:val="14"/>
              </w:rPr>
              <w:t>67</w:t>
            </w:r>
          </w:p>
        </w:tc>
        <w:tc>
          <w:tcPr>
            <w:tcW w:type="dxa" w:w="2448"/>
          </w:tcPr>
          <w:p>
            <w:pPr>
              <w:spacing w:after="20"/>
            </w:pPr>
            <w:r>
              <w:rPr>
                <w:color w:val="1C3A36"/>
                <w:sz w:val="14"/>
              </w:rPr>
              <w:t>sov_spread_rating</w:t>
            </w:r>
          </w:p>
        </w:tc>
        <w:tc>
          <w:tcPr>
            <w:tcW w:type="dxa" w:w="1325"/>
          </w:tcPr>
          <w:p>
            <w:pPr>
              <w:spacing w:after="20"/>
            </w:pPr>
            <w:r>
              <w:rPr>
                <w:color w:val="1C3A36"/>
                <w:sz w:val="14"/>
              </w:rPr>
              <w:t>0.0637</w:t>
            </w:r>
          </w:p>
        </w:tc>
        <w:tc>
          <w:tcPr>
            <w:tcW w:type="dxa" w:w="1066"/>
          </w:tcPr>
          <w:p>
            <w:pPr>
              <w:spacing w:after="20"/>
            </w:pPr>
            <w:r>
              <w:rPr>
                <w:color w:val="1C3A36"/>
                <w:sz w:val="14"/>
              </w:rPr>
              <w:t>Country</w:t>
            </w:r>
          </w:p>
        </w:tc>
        <w:tc>
          <w:tcPr>
            <w:tcW w:type="dxa" w:w="7085"/>
          </w:tcPr>
          <w:p>
            <w:pPr>
              <w:spacing w:after="20"/>
            </w:pPr>
            <w:r>
              <w:rPr>
                <w:color w:val="1C3A36"/>
                <w:sz w:val="14"/>
              </w:rPr>
              <w:t>Egypt RATING-implied sovereign default spread, Damodaran January-2026, rating column. Published as the alternative basis to the adopted CDS one, never mixed with it: the spread netted out of the risk-free rate and the spread added back through the premium must be the SAME basis or the sovereign is counted one and a half times</w:t>
            </w:r>
          </w:p>
        </w:tc>
        <w:tc>
          <w:tcPr>
            <w:tcW w:type="dxa" w:w="1210"/>
          </w:tcPr>
          <w:p>
            <w:pPr>
              <w:spacing w:after="20"/>
            </w:pPr>
            <w:r>
              <w:rPr>
                <w:color w:val="1C3A36"/>
                <w:sz w:val="14"/>
              </w:rPr>
              <w:t>2026-01-05</w:t>
            </w:r>
          </w:p>
        </w:tc>
      </w:tr>
      <w:tr>
        <w:tc>
          <w:tcPr>
            <w:tcW w:type="dxa" w:w="518"/>
          </w:tcPr>
          <w:p>
            <w:pPr>
              <w:spacing w:after="20"/>
            </w:pPr>
            <w:r>
              <w:rPr>
                <w:color w:val="1C3A36"/>
                <w:sz w:val="14"/>
              </w:rPr>
              <w:t>68</w:t>
            </w:r>
          </w:p>
        </w:tc>
        <w:tc>
          <w:tcPr>
            <w:tcW w:type="dxa" w:w="2448"/>
          </w:tcPr>
          <w:p>
            <w:pPr>
              <w:spacing w:after="20"/>
            </w:pPr>
            <w:r>
              <w:rPr>
                <w:color w:val="1C3A36"/>
                <w:sz w:val="14"/>
              </w:rPr>
              <w:t>tax_stat</w:t>
            </w:r>
          </w:p>
        </w:tc>
        <w:tc>
          <w:tcPr>
            <w:tcW w:type="dxa" w:w="1325"/>
          </w:tcPr>
          <w:p>
            <w:pPr>
              <w:spacing w:after="20"/>
            </w:pPr>
            <w:r>
              <w:rPr>
                <w:color w:val="1C3A36"/>
                <w:sz w:val="14"/>
              </w:rPr>
              <w:t>0.225</w:t>
            </w:r>
          </w:p>
        </w:tc>
        <w:tc>
          <w:tcPr>
            <w:tcW w:type="dxa" w:w="1066"/>
          </w:tcPr>
          <w:p>
            <w:pPr>
              <w:spacing w:after="20"/>
            </w:pPr>
            <w:r>
              <w:rPr>
                <w:color w:val="1C3A36"/>
                <w:sz w:val="14"/>
              </w:rPr>
              <w:t>Country</w:t>
            </w:r>
          </w:p>
        </w:tc>
        <w:tc>
          <w:tcPr>
            <w:tcW w:type="dxa" w:w="7085"/>
          </w:tcPr>
          <w:p>
            <w:pPr>
              <w:spacing w:after="20"/>
            </w:pPr>
            <w:r>
              <w:rPr>
                <w:color w:val="1C3A36"/>
                <w:sz w:val="14"/>
              </w:rPr>
              <w:t>Egypt statutory corporate income tax</w:t>
            </w:r>
          </w:p>
        </w:tc>
        <w:tc>
          <w:tcPr>
            <w:tcW w:type="dxa" w:w="1210"/>
          </w:tcPr>
          <w:p>
            <w:pPr>
              <w:spacing w:after="20"/>
            </w:pPr>
            <w:r>
              <w:rPr>
                <w:color w:val="1C3A36"/>
                <w:sz w:val="14"/>
              </w:rPr>
              <w:t>2026</w:t>
            </w:r>
          </w:p>
        </w:tc>
      </w:tr>
      <w:tr>
        <w:tc>
          <w:tcPr>
            <w:tcW w:type="dxa" w:w="518"/>
          </w:tcPr>
          <w:p>
            <w:pPr>
              <w:spacing w:after="20"/>
            </w:pPr>
            <w:r>
              <w:rPr>
                <w:color w:val="1C3A36"/>
                <w:sz w:val="14"/>
              </w:rPr>
              <w:t>69</w:t>
            </w:r>
          </w:p>
        </w:tc>
        <w:tc>
          <w:tcPr>
            <w:tcW w:type="dxa" w:w="2448"/>
          </w:tcPr>
          <w:p>
            <w:pPr>
              <w:spacing w:after="20"/>
            </w:pPr>
            <w:r>
              <w:rPr>
                <w:color w:val="1C3A36"/>
                <w:sz w:val="14"/>
              </w:rPr>
              <w:t>beta</w:t>
            </w:r>
          </w:p>
        </w:tc>
        <w:tc>
          <w:tcPr>
            <w:tcW w:type="dxa" w:w="1325"/>
          </w:tcPr>
          <w:p>
            <w:pPr>
              <w:spacing w:after="20"/>
            </w:pPr>
            <w:r>
              <w:rPr>
                <w:color w:val="1C3A36"/>
                <w:sz w:val="14"/>
              </w:rPr>
              <w:t>1</w:t>
            </w:r>
          </w:p>
        </w:tc>
        <w:tc>
          <w:tcPr>
            <w:tcW w:type="dxa" w:w="1066"/>
          </w:tcPr>
          <w:p>
            <w:pPr>
              <w:spacing w:after="20"/>
            </w:pPr>
            <w:r>
              <w:rPr>
                <w:color w:val="1C3A36"/>
                <w:sz w:val="14"/>
              </w:rPr>
              <w:t>House</w:t>
            </w:r>
          </w:p>
        </w:tc>
        <w:tc>
          <w:tcPr>
            <w:tcW w:type="dxa" w:w="7085"/>
          </w:tcPr>
          <w:p>
            <w:pPr>
              <w:spacing w:after="20"/>
            </w:pPr>
            <w:r>
              <w:rPr>
                <w:color w:val="1C3A36"/>
                <w:sz w:val="14"/>
              </w:rPr>
              <w:t>Adopted beta. The own-stock regression FAILS the usability gate (R-squared 0.038 against a 0.05 floor) though n=256 and SE 0.153 both pass. The lead-lag corrected estimate is 0.837 and its 90% interval contains 1.00. Rounding up to 1.00 COSTS 1.84% of the central; that price is now stated rather than left implicit</w:t>
            </w:r>
          </w:p>
        </w:tc>
        <w:tc>
          <w:tcPr>
            <w:tcW w:type="dxa" w:w="1210"/>
          </w:tcPr>
          <w:p>
            <w:pPr>
              <w:spacing w:after="20"/>
            </w:pPr>
            <w:r>
              <w:rPr>
                <w:color w:val="1C3A36"/>
                <w:sz w:val="14"/>
              </w:rPr>
              <w:t>2026-08-06</w:t>
            </w:r>
          </w:p>
        </w:tc>
      </w:tr>
      <w:tr>
        <w:tc>
          <w:tcPr>
            <w:tcW w:type="dxa" w:w="518"/>
          </w:tcPr>
          <w:p>
            <w:pPr>
              <w:spacing w:after="20"/>
            </w:pPr>
            <w:r>
              <w:rPr>
                <w:color w:val="1C3A36"/>
                <w:sz w:val="14"/>
              </w:rPr>
              <w:t>70</w:t>
            </w:r>
          </w:p>
        </w:tc>
        <w:tc>
          <w:tcPr>
            <w:tcW w:type="dxa" w:w="2448"/>
          </w:tcPr>
          <w:p>
            <w:pPr>
              <w:spacing w:after="20"/>
            </w:pPr>
            <w:r>
              <w:rPr>
                <w:color w:val="1C3A36"/>
                <w:sz w:val="14"/>
              </w:rPr>
              <w:t>capex_pct</w:t>
            </w:r>
          </w:p>
        </w:tc>
        <w:tc>
          <w:tcPr>
            <w:tcW w:type="dxa" w:w="1325"/>
          </w:tcPr>
          <w:p>
            <w:pPr>
              <w:spacing w:after="20"/>
            </w:pPr>
            <w:r>
              <w:rPr>
                <w:color w:val="1C3A36"/>
                <w:sz w:val="14"/>
              </w:rPr>
              <w:t>0.05, 0.048, 0.047, 0.046, 0.045</w:t>
            </w:r>
          </w:p>
        </w:tc>
        <w:tc>
          <w:tcPr>
            <w:tcW w:type="dxa" w:w="1066"/>
          </w:tcPr>
          <w:p>
            <w:pPr>
              <w:spacing w:after="20"/>
            </w:pPr>
            <w:r>
              <w:rPr>
                <w:color w:val="1C3A36"/>
                <w:sz w:val="14"/>
              </w:rPr>
              <w:t>House</w:t>
            </w:r>
          </w:p>
        </w:tc>
        <w:tc>
          <w:tcPr>
            <w:tcW w:type="dxa" w:w="7085"/>
          </w:tcPr>
          <w:p>
            <w:pPr>
              <w:spacing w:after="20"/>
            </w:pPr>
            <w:r>
              <w:rPr>
                <w:color w:val="1C3A36"/>
                <w:sz w:val="14"/>
              </w:rPr>
              <w:t>Capex as a share of revenue. No capital-expenditure disclosure is obtainable</w:t>
            </w:r>
          </w:p>
        </w:tc>
        <w:tc>
          <w:tcPr>
            <w:tcW w:type="dxa" w:w="1210"/>
          </w:tcPr>
          <w:p>
            <w:pPr>
              <w:spacing w:after="20"/>
            </w:pPr>
            <w:r>
              <w:rPr>
                <w:color w:val="1C3A36"/>
                <w:sz w:val="14"/>
              </w:rPr>
              <w:t>2026-08-06</w:t>
            </w:r>
          </w:p>
        </w:tc>
      </w:tr>
      <w:tr>
        <w:tc>
          <w:tcPr>
            <w:tcW w:type="dxa" w:w="518"/>
          </w:tcPr>
          <w:p>
            <w:pPr>
              <w:spacing w:after="20"/>
            </w:pPr>
            <w:r>
              <w:rPr>
                <w:color w:val="1C3A36"/>
                <w:sz w:val="14"/>
              </w:rPr>
              <w:t>71</w:t>
            </w:r>
          </w:p>
        </w:tc>
        <w:tc>
          <w:tcPr>
            <w:tcW w:type="dxa" w:w="2448"/>
          </w:tcPr>
          <w:p>
            <w:pPr>
              <w:spacing w:after="20"/>
            </w:pPr>
            <w:r>
              <w:rPr>
                <w:color w:val="1C3A36"/>
                <w:sz w:val="14"/>
              </w:rPr>
              <w:t>cash_growth_fy25</w:t>
            </w:r>
          </w:p>
        </w:tc>
        <w:tc>
          <w:tcPr>
            <w:tcW w:type="dxa" w:w="1325"/>
          </w:tcPr>
          <w:p>
            <w:pPr>
              <w:spacing w:after="20"/>
            </w:pPr>
            <w:r>
              <w:rPr>
                <w:color w:val="1C3A36"/>
                <w:sz w:val="14"/>
              </w:rPr>
              <w:t>1</w:t>
            </w:r>
          </w:p>
        </w:tc>
        <w:tc>
          <w:tcPr>
            <w:tcW w:type="dxa" w:w="1066"/>
          </w:tcPr>
          <w:p>
            <w:pPr>
              <w:spacing w:after="20"/>
            </w:pPr>
            <w:r>
              <w:rPr>
                <w:color w:val="1C3A36"/>
                <w:sz w:val="14"/>
              </w:rPr>
              <w:t>House</w:t>
            </w:r>
          </w:p>
        </w:tc>
        <w:tc>
          <w:tcPr>
            <w:tcW w:type="dxa" w:w="7085"/>
          </w:tcPr>
          <w:p>
            <w:pPr>
              <w:spacing w:after="20"/>
            </w:pPr>
            <w:r>
              <w:rPr>
                <w:color w:val="1C3A36"/>
                <w:sz w:val="14"/>
              </w:rPr>
              <w:t>RETIRED in revision 2 — cash is now the reported balance, not a rolled derivation. Kept at 1.0 so nothing scales it</w:t>
            </w:r>
          </w:p>
        </w:tc>
        <w:tc>
          <w:tcPr>
            <w:tcW w:type="dxa" w:w="1210"/>
          </w:tcPr>
          <w:p>
            <w:pPr>
              <w:spacing w:after="20"/>
            </w:pPr>
            <w:r>
              <w:rPr>
                <w:color w:val="1C3A36"/>
                <w:sz w:val="14"/>
              </w:rPr>
              <w:t>2026-08-06</w:t>
            </w:r>
          </w:p>
        </w:tc>
      </w:tr>
      <w:tr>
        <w:tc>
          <w:tcPr>
            <w:tcW w:type="dxa" w:w="518"/>
          </w:tcPr>
          <w:p>
            <w:pPr>
              <w:spacing w:after="20"/>
            </w:pPr>
            <w:r>
              <w:rPr>
                <w:color w:val="1C3A36"/>
                <w:sz w:val="14"/>
              </w:rPr>
              <w:t>72</w:t>
            </w:r>
          </w:p>
        </w:tc>
        <w:tc>
          <w:tcPr>
            <w:tcW w:type="dxa" w:w="2448"/>
          </w:tcPr>
          <w:p>
            <w:pPr>
              <w:spacing w:after="20"/>
            </w:pPr>
            <w:r>
              <w:rPr>
                <w:color w:val="1C3A36"/>
                <w:sz w:val="14"/>
              </w:rPr>
              <w:t>cash_yield</w:t>
            </w:r>
          </w:p>
        </w:tc>
        <w:tc>
          <w:tcPr>
            <w:tcW w:type="dxa" w:w="1325"/>
          </w:tcPr>
          <w:p>
            <w:pPr>
              <w:spacing w:after="20"/>
            </w:pPr>
            <w:r>
              <w:rPr>
                <w:color w:val="1C3A36"/>
                <w:sz w:val="14"/>
              </w:rPr>
              <w:t>0.19, 0.17, 0.15, 0.135, 0.125</w:t>
            </w:r>
          </w:p>
        </w:tc>
        <w:tc>
          <w:tcPr>
            <w:tcW w:type="dxa" w:w="1066"/>
          </w:tcPr>
          <w:p>
            <w:pPr>
              <w:spacing w:after="20"/>
            </w:pPr>
            <w:r>
              <w:rPr>
                <w:color w:val="1C3A36"/>
                <w:sz w:val="14"/>
              </w:rPr>
              <w:t>House</w:t>
            </w:r>
          </w:p>
        </w:tc>
        <w:tc>
          <w:tcPr>
            <w:tcW w:type="dxa" w:w="7085"/>
          </w:tcPr>
          <w:p>
            <w:pPr>
              <w:spacing w:after="20"/>
            </w:pPr>
            <w:r>
              <w:rPr>
                <w:color w:val="1C3A36"/>
                <w:sz w:val="14"/>
              </w:rPr>
              <w:t>Yield earned on cash</w:t>
            </w:r>
          </w:p>
        </w:tc>
        <w:tc>
          <w:tcPr>
            <w:tcW w:type="dxa" w:w="1210"/>
          </w:tcPr>
          <w:p>
            <w:pPr>
              <w:spacing w:after="20"/>
            </w:pPr>
            <w:r>
              <w:rPr>
                <w:color w:val="1C3A36"/>
                <w:sz w:val="14"/>
              </w:rPr>
              <w:t>2026-08-06</w:t>
            </w:r>
          </w:p>
        </w:tc>
      </w:tr>
      <w:tr>
        <w:tc>
          <w:tcPr>
            <w:tcW w:type="dxa" w:w="518"/>
          </w:tcPr>
          <w:p>
            <w:pPr>
              <w:spacing w:after="20"/>
            </w:pPr>
            <w:r>
              <w:rPr>
                <w:color w:val="1C3A36"/>
                <w:sz w:val="14"/>
              </w:rPr>
              <w:t>73</w:t>
            </w:r>
          </w:p>
        </w:tc>
        <w:tc>
          <w:tcPr>
            <w:tcW w:type="dxa" w:w="2448"/>
          </w:tcPr>
          <w:p>
            <w:pPr>
              <w:spacing w:after="20"/>
            </w:pPr>
            <w:r>
              <w:rPr>
                <w:color w:val="1C3A36"/>
                <w:sz w:val="14"/>
              </w:rPr>
              <w:t>cash_yield_fy25</w:t>
            </w:r>
          </w:p>
        </w:tc>
        <w:tc>
          <w:tcPr>
            <w:tcW w:type="dxa" w:w="1325"/>
          </w:tcPr>
          <w:p>
            <w:pPr>
              <w:spacing w:after="20"/>
            </w:pPr>
            <w:r>
              <w:rPr>
                <w:color w:val="1C3A36"/>
                <w:sz w:val="14"/>
              </w:rPr>
              <w:t>0.21</w:t>
            </w:r>
          </w:p>
        </w:tc>
        <w:tc>
          <w:tcPr>
            <w:tcW w:type="dxa" w:w="1066"/>
          </w:tcPr>
          <w:p>
            <w:pPr>
              <w:spacing w:after="20"/>
            </w:pPr>
            <w:r>
              <w:rPr>
                <w:color w:val="1C3A36"/>
                <w:sz w:val="14"/>
              </w:rPr>
              <w:t>House</w:t>
            </w:r>
          </w:p>
        </w:tc>
        <w:tc>
          <w:tcPr>
            <w:tcW w:type="dxa" w:w="7085"/>
          </w:tcPr>
          <w:p>
            <w:pPr>
              <w:spacing w:after="20"/>
            </w:pPr>
            <w:r>
              <w:rPr>
                <w:color w:val="1C3A36"/>
                <w:sz w:val="14"/>
              </w:rPr>
              <w:t>Yield earned on cash through FY2025</w:t>
            </w:r>
          </w:p>
        </w:tc>
        <w:tc>
          <w:tcPr>
            <w:tcW w:type="dxa" w:w="1210"/>
          </w:tcPr>
          <w:p>
            <w:pPr>
              <w:spacing w:after="20"/>
            </w:pPr>
            <w:r>
              <w:rPr>
                <w:color w:val="1C3A36"/>
                <w:sz w:val="14"/>
              </w:rPr>
              <w:t>2026-08-06</w:t>
            </w:r>
          </w:p>
        </w:tc>
      </w:tr>
      <w:tr>
        <w:tc>
          <w:tcPr>
            <w:tcW w:type="dxa" w:w="518"/>
          </w:tcPr>
          <w:p>
            <w:pPr>
              <w:spacing w:after="20"/>
            </w:pPr>
            <w:r>
              <w:rPr>
                <w:color w:val="1C3A36"/>
                <w:sz w:val="14"/>
              </w:rPr>
              <w:t>74</w:t>
            </w:r>
          </w:p>
        </w:tc>
        <w:tc>
          <w:tcPr>
            <w:tcW w:type="dxa" w:w="2448"/>
          </w:tcPr>
          <w:p>
            <w:pPr>
              <w:spacing w:after="20"/>
            </w:pPr>
            <w:r>
              <w:rPr>
                <w:color w:val="1C3A36"/>
                <w:sz w:val="14"/>
              </w:rPr>
              <w:t>distribution_egp_t</w:t>
            </w:r>
          </w:p>
        </w:tc>
        <w:tc>
          <w:tcPr>
            <w:tcW w:type="dxa" w:w="1325"/>
          </w:tcPr>
          <w:p>
            <w:pPr>
              <w:spacing w:after="20"/>
            </w:pPr>
            <w:r>
              <w:rPr>
                <w:color w:val="1C3A36"/>
                <w:sz w:val="14"/>
              </w:rPr>
              <w:t>250</w:t>
            </w:r>
          </w:p>
        </w:tc>
        <w:tc>
          <w:tcPr>
            <w:tcW w:type="dxa" w:w="1066"/>
          </w:tcPr>
          <w:p>
            <w:pPr>
              <w:spacing w:after="20"/>
            </w:pPr>
            <w:r>
              <w:rPr>
                <w:color w:val="1C3A36"/>
                <w:sz w:val="14"/>
              </w:rPr>
              <w:t>House</w:t>
            </w:r>
          </w:p>
        </w:tc>
        <w:tc>
          <w:tcPr>
            <w:tcW w:type="dxa" w:w="7085"/>
          </w:tcPr>
          <w:p>
            <w:pPr>
              <w:spacing w:after="20"/>
            </w:pPr>
            <w:r>
              <w:rPr>
                <w:color w:val="1C3A36"/>
                <w:sz w:val="14"/>
              </w:rPr>
              <w:t>Outbound freight and selling per tonne, set above a typical Egyptian plant because El Hassana is distant from the Cairo and Delta demand centres</w:t>
            </w:r>
          </w:p>
        </w:tc>
        <w:tc>
          <w:tcPr>
            <w:tcW w:type="dxa" w:w="1210"/>
          </w:tcPr>
          <w:p>
            <w:pPr>
              <w:spacing w:after="20"/>
            </w:pPr>
            <w:r>
              <w:rPr>
                <w:color w:val="1C3A36"/>
                <w:sz w:val="14"/>
              </w:rPr>
              <w:t>2026-08-06</w:t>
            </w:r>
          </w:p>
        </w:tc>
      </w:tr>
      <w:tr>
        <w:tc>
          <w:tcPr>
            <w:tcW w:type="dxa" w:w="518"/>
          </w:tcPr>
          <w:p>
            <w:pPr>
              <w:spacing w:after="20"/>
            </w:pPr>
            <w:r>
              <w:rPr>
                <w:color w:val="1C3A36"/>
                <w:sz w:val="14"/>
              </w:rPr>
              <w:t>75</w:t>
            </w:r>
          </w:p>
        </w:tc>
        <w:tc>
          <w:tcPr>
            <w:tcW w:type="dxa" w:w="2448"/>
          </w:tcPr>
          <w:p>
            <w:pPr>
              <w:spacing w:after="20"/>
            </w:pPr>
            <w:r>
              <w:rPr>
                <w:color w:val="1C3A36"/>
                <w:sz w:val="14"/>
              </w:rPr>
              <w:t>dna_pct</w:t>
            </w:r>
          </w:p>
        </w:tc>
        <w:tc>
          <w:tcPr>
            <w:tcW w:type="dxa" w:w="1325"/>
          </w:tcPr>
          <w:p>
            <w:pPr>
              <w:spacing w:after="20"/>
            </w:pPr>
            <w:r>
              <w:rPr>
                <w:color w:val="1C3A36"/>
                <w:sz w:val="14"/>
              </w:rPr>
              <w:t>0.046, 0.045, 0.044, 0.043, 0.042</w:t>
            </w:r>
          </w:p>
        </w:tc>
        <w:tc>
          <w:tcPr>
            <w:tcW w:type="dxa" w:w="1066"/>
          </w:tcPr>
          <w:p>
            <w:pPr>
              <w:spacing w:after="20"/>
            </w:pPr>
            <w:r>
              <w:rPr>
                <w:color w:val="1C3A36"/>
                <w:sz w:val="14"/>
              </w:rPr>
              <w:t>House</w:t>
            </w:r>
          </w:p>
        </w:tc>
        <w:tc>
          <w:tcPr>
            <w:tcW w:type="dxa" w:w="7085"/>
          </w:tcPr>
          <w:p>
            <w:pPr>
              <w:spacing w:after="20"/>
            </w:pPr>
            <w:r>
              <w:rPr>
                <w:color w:val="1C3A36"/>
                <w:sz w:val="14"/>
              </w:rPr>
              <w:t>D&amp;A as a share of revenue</w:t>
            </w:r>
          </w:p>
        </w:tc>
        <w:tc>
          <w:tcPr>
            <w:tcW w:type="dxa" w:w="1210"/>
          </w:tcPr>
          <w:p>
            <w:pPr>
              <w:spacing w:after="20"/>
            </w:pPr>
            <w:r>
              <w:rPr>
                <w:color w:val="1C3A36"/>
                <w:sz w:val="14"/>
              </w:rPr>
              <w:t>2026-08-06</w:t>
            </w:r>
          </w:p>
        </w:tc>
      </w:tr>
      <w:tr>
        <w:tc>
          <w:tcPr>
            <w:tcW w:type="dxa" w:w="518"/>
          </w:tcPr>
          <w:p>
            <w:pPr>
              <w:spacing w:after="20"/>
            </w:pPr>
            <w:r>
              <w:rPr>
                <w:color w:val="1C3A36"/>
                <w:sz w:val="14"/>
              </w:rPr>
              <w:t>76</w:t>
            </w:r>
          </w:p>
        </w:tc>
        <w:tc>
          <w:tcPr>
            <w:tcW w:type="dxa" w:w="2448"/>
          </w:tcPr>
          <w:p>
            <w:pPr>
              <w:spacing w:after="20"/>
            </w:pPr>
            <w:r>
              <w:rPr>
                <w:color w:val="1C3A36"/>
                <w:sz w:val="14"/>
              </w:rPr>
              <w:t>erp_term</w:t>
            </w:r>
          </w:p>
        </w:tc>
        <w:tc>
          <w:tcPr>
            <w:tcW w:type="dxa" w:w="1325"/>
          </w:tcPr>
          <w:p>
            <w:pPr>
              <w:spacing w:after="20"/>
            </w:pPr>
            <w:r>
              <w:rPr>
                <w:color w:val="1C3A36"/>
                <w:sz w:val="14"/>
              </w:rPr>
              <w:t>0.07</w:t>
            </w:r>
          </w:p>
        </w:tc>
        <w:tc>
          <w:tcPr>
            <w:tcW w:type="dxa" w:w="1066"/>
          </w:tcPr>
          <w:p>
            <w:pPr>
              <w:spacing w:after="20"/>
            </w:pPr>
            <w:r>
              <w:rPr>
                <w:color w:val="1C3A36"/>
                <w:sz w:val="14"/>
              </w:rPr>
              <w:t>House</w:t>
            </w:r>
          </w:p>
        </w:tc>
        <w:tc>
          <w:tcPr>
            <w:tcW w:type="dxa" w:w="7085"/>
          </w:tcPr>
          <w:p>
            <w:pPr>
              <w:spacing w:after="20"/>
            </w:pPr>
            <w:r>
              <w:rPr>
                <w:color w:val="1C3A36"/>
                <w:sz w:val="14"/>
              </w:rPr>
              <w:t>Terminal equity risk premium, normalised below the crisis level</w:t>
            </w:r>
          </w:p>
        </w:tc>
        <w:tc>
          <w:tcPr>
            <w:tcW w:type="dxa" w:w="1210"/>
          </w:tcPr>
          <w:p>
            <w:pPr>
              <w:spacing w:after="20"/>
            </w:pPr>
            <w:r>
              <w:rPr>
                <w:color w:val="1C3A36"/>
                <w:sz w:val="14"/>
              </w:rPr>
              <w:t>2026-08-06</w:t>
            </w:r>
          </w:p>
        </w:tc>
      </w:tr>
      <w:tr>
        <w:tc>
          <w:tcPr>
            <w:tcW w:type="dxa" w:w="518"/>
          </w:tcPr>
          <w:p>
            <w:pPr>
              <w:spacing w:after="20"/>
            </w:pPr>
            <w:r>
              <w:rPr>
                <w:color w:val="1C3A36"/>
                <w:sz w:val="14"/>
              </w:rPr>
              <w:t>77</w:t>
            </w:r>
          </w:p>
        </w:tc>
        <w:tc>
          <w:tcPr>
            <w:tcW w:type="dxa" w:w="2448"/>
          </w:tcPr>
          <w:p>
            <w:pPr>
              <w:spacing w:after="20"/>
            </w:pPr>
            <w:r>
              <w:rPr>
                <w:color w:val="1C3A36"/>
                <w:sz w:val="14"/>
              </w:rPr>
              <w:t>ev_ebitda_just</w:t>
            </w:r>
          </w:p>
        </w:tc>
        <w:tc>
          <w:tcPr>
            <w:tcW w:type="dxa" w:w="1325"/>
          </w:tcPr>
          <w:p>
            <w:pPr>
              <w:spacing w:after="20"/>
            </w:pPr>
            <w:r>
              <w:rPr>
                <w:color w:val="1C3A36"/>
                <w:sz w:val="14"/>
              </w:rPr>
              <w:t>4.2</w:t>
            </w:r>
          </w:p>
        </w:tc>
        <w:tc>
          <w:tcPr>
            <w:tcW w:type="dxa" w:w="1066"/>
          </w:tcPr>
          <w:p>
            <w:pPr>
              <w:spacing w:after="20"/>
            </w:pPr>
            <w:r>
              <w:rPr>
                <w:color w:val="1C3A36"/>
                <w:sz w:val="14"/>
              </w:rPr>
              <w:t>House</w:t>
            </w:r>
          </w:p>
        </w:tc>
        <w:tc>
          <w:tcPr>
            <w:tcW w:type="dxa" w:w="7085"/>
          </w:tcPr>
          <w:p>
            <w:pPr>
              <w:spacing w:after="20"/>
            </w:pPr>
            <w:r>
              <w:rPr>
                <w:color w:val="1C3A36"/>
                <w:sz w:val="14"/>
              </w:rPr>
              <w:t>Justified EV/EBITDA. Revision 1 used 5.0x anchored on a peer quoted at 5.03x. That anchor does not reproduce: the peer's own market capitalisation over profit gives 3.48x, not the 6.44x printed beside it, and the implied EBITDA margin would be 68% for a cement company. 4.2x is struck between the reproducible peer earnings multiple and the asserted EBITDA multiple, and is disclosed as weakly anchored</w:t>
            </w:r>
          </w:p>
        </w:tc>
        <w:tc>
          <w:tcPr>
            <w:tcW w:type="dxa" w:w="1210"/>
          </w:tcPr>
          <w:p>
            <w:pPr>
              <w:spacing w:after="20"/>
            </w:pPr>
            <w:r>
              <w:rPr>
                <w:color w:val="1C3A36"/>
                <w:sz w:val="14"/>
              </w:rPr>
              <w:t>2026-08-06</w:t>
            </w:r>
          </w:p>
        </w:tc>
      </w:tr>
      <w:tr>
        <w:tc>
          <w:tcPr>
            <w:tcW w:type="dxa" w:w="518"/>
          </w:tcPr>
          <w:p>
            <w:pPr>
              <w:spacing w:after="20"/>
            </w:pPr>
            <w:r>
              <w:rPr>
                <w:color w:val="1C3A36"/>
                <w:sz w:val="14"/>
              </w:rPr>
              <w:t>78</w:t>
            </w:r>
          </w:p>
        </w:tc>
        <w:tc>
          <w:tcPr>
            <w:tcW w:type="dxa" w:w="2448"/>
          </w:tcPr>
          <w:p>
            <w:pPr>
              <w:spacing w:after="20"/>
            </w:pPr>
            <w:r>
              <w:rPr>
                <w:color w:val="1C3A36"/>
                <w:sz w:val="14"/>
              </w:rPr>
              <w:t>ev_t_just</w:t>
            </w:r>
          </w:p>
        </w:tc>
        <w:tc>
          <w:tcPr>
            <w:tcW w:type="dxa" w:w="1325"/>
          </w:tcPr>
          <w:p>
            <w:pPr>
              <w:spacing w:after="20"/>
            </w:pPr>
            <w:r>
              <w:rPr>
                <w:color w:val="1C3A36"/>
                <w:sz w:val="14"/>
              </w:rPr>
              <w:t>95</w:t>
            </w:r>
          </w:p>
        </w:tc>
        <w:tc>
          <w:tcPr>
            <w:tcW w:type="dxa" w:w="1066"/>
          </w:tcPr>
          <w:p>
            <w:pPr>
              <w:spacing w:after="20"/>
            </w:pPr>
            <w:r>
              <w:rPr>
                <w:color w:val="1C3A36"/>
                <w:sz w:val="14"/>
              </w:rPr>
              <w:t>House</w:t>
            </w:r>
          </w:p>
        </w:tc>
        <w:tc>
          <w:tcPr>
            <w:tcW w:type="dxa" w:w="7085"/>
          </w:tcPr>
          <w:p>
            <w:pPr>
              <w:spacing w:after="20"/>
            </w:pPr>
            <w:r>
              <w:rPr>
                <w:color w:val="1C3A36"/>
                <w:sz w:val="14"/>
              </w:rPr>
              <w:t>Justified enterprise value per annual tonne of cement capacity</w:t>
            </w:r>
          </w:p>
        </w:tc>
        <w:tc>
          <w:tcPr>
            <w:tcW w:type="dxa" w:w="1210"/>
          </w:tcPr>
          <w:p>
            <w:pPr>
              <w:spacing w:after="20"/>
            </w:pPr>
            <w:r>
              <w:rPr>
                <w:color w:val="1C3A36"/>
                <w:sz w:val="14"/>
              </w:rPr>
              <w:t>2026-08-06</w:t>
            </w:r>
          </w:p>
        </w:tc>
      </w:tr>
      <w:tr>
        <w:tc>
          <w:tcPr>
            <w:tcW w:type="dxa" w:w="518"/>
          </w:tcPr>
          <w:p>
            <w:pPr>
              <w:spacing w:after="20"/>
            </w:pPr>
            <w:r>
              <w:rPr>
                <w:color w:val="1C3A36"/>
                <w:sz w:val="14"/>
              </w:rPr>
              <w:t>79</w:t>
            </w:r>
          </w:p>
        </w:tc>
        <w:tc>
          <w:tcPr>
            <w:tcW w:type="dxa" w:w="2448"/>
          </w:tcPr>
          <w:p>
            <w:pPr>
              <w:spacing w:after="20"/>
            </w:pPr>
            <w:r>
              <w:rPr>
                <w:color w:val="1C3A36"/>
                <w:sz w:val="14"/>
              </w:rPr>
              <w:t>fixed_usd_t_capacity</w:t>
            </w:r>
          </w:p>
        </w:tc>
        <w:tc>
          <w:tcPr>
            <w:tcW w:type="dxa" w:w="1325"/>
          </w:tcPr>
          <w:p>
            <w:pPr>
              <w:spacing w:after="20"/>
            </w:pPr>
            <w:r>
              <w:rPr>
                <w:color w:val="1C3A36"/>
                <w:sz w:val="14"/>
              </w:rPr>
              <w:t>14.6</w:t>
            </w:r>
          </w:p>
        </w:tc>
        <w:tc>
          <w:tcPr>
            <w:tcW w:type="dxa" w:w="1066"/>
          </w:tcPr>
          <w:p>
            <w:pPr>
              <w:spacing w:after="20"/>
            </w:pPr>
            <w:r>
              <w:rPr>
                <w:color w:val="1C3A36"/>
                <w:sz w:val="14"/>
              </w:rPr>
              <w:t>House</w:t>
            </w:r>
          </w:p>
        </w:tc>
        <w:tc>
          <w:tcPr>
            <w:tcW w:type="dxa" w:w="7085"/>
          </w:tcPr>
          <w:p>
            <w:pPr>
              <w:spacing w:after="20"/>
            </w:pPr>
            <w:r>
              <w:rPr>
                <w:color w:val="1C3A36"/>
                <w:sz w:val="14"/>
              </w:rPr>
              <w:t>Fixed cash cost per tonne of INSTALLED capacity so it does not vanish when volume falls. Industry band USD 10-20/t. 14.60 is the level the FY2025 reconciliation implies against an independently built variable stack — reported, not solved away</w:t>
            </w:r>
          </w:p>
        </w:tc>
        <w:tc>
          <w:tcPr>
            <w:tcW w:type="dxa" w:w="1210"/>
          </w:tcPr>
          <w:p>
            <w:pPr>
              <w:spacing w:after="20"/>
            </w:pPr>
            <w:r>
              <w:rPr>
                <w:color w:val="1C3A36"/>
                <w:sz w:val="14"/>
              </w:rPr>
              <w:t>2026-08-06</w:t>
            </w:r>
          </w:p>
        </w:tc>
      </w:tr>
      <w:tr>
        <w:tc>
          <w:tcPr>
            <w:tcW w:type="dxa" w:w="518"/>
          </w:tcPr>
          <w:p>
            <w:pPr>
              <w:spacing w:after="20"/>
            </w:pPr>
            <w:r>
              <w:rPr>
                <w:color w:val="1C3A36"/>
                <w:sz w:val="14"/>
              </w:rPr>
              <w:t>80</w:t>
            </w:r>
          </w:p>
        </w:tc>
        <w:tc>
          <w:tcPr>
            <w:tcW w:type="dxa" w:w="2448"/>
          </w:tcPr>
          <w:p>
            <w:pPr>
              <w:spacing w:after="20"/>
            </w:pPr>
            <w:r>
              <w:rPr>
                <w:color w:val="1C3A36"/>
                <w:sz w:val="14"/>
              </w:rPr>
              <w:t>kd</w:t>
            </w:r>
          </w:p>
        </w:tc>
        <w:tc>
          <w:tcPr>
            <w:tcW w:type="dxa" w:w="1325"/>
          </w:tcPr>
          <w:p>
            <w:pPr>
              <w:spacing w:after="20"/>
            </w:pPr>
            <w:r>
              <w:rPr>
                <w:color w:val="1C3A36"/>
                <w:sz w:val="14"/>
              </w:rPr>
              <w:t>0.25</w:t>
            </w:r>
          </w:p>
        </w:tc>
        <w:tc>
          <w:tcPr>
            <w:tcW w:type="dxa" w:w="1066"/>
          </w:tcPr>
          <w:p>
            <w:pPr>
              <w:spacing w:after="20"/>
            </w:pPr>
            <w:r>
              <w:rPr>
                <w:color w:val="1C3A36"/>
                <w:sz w:val="14"/>
              </w:rPr>
              <w:t>House</w:t>
            </w:r>
          </w:p>
        </w:tc>
        <w:tc>
          <w:tcPr>
            <w:tcW w:type="dxa" w:w="7085"/>
          </w:tcPr>
          <w:p>
            <w:pPr>
              <w:spacing w:after="20"/>
            </w:pPr>
            <w:r>
              <w:rPr>
                <w:color w:val="1C3A36"/>
                <w:sz w:val="14"/>
              </w:rPr>
              <w:t>PLACEHOLDER — replaced below by the sovereign-plus-spread construction, because a marginal cost of debt is not a free-standing input once the sovereign it must sit above comes from the house path</w:t>
            </w:r>
          </w:p>
        </w:tc>
        <w:tc>
          <w:tcPr>
            <w:tcW w:type="dxa" w:w="1210"/>
          </w:tcPr>
          <w:p>
            <w:pPr>
              <w:spacing w:after="20"/>
            </w:pPr>
            <w:r>
              <w:rPr>
                <w:color w:val="1C3A36"/>
                <w:sz w:val="14"/>
              </w:rPr>
              <w:t>2026-09-04</w:t>
            </w:r>
          </w:p>
        </w:tc>
      </w:tr>
      <w:tr>
        <w:tc>
          <w:tcPr>
            <w:tcW w:type="dxa" w:w="518"/>
          </w:tcPr>
          <w:p>
            <w:pPr>
              <w:spacing w:after="20"/>
            </w:pPr>
            <w:r>
              <w:rPr>
                <w:color w:val="1C3A36"/>
                <w:sz w:val="14"/>
              </w:rPr>
              <w:t>81</w:t>
            </w:r>
          </w:p>
        </w:tc>
        <w:tc>
          <w:tcPr>
            <w:tcW w:type="dxa" w:w="2448"/>
          </w:tcPr>
          <w:p>
            <w:pPr>
              <w:spacing w:after="20"/>
            </w:pPr>
            <w:r>
              <w:rPr>
                <w:color w:val="1C3A36"/>
                <w:sz w:val="14"/>
              </w:rPr>
              <w:t>kd_path</w:t>
            </w:r>
          </w:p>
        </w:tc>
        <w:tc>
          <w:tcPr>
            <w:tcW w:type="dxa" w:w="1325"/>
          </w:tcPr>
          <w:p>
            <w:pPr>
              <w:spacing w:after="20"/>
            </w:pPr>
            <w:r>
              <w:rPr>
                <w:color w:val="1C3A36"/>
                <w:sz w:val="14"/>
              </w:rPr>
              <w:t>0.25, 0.2143, 0.1857, 0.1643, 0.15</w:t>
            </w:r>
          </w:p>
        </w:tc>
        <w:tc>
          <w:tcPr>
            <w:tcW w:type="dxa" w:w="1066"/>
          </w:tcPr>
          <w:p>
            <w:pPr>
              <w:spacing w:after="20"/>
            </w:pPr>
            <w:r>
              <w:rPr>
                <w:color w:val="1C3A36"/>
                <w:sz w:val="14"/>
              </w:rPr>
              <w:t>House</w:t>
            </w:r>
          </w:p>
        </w:tc>
        <w:tc>
          <w:tcPr>
            <w:tcW w:type="dxa" w:w="7085"/>
          </w:tcPr>
          <w:p>
            <w:pPr>
              <w:spacing w:after="20"/>
            </w:pPr>
            <w:r>
              <w:rPr>
                <w:color w:val="1C3A36"/>
                <w:sz w:val="14"/>
              </w:rPr>
              <w:t>Cost-of-debt path; WACC glide inherits its SHAPE from this</w:t>
            </w:r>
          </w:p>
        </w:tc>
        <w:tc>
          <w:tcPr>
            <w:tcW w:type="dxa" w:w="1210"/>
          </w:tcPr>
          <w:p>
            <w:pPr>
              <w:spacing w:after="20"/>
            </w:pPr>
            <w:r>
              <w:rPr>
                <w:color w:val="1C3A36"/>
                <w:sz w:val="14"/>
              </w:rPr>
              <w:t>2026-08-06</w:t>
            </w:r>
          </w:p>
        </w:tc>
      </w:tr>
      <w:tr>
        <w:tc>
          <w:tcPr>
            <w:tcW w:type="dxa" w:w="518"/>
          </w:tcPr>
          <w:p>
            <w:pPr>
              <w:spacing w:after="20"/>
            </w:pPr>
            <w:r>
              <w:rPr>
                <w:color w:val="1C3A36"/>
                <w:sz w:val="14"/>
              </w:rPr>
              <w:t>82</w:t>
            </w:r>
          </w:p>
        </w:tc>
        <w:tc>
          <w:tcPr>
            <w:tcW w:type="dxa" w:w="2448"/>
          </w:tcPr>
          <w:p>
            <w:pPr>
              <w:spacing w:after="20"/>
            </w:pPr>
            <w:r>
              <w:rPr>
                <w:color w:val="1C3A36"/>
                <w:sz w:val="14"/>
              </w:rPr>
              <w:t>kd_spread</w:t>
            </w:r>
          </w:p>
        </w:tc>
        <w:tc>
          <w:tcPr>
            <w:tcW w:type="dxa" w:w="1325"/>
          </w:tcPr>
          <w:p>
            <w:pPr>
              <w:spacing w:after="20"/>
            </w:pPr>
            <w:r>
              <w:rPr>
                <w:color w:val="1C3A36"/>
                <w:sz w:val="14"/>
              </w:rPr>
              <w:t>0.02</w:t>
            </w:r>
          </w:p>
        </w:tc>
        <w:tc>
          <w:tcPr>
            <w:tcW w:type="dxa" w:w="1066"/>
          </w:tcPr>
          <w:p>
            <w:pPr>
              <w:spacing w:after="20"/>
            </w:pPr>
            <w:r>
              <w:rPr>
                <w:color w:val="1C3A36"/>
                <w:sz w:val="14"/>
              </w:rPr>
              <w:t>House</w:t>
            </w:r>
          </w:p>
        </w:tc>
        <w:tc>
          <w:tcPr>
            <w:tcW w:type="dxa" w:w="7085"/>
          </w:tcPr>
          <w:p>
            <w:pPr>
              <w:spacing w:after="20"/>
            </w:pPr>
            <w:r>
              <w:rPr>
                <w:color w:val="1C3A36"/>
                <w:sz w:val="14"/>
              </w:rPr>
              <w:t>Corporate credit spread over the local sovereign. THE ADOPTED COST OF DEBT IS THE SOVEREIGN PLUS THIS, and the sovereign comes from the house path, so the two cannot disagree. Revision 3 typed 21.50% against a sovereign of 22.31% IN THE SAME FILE — 81bp BELOW the government that taxes it, which outright and which the gate found the hour this record was first committed. The audited statements disclose no rate on the EGP %s of borrowings, so the construction the protocol asks for is sovereign plus spread; 200bp is a STATED judgement and its price is 1 basis point of weighted cost of capital, because the book is 0.5%% of the capital structure</w:t>
            </w:r>
          </w:p>
        </w:tc>
        <w:tc>
          <w:tcPr>
            <w:tcW w:type="dxa" w:w="1210"/>
          </w:tcPr>
          <w:p>
            <w:pPr>
              <w:spacing w:after="20"/>
            </w:pPr>
            <w:r>
              <w:rPr>
                <w:color w:val="1C3A36"/>
                <w:sz w:val="14"/>
              </w:rPr>
              <w:t>2026-09-04</w:t>
            </w:r>
          </w:p>
        </w:tc>
      </w:tr>
      <w:tr>
        <w:tc>
          <w:tcPr>
            <w:tcW w:type="dxa" w:w="518"/>
          </w:tcPr>
          <w:p>
            <w:pPr>
              <w:spacing w:after="20"/>
            </w:pPr>
            <w:r>
              <w:rPr>
                <w:color w:val="1C3A36"/>
                <w:sz w:val="14"/>
              </w:rPr>
              <w:t>83</w:t>
            </w:r>
          </w:p>
        </w:tc>
        <w:tc>
          <w:tcPr>
            <w:tcW w:type="dxa" w:w="2448"/>
          </w:tcPr>
          <w:p>
            <w:pPr>
              <w:spacing w:after="20"/>
            </w:pPr>
            <w:r>
              <w:rPr>
                <w:color w:val="1C3A36"/>
                <w:sz w:val="14"/>
              </w:rPr>
              <w:t>kd_term</w:t>
            </w:r>
          </w:p>
        </w:tc>
        <w:tc>
          <w:tcPr>
            <w:tcW w:type="dxa" w:w="1325"/>
          </w:tcPr>
          <w:p>
            <w:pPr>
              <w:spacing w:after="20"/>
            </w:pPr>
            <w:r>
              <w:rPr>
                <w:color w:val="1C3A36"/>
                <w:sz w:val="14"/>
              </w:rPr>
              <w:t>0.15</w:t>
            </w:r>
          </w:p>
        </w:tc>
        <w:tc>
          <w:tcPr>
            <w:tcW w:type="dxa" w:w="1066"/>
          </w:tcPr>
          <w:p>
            <w:pPr>
              <w:spacing w:after="20"/>
            </w:pPr>
            <w:r>
              <w:rPr>
                <w:color w:val="1C3A36"/>
                <w:sz w:val="14"/>
              </w:rPr>
              <w:t>House</w:t>
            </w:r>
          </w:p>
        </w:tc>
        <w:tc>
          <w:tcPr>
            <w:tcW w:type="dxa" w:w="7085"/>
          </w:tcPr>
          <w:p>
            <w:pPr>
              <w:spacing w:after="20"/>
            </w:pPr>
            <w:r>
              <w:rPr>
                <w:color w:val="1C3A36"/>
                <w:sz w:val="14"/>
              </w:rPr>
              <w:t>Terminal cost of debt, the Egyptian long-run corporate norm</w:t>
            </w:r>
          </w:p>
        </w:tc>
        <w:tc>
          <w:tcPr>
            <w:tcW w:type="dxa" w:w="1210"/>
          </w:tcPr>
          <w:p>
            <w:pPr>
              <w:spacing w:after="20"/>
            </w:pPr>
            <w:r>
              <w:rPr>
                <w:color w:val="1C3A36"/>
                <w:sz w:val="14"/>
              </w:rPr>
              <w:t>2026-08-06</w:t>
            </w:r>
          </w:p>
        </w:tc>
      </w:tr>
      <w:tr>
        <w:tc>
          <w:tcPr>
            <w:tcW w:type="dxa" w:w="518"/>
          </w:tcPr>
          <w:p>
            <w:pPr>
              <w:spacing w:after="20"/>
            </w:pPr>
            <w:r>
              <w:rPr>
                <w:color w:val="1C3A36"/>
                <w:sz w:val="14"/>
              </w:rPr>
              <w:t>84</w:t>
            </w:r>
          </w:p>
        </w:tc>
        <w:tc>
          <w:tcPr>
            <w:tcW w:type="dxa" w:w="2448"/>
          </w:tcPr>
          <w:p>
            <w:pPr>
              <w:spacing w:after="20"/>
            </w:pPr>
            <w:r>
              <w:rPr>
                <w:color w:val="1C3A36"/>
                <w:sz w:val="14"/>
              </w:rPr>
              <w:t>kiln_util</w:t>
            </w:r>
          </w:p>
        </w:tc>
        <w:tc>
          <w:tcPr>
            <w:tcW w:type="dxa" w:w="1325"/>
          </w:tcPr>
          <w:p>
            <w:pPr>
              <w:spacing w:after="20"/>
            </w:pPr>
            <w:r>
              <w:rPr>
                <w:color w:val="1C3A36"/>
                <w:sz w:val="14"/>
              </w:rPr>
              <w:t>0.71, 0.717, 0.735, 0.753, 0.772, 0.791</w:t>
            </w:r>
          </w:p>
        </w:tc>
        <w:tc>
          <w:tcPr>
            <w:tcW w:type="dxa" w:w="1066"/>
          </w:tcPr>
          <w:p>
            <w:pPr>
              <w:spacing w:after="20"/>
            </w:pPr>
            <w:r>
              <w:rPr>
                <w:color w:val="1C3A36"/>
                <w:sz w:val="14"/>
              </w:rPr>
              <w:t>House</w:t>
            </w:r>
          </w:p>
        </w:tc>
        <w:tc>
          <w:tcPr>
            <w:tcW w:type="dxa" w:w="7085"/>
          </w:tcPr>
          <w:p>
            <w:pPr>
              <w:spacing w:after="20"/>
            </w:pPr>
            <w:r>
              <w:rPr>
                <w:color w:val="1C3A36"/>
                <w:sz w:val="14"/>
              </w:rPr>
              <w:t>Kiln utilisation FY2025A then FY2026E-FY2030E</w:t>
            </w:r>
          </w:p>
        </w:tc>
        <w:tc>
          <w:tcPr>
            <w:tcW w:type="dxa" w:w="1210"/>
          </w:tcPr>
          <w:p>
            <w:pPr>
              <w:spacing w:after="20"/>
            </w:pPr>
            <w:r>
              <w:rPr>
                <w:color w:val="1C3A36"/>
                <w:sz w:val="14"/>
              </w:rPr>
              <w:t>2026-08-06</w:t>
            </w:r>
          </w:p>
        </w:tc>
      </w:tr>
      <w:tr>
        <w:tc>
          <w:tcPr>
            <w:tcW w:type="dxa" w:w="518"/>
          </w:tcPr>
          <w:p>
            <w:pPr>
              <w:spacing w:after="20"/>
            </w:pPr>
            <w:r>
              <w:rPr>
                <w:color w:val="1C3A36"/>
                <w:sz w:val="14"/>
              </w:rPr>
              <w:t>85</w:t>
            </w:r>
          </w:p>
        </w:tc>
        <w:tc>
          <w:tcPr>
            <w:tcW w:type="dxa" w:w="2448"/>
          </w:tcPr>
          <w:p>
            <w:pPr>
              <w:spacing w:after="20"/>
            </w:pPr>
            <w:r>
              <w:rPr>
                <w:color w:val="1C3A36"/>
                <w:sz w:val="14"/>
              </w:rPr>
              <w:t>materials_usd_share</w:t>
            </w:r>
          </w:p>
        </w:tc>
        <w:tc>
          <w:tcPr>
            <w:tcW w:type="dxa" w:w="1325"/>
          </w:tcPr>
          <w:p>
            <w:pPr>
              <w:spacing w:after="20"/>
            </w:pPr>
            <w:r>
              <w:rPr>
                <w:color w:val="1C3A36"/>
                <w:sz w:val="14"/>
              </w:rPr>
              <w:t>0.484</w:t>
            </w:r>
          </w:p>
        </w:tc>
        <w:tc>
          <w:tcPr>
            <w:tcW w:type="dxa" w:w="1066"/>
          </w:tcPr>
          <w:p>
            <w:pPr>
              <w:spacing w:after="20"/>
            </w:pPr>
            <w:r>
              <w:rPr>
                <w:color w:val="1C3A36"/>
                <w:sz w:val="14"/>
              </w:rPr>
              <w:t>House</w:t>
            </w:r>
          </w:p>
        </w:tc>
        <w:tc>
          <w:tcPr>
            <w:tcW w:type="dxa" w:w="7085"/>
          </w:tcPr>
          <w:p>
            <w:pPr>
              <w:spacing w:after="20"/>
            </w:pPr>
            <w:r>
              <w:rPr>
                <w:color w:val="1C3A36"/>
                <w:sz w:val="14"/>
              </w:rPr>
              <w:t>The dollar-linked share of the materials line. THE FILING DOES NOT SPLIT IT, so this is an ESTIMATE and is flagged as one: it is the fuel share of revision 2's own four-part stack (458.0 of 946.5 per tonne), which is the only evidenced split available. The rest escalates on the domestic cost path. Sensitised in section 6</w:t>
            </w:r>
          </w:p>
        </w:tc>
        <w:tc>
          <w:tcPr>
            <w:tcW w:type="dxa" w:w="1210"/>
          </w:tcPr>
          <w:p>
            <w:pPr>
              <w:spacing w:after="20"/>
            </w:pPr>
            <w:r>
              <w:rPr>
                <w:color w:val="1C3A36"/>
                <w:sz w:val="14"/>
              </w:rPr>
              <w:t>2026-08-06</w:t>
            </w:r>
          </w:p>
        </w:tc>
      </w:tr>
      <w:tr>
        <w:tc>
          <w:tcPr>
            <w:tcW w:type="dxa" w:w="518"/>
          </w:tcPr>
          <w:p>
            <w:pPr>
              <w:spacing w:after="20"/>
            </w:pPr>
            <w:r>
              <w:rPr>
                <w:color w:val="1C3A36"/>
                <w:sz w:val="14"/>
              </w:rPr>
              <w:t>86</w:t>
            </w:r>
          </w:p>
        </w:tc>
        <w:tc>
          <w:tcPr>
            <w:tcW w:type="dxa" w:w="2448"/>
          </w:tcPr>
          <w:p>
            <w:pPr>
              <w:spacing w:after="20"/>
            </w:pPr>
            <w:r>
              <w:rPr>
                <w:color w:val="1C3A36"/>
                <w:sz w:val="14"/>
              </w:rPr>
              <w:t>nci</w:t>
            </w:r>
          </w:p>
        </w:tc>
        <w:tc>
          <w:tcPr>
            <w:tcW w:type="dxa" w:w="1325"/>
          </w:tcPr>
          <w:p>
            <w:pPr>
              <w:spacing w:after="20"/>
            </w:pPr>
            <w:r>
              <w:rPr>
                <w:color w:val="1C3A36"/>
                <w:sz w:val="14"/>
              </w:rPr>
              <w:t>120</w:t>
            </w:r>
          </w:p>
        </w:tc>
        <w:tc>
          <w:tcPr>
            <w:tcW w:type="dxa" w:w="1066"/>
          </w:tcPr>
          <w:p>
            <w:pPr>
              <w:spacing w:after="20"/>
            </w:pPr>
            <w:r>
              <w:rPr>
                <w:color w:val="1C3A36"/>
                <w:sz w:val="14"/>
              </w:rPr>
              <w:t>House</w:t>
            </w:r>
          </w:p>
        </w:tc>
        <w:tc>
          <w:tcPr>
            <w:tcW w:type="dxa" w:w="7085"/>
          </w:tcPr>
          <w:p>
            <w:pPr>
              <w:spacing w:after="20"/>
            </w:pPr>
            <w:r>
              <w:rPr>
                <w:color w:val="1C3A36"/>
                <w:sz w:val="14"/>
              </w:rPr>
              <w:t>Non-controlling interests deducted in the bridge. Revision 1 omitted them. One reviewer proposed 2,008 (15% of enterprise value) but derived it from nothing; disclosed evidence — FY2023 group loss 121.42 against an attributable loss of ~117, and FY2024 attributable EPS 23.13 against group profit 3,070 — puts the minority share of profit BELOW 1%. Set at 120 and sensitised</w:t>
            </w:r>
          </w:p>
        </w:tc>
        <w:tc>
          <w:tcPr>
            <w:tcW w:type="dxa" w:w="1210"/>
          </w:tcPr>
          <w:p>
            <w:pPr>
              <w:spacing w:after="20"/>
            </w:pPr>
            <w:r>
              <w:rPr>
                <w:color w:val="1C3A36"/>
                <w:sz w:val="14"/>
              </w:rPr>
              <w:t>2026-08-06</w:t>
            </w:r>
          </w:p>
        </w:tc>
      </w:tr>
      <w:tr>
        <w:tc>
          <w:tcPr>
            <w:tcW w:type="dxa" w:w="518"/>
          </w:tcPr>
          <w:p>
            <w:pPr>
              <w:spacing w:after="20"/>
            </w:pPr>
            <w:r>
              <w:rPr>
                <w:color w:val="1C3A36"/>
                <w:sz w:val="14"/>
              </w:rPr>
              <w:t>87</w:t>
            </w:r>
          </w:p>
        </w:tc>
        <w:tc>
          <w:tcPr>
            <w:tcW w:type="dxa" w:w="2448"/>
          </w:tcPr>
          <w:p>
            <w:pPr>
              <w:spacing w:after="20"/>
            </w:pPr>
            <w:r>
              <w:rPr>
                <w:color w:val="1C3A36"/>
                <w:sz w:val="14"/>
              </w:rPr>
              <w:t>norm_mgn</w:t>
            </w:r>
          </w:p>
        </w:tc>
        <w:tc>
          <w:tcPr>
            <w:tcW w:type="dxa" w:w="1325"/>
          </w:tcPr>
          <w:p>
            <w:pPr>
              <w:spacing w:after="20"/>
            </w:pPr>
            <w:r>
              <w:rPr>
                <w:color w:val="1C3A36"/>
                <w:sz w:val="14"/>
              </w:rPr>
              <w:t>0.278</w:t>
            </w:r>
          </w:p>
        </w:tc>
        <w:tc>
          <w:tcPr>
            <w:tcW w:type="dxa" w:w="1066"/>
          </w:tcPr>
          <w:p>
            <w:pPr>
              <w:spacing w:after="20"/>
            </w:pPr>
            <w:r>
              <w:rPr>
                <w:color w:val="1C3A36"/>
                <w:sz w:val="14"/>
              </w:rPr>
              <w:t>House</w:t>
            </w:r>
          </w:p>
        </w:tc>
        <w:tc>
          <w:tcPr>
            <w:tcW w:type="dxa" w:w="7085"/>
          </w:tcPr>
          <w:p>
            <w:pPr>
              <w:spacing w:after="20"/>
            </w:pPr>
            <w:r>
              <w:rPr>
                <w:color w:val="1C3A36"/>
                <w:sz w:val="14"/>
              </w:rPr>
              <w:t>Mid-cycle EBITDA margin: the midpoint of the FY2024 outturn (24.8%) and the corrected FY2025 peak (30.9%). Revision 1 struck 26.5% off an FY2025 margin understated by the statutory-rate error</w:t>
            </w:r>
          </w:p>
        </w:tc>
        <w:tc>
          <w:tcPr>
            <w:tcW w:type="dxa" w:w="1210"/>
          </w:tcPr>
          <w:p>
            <w:pPr>
              <w:spacing w:after="20"/>
            </w:pPr>
            <w:r>
              <w:rPr>
                <w:color w:val="1C3A36"/>
                <w:sz w:val="14"/>
              </w:rPr>
              <w:t>2026-08-06</w:t>
            </w:r>
          </w:p>
        </w:tc>
      </w:tr>
      <w:tr>
        <w:tc>
          <w:tcPr>
            <w:tcW w:type="dxa" w:w="518"/>
          </w:tcPr>
          <w:p>
            <w:pPr>
              <w:spacing w:after="20"/>
            </w:pPr>
            <w:r>
              <w:rPr>
                <w:color w:val="1C3A36"/>
                <w:sz w:val="14"/>
              </w:rPr>
              <w:t>88</w:t>
            </w:r>
          </w:p>
        </w:tc>
        <w:tc>
          <w:tcPr>
            <w:tcW w:type="dxa" w:w="2448"/>
          </w:tcPr>
          <w:p>
            <w:pPr>
              <w:spacing w:after="20"/>
            </w:pPr>
            <w:r>
              <w:rPr>
                <w:color w:val="1C3A36"/>
                <w:sz w:val="14"/>
              </w:rPr>
              <w:t>norm_rev_haircut</w:t>
            </w:r>
          </w:p>
        </w:tc>
        <w:tc>
          <w:tcPr>
            <w:tcW w:type="dxa" w:w="1325"/>
          </w:tcPr>
          <w:p>
            <w:pPr>
              <w:spacing w:after="20"/>
            </w:pPr>
            <w:r>
              <w:rPr>
                <w:color w:val="1C3A36"/>
                <w:sz w:val="14"/>
              </w:rPr>
              <w:t>0.92</w:t>
            </w:r>
          </w:p>
        </w:tc>
        <w:tc>
          <w:tcPr>
            <w:tcW w:type="dxa" w:w="1066"/>
          </w:tcPr>
          <w:p>
            <w:pPr>
              <w:spacing w:after="20"/>
            </w:pPr>
            <w:r>
              <w:rPr>
                <w:color w:val="1C3A36"/>
                <w:sz w:val="14"/>
              </w:rPr>
              <w:t>House</w:t>
            </w:r>
          </w:p>
        </w:tc>
        <w:tc>
          <w:tcPr>
            <w:tcW w:type="dxa" w:w="7085"/>
          </w:tcPr>
          <w:p>
            <w:pPr>
              <w:spacing w:after="20"/>
            </w:pPr>
            <w:r>
              <w:rPr>
                <w:color w:val="1C3A36"/>
                <w:sz w:val="14"/>
              </w:rPr>
              <w:t>Haircut to the FY2025 revenue base for the normalised lens. Revision 1 applied a mid-cycle MARGIN to a PEAK revenue base — half a normalisation, in the lens whose stated purpose is refusing to capitalise a peak</w:t>
            </w:r>
          </w:p>
        </w:tc>
        <w:tc>
          <w:tcPr>
            <w:tcW w:type="dxa" w:w="1210"/>
          </w:tcPr>
          <w:p>
            <w:pPr>
              <w:spacing w:after="20"/>
            </w:pPr>
            <w:r>
              <w:rPr>
                <w:color w:val="1C3A36"/>
                <w:sz w:val="14"/>
              </w:rPr>
              <w:t>2026-08-06</w:t>
            </w:r>
          </w:p>
        </w:tc>
      </w:tr>
      <w:tr>
        <w:tc>
          <w:tcPr>
            <w:tcW w:type="dxa" w:w="518"/>
          </w:tcPr>
          <w:p>
            <w:pPr>
              <w:spacing w:after="20"/>
            </w:pPr>
            <w:r>
              <w:rPr>
                <w:color w:val="1C3A36"/>
                <w:sz w:val="14"/>
              </w:rPr>
              <w:t>89</w:t>
            </w:r>
          </w:p>
        </w:tc>
        <w:tc>
          <w:tcPr>
            <w:tcW w:type="dxa" w:w="2448"/>
          </w:tcPr>
          <w:p>
            <w:pPr>
              <w:spacing w:after="20"/>
            </w:pPr>
            <w:r>
              <w:rPr>
                <w:color w:val="1C3A36"/>
                <w:sz w:val="14"/>
              </w:rPr>
              <w:t>pe_just</w:t>
            </w:r>
          </w:p>
        </w:tc>
        <w:tc>
          <w:tcPr>
            <w:tcW w:type="dxa" w:w="1325"/>
          </w:tcPr>
          <w:p>
            <w:pPr>
              <w:spacing w:after="20"/>
            </w:pPr>
            <w:r>
              <w:rPr>
                <w:color w:val="1C3A36"/>
                <w:sz w:val="14"/>
              </w:rPr>
              <w:t>7</w:t>
            </w:r>
          </w:p>
        </w:tc>
        <w:tc>
          <w:tcPr>
            <w:tcW w:type="dxa" w:w="1066"/>
          </w:tcPr>
          <w:p>
            <w:pPr>
              <w:spacing w:after="20"/>
            </w:pPr>
            <w:r>
              <w:rPr>
                <w:color w:val="1C3A36"/>
                <w:sz w:val="14"/>
              </w:rPr>
              <w:t>House</w:t>
            </w:r>
          </w:p>
        </w:tc>
        <w:tc>
          <w:tcPr>
            <w:tcW w:type="dxa" w:w="7085"/>
          </w:tcPr>
          <w:p>
            <w:pPr>
              <w:spacing w:after="20"/>
            </w:pPr>
            <w:r>
              <w:rPr>
                <w:color w:val="1C3A36"/>
                <w:sz w:val="14"/>
              </w:rPr>
              <w:t>Justified price/earnings on normalised OPERATING earnings</w:t>
            </w:r>
          </w:p>
        </w:tc>
        <w:tc>
          <w:tcPr>
            <w:tcW w:type="dxa" w:w="1210"/>
          </w:tcPr>
          <w:p>
            <w:pPr>
              <w:spacing w:after="20"/>
            </w:pPr>
            <w:r>
              <w:rPr>
                <w:color w:val="1C3A36"/>
                <w:sz w:val="14"/>
              </w:rPr>
              <w:t>2026-08-06</w:t>
            </w:r>
          </w:p>
        </w:tc>
      </w:tr>
      <w:tr>
        <w:tc>
          <w:tcPr>
            <w:tcW w:type="dxa" w:w="518"/>
          </w:tcPr>
          <w:p>
            <w:pPr>
              <w:spacing w:after="20"/>
            </w:pPr>
            <w:r>
              <w:rPr>
                <w:color w:val="1C3A36"/>
                <w:sz w:val="14"/>
              </w:rPr>
              <w:t>90</w:t>
            </w:r>
          </w:p>
        </w:tc>
        <w:tc>
          <w:tcPr>
            <w:tcW w:type="dxa" w:w="2448"/>
          </w:tcPr>
          <w:p>
            <w:pPr>
              <w:spacing w:after="20"/>
            </w:pPr>
            <w:r>
              <w:rPr>
                <w:color w:val="1C3A36"/>
                <w:sz w:val="14"/>
              </w:rPr>
              <w:t>price_dom_egp_t</w:t>
            </w:r>
          </w:p>
        </w:tc>
        <w:tc>
          <w:tcPr>
            <w:tcW w:type="dxa" w:w="1325"/>
          </w:tcPr>
          <w:p>
            <w:pPr>
              <w:spacing w:after="20"/>
            </w:pPr>
            <w:r>
              <w:rPr>
                <w:color w:val="1C3A36"/>
                <w:sz w:val="14"/>
              </w:rPr>
              <w:t>3,503, 4,063, 4,551, 4,961, 5,333, 5,706</w:t>
            </w:r>
          </w:p>
        </w:tc>
        <w:tc>
          <w:tcPr>
            <w:tcW w:type="dxa" w:w="1066"/>
          </w:tcPr>
          <w:p>
            <w:pPr>
              <w:spacing w:after="20"/>
            </w:pPr>
            <w:r>
              <w:rPr>
                <w:color w:val="1C3A36"/>
                <w:sz w:val="14"/>
              </w:rPr>
              <w:t>House</w:t>
            </w:r>
          </w:p>
        </w:tc>
        <w:tc>
          <w:tcPr>
            <w:tcW w:type="dxa" w:w="7085"/>
          </w:tcPr>
          <w:p>
            <w:pPr>
              <w:spacing w:after="20"/>
            </w:pPr>
            <w:r>
              <w:rPr>
                <w:color w:val="1C3A36"/>
                <w:sz w:val="14"/>
              </w:rPr>
              <w:t>Domestic realised price ex-works. FY2025 is the level the disclosed revenue implies given the volume build — 13.9% below the ~EGP 4,070/t market average, which is what an ex-works price net of freight and rebates looks like. THE REAL SPREAD PER TONNE IS THEN HELD FLAT: price escalates on the HOUSE inflation ladder at zero real growth, the same index the domestic cost lines carry, so the margin is an OUTPUT of the two and neither side carries an inflation number of its own. Revision 3 typed the path, and a typed nominal rate is unfalsifiable — nobody can tell whether 14.0% meant inflation plus nothing or inflation minus two. The path before that grew nominal prices well below the domestic cost path this same model escalates costs on, and the register described it as 'a REAL decline against CBE inflation' while sourcing no mechanism for it. that mechanism on the company's own measurement: cost per unit of revenue FELL across the reviewed quarter pair and the audited year between them, where the forecast needed it to rise, and a mechanism contradicted by the filings is the assumption wearing one. The 12.6Mt of dormant Egyptian capacity queuing to restart is a real risk to price; it belongs in the bear case and the sensitivity grid, which carry it, not in the base path</w:t>
            </w:r>
          </w:p>
        </w:tc>
        <w:tc>
          <w:tcPr>
            <w:tcW w:type="dxa" w:w="1210"/>
          </w:tcPr>
          <w:p>
            <w:pPr>
              <w:spacing w:after="20"/>
            </w:pPr>
            <w:r>
              <w:rPr>
                <w:color w:val="1C3A36"/>
                <w:sz w:val="14"/>
              </w:rPr>
              <w:t>2026-09-04</w:t>
            </w:r>
          </w:p>
        </w:tc>
      </w:tr>
      <w:tr>
        <w:tc>
          <w:tcPr>
            <w:tcW w:type="dxa" w:w="518"/>
          </w:tcPr>
          <w:p>
            <w:pPr>
              <w:spacing w:after="20"/>
            </w:pPr>
            <w:r>
              <w:rPr>
                <w:color w:val="1C3A36"/>
                <w:sz w:val="14"/>
              </w:rPr>
              <w:t>91</w:t>
            </w:r>
          </w:p>
        </w:tc>
        <w:tc>
          <w:tcPr>
            <w:tcW w:type="dxa" w:w="2448"/>
          </w:tcPr>
          <w:p>
            <w:pPr>
              <w:spacing w:after="20"/>
            </w:pPr>
            <w:r>
              <w:rPr>
                <w:color w:val="1C3A36"/>
                <w:sz w:val="14"/>
              </w:rPr>
              <w:t>rf_term</w:t>
            </w:r>
          </w:p>
        </w:tc>
        <w:tc>
          <w:tcPr>
            <w:tcW w:type="dxa" w:w="1325"/>
          </w:tcPr>
          <w:p>
            <w:pPr>
              <w:spacing w:after="20"/>
            </w:pPr>
            <w:r>
              <w:rPr>
                <w:color w:val="1C3A36"/>
                <w:sz w:val="14"/>
              </w:rPr>
              <w:t>0.125</w:t>
            </w:r>
          </w:p>
        </w:tc>
        <w:tc>
          <w:tcPr>
            <w:tcW w:type="dxa" w:w="1066"/>
          </w:tcPr>
          <w:p>
            <w:pPr>
              <w:spacing w:after="20"/>
            </w:pPr>
            <w:r>
              <w:rPr>
                <w:color w:val="1C3A36"/>
                <w:sz w:val="14"/>
              </w:rPr>
              <w:t>House</w:t>
            </w:r>
          </w:p>
        </w:tc>
        <w:tc>
          <w:tcPr>
            <w:tcW w:type="dxa" w:w="7085"/>
          </w:tcPr>
          <w:p>
            <w:pPr>
              <w:spacing w:after="20"/>
            </w:pPr>
            <w:r>
              <w:rPr>
                <w:color w:val="1C3A36"/>
                <w:sz w:val="14"/>
              </w:rPr>
              <w:t>Terminal risk-free rate, norm-built from the CBE's OPERATIVE Q4-2026 inflation target of 7% plus a ~5.5pp emerging-market real-rate convention. Revision 1 used the later 5% target while its own text cited 'the 7% and then 5% targets'. REVIEWABLE CHOICE: reverting to 10.5% adds ~1.8%</w:t>
            </w:r>
          </w:p>
        </w:tc>
        <w:tc>
          <w:tcPr>
            <w:tcW w:type="dxa" w:w="1210"/>
          </w:tcPr>
          <w:p>
            <w:pPr>
              <w:spacing w:after="20"/>
            </w:pPr>
            <w:r>
              <w:rPr>
                <w:color w:val="1C3A36"/>
                <w:sz w:val="14"/>
              </w:rPr>
              <w:t>2026-08-06</w:t>
            </w:r>
          </w:p>
        </w:tc>
      </w:tr>
      <w:tr>
        <w:tc>
          <w:tcPr>
            <w:tcW w:type="dxa" w:w="518"/>
          </w:tcPr>
          <w:p>
            <w:pPr>
              <w:spacing w:after="20"/>
            </w:pPr>
            <w:r>
              <w:rPr>
                <w:color w:val="1C3A36"/>
                <w:sz w:val="14"/>
              </w:rPr>
              <w:t>92</w:t>
            </w:r>
          </w:p>
        </w:tc>
        <w:tc>
          <w:tcPr>
            <w:tcW w:type="dxa" w:w="2448"/>
          </w:tcPr>
          <w:p>
            <w:pPr>
              <w:spacing w:after="20"/>
            </w:pPr>
            <w:r>
              <w:rPr>
                <w:color w:val="1C3A36"/>
                <w:sz w:val="14"/>
              </w:rPr>
              <w:t>stub_years</w:t>
            </w:r>
          </w:p>
        </w:tc>
        <w:tc>
          <w:tcPr>
            <w:tcW w:type="dxa" w:w="1325"/>
          </w:tcPr>
          <w:p>
            <w:pPr>
              <w:spacing w:after="20"/>
            </w:pPr>
            <w:r>
              <w:rPr>
                <w:color w:val="1C3A36"/>
                <w:sz w:val="14"/>
              </w:rPr>
              <w:t>0.583</w:t>
            </w:r>
          </w:p>
        </w:tc>
        <w:tc>
          <w:tcPr>
            <w:tcW w:type="dxa" w:w="1066"/>
          </w:tcPr>
          <w:p>
            <w:pPr>
              <w:spacing w:after="20"/>
            </w:pPr>
            <w:r>
              <w:rPr>
                <w:color w:val="1C3A36"/>
                <w:sz w:val="14"/>
              </w:rPr>
              <w:t>House</w:t>
            </w:r>
          </w:p>
        </w:tc>
        <w:tc>
          <w:tcPr>
            <w:tcW w:type="dxa" w:w="7085"/>
          </w:tcPr>
          <w:p>
            <w:pPr>
              <w:spacing w:after="20"/>
            </w:pPr>
            <w:r>
              <w:rPr>
                <w:color w:val="1C3A36"/>
                <w:sz w:val="14"/>
              </w:rPr>
              <w:t>Elapsed fraction of FY2026 at the valuation date (7 months). Revision 1 discounted FY2026 a full year from a 6-Aug-2026 valuation date and added a 31-Dec-2025 cash balance</w:t>
            </w:r>
          </w:p>
        </w:tc>
        <w:tc>
          <w:tcPr>
            <w:tcW w:type="dxa" w:w="1210"/>
          </w:tcPr>
          <w:p>
            <w:pPr>
              <w:spacing w:after="20"/>
            </w:pPr>
            <w:r>
              <w:rPr>
                <w:color w:val="1C3A36"/>
                <w:sz w:val="14"/>
              </w:rPr>
              <w:t>2026-08-06</w:t>
            </w:r>
          </w:p>
        </w:tc>
      </w:tr>
      <w:tr>
        <w:tc>
          <w:tcPr>
            <w:tcW w:type="dxa" w:w="518"/>
          </w:tcPr>
          <w:p>
            <w:pPr>
              <w:spacing w:after="20"/>
            </w:pPr>
            <w:r>
              <w:rPr>
                <w:color w:val="1C3A36"/>
                <w:sz w:val="14"/>
              </w:rPr>
              <w:t>93</w:t>
            </w:r>
          </w:p>
        </w:tc>
        <w:tc>
          <w:tcPr>
            <w:tcW w:type="dxa" w:w="2448"/>
          </w:tcPr>
          <w:p>
            <w:pPr>
              <w:spacing w:after="20"/>
            </w:pPr>
            <w:r>
              <w:rPr>
                <w:color w:val="1C3A36"/>
                <w:sz w:val="14"/>
              </w:rPr>
              <w:t>swcc_book</w:t>
            </w:r>
          </w:p>
        </w:tc>
        <w:tc>
          <w:tcPr>
            <w:tcW w:type="dxa" w:w="1325"/>
          </w:tcPr>
          <w:p>
            <w:pPr>
              <w:spacing w:after="20"/>
            </w:pPr>
            <w:r>
              <w:rPr>
                <w:color w:val="1C3A36"/>
                <w:sz w:val="14"/>
              </w:rPr>
              <w:t>100</w:t>
            </w:r>
          </w:p>
        </w:tc>
        <w:tc>
          <w:tcPr>
            <w:tcW w:type="dxa" w:w="1066"/>
          </w:tcPr>
          <w:p>
            <w:pPr>
              <w:spacing w:after="20"/>
            </w:pPr>
            <w:r>
              <w:rPr>
                <w:color w:val="1C3A36"/>
                <w:sz w:val="14"/>
              </w:rPr>
              <w:t>House</w:t>
            </w:r>
          </w:p>
        </w:tc>
        <w:tc>
          <w:tcPr>
            <w:tcW w:type="dxa" w:w="7085"/>
          </w:tcPr>
          <w:p>
            <w:pPr>
              <w:spacing w:after="20"/>
            </w:pPr>
            <w:r>
              <w:rPr>
                <w:color w:val="1C3A36"/>
                <w:sz w:val="14"/>
              </w:rPr>
              <w:t>Carrying value of the 25.4% stake. Revision 1 asserted the profit bridge was 'insensitive to it within a +/-EGP 200mn range'. That was FALSE and untested: in revision 1 the chain ran book value -&gt; gain -&gt; SOLVED treasury income -&gt; cash -&gt; every lens, and a +/-200mn move was worth -4.9% to +9.8%. Revision 2 takes cash from the reported balance sheet instead, so this input now touches only the FY2024 gain/treasury split and nothing downstream</w:t>
            </w:r>
          </w:p>
        </w:tc>
        <w:tc>
          <w:tcPr>
            <w:tcW w:type="dxa" w:w="1210"/>
          </w:tcPr>
          <w:p>
            <w:pPr>
              <w:spacing w:after="20"/>
            </w:pPr>
            <w:r>
              <w:rPr>
                <w:color w:val="1C3A36"/>
                <w:sz w:val="14"/>
              </w:rPr>
              <w:t>2026-08-06</w:t>
            </w:r>
          </w:p>
        </w:tc>
      </w:tr>
      <w:tr>
        <w:tc>
          <w:tcPr>
            <w:tcW w:type="dxa" w:w="518"/>
          </w:tcPr>
          <w:p>
            <w:pPr>
              <w:spacing w:after="20"/>
            </w:pPr>
            <w:r>
              <w:rPr>
                <w:color w:val="1C3A36"/>
                <w:sz w:val="14"/>
              </w:rPr>
              <w:t>94</w:t>
            </w:r>
          </w:p>
        </w:tc>
        <w:tc>
          <w:tcPr>
            <w:tcW w:type="dxa" w:w="2448"/>
          </w:tcPr>
          <w:p>
            <w:pPr>
              <w:spacing w:after="20"/>
            </w:pPr>
            <w:r>
              <w:rPr>
                <w:color w:val="1C3A36"/>
                <w:sz w:val="14"/>
              </w:rPr>
              <w:t>treas_fy23</w:t>
            </w:r>
          </w:p>
        </w:tc>
        <w:tc>
          <w:tcPr>
            <w:tcW w:type="dxa" w:w="1325"/>
          </w:tcPr>
          <w:p>
            <w:pPr>
              <w:spacing w:after="20"/>
            </w:pPr>
            <w:r>
              <w:rPr>
                <w:color w:val="1C3A36"/>
                <w:sz w:val="14"/>
              </w:rPr>
              <w:t>198</w:t>
            </w:r>
          </w:p>
        </w:tc>
        <w:tc>
          <w:tcPr>
            <w:tcW w:type="dxa" w:w="1066"/>
          </w:tcPr>
          <w:p>
            <w:pPr>
              <w:spacing w:after="20"/>
            </w:pPr>
            <w:r>
              <w:rPr>
                <w:color w:val="1C3A36"/>
                <w:sz w:val="14"/>
              </w:rPr>
              <w:t>House</w:t>
            </w:r>
          </w:p>
        </w:tc>
        <w:tc>
          <w:tcPr>
            <w:tcW w:type="dxa" w:w="7085"/>
          </w:tcPr>
          <w:p>
            <w:pPr>
              <w:spacing w:after="20"/>
            </w:pPr>
            <w:r>
              <w:rPr>
                <w:color w:val="1C3A36"/>
                <w:sz w:val="14"/>
              </w:rPr>
              <w:t>FY2023 treasury income on its own smaller cash balance</w:t>
            </w:r>
          </w:p>
        </w:tc>
        <w:tc>
          <w:tcPr>
            <w:tcW w:type="dxa" w:w="1210"/>
          </w:tcPr>
          <w:p>
            <w:pPr>
              <w:spacing w:after="20"/>
            </w:pPr>
            <w:r>
              <w:rPr>
                <w:color w:val="1C3A36"/>
                <w:sz w:val="14"/>
              </w:rPr>
              <w:t>2026-08-06</w:t>
            </w:r>
          </w:p>
        </w:tc>
      </w:tr>
      <w:tr>
        <w:tc>
          <w:tcPr>
            <w:tcW w:type="dxa" w:w="518"/>
          </w:tcPr>
          <w:p>
            <w:pPr>
              <w:spacing w:after="20"/>
            </w:pPr>
            <w:r>
              <w:rPr>
                <w:color w:val="1C3A36"/>
                <w:sz w:val="14"/>
              </w:rPr>
              <w:t>95</w:t>
            </w:r>
          </w:p>
        </w:tc>
        <w:tc>
          <w:tcPr>
            <w:tcW w:type="dxa" w:w="2448"/>
          </w:tcPr>
          <w:p>
            <w:pPr>
              <w:spacing w:after="20"/>
            </w:pPr>
            <w:r>
              <w:rPr>
                <w:color w:val="1C3A36"/>
                <w:sz w:val="14"/>
              </w:rPr>
              <w:t>w_asset</w:t>
            </w:r>
          </w:p>
        </w:tc>
        <w:tc>
          <w:tcPr>
            <w:tcW w:type="dxa" w:w="1325"/>
          </w:tcPr>
          <w:p>
            <w:pPr>
              <w:spacing w:after="20"/>
            </w:pPr>
            <w:r>
              <w:rPr>
                <w:color w:val="1C3A36"/>
                <w:sz w:val="14"/>
              </w:rPr>
              <w:t>0.08</w:t>
            </w:r>
          </w:p>
        </w:tc>
        <w:tc>
          <w:tcPr>
            <w:tcW w:type="dxa" w:w="1066"/>
          </w:tcPr>
          <w:p>
            <w:pPr>
              <w:spacing w:after="20"/>
            </w:pPr>
            <w:r>
              <w:rPr>
                <w:color w:val="1C3A36"/>
                <w:sz w:val="14"/>
              </w:rPr>
              <w:t>House</w:t>
            </w:r>
          </w:p>
        </w:tc>
        <w:tc>
          <w:tcPr>
            <w:tcW w:type="dxa" w:w="7085"/>
          </w:tcPr>
          <w:p>
            <w:pPr>
              <w:spacing w:after="20"/>
            </w:pPr>
            <w:r>
              <w:rPr>
                <w:color w:val="1C3A36"/>
                <w:sz w:val="14"/>
              </w:rPr>
              <w:t>Weight, asset lens. Revision 1 gave it 15% while arguing in the same document that restarted lines cost 'a fraction' of new build and that the asset lens 'should not be read as a floor'. Cut to 8%. REVIEWABLE CHOICE: 15% adds ~3.6%, zero subtracts ~2.6%</w:t>
            </w:r>
          </w:p>
        </w:tc>
        <w:tc>
          <w:tcPr>
            <w:tcW w:type="dxa" w:w="1210"/>
          </w:tcPr>
          <w:p>
            <w:pPr>
              <w:spacing w:after="20"/>
            </w:pPr>
            <w:r>
              <w:rPr>
                <w:color w:val="1C3A36"/>
                <w:sz w:val="14"/>
              </w:rPr>
              <w:t>2026-08-06</w:t>
            </w:r>
          </w:p>
        </w:tc>
      </w:tr>
      <w:tr>
        <w:tc>
          <w:tcPr>
            <w:tcW w:type="dxa" w:w="518"/>
          </w:tcPr>
          <w:p>
            <w:pPr>
              <w:spacing w:after="20"/>
            </w:pPr>
            <w:r>
              <w:rPr>
                <w:color w:val="1C3A36"/>
                <w:sz w:val="14"/>
              </w:rPr>
              <w:t>96</w:t>
            </w:r>
          </w:p>
        </w:tc>
        <w:tc>
          <w:tcPr>
            <w:tcW w:type="dxa" w:w="2448"/>
          </w:tcPr>
          <w:p>
            <w:pPr>
              <w:spacing w:after="20"/>
            </w:pPr>
            <w:r>
              <w:rPr>
                <w:color w:val="1C3A36"/>
                <w:sz w:val="14"/>
              </w:rPr>
              <w:t>w_dcf</w:t>
            </w:r>
          </w:p>
        </w:tc>
        <w:tc>
          <w:tcPr>
            <w:tcW w:type="dxa" w:w="1325"/>
          </w:tcPr>
          <w:p>
            <w:pPr>
              <w:spacing w:after="20"/>
            </w:pPr>
            <w:r>
              <w:rPr>
                <w:color w:val="1C3A36"/>
                <w:sz w:val="14"/>
              </w:rPr>
              <w:t>0.48</w:t>
            </w:r>
          </w:p>
        </w:tc>
        <w:tc>
          <w:tcPr>
            <w:tcW w:type="dxa" w:w="1066"/>
          </w:tcPr>
          <w:p>
            <w:pPr>
              <w:spacing w:after="20"/>
            </w:pPr>
            <w:r>
              <w:rPr>
                <w:color w:val="1C3A36"/>
                <w:sz w:val="14"/>
              </w:rPr>
              <w:t>House</w:t>
            </w:r>
          </w:p>
        </w:tc>
        <w:tc>
          <w:tcPr>
            <w:tcW w:type="dxa" w:w="7085"/>
          </w:tcPr>
          <w:p>
            <w:pPr>
              <w:spacing w:after="20"/>
            </w:pPr>
            <w:r>
              <w:rPr>
                <w:color w:val="1C3A36"/>
                <w:sz w:val="14"/>
              </w:rPr>
              <w:t>Weight, cash-flow lens</w:t>
            </w:r>
          </w:p>
        </w:tc>
        <w:tc>
          <w:tcPr>
            <w:tcW w:type="dxa" w:w="1210"/>
          </w:tcPr>
          <w:p>
            <w:pPr>
              <w:spacing w:after="20"/>
            </w:pPr>
            <w:r>
              <w:rPr>
                <w:color w:val="1C3A36"/>
                <w:sz w:val="14"/>
              </w:rPr>
              <w:t>2026-08-06</w:t>
            </w:r>
          </w:p>
        </w:tc>
      </w:tr>
      <w:tr>
        <w:tc>
          <w:tcPr>
            <w:tcW w:type="dxa" w:w="518"/>
          </w:tcPr>
          <w:p>
            <w:pPr>
              <w:spacing w:after="20"/>
            </w:pPr>
            <w:r>
              <w:rPr>
                <w:color w:val="1C3A36"/>
                <w:sz w:val="14"/>
              </w:rPr>
              <w:t>97</w:t>
            </w:r>
          </w:p>
        </w:tc>
        <w:tc>
          <w:tcPr>
            <w:tcW w:type="dxa" w:w="2448"/>
          </w:tcPr>
          <w:p>
            <w:pPr>
              <w:spacing w:after="20"/>
            </w:pPr>
            <w:r>
              <w:rPr>
                <w:color w:val="1C3A36"/>
                <w:sz w:val="14"/>
              </w:rPr>
              <w:t>w_norm</w:t>
            </w:r>
          </w:p>
        </w:tc>
        <w:tc>
          <w:tcPr>
            <w:tcW w:type="dxa" w:w="1325"/>
          </w:tcPr>
          <w:p>
            <w:pPr>
              <w:spacing w:after="20"/>
            </w:pPr>
            <w:r>
              <w:rPr>
                <w:color w:val="1C3A36"/>
                <w:sz w:val="14"/>
              </w:rPr>
              <w:t>0.23</w:t>
            </w:r>
          </w:p>
        </w:tc>
        <w:tc>
          <w:tcPr>
            <w:tcW w:type="dxa" w:w="1066"/>
          </w:tcPr>
          <w:p>
            <w:pPr>
              <w:spacing w:after="20"/>
            </w:pPr>
            <w:r>
              <w:rPr>
                <w:color w:val="1C3A36"/>
                <w:sz w:val="14"/>
              </w:rPr>
              <w:t>House</w:t>
            </w:r>
          </w:p>
        </w:tc>
        <w:tc>
          <w:tcPr>
            <w:tcW w:type="dxa" w:w="7085"/>
          </w:tcPr>
          <w:p>
            <w:pPr>
              <w:spacing w:after="20"/>
            </w:pPr>
            <w:r>
              <w:rPr>
                <w:color w:val="1C3A36"/>
                <w:sz w:val="14"/>
              </w:rPr>
              <w:t>Weight, normalised lens</w:t>
            </w:r>
          </w:p>
        </w:tc>
        <w:tc>
          <w:tcPr>
            <w:tcW w:type="dxa" w:w="1210"/>
          </w:tcPr>
          <w:p>
            <w:pPr>
              <w:spacing w:after="20"/>
            </w:pPr>
            <w:r>
              <w:rPr>
                <w:color w:val="1C3A36"/>
                <w:sz w:val="14"/>
              </w:rPr>
              <w:t>2026-08-06</w:t>
            </w:r>
          </w:p>
        </w:tc>
      </w:tr>
      <w:tr>
        <w:tc>
          <w:tcPr>
            <w:tcW w:type="dxa" w:w="518"/>
          </w:tcPr>
          <w:p>
            <w:pPr>
              <w:spacing w:after="20"/>
            </w:pPr>
            <w:r>
              <w:rPr>
                <w:color w:val="1C3A36"/>
                <w:sz w:val="14"/>
              </w:rPr>
              <w:t>98</w:t>
            </w:r>
          </w:p>
        </w:tc>
        <w:tc>
          <w:tcPr>
            <w:tcW w:type="dxa" w:w="2448"/>
          </w:tcPr>
          <w:p>
            <w:pPr>
              <w:spacing w:after="20"/>
            </w:pPr>
            <w:r>
              <w:rPr>
                <w:color w:val="1C3A36"/>
                <w:sz w:val="14"/>
              </w:rPr>
              <w:t>w_rel</w:t>
            </w:r>
          </w:p>
        </w:tc>
        <w:tc>
          <w:tcPr>
            <w:tcW w:type="dxa" w:w="1325"/>
          </w:tcPr>
          <w:p>
            <w:pPr>
              <w:spacing w:after="20"/>
            </w:pPr>
            <w:r>
              <w:rPr>
                <w:color w:val="1C3A36"/>
                <w:sz w:val="14"/>
              </w:rPr>
              <w:t>0.21</w:t>
            </w:r>
          </w:p>
        </w:tc>
        <w:tc>
          <w:tcPr>
            <w:tcW w:type="dxa" w:w="1066"/>
          </w:tcPr>
          <w:p>
            <w:pPr>
              <w:spacing w:after="20"/>
            </w:pPr>
            <w:r>
              <w:rPr>
                <w:color w:val="1C3A36"/>
                <w:sz w:val="14"/>
              </w:rPr>
              <w:t>House</w:t>
            </w:r>
          </w:p>
        </w:tc>
        <w:tc>
          <w:tcPr>
            <w:tcW w:type="dxa" w:w="7085"/>
          </w:tcPr>
          <w:p>
            <w:pPr>
              <w:spacing w:after="20"/>
            </w:pPr>
            <w:r>
              <w:rPr>
                <w:color w:val="1C3A36"/>
                <w:sz w:val="14"/>
              </w:rPr>
              <w:t>Weight, relative lens</w:t>
            </w:r>
          </w:p>
        </w:tc>
        <w:tc>
          <w:tcPr>
            <w:tcW w:type="dxa" w:w="1210"/>
          </w:tcPr>
          <w:p>
            <w:pPr>
              <w:spacing w:after="20"/>
            </w:pPr>
            <w:r>
              <w:rPr>
                <w:color w:val="1C3A36"/>
                <w:sz w:val="14"/>
              </w:rPr>
              <w:t>2026-08-06</w:t>
            </w:r>
          </w:p>
        </w:tc>
      </w:tr>
      <w:tr>
        <w:tc>
          <w:tcPr>
            <w:tcW w:type="dxa" w:w="518"/>
          </w:tcPr>
          <w:p>
            <w:pPr>
              <w:spacing w:after="20"/>
            </w:pPr>
            <w:r>
              <w:rPr>
                <w:color w:val="1C3A36"/>
                <w:sz w:val="14"/>
              </w:rPr>
              <w:t>99</w:t>
            </w:r>
          </w:p>
        </w:tc>
        <w:tc>
          <w:tcPr>
            <w:tcW w:type="dxa" w:w="2448"/>
          </w:tcPr>
          <w:p>
            <w:pPr>
              <w:spacing w:after="20"/>
            </w:pPr>
            <w:r>
              <w:rPr>
                <w:color w:val="1C3A36"/>
                <w:sz w:val="14"/>
              </w:rPr>
              <w:t>wc_pct_drev</w:t>
            </w:r>
          </w:p>
        </w:tc>
        <w:tc>
          <w:tcPr>
            <w:tcW w:type="dxa" w:w="1325"/>
          </w:tcPr>
          <w:p>
            <w:pPr>
              <w:spacing w:after="20"/>
            </w:pPr>
            <w:r>
              <w:rPr>
                <w:color w:val="1C3A36"/>
                <w:sz w:val="14"/>
              </w:rPr>
              <w:t>0.08</w:t>
            </w:r>
          </w:p>
        </w:tc>
        <w:tc>
          <w:tcPr>
            <w:tcW w:type="dxa" w:w="1066"/>
          </w:tcPr>
          <w:p>
            <w:pPr>
              <w:spacing w:after="20"/>
            </w:pPr>
            <w:r>
              <w:rPr>
                <w:color w:val="1C3A36"/>
                <w:sz w:val="14"/>
              </w:rPr>
              <w:t>House</w:t>
            </w:r>
          </w:p>
        </w:tc>
        <w:tc>
          <w:tcPr>
            <w:tcW w:type="dxa" w:w="7085"/>
          </w:tcPr>
          <w:p>
            <w:pPr>
              <w:spacing w:after="20"/>
            </w:pPr>
            <w:r>
              <w:rPr>
                <w:color w:val="1C3A36"/>
                <w:sz w:val="14"/>
              </w:rPr>
              <w:t>Change in working capital over change in revenue</w:t>
            </w:r>
          </w:p>
        </w:tc>
        <w:tc>
          <w:tcPr>
            <w:tcW w:type="dxa" w:w="1210"/>
          </w:tcPr>
          <w:p>
            <w:pPr>
              <w:spacing w:after="20"/>
            </w:pPr>
            <w:r>
              <w:rPr>
                <w:color w:val="1C3A36"/>
                <w:sz w:val="14"/>
              </w:rPr>
              <w:t>2026-08-06</w:t>
            </w:r>
          </w:p>
        </w:tc>
      </w:tr>
      <w:tr>
        <w:tc>
          <w:tcPr>
            <w:tcW w:type="dxa" w:w="518"/>
          </w:tcPr>
          <w:p>
            <w:pPr>
              <w:spacing w:after="20"/>
            </w:pPr>
            <w:r>
              <w:rPr>
                <w:color w:val="1C3A36"/>
                <w:sz w:val="14"/>
              </w:rPr>
              <w:t>100</w:t>
            </w:r>
          </w:p>
        </w:tc>
        <w:tc>
          <w:tcPr>
            <w:tcW w:type="dxa" w:w="2448"/>
          </w:tcPr>
          <w:p>
            <w:pPr>
              <w:spacing w:after="20"/>
            </w:pPr>
            <w:r>
              <w:rPr>
                <w:color w:val="1C3A36"/>
                <w:sz w:val="14"/>
              </w:rPr>
              <w:t>wd_term</w:t>
            </w:r>
          </w:p>
        </w:tc>
        <w:tc>
          <w:tcPr>
            <w:tcW w:type="dxa" w:w="1325"/>
          </w:tcPr>
          <w:p>
            <w:pPr>
              <w:spacing w:after="20"/>
            </w:pPr>
            <w:r>
              <w:rPr>
                <w:color w:val="1C3A36"/>
                <w:sz w:val="14"/>
              </w:rPr>
              <w:t>0.2</w:t>
            </w:r>
          </w:p>
        </w:tc>
        <w:tc>
          <w:tcPr>
            <w:tcW w:type="dxa" w:w="1066"/>
          </w:tcPr>
          <w:p>
            <w:pPr>
              <w:spacing w:after="20"/>
            </w:pPr>
            <w:r>
              <w:rPr>
                <w:color w:val="1C3A36"/>
                <w:sz w:val="14"/>
              </w:rPr>
              <w:t>House</w:t>
            </w:r>
          </w:p>
        </w:tc>
        <w:tc>
          <w:tcPr>
            <w:tcW w:type="dxa" w:w="7085"/>
          </w:tcPr>
          <w:p>
            <w:pPr>
              <w:spacing w:after="20"/>
            </w:pPr>
            <w:r>
              <w:rPr>
                <w:color w:val="1C3A36"/>
                <w:sz w:val="14"/>
              </w:rPr>
              <w:t>Terminal debt weight, normalised</w:t>
            </w:r>
          </w:p>
        </w:tc>
        <w:tc>
          <w:tcPr>
            <w:tcW w:type="dxa" w:w="1210"/>
          </w:tcPr>
          <w:p>
            <w:pPr>
              <w:spacing w:after="20"/>
            </w:pPr>
            <w:r>
              <w:rPr>
                <w:color w:val="1C3A36"/>
                <w:sz w:val="14"/>
              </w:rPr>
              <w:t>2026-08-06</w:t>
            </w:r>
          </w:p>
        </w:tc>
      </w:tr>
    </w:tbl>
    <w:p>
      <w:pPr>
        <w:spacing w:after="40"/>
      </w:pPr>
    </w:p>
    <w:p>
      <w:r>
        <w:br w:type="page"/>
      </w:r>
    </w:p>
    <w:p>
      <w:pPr>
        <w:spacing w:after="120" w:before="240"/>
      </w:pPr>
      <w:r>
        <w:rPr>
          <w:b/>
          <w:i w:val="0"/>
          <w:color w:val="1C3A36"/>
          <w:sz w:val="30"/>
        </w:rPr>
        <w:t>2  Source catalogue — the publications and institutions relied on</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2333"/>
        <w:gridCol w:w="5803"/>
        <w:gridCol w:w="2880"/>
      </w:tblGrid>
      <w:tr>
        <w:tc>
          <w:tcPr>
            <w:tcW w:type="dxa" w:w="2664"/>
            <w:shd w:val="clear" w:color="auto" w:fill="EAF0EE"/>
          </w:tcPr>
          <w:p>
            <w:pPr>
              <w:spacing w:after="20"/>
            </w:pPr>
            <w:r>
              <w:rPr>
                <w:b/>
                <w:color w:val="1C3A36"/>
                <w:sz w:val="16"/>
              </w:rPr>
              <w:t>Source</w:t>
            </w:r>
          </w:p>
        </w:tc>
        <w:tc>
          <w:tcPr>
            <w:tcW w:type="dxa" w:w="2333"/>
            <w:shd w:val="clear" w:color="auto" w:fill="EAF0EE"/>
          </w:tcPr>
          <w:p>
            <w:pPr>
              <w:spacing w:after="20"/>
            </w:pPr>
            <w:r>
              <w:rPr>
                <w:b/>
                <w:color w:val="1C3A36"/>
                <w:sz w:val="16"/>
              </w:rPr>
              <w:t>Type</w:t>
            </w:r>
          </w:p>
        </w:tc>
        <w:tc>
          <w:tcPr>
            <w:tcW w:type="dxa" w:w="5803"/>
            <w:shd w:val="clear" w:color="auto" w:fill="EAF0EE"/>
          </w:tcPr>
          <w:p>
            <w:pPr>
              <w:spacing w:after="20"/>
            </w:pPr>
            <w:r>
              <w:rPr>
                <w:b/>
                <w:color w:val="1C3A36"/>
                <w:sz w:val="16"/>
              </w:rPr>
              <w:t>What it was used for</w:t>
            </w:r>
          </w:p>
        </w:tc>
        <w:tc>
          <w:tcPr>
            <w:tcW w:type="dxa" w:w="2880"/>
            <w:shd w:val="clear" w:color="auto" w:fill="EAF0EE"/>
          </w:tcPr>
          <w:p>
            <w:pPr>
              <w:spacing w:after="20"/>
            </w:pPr>
            <w:r>
              <w:rPr>
                <w:b/>
                <w:color w:val="1C3A36"/>
                <w:sz w:val="16"/>
              </w:rPr>
              <w:t>Reference</w:t>
            </w:r>
          </w:p>
        </w:tc>
      </w:tr>
      <w:tr>
        <w:tc>
          <w:tcPr>
            <w:tcW w:type="dxa" w:w="2664"/>
          </w:tcPr>
          <w:p>
            <w:pPr>
              <w:spacing w:after="20"/>
            </w:pPr>
            <w:r>
              <w:rPr>
                <w:color w:val="1C3A36"/>
                <w:sz w:val="16"/>
              </w:rPr>
              <w:t>Sinai Cement Company S.A.E. — exchange filings</w:t>
            </w:r>
          </w:p>
        </w:tc>
        <w:tc>
          <w:tcPr>
            <w:tcW w:type="dxa" w:w="2333"/>
          </w:tcPr>
          <w:p>
            <w:pPr>
              <w:spacing w:after="20"/>
            </w:pPr>
            <w:r>
              <w:rPr>
                <w:color w:val="1C3A36"/>
                <w:sz w:val="16"/>
              </w:rPr>
              <w:t>Company filing</w:t>
            </w:r>
          </w:p>
        </w:tc>
        <w:tc>
          <w:tcPr>
            <w:tcW w:type="dxa" w:w="5803"/>
          </w:tcPr>
          <w:p>
            <w:pPr>
              <w:spacing w:after="20"/>
            </w:pPr>
            <w:r>
              <w:rPr>
                <w:color w:val="1C3A36"/>
                <w:sz w:val="16"/>
              </w:rPr>
              <w:t>FY2023, FY2024 and FY2025 consolidated results; 9M-2025 results; EGM resolutions on the 2024 capital increase; issued-capital and share-count disclosures.</w:t>
            </w:r>
          </w:p>
        </w:tc>
        <w:tc>
          <w:tcPr>
            <w:tcW w:type="dxa" w:w="2880"/>
          </w:tcPr>
          <w:p>
            <w:pPr>
              <w:spacing w:after="20"/>
            </w:pPr>
            <w:r>
              <w:rPr>
                <w:color w:val="1C3A36"/>
                <w:sz w:val="16"/>
              </w:rPr>
              <w:t>Accessed indirectly through the press outlets below; the primary documents could not be retrieved from the company website or the exchange portal.</w:t>
            </w:r>
          </w:p>
        </w:tc>
      </w:tr>
      <w:tr>
        <w:tc>
          <w:tcPr>
            <w:tcW w:type="dxa" w:w="2664"/>
          </w:tcPr>
          <w:p>
            <w:pPr>
              <w:spacing w:after="20"/>
            </w:pPr>
            <w:r>
              <w:rPr>
                <w:color w:val="1C3A36"/>
                <w:sz w:val="16"/>
              </w:rPr>
              <w:t>Global Cement</w:t>
            </w:r>
          </w:p>
        </w:tc>
        <w:tc>
          <w:tcPr>
            <w:tcW w:type="dxa" w:w="2333"/>
          </w:tcPr>
          <w:p>
            <w:pPr>
              <w:spacing w:after="20"/>
            </w:pPr>
            <w:r>
              <w:rPr>
                <w:color w:val="1C3A36"/>
                <w:sz w:val="16"/>
              </w:rPr>
              <w:t>Trade press</w:t>
            </w:r>
          </w:p>
        </w:tc>
        <w:tc>
          <w:tcPr>
            <w:tcW w:type="dxa" w:w="5803"/>
          </w:tcPr>
          <w:p>
            <w:pPr>
              <w:spacing w:after="20"/>
            </w:pPr>
            <w:r>
              <w:rPr>
                <w:color w:val="1C3A36"/>
                <w:sz w:val="16"/>
              </w:rPr>
              <w:t>FY2024 turnaround (net profit EGP 3.07bn against a EGP 121.42mn FY2023 loss; sales EGP 6.42bn from EGP 4.28bn); Egyptian production, consumption, capacity and export volumes; the dormant-capacity revival programme.</w:t>
            </w:r>
          </w:p>
        </w:tc>
        <w:tc>
          <w:tcPr>
            <w:tcW w:type="dxa" w:w="2880"/>
          </w:tcPr>
          <w:p>
            <w:pPr>
              <w:spacing w:after="20"/>
            </w:pPr>
            <w:r>
              <w:rPr>
                <w:color w:val="1C3A36"/>
                <w:sz w:val="16"/>
              </w:rPr>
              <w:t>globalcement.com</w:t>
            </w:r>
          </w:p>
        </w:tc>
      </w:tr>
      <w:tr>
        <w:tc>
          <w:tcPr>
            <w:tcW w:type="dxa" w:w="2664"/>
          </w:tcPr>
          <w:p>
            <w:pPr>
              <w:spacing w:after="20"/>
            </w:pPr>
            <w:r>
              <w:rPr>
                <w:color w:val="1C3A36"/>
                <w:sz w:val="16"/>
              </w:rPr>
              <w:t>International Cement Review / cemnet</w:t>
            </w:r>
          </w:p>
        </w:tc>
        <w:tc>
          <w:tcPr>
            <w:tcW w:type="dxa" w:w="2333"/>
          </w:tcPr>
          <w:p>
            <w:pPr>
              <w:spacing w:after="20"/>
            </w:pPr>
            <w:r>
              <w:rPr>
                <w:color w:val="1C3A36"/>
                <w:sz w:val="16"/>
              </w:rPr>
              <w:t>Trade press</w:t>
            </w:r>
          </w:p>
        </w:tc>
        <w:tc>
          <w:tcPr>
            <w:tcW w:type="dxa" w:w="5803"/>
          </w:tcPr>
          <w:p>
            <w:pPr>
              <w:spacing w:after="20"/>
            </w:pPr>
            <w:r>
              <w:rPr>
                <w:color w:val="1C3A36"/>
                <w:sz w:val="16"/>
              </w:rPr>
              <w:t>Egyptian 2025 production up 18% to ~65Mt; 9M-2025 results; the Cementir acquisition of the Sinai White stake.</w:t>
            </w:r>
          </w:p>
        </w:tc>
        <w:tc>
          <w:tcPr>
            <w:tcW w:type="dxa" w:w="2880"/>
          </w:tcPr>
          <w:p>
            <w:pPr>
              <w:spacing w:after="20"/>
            </w:pPr>
            <w:r>
              <w:rPr>
                <w:color w:val="1C3A36"/>
                <w:sz w:val="16"/>
              </w:rPr>
              <w:t>cemnet.com</w:t>
            </w:r>
          </w:p>
        </w:tc>
      </w:tr>
      <w:tr>
        <w:tc>
          <w:tcPr>
            <w:tcW w:type="dxa" w:w="2664"/>
          </w:tcPr>
          <w:p>
            <w:pPr>
              <w:spacing w:after="20"/>
            </w:pPr>
            <w:r>
              <w:rPr>
                <w:color w:val="1C3A36"/>
                <w:sz w:val="16"/>
              </w:rPr>
              <w:t>Cementir Holding N.V. / Aalborg Portland Holding A/S</w:t>
            </w:r>
          </w:p>
        </w:tc>
        <w:tc>
          <w:tcPr>
            <w:tcW w:type="dxa" w:w="2333"/>
          </w:tcPr>
          <w:p>
            <w:pPr>
              <w:spacing w:after="20"/>
            </w:pPr>
            <w:r>
              <w:rPr>
                <w:color w:val="1C3A36"/>
                <w:sz w:val="16"/>
              </w:rPr>
              <w:t>Counterparty disclosure</w:t>
            </w:r>
          </w:p>
        </w:tc>
        <w:tc>
          <w:tcPr>
            <w:tcW w:type="dxa" w:w="5803"/>
          </w:tcPr>
          <w:p>
            <w:pPr>
              <w:spacing w:after="20"/>
            </w:pPr>
            <w:r>
              <w:rPr>
                <w:color w:val="1C3A36"/>
                <w:sz w:val="16"/>
              </w:rPr>
              <w:t>Acquisition of an additional 25.40% of Sinai White Portland Cement from Sinai Cement for EUR 30 million, completed 13 August 2024, taking Cementir to 96.5%. This is the transaction that resets the FY2024 base.</w:t>
            </w:r>
          </w:p>
        </w:tc>
        <w:tc>
          <w:tcPr>
            <w:tcW w:type="dxa" w:w="2880"/>
          </w:tcPr>
          <w:p>
            <w:pPr>
              <w:spacing w:after="20"/>
            </w:pPr>
            <w:r>
              <w:rPr>
                <w:color w:val="1C3A36"/>
                <w:sz w:val="16"/>
              </w:rPr>
              <w:t>cementirholding.com</w:t>
            </w:r>
          </w:p>
        </w:tc>
      </w:tr>
      <w:tr>
        <w:tc>
          <w:tcPr>
            <w:tcW w:type="dxa" w:w="2664"/>
          </w:tcPr>
          <w:p>
            <w:pPr>
              <w:spacing w:after="20"/>
            </w:pPr>
            <w:r>
              <w:rPr>
                <w:color w:val="1C3A36"/>
                <w:sz w:val="16"/>
              </w:rPr>
              <w:t>Vicat S.A. — results and regulatory filings</w:t>
            </w:r>
          </w:p>
        </w:tc>
        <w:tc>
          <w:tcPr>
            <w:tcW w:type="dxa" w:w="2333"/>
          </w:tcPr>
          <w:p>
            <w:pPr>
              <w:spacing w:after="20"/>
            </w:pPr>
            <w:r>
              <w:rPr>
                <w:color w:val="1C3A36"/>
                <w:sz w:val="16"/>
              </w:rPr>
              <w:t>Shareholder disclosure</w:t>
            </w:r>
          </w:p>
        </w:tc>
        <w:tc>
          <w:tcPr>
            <w:tcW w:type="dxa" w:w="5803"/>
          </w:tcPr>
          <w:p>
            <w:pPr>
              <w:spacing w:after="20"/>
            </w:pPr>
            <w:r>
              <w:rPr>
                <w:color w:val="1C3A36"/>
                <w:sz w:val="16"/>
              </w:rPr>
              <w:t>The 77.6% holding through Vicat Egypt Cement Industries; the July 2025 mandatory tender offer for 58,416,664 shares (22.4%) at EGP 41.00 per share, filed with the Financial Regulatory Authority.</w:t>
            </w:r>
          </w:p>
        </w:tc>
        <w:tc>
          <w:tcPr>
            <w:tcW w:type="dxa" w:w="2880"/>
          </w:tcPr>
          <w:p>
            <w:pPr>
              <w:spacing w:after="20"/>
            </w:pPr>
            <w:r>
              <w:rPr>
                <w:color w:val="1C3A36"/>
                <w:sz w:val="16"/>
              </w:rPr>
              <w:t>Reported via Reuters and Vicat H1-2025 results</w:t>
            </w:r>
          </w:p>
        </w:tc>
      </w:tr>
      <w:tr>
        <w:tc>
          <w:tcPr>
            <w:tcW w:type="dxa" w:w="2664"/>
          </w:tcPr>
          <w:p>
            <w:pPr>
              <w:spacing w:after="20"/>
            </w:pPr>
            <w:r>
              <w:rPr>
                <w:color w:val="1C3A36"/>
                <w:sz w:val="16"/>
              </w:rPr>
              <w:t>Daily News Egypt</w:t>
            </w:r>
          </w:p>
        </w:tc>
        <w:tc>
          <w:tcPr>
            <w:tcW w:type="dxa" w:w="2333"/>
          </w:tcPr>
          <w:p>
            <w:pPr>
              <w:spacing w:after="20"/>
            </w:pPr>
            <w:r>
              <w:rPr>
                <w:color w:val="1C3A36"/>
                <w:sz w:val="16"/>
              </w:rPr>
              <w:t>National press</w:t>
            </w:r>
          </w:p>
        </w:tc>
        <w:tc>
          <w:tcPr>
            <w:tcW w:type="dxa" w:w="5803"/>
          </w:tcPr>
          <w:p>
            <w:pPr>
              <w:spacing w:after="20"/>
            </w:pPr>
            <w:r>
              <w:rPr>
                <w:color w:val="1C3A36"/>
                <w:sz w:val="16"/>
              </w:rPr>
              <w:t>FY2024 results commentary including the ~5% market-share figure; central bank inflation projections and the May-2026 inflation print.</w:t>
            </w:r>
          </w:p>
        </w:tc>
        <w:tc>
          <w:tcPr>
            <w:tcW w:type="dxa" w:w="2880"/>
          </w:tcPr>
          <w:p>
            <w:pPr>
              <w:spacing w:after="20"/>
            </w:pPr>
            <w:r>
              <w:rPr>
                <w:color w:val="1C3A36"/>
                <w:sz w:val="16"/>
              </w:rPr>
              <w:t>dailynewsegypt.com</w:t>
            </w:r>
          </w:p>
        </w:tc>
      </w:tr>
      <w:tr>
        <w:tc>
          <w:tcPr>
            <w:tcW w:type="dxa" w:w="2664"/>
          </w:tcPr>
          <w:p>
            <w:pPr>
              <w:spacing w:after="20"/>
            </w:pPr>
            <w:r>
              <w:rPr>
                <w:color w:val="1C3A36"/>
                <w:sz w:val="16"/>
              </w:rPr>
              <w:t>Arab Finance</w:t>
            </w:r>
          </w:p>
        </w:tc>
        <w:tc>
          <w:tcPr>
            <w:tcW w:type="dxa" w:w="2333"/>
          </w:tcPr>
          <w:p>
            <w:pPr>
              <w:spacing w:after="20"/>
            </w:pPr>
            <w:r>
              <w:rPr>
                <w:color w:val="1C3A36"/>
                <w:sz w:val="16"/>
              </w:rPr>
              <w:t>Financial press</w:t>
            </w:r>
          </w:p>
        </w:tc>
        <w:tc>
          <w:tcPr>
            <w:tcW w:type="dxa" w:w="5803"/>
          </w:tcPr>
          <w:p>
            <w:pPr>
              <w:spacing w:after="20"/>
            </w:pPr>
            <w:r>
              <w:rPr>
                <w:color w:val="1C3A36"/>
                <w:sz w:val="16"/>
              </w:rPr>
              <w:t>FY2025 consolidated results; peer results for Misr Beni Suef Cement and Arabian Cement.</w:t>
            </w:r>
          </w:p>
        </w:tc>
        <w:tc>
          <w:tcPr>
            <w:tcW w:type="dxa" w:w="2880"/>
          </w:tcPr>
          <w:p>
            <w:pPr>
              <w:spacing w:after="20"/>
            </w:pPr>
            <w:r>
              <w:rPr>
                <w:color w:val="1C3A36"/>
                <w:sz w:val="16"/>
              </w:rPr>
              <w:t>arabfinance.com</w:t>
            </w:r>
          </w:p>
        </w:tc>
      </w:tr>
      <w:tr>
        <w:tc>
          <w:tcPr>
            <w:tcW w:type="dxa" w:w="2664"/>
          </w:tcPr>
          <w:p>
            <w:pPr>
              <w:spacing w:after="20"/>
            </w:pPr>
            <w:r>
              <w:rPr>
                <w:color w:val="1C3A36"/>
                <w:sz w:val="16"/>
              </w:rPr>
              <w:t>EnterpriseAM Egypt</w:t>
            </w:r>
          </w:p>
        </w:tc>
        <w:tc>
          <w:tcPr>
            <w:tcW w:type="dxa" w:w="2333"/>
          </w:tcPr>
          <w:p>
            <w:pPr>
              <w:spacing w:after="20"/>
            </w:pPr>
            <w:r>
              <w:rPr>
                <w:color w:val="1C3A36"/>
                <w:sz w:val="16"/>
              </w:rPr>
              <w:t>Financial press</w:t>
            </w:r>
          </w:p>
        </w:tc>
        <w:tc>
          <w:tcPr>
            <w:tcW w:type="dxa" w:w="5803"/>
          </w:tcPr>
          <w:p>
            <w:pPr>
              <w:spacing w:after="20"/>
            </w:pPr>
            <w:r>
              <w:rPr>
                <w:color w:val="1C3A36"/>
                <w:sz w:val="16"/>
              </w:rPr>
              <w:t>Egyptian cement pricing through 2025 and the 2026 estimate; the Egyptian Competition Authority's permanent removal of production quotas in July 2025.</w:t>
            </w:r>
          </w:p>
        </w:tc>
        <w:tc>
          <w:tcPr>
            <w:tcW w:type="dxa" w:w="2880"/>
          </w:tcPr>
          <w:p>
            <w:pPr>
              <w:spacing w:after="20"/>
            </w:pPr>
            <w:r>
              <w:rPr>
                <w:color w:val="1C3A36"/>
                <w:sz w:val="16"/>
              </w:rPr>
              <w:t>enterpriseam.com</w:t>
            </w:r>
          </w:p>
        </w:tc>
      </w:tr>
      <w:tr>
        <w:tc>
          <w:tcPr>
            <w:tcW w:type="dxa" w:w="2664"/>
          </w:tcPr>
          <w:p>
            <w:pPr>
              <w:spacing w:after="20"/>
            </w:pPr>
            <w:r>
              <w:rPr>
                <w:color w:val="1C3A36"/>
                <w:sz w:val="16"/>
              </w:rPr>
              <w:t>Central Bank of Egypt</w:t>
            </w:r>
          </w:p>
        </w:tc>
        <w:tc>
          <w:tcPr>
            <w:tcW w:type="dxa" w:w="2333"/>
          </w:tcPr>
          <w:p>
            <w:pPr>
              <w:spacing w:after="20"/>
            </w:pPr>
            <w:r>
              <w:rPr>
                <w:color w:val="1C3A36"/>
                <w:sz w:val="16"/>
              </w:rPr>
              <w:t>Central bank</w:t>
            </w:r>
          </w:p>
        </w:tc>
        <w:tc>
          <w:tcPr>
            <w:tcW w:type="dxa" w:w="5803"/>
          </w:tcPr>
          <w:p>
            <w:pPr>
              <w:spacing w:after="20"/>
            </w:pPr>
            <w:r>
              <w:rPr>
                <w:color w:val="1C3A36"/>
                <w:sz w:val="16"/>
              </w:rPr>
              <w:t>Main operation rate of 19.50%, held since 2 April 2026; the Q1-2026 Monetary Policy Report; the medium-term inflation target of 7% (±2pp) for Q4-2026 easing to 5%; the headline and core inflation series.</w:t>
            </w:r>
          </w:p>
        </w:tc>
        <w:tc>
          <w:tcPr>
            <w:tcW w:type="dxa" w:w="2880"/>
          </w:tcPr>
          <w:p>
            <w:pPr>
              <w:spacing w:after="20"/>
            </w:pPr>
            <w:r>
              <w:rPr>
                <w:color w:val="1C3A36"/>
                <w:sz w:val="16"/>
              </w:rPr>
              <w:t>cbe.org.eg</w:t>
            </w:r>
          </w:p>
        </w:tc>
      </w:tr>
      <w:tr>
        <w:tc>
          <w:tcPr>
            <w:tcW w:type="dxa" w:w="2664"/>
          </w:tcPr>
          <w:p>
            <w:pPr>
              <w:spacing w:after="20"/>
            </w:pPr>
            <w:r>
              <w:rPr>
                <w:color w:val="1C3A36"/>
                <w:sz w:val="16"/>
              </w:rPr>
              <w:t>Aswath Damodaran — country risk premium file</w:t>
            </w:r>
          </w:p>
        </w:tc>
        <w:tc>
          <w:tcPr>
            <w:tcW w:type="dxa" w:w="2333"/>
          </w:tcPr>
          <w:p>
            <w:pPr>
              <w:spacing w:after="20"/>
            </w:pPr>
            <w:r>
              <w:rPr>
                <w:color w:val="1C3A36"/>
                <w:sz w:val="16"/>
              </w:rPr>
              <w:t>Reference dataset</w:t>
            </w:r>
          </w:p>
        </w:tc>
        <w:tc>
          <w:tcPr>
            <w:tcW w:type="dxa" w:w="5803"/>
          </w:tcPr>
          <w:p>
            <w:pPr>
              <w:spacing w:after="20"/>
            </w:pPr>
            <w:r>
              <w:rPr>
                <w:color w:val="1C3A36"/>
                <w:sz w:val="16"/>
              </w:rPr>
              <w:t>Egypt equity risk premium and sovereign default spread on both the credit-default-swap and credit-rating bases, January 2026 edition. The original file only.</w:t>
            </w:r>
          </w:p>
        </w:tc>
        <w:tc>
          <w:tcPr>
            <w:tcW w:type="dxa" w:w="2880"/>
          </w:tcPr>
          <w:p>
            <w:pPr>
              <w:spacing w:after="20"/>
            </w:pPr>
            <w:r>
              <w:rPr>
                <w:color w:val="1C3A36"/>
                <w:sz w:val="16"/>
              </w:rPr>
              <w:t>Used for the cost-of-equity build</w:t>
            </w:r>
          </w:p>
        </w:tc>
      </w:tr>
      <w:tr>
        <w:tc>
          <w:tcPr>
            <w:tcW w:type="dxa" w:w="2664"/>
          </w:tcPr>
          <w:p>
            <w:pPr>
              <w:spacing w:after="20"/>
            </w:pPr>
            <w:r>
              <w:rPr>
                <w:color w:val="1C3A36"/>
                <w:sz w:val="16"/>
              </w:rPr>
              <w:t>PwC Worldwide Tax Summaries</w:t>
            </w:r>
          </w:p>
        </w:tc>
        <w:tc>
          <w:tcPr>
            <w:tcW w:type="dxa" w:w="2333"/>
          </w:tcPr>
          <w:p>
            <w:pPr>
              <w:spacing w:after="20"/>
            </w:pPr>
            <w:r>
              <w:rPr>
                <w:color w:val="1C3A36"/>
                <w:sz w:val="16"/>
              </w:rPr>
              <w:t>Tax reference</w:t>
            </w:r>
          </w:p>
        </w:tc>
        <w:tc>
          <w:tcPr>
            <w:tcW w:type="dxa" w:w="5803"/>
          </w:tcPr>
          <w:p>
            <w:pPr>
              <w:spacing w:after="20"/>
            </w:pPr>
            <w:r>
              <w:rPr>
                <w:color w:val="1C3A36"/>
                <w:sz w:val="16"/>
              </w:rPr>
              <w:t>Egyptian corporate income tax rate of 22.5%, unchanged for 2025-26.</w:t>
            </w:r>
          </w:p>
        </w:tc>
        <w:tc>
          <w:tcPr>
            <w:tcW w:type="dxa" w:w="2880"/>
          </w:tcPr>
          <w:p>
            <w:pPr>
              <w:spacing w:after="20"/>
            </w:pPr>
            <w:r>
              <w:rPr>
                <w:color w:val="1C3A36"/>
                <w:sz w:val="16"/>
              </w:rPr>
              <w:t>taxsummaries.pwc.com</w:t>
            </w:r>
          </w:p>
        </w:tc>
      </w:tr>
      <w:tr>
        <w:tc>
          <w:tcPr>
            <w:tcW w:type="dxa" w:w="2664"/>
          </w:tcPr>
          <w:p>
            <w:pPr>
              <w:spacing w:after="20"/>
            </w:pPr>
            <w:r>
              <w:rPr>
                <w:color w:val="1C3A36"/>
                <w:sz w:val="16"/>
              </w:rPr>
              <w:t>Egyptian Exchange daily price history</w:t>
            </w:r>
          </w:p>
        </w:tc>
        <w:tc>
          <w:tcPr>
            <w:tcW w:type="dxa" w:w="2333"/>
          </w:tcPr>
          <w:p>
            <w:pPr>
              <w:spacing w:after="20"/>
            </w:pPr>
            <w:r>
              <w:rPr>
                <w:color w:val="1C3A36"/>
                <w:sz w:val="16"/>
              </w:rPr>
              <w:t>Market data</w:t>
            </w:r>
          </w:p>
        </w:tc>
        <w:tc>
          <w:tcPr>
            <w:tcW w:type="dxa" w:w="5803"/>
          </w:tcPr>
          <w:p>
            <w:pPr>
              <w:spacing w:after="20"/>
            </w:pPr>
            <w:r>
              <w:rPr>
                <w:color w:val="1C3A36"/>
                <w:sz w:val="16"/>
              </w:rPr>
              <w:t>3,626 daily open, high, low, close and volume records from 2 January 2011 to 6 August 2026, supplied with the engagement. This series is the basis of the price chart, the volatility estimate, the beta regression and the liquidity diagnostics.</w:t>
            </w:r>
          </w:p>
        </w:tc>
        <w:tc>
          <w:tcPr>
            <w:tcW w:type="dxa" w:w="2880"/>
          </w:tcPr>
          <w:p>
            <w:pPr>
              <w:spacing w:after="20"/>
            </w:pPr>
            <w:r>
              <w:rPr>
                <w:color w:val="1C3A36"/>
                <w:sz w:val="16"/>
              </w:rPr>
              <w:t>Supplied as a file</w:t>
            </w:r>
          </w:p>
        </w:tc>
      </w:tr>
      <w:tr>
        <w:tc>
          <w:tcPr>
            <w:tcW w:type="dxa" w:w="2664"/>
          </w:tcPr>
          <w:p>
            <w:pPr>
              <w:spacing w:after="20"/>
            </w:pPr>
            <w:r>
              <w:rPr>
                <w:color w:val="1C3A36"/>
                <w:sz w:val="16"/>
              </w:rPr>
              <w:t>Global Energy Monitor plant register</w:t>
            </w:r>
          </w:p>
        </w:tc>
        <w:tc>
          <w:tcPr>
            <w:tcW w:type="dxa" w:w="2333"/>
          </w:tcPr>
          <w:p>
            <w:pPr>
              <w:spacing w:after="20"/>
            </w:pPr>
            <w:r>
              <w:rPr>
                <w:color w:val="1C3A36"/>
                <w:sz w:val="16"/>
              </w:rPr>
              <w:t>Sector database</w:t>
            </w:r>
          </w:p>
        </w:tc>
        <w:tc>
          <w:tcPr>
            <w:tcW w:type="dxa" w:w="5803"/>
          </w:tcPr>
          <w:p>
            <w:pPr>
              <w:spacing w:after="20"/>
            </w:pPr>
            <w:r>
              <w:rPr>
                <w:color w:val="1C3A36"/>
                <w:sz w:val="16"/>
              </w:rPr>
              <w:t>El Hassana plant configuration: two lines, approximately 3.8 million tonnes a year of cement capacity, commissioned from 1997.</w:t>
            </w:r>
          </w:p>
        </w:tc>
        <w:tc>
          <w:tcPr>
            <w:tcW w:type="dxa" w:w="2880"/>
          </w:tcPr>
          <w:p>
            <w:pPr>
              <w:spacing w:after="20"/>
            </w:pPr>
            <w:r>
              <w:rPr>
                <w:color w:val="1C3A36"/>
                <w:sz w:val="16"/>
              </w:rPr>
              <w:t>gem.wiki</w:t>
            </w:r>
          </w:p>
        </w:tc>
      </w:tr>
    </w:tbl>
    <w:p>
      <w:pPr>
        <w:spacing w:after="40"/>
      </w:pPr>
    </w:p>
    <w:p>
      <w:r>
        <w:br w:type="page"/>
      </w:r>
    </w:p>
    <w:p>
      <w:pPr>
        <w:spacing w:after="120" w:before="240"/>
      </w:pPr>
      <w:r>
        <w:rPr>
          <w:b/>
          <w:i w:val="0"/>
          <w:color w:val="1C3A36"/>
          <w:sz w:val="30"/>
        </w:rPr>
        <w:t>3  Figures that are DERIVED rather than sourced</w:t>
      </w:r>
    </w:p>
    <w:p>
      <w:pPr>
        <w:spacing w:after="100" w:before="0"/>
      </w:pPr>
      <w:r>
        <w:rPr>
          <w:b w:val="0"/>
          <w:i w:val="0"/>
          <w:color w:val="1C3A36"/>
          <w:sz w:val="19"/>
        </w:rPr>
        <w:t>These do not appear in any source. They are computed, and the method is given so a reader can reproduce or reject each one.</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456"/>
        <w:gridCol w:w="10224"/>
      </w:tblGrid>
      <w:tr>
        <w:tc>
          <w:tcPr>
            <w:tcW w:type="dxa" w:w="3456"/>
            <w:shd w:val="clear" w:color="auto" w:fill="EAF0EE"/>
          </w:tcPr>
          <w:p>
            <w:pPr>
              <w:spacing w:after="20"/>
            </w:pPr>
            <w:r>
              <w:rPr>
                <w:b/>
                <w:color w:val="1C3A36"/>
                <w:sz w:val="16"/>
              </w:rPr>
              <w:t>Figure</w:t>
            </w:r>
          </w:p>
        </w:tc>
        <w:tc>
          <w:tcPr>
            <w:tcW w:type="dxa" w:w="10224"/>
            <w:shd w:val="clear" w:color="auto" w:fill="EAF0EE"/>
          </w:tcPr>
          <w:p>
            <w:pPr>
              <w:spacing w:after="20"/>
            </w:pPr>
            <w:r>
              <w:rPr>
                <w:b/>
                <w:color w:val="1C3A36"/>
                <w:sz w:val="16"/>
              </w:rPr>
              <w:t>How it was derived</w:t>
            </w:r>
          </w:p>
        </w:tc>
      </w:tr>
      <w:tr>
        <w:tc>
          <w:tcPr>
            <w:tcW w:type="dxa" w:w="3456"/>
          </w:tcPr>
          <w:p>
            <w:pPr>
              <w:spacing w:after="20"/>
            </w:pPr>
            <w:r>
              <w:rPr>
                <w:color w:val="1C3A36"/>
                <w:sz w:val="16"/>
              </w:rPr>
              <w:t>Share count — 260,812,477</w:t>
            </w:r>
          </w:p>
        </w:tc>
        <w:tc>
          <w:tcPr>
            <w:tcW w:type="dxa" w:w="10224"/>
          </w:tcPr>
          <w:p>
            <w:pPr>
              <w:spacing w:after="20"/>
            </w:pPr>
            <w:r>
              <w:rPr>
                <w:color w:val="1C3A36"/>
                <w:sz w:val="16"/>
              </w:rPr>
              <w:t>Triangulated three ways and cross-checked: issued capital of EGP 2,608,124,770 at EGP 10 par gives 261; the tender offer of 58,416,664 shares described as 22.4% back-solves to 261; quoted market capitalisation divided by the closing price gives 261. The three agree to within 0.01%. Aggregator prints of 141.46 million are irreconcilable with the market capitalisation printed beside them and are rejected.</w:t>
            </w:r>
          </w:p>
        </w:tc>
      </w:tr>
      <w:tr>
        <w:tc>
          <w:tcPr>
            <w:tcW w:type="dxa" w:w="3456"/>
          </w:tcPr>
          <w:p>
            <w:pPr>
              <w:spacing w:after="20"/>
            </w:pPr>
            <w:r>
              <w:rPr>
                <w:color w:val="1C3A36"/>
                <w:sz w:val="16"/>
              </w:rPr>
              <w:t>FY2024 EBIT, treasury income and the disposal gain</w:t>
            </w:r>
          </w:p>
        </w:tc>
        <w:tc>
          <w:tcPr>
            <w:tcW w:type="dxa" w:w="10224"/>
          </w:tcPr>
          <w:p>
            <w:pPr>
              <w:spacing w:after="20"/>
            </w:pPr>
            <w:r>
              <w:rPr>
                <w:color w:val="1C3A36"/>
                <w:sz w:val="16"/>
              </w:rPr>
              <w:t>The FY2024 profit bridge is closed against the one disclosed EBITDA figure. Depreciation is taken at 6.2% of revenue, giving EBIT; the disposal gain is EUR 30 million at the August-2024 exchange rate less an estimated EGP 100 million carrying value; treasury income is then whatever remains once disclosed profit after tax is grossed up at the statutory rate.</w:t>
            </w:r>
          </w:p>
        </w:tc>
      </w:tr>
      <w:tr>
        <w:tc>
          <w:tcPr>
            <w:tcW w:type="dxa" w:w="3456"/>
          </w:tcPr>
          <w:p>
            <w:pPr>
              <w:spacing w:after="20"/>
            </w:pPr>
            <w:r>
              <w:rPr>
                <w:color w:val="1C3A36"/>
                <w:sz w:val="16"/>
              </w:rPr>
              <w:t>FY2025 EBIT and EBITDA</w:t>
            </w:r>
          </w:p>
        </w:tc>
        <w:tc>
          <w:tcPr>
            <w:tcW w:type="dxa" w:w="10224"/>
          </w:tcPr>
          <w:p>
            <w:pPr>
              <w:spacing w:after="20"/>
            </w:pPr>
            <w:r>
              <w:rPr>
                <w:color w:val="1C3A36"/>
                <w:sz w:val="16"/>
              </w:rPr>
              <w:t>Disclosed profit after tax is grossed up at the statutory rate to give pre-tax profit; treasury income on the derived cash balance is deducted to give EBIT; depreciation at 4.6% of revenue is added back to give EBITDA.</w:t>
            </w:r>
          </w:p>
        </w:tc>
      </w:tr>
      <w:tr>
        <w:tc>
          <w:tcPr>
            <w:tcW w:type="dxa" w:w="3456"/>
          </w:tcPr>
          <w:p>
            <w:pPr>
              <w:spacing w:after="20"/>
            </w:pPr>
            <w:r>
              <w:rPr>
                <w:color w:val="1C3A36"/>
                <w:sz w:val="16"/>
              </w:rPr>
              <w:t>The cash balance</w:t>
            </w:r>
          </w:p>
        </w:tc>
        <w:tc>
          <w:tcPr>
            <w:tcW w:type="dxa" w:w="10224"/>
          </w:tcPr>
          <w:p>
            <w:pPr>
              <w:spacing w:after="20"/>
            </w:pPr>
            <w:r>
              <w:rPr>
                <w:color w:val="1C3A36"/>
                <w:sz w:val="16"/>
              </w:rPr>
              <w:t>No cash figure is separately obtainable. FY2024 cash is inferred as the derived FY2024 treasury income divided by the prevailing deposit yield; FY2025 cash is that balance grown by a stated multiple. This is the least well-evidenced material figure in the valuation and net cash is 37% of the equity value.</w:t>
            </w:r>
          </w:p>
        </w:tc>
      </w:tr>
      <w:tr>
        <w:tc>
          <w:tcPr>
            <w:tcW w:type="dxa" w:w="3456"/>
          </w:tcPr>
          <w:p>
            <w:pPr>
              <w:spacing w:after="20"/>
            </w:pPr>
            <w:r>
              <w:rPr>
                <w:color w:val="1C3A36"/>
                <w:sz w:val="16"/>
              </w:rPr>
              <w:t>Sales volume and realised price</w:t>
            </w:r>
          </w:p>
        </w:tc>
        <w:tc>
          <w:tcPr>
            <w:tcW w:type="dxa" w:w="10224"/>
          </w:tcPr>
          <w:p>
            <w:pPr>
              <w:spacing w:after="20"/>
            </w:pPr>
            <w:r>
              <w:rPr>
                <w:color w:val="1C3A36"/>
                <w:sz w:val="16"/>
              </w:rPr>
              <w:t>Volume is the Egyptian market size multiplied by the company's share; realised price is then disclosed revenue divided by that volume, so the build reproduces the reported top line exactly in all three historical years.</w:t>
            </w:r>
          </w:p>
        </w:tc>
      </w:tr>
      <w:tr>
        <w:tc>
          <w:tcPr>
            <w:tcW w:type="dxa" w:w="3456"/>
          </w:tcPr>
          <w:p>
            <w:pPr>
              <w:spacing w:after="20"/>
            </w:pPr>
            <w:r>
              <w:rPr>
                <w:color w:val="1C3A36"/>
                <w:sz w:val="16"/>
              </w:rPr>
              <w:t>Terminal return on invested capital</w:t>
            </w:r>
          </w:p>
        </w:tc>
        <w:tc>
          <w:tcPr>
            <w:tcW w:type="dxa" w:w="10224"/>
          </w:tcPr>
          <w:p>
            <w:pPr>
              <w:spacing w:after="20"/>
            </w:pPr>
            <w:r>
              <w:rPr>
                <w:color w:val="1C3A36"/>
                <w:sz w:val="16"/>
              </w:rPr>
              <w:t>Struck on replacement cost — 3.8Mt at USD 130 per annual tonne — rather than on book invested capital, which implies a nan% return because the plant is carried at 1997 cost through a five-fold devaluation.</w:t>
            </w:r>
          </w:p>
        </w:tc>
      </w:tr>
      <w:tr>
        <w:tc>
          <w:tcPr>
            <w:tcW w:type="dxa" w:w="3456"/>
          </w:tcPr>
          <w:p>
            <w:pPr>
              <w:spacing w:after="20"/>
            </w:pPr>
            <w:r>
              <w:rPr>
                <w:color w:val="1C3A36"/>
                <w:sz w:val="16"/>
              </w:rPr>
              <w:t>Beta — 1.00 adopted</w:t>
            </w:r>
          </w:p>
        </w:tc>
        <w:tc>
          <w:tcPr>
            <w:tcW w:type="dxa" w:w="10224"/>
          </w:tcPr>
          <w:p>
            <w:pPr>
              <w:spacing w:after="20"/>
            </w:pPr>
            <w:r>
              <w:rPr>
                <w:color w:val="1C3A36"/>
                <w:sz w:val="16"/>
              </w:rPr>
              <w:t>A five-year weekly regression of the shares against a 32-name equal-weight Egyptian composite returns 0.485 with an R-squared of 0.038 over 256 observations. That R-squared is below the 5% usability floor, so the regression result is NOT used. No Egyptian listed cement peer carries a price history in the covered library, so a re-levered peer beta is unavailable. 1.00 is adopted and corroborated: a lead-and-lag estimator correcting for the 29.3% of sessions that close unchanged gives 0.837, whose 90% interval contains 1.00.</w:t>
            </w:r>
          </w:p>
        </w:tc>
      </w:tr>
    </w:tbl>
    <w:p>
      <w:pPr>
        <w:spacing w:after="40"/>
      </w:pPr>
    </w:p>
    <w:p>
      <w:r>
        <w:br w:type="page"/>
      </w:r>
    </w:p>
    <w:p>
      <w:pPr>
        <w:spacing w:after="120" w:before="240"/>
      </w:pPr>
      <w:r>
        <w:rPr>
          <w:b/>
          <w:i w:val="0"/>
          <w:color w:val="1C3A36"/>
          <w:sz w:val="30"/>
        </w:rPr>
        <w:t>4  Research trail</w:t>
      </w:r>
    </w:p>
    <w:p>
      <w:pPr>
        <w:spacing w:after="100" w:before="0"/>
      </w:pPr>
      <w:r>
        <w:rPr>
          <w:b w:val="0"/>
          <w:i w:val="0"/>
          <w:color w:val="1C3A36"/>
          <w:sz w:val="19"/>
        </w:rPr>
        <w:t>The research was carried out on 2026-08-06 across four concentric rings — global, country, industry and company — with 23 recorded findings. Each finding below names the source and the date that source carries.</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094"/>
        <w:gridCol w:w="2275"/>
        <w:gridCol w:w="5846"/>
        <w:gridCol w:w="3053"/>
        <w:gridCol w:w="1267"/>
      </w:tblGrid>
      <w:tr>
        <w:tc>
          <w:tcPr>
            <w:tcW w:type="dxa" w:w="1094"/>
            <w:shd w:val="clear" w:color="auto" w:fill="EAF0EE"/>
          </w:tcPr>
          <w:p>
            <w:pPr>
              <w:spacing w:after="20"/>
            </w:pPr>
            <w:r>
              <w:rPr>
                <w:b/>
                <w:color w:val="1C3A36"/>
                <w:sz w:val="14"/>
              </w:rPr>
              <w:t>Ring</w:t>
            </w:r>
          </w:p>
        </w:tc>
        <w:tc>
          <w:tcPr>
            <w:tcW w:type="dxa" w:w="2275"/>
            <w:shd w:val="clear" w:color="auto" w:fill="EAF0EE"/>
          </w:tcPr>
          <w:p>
            <w:pPr>
              <w:spacing w:after="20"/>
            </w:pPr>
            <w:r>
              <w:rPr>
                <w:b/>
                <w:color w:val="1C3A36"/>
                <w:sz w:val="14"/>
              </w:rPr>
              <w:t>Topic</w:t>
            </w:r>
          </w:p>
        </w:tc>
        <w:tc>
          <w:tcPr>
            <w:tcW w:type="dxa" w:w="5846"/>
            <w:shd w:val="clear" w:color="auto" w:fill="EAF0EE"/>
          </w:tcPr>
          <w:p>
            <w:pPr>
              <w:spacing w:after="20"/>
            </w:pPr>
            <w:r>
              <w:rPr>
                <w:b/>
                <w:color w:val="1C3A36"/>
                <w:sz w:val="14"/>
              </w:rPr>
              <w:t>Finding</w:t>
            </w:r>
          </w:p>
        </w:tc>
        <w:tc>
          <w:tcPr>
            <w:tcW w:type="dxa" w:w="3053"/>
            <w:shd w:val="clear" w:color="auto" w:fill="EAF0EE"/>
          </w:tcPr>
          <w:p>
            <w:pPr>
              <w:spacing w:after="20"/>
            </w:pPr>
            <w:r>
              <w:rPr>
                <w:b/>
                <w:color w:val="1C3A36"/>
                <w:sz w:val="14"/>
              </w:rPr>
              <w:t>Source</w:t>
            </w:r>
          </w:p>
        </w:tc>
        <w:tc>
          <w:tcPr>
            <w:tcW w:type="dxa" w:w="1267"/>
            <w:shd w:val="clear" w:color="auto" w:fill="EAF0EE"/>
          </w:tcPr>
          <w:p>
            <w:pPr>
              <w:spacing w:after="20"/>
            </w:pPr>
            <w:r>
              <w:rPr>
                <w:b/>
                <w:color w:val="1C3A36"/>
                <w:sz w:val="14"/>
              </w:rPr>
              <w:t>Date</w:t>
            </w:r>
          </w:p>
        </w:tc>
      </w:tr>
      <w:tr>
        <w:tc>
          <w:tcPr>
            <w:tcW w:type="dxa" w:w="1094"/>
          </w:tcPr>
          <w:p>
            <w:pPr>
              <w:spacing w:after="20"/>
            </w:pPr>
            <w:r>
              <w:rPr>
                <w:color w:val="1C3A36"/>
                <w:sz w:val="14"/>
              </w:rPr>
              <w:t>Global</w:t>
            </w:r>
          </w:p>
        </w:tc>
        <w:tc>
          <w:tcPr>
            <w:tcW w:type="dxa" w:w="2275"/>
          </w:tcPr>
          <w:p>
            <w:pPr>
              <w:spacing w:after="20"/>
            </w:pPr>
            <w:r>
              <w:rPr>
                <w:color w:val="1C3A36"/>
                <w:sz w:val="14"/>
              </w:rPr>
              <w:t>rate cycle &amp; USD/FX regime</w:t>
            </w:r>
          </w:p>
        </w:tc>
        <w:tc>
          <w:tcPr>
            <w:tcW w:type="dxa" w:w="5846"/>
          </w:tcPr>
          <w:p>
            <w:pPr>
              <w:spacing w:after="20"/>
            </w:pPr>
            <w:r>
              <w:rPr>
                <w:color w:val="1C3A36"/>
                <w:sz w:val="14"/>
              </w:rPr>
              <w:t>Global easing cycle underway; Fed funds midpoint 3.63% (Jun-2026), which sets the backdrop against which Egypt's own 19.00% policy rate normalises</w:t>
            </w:r>
          </w:p>
        </w:tc>
        <w:tc>
          <w:tcPr>
            <w:tcW w:type="dxa" w:w="3053"/>
          </w:tcPr>
          <w:p>
            <w:pPr>
              <w:spacing w:after="20"/>
            </w:pPr>
            <w:r>
              <w:rPr>
                <w:color w:val="1C3A36"/>
                <w:sz w:val="14"/>
              </w:rPr>
              <w:t>US Federal Reserve, Federal Open Market Committee policy decisions and the published target range history</w:t>
            </w:r>
          </w:p>
        </w:tc>
        <w:tc>
          <w:tcPr>
            <w:tcW w:type="dxa" w:w="1267"/>
          </w:tcPr>
          <w:p>
            <w:pPr>
              <w:spacing w:after="20"/>
            </w:pPr>
            <w:r>
              <w:rPr>
                <w:color w:val="1C3A36"/>
                <w:sz w:val="14"/>
              </w:rPr>
              <w:t>2026-06-18</w:t>
            </w:r>
          </w:p>
        </w:tc>
      </w:tr>
      <w:tr>
        <w:tc>
          <w:tcPr>
            <w:tcW w:type="dxa" w:w="1094"/>
          </w:tcPr>
          <w:p>
            <w:pPr>
              <w:spacing w:after="20"/>
            </w:pPr>
            <w:r>
              <w:rPr>
                <w:color w:val="1C3A36"/>
                <w:sz w:val="14"/>
              </w:rPr>
              <w:t>Global</w:t>
            </w:r>
          </w:p>
        </w:tc>
        <w:tc>
          <w:tcPr>
            <w:tcW w:type="dxa" w:w="2275"/>
          </w:tcPr>
          <w:p>
            <w:pPr>
              <w:spacing w:after="20"/>
            </w:pPr>
            <w:r>
              <w:rPr>
                <w:color w:val="1C3A36"/>
                <w:sz w:val="14"/>
              </w:rPr>
              <w:t>commodity complex (input/output)</w:t>
            </w:r>
          </w:p>
        </w:tc>
        <w:tc>
          <w:tcPr>
            <w:tcW w:type="dxa" w:w="5846"/>
          </w:tcPr>
          <w:p>
            <w:pPr>
              <w:spacing w:after="20"/>
            </w:pPr>
            <w:r>
              <w:rPr>
                <w:color w:val="1C3A36"/>
                <w:sz w:val="14"/>
              </w:rPr>
              <w:t>Cement is an energy-conversion business: coal/petcoke and electricity are the dominant cash cost. Egypt's phased energy-subsidy reform keeps raising the local energy bill independent of the global fuel price</w:t>
            </w:r>
          </w:p>
        </w:tc>
        <w:tc>
          <w:tcPr>
            <w:tcW w:type="dxa" w:w="3053"/>
          </w:tcPr>
          <w:p>
            <w:pPr>
              <w:spacing w:after="20"/>
            </w:pPr>
            <w:r>
              <w:rPr>
                <w:color w:val="1C3A36"/>
                <w:sz w:val="14"/>
              </w:rPr>
              <w:t>Egypt Cement Industry Market Size &amp; Forecast Report 2020-2029 (production faces pressure from energy reform, currency volatility and raw-material management)</w:t>
            </w:r>
          </w:p>
        </w:tc>
        <w:tc>
          <w:tcPr>
            <w:tcW w:type="dxa" w:w="1267"/>
          </w:tcPr>
          <w:p>
            <w:pPr>
              <w:spacing w:after="20"/>
            </w:pPr>
            <w:r>
              <w:rPr>
                <w:color w:val="1C3A36"/>
                <w:sz w:val="14"/>
              </w:rPr>
              <w:t>2026-02-16</w:t>
            </w:r>
          </w:p>
        </w:tc>
      </w:tr>
      <w:tr>
        <w:tc>
          <w:tcPr>
            <w:tcW w:type="dxa" w:w="1094"/>
          </w:tcPr>
          <w:p>
            <w:pPr>
              <w:spacing w:after="20"/>
            </w:pPr>
            <w:r>
              <w:rPr>
                <w:color w:val="1C3A36"/>
                <w:sz w:val="14"/>
              </w:rPr>
              <w:t>Global</w:t>
            </w:r>
          </w:p>
        </w:tc>
        <w:tc>
          <w:tcPr>
            <w:tcW w:type="dxa" w:w="2275"/>
          </w:tcPr>
          <w:p>
            <w:pPr>
              <w:spacing w:after="20"/>
            </w:pPr>
            <w:r>
              <w:rPr>
                <w:color w:val="1C3A36"/>
                <w:sz w:val="14"/>
              </w:rPr>
              <w:t>global sector demand</w:t>
            </w:r>
          </w:p>
        </w:tc>
        <w:tc>
          <w:tcPr>
            <w:tcW w:type="dxa" w:w="5846"/>
          </w:tcPr>
          <w:p>
            <w:pPr>
              <w:spacing w:after="20"/>
            </w:pPr>
            <w:r>
              <w:rPr>
                <w:color w:val="1C3A36"/>
                <w:sz w:val="14"/>
              </w:rPr>
              <w:t>Cement is a non-traded-at-distance commodity — bulk sea freight limits the economic export radius, so global demand reaches SCEM only through the Mediterranean/East-African export basin, not through a world price</w:t>
            </w:r>
          </w:p>
        </w:tc>
        <w:tc>
          <w:tcPr>
            <w:tcW w:type="dxa" w:w="3053"/>
          </w:tcPr>
          <w:p>
            <w:pPr>
              <w:spacing w:after="20"/>
            </w:pPr>
            <w:r>
              <w:rPr>
                <w:color w:val="1C3A36"/>
                <w:sz w:val="14"/>
              </w:rPr>
              <w:t>Global Cement, Egypt country update</w:t>
            </w:r>
          </w:p>
        </w:tc>
        <w:tc>
          <w:tcPr>
            <w:tcW w:type="dxa" w:w="1267"/>
          </w:tcPr>
          <w:p>
            <w:pPr>
              <w:spacing w:after="20"/>
            </w:pPr>
            <w:r>
              <w:rPr>
                <w:color w:val="1C3A36"/>
                <w:sz w:val="14"/>
              </w:rPr>
              <w:t>2025-10-01</w:t>
            </w:r>
          </w:p>
        </w:tc>
      </w:tr>
      <w:tr>
        <w:tc>
          <w:tcPr>
            <w:tcW w:type="dxa" w:w="1094"/>
          </w:tcPr>
          <w:p>
            <w:pPr>
              <w:spacing w:after="20"/>
            </w:pPr>
            <w:r>
              <w:rPr>
                <w:color w:val="1C3A36"/>
                <w:sz w:val="14"/>
              </w:rPr>
              <w:t>Global</w:t>
            </w:r>
          </w:p>
        </w:tc>
        <w:tc>
          <w:tcPr>
            <w:tcW w:type="dxa" w:w="2275"/>
          </w:tcPr>
          <w:p>
            <w:pPr>
              <w:spacing w:after="20"/>
            </w:pPr>
            <w:r>
              <w:rPr>
                <w:color w:val="1C3A36"/>
                <w:sz w:val="14"/>
              </w:rPr>
              <w:t>trade / sanctions / supply chains</w:t>
            </w:r>
          </w:p>
        </w:tc>
        <w:tc>
          <w:tcPr>
            <w:tcW w:type="dxa" w:w="5846"/>
          </w:tcPr>
          <w:p>
            <w:pPr>
              <w:spacing w:after="20"/>
            </w:pPr>
            <w:r>
              <w:rPr>
                <w:color w:val="1C3A36"/>
                <w:sz w:val="14"/>
              </w:rPr>
              <w:t>Egyptian cement exports fell ~6% y/y to 18.5Mt in 2025, but the MIX inverted: finished-cement exports +66.6% to 12.5Mt while clinker exports fell ~38%</w:t>
            </w:r>
          </w:p>
        </w:tc>
        <w:tc>
          <w:tcPr>
            <w:tcW w:type="dxa" w:w="3053"/>
          </w:tcPr>
          <w:p>
            <w:pPr>
              <w:spacing w:after="20"/>
            </w:pPr>
            <w:r>
              <w:rPr>
                <w:color w:val="1C3A36"/>
                <w:sz w:val="14"/>
              </w:rPr>
              <w:t>Global Cement — Egyptian cement exports decline</w:t>
            </w:r>
          </w:p>
        </w:tc>
        <w:tc>
          <w:tcPr>
            <w:tcW w:type="dxa" w:w="1267"/>
          </w:tcPr>
          <w:p>
            <w:pPr>
              <w:spacing w:after="20"/>
            </w:pPr>
            <w:r>
              <w:rPr>
                <w:color w:val="1C3A36"/>
                <w:sz w:val="14"/>
              </w:rPr>
              <w:t>2026-01-01</w:t>
            </w:r>
          </w:p>
        </w:tc>
      </w:tr>
      <w:tr>
        <w:tc>
          <w:tcPr>
            <w:tcW w:type="dxa" w:w="1094"/>
          </w:tcPr>
          <w:p>
            <w:pPr>
              <w:spacing w:after="20"/>
            </w:pPr>
            <w:r>
              <w:rPr>
                <w:color w:val="1C3A36"/>
                <w:sz w:val="14"/>
              </w:rPr>
              <w:t>Country</w:t>
            </w:r>
          </w:p>
        </w:tc>
        <w:tc>
          <w:tcPr>
            <w:tcW w:type="dxa" w:w="2275"/>
          </w:tcPr>
          <w:p>
            <w:pPr>
              <w:spacing w:after="20"/>
            </w:pPr>
            <w:r>
              <w:rPr>
                <w:color w:val="1C3A36"/>
                <w:sz w:val="14"/>
              </w:rPr>
              <w:t>sovereign macro (inflation, policy rate, FX/deval risk)</w:t>
            </w:r>
          </w:p>
        </w:tc>
        <w:tc>
          <w:tcPr>
            <w:tcW w:type="dxa" w:w="5846"/>
          </w:tcPr>
          <w:p>
            <w:pPr>
              <w:spacing w:after="20"/>
            </w:pPr>
            <w:r>
              <w:rPr>
                <w:color w:val="1C3A36"/>
                <w:sz w:val="14"/>
              </w:rPr>
              <w:t>CBE main operation rate 19.50%, held since 2 Apr 2026. Headline inflation eased to 14.6% in May-2026 (core 13.8%); CBE's own Q4-2026 target is 7% (+/-2pp) and it expects the target to be missed on average in Q4-2026 before declining from Q1-2027</w:t>
            </w:r>
          </w:p>
        </w:tc>
        <w:tc>
          <w:tcPr>
            <w:tcW w:type="dxa" w:w="3053"/>
          </w:tcPr>
          <w:p>
            <w:pPr>
              <w:spacing w:after="20"/>
            </w:pPr>
            <w:r>
              <w:rPr>
                <w:color w:val="1C3A36"/>
                <w:sz w:val="14"/>
              </w:rPr>
              <w:t>Central Bank of Egypt — policy rate and Monetary Policy Report Q1-2026; CPI release</w:t>
            </w:r>
          </w:p>
        </w:tc>
        <w:tc>
          <w:tcPr>
            <w:tcW w:type="dxa" w:w="1267"/>
          </w:tcPr>
          <w:p>
            <w:pPr>
              <w:spacing w:after="20"/>
            </w:pPr>
            <w:r>
              <w:rPr>
                <w:color w:val="1C3A36"/>
                <w:sz w:val="14"/>
              </w:rPr>
              <w:t>2026-06-10</w:t>
            </w:r>
          </w:p>
        </w:tc>
      </w:tr>
      <w:tr>
        <w:tc>
          <w:tcPr>
            <w:tcW w:type="dxa" w:w="1094"/>
          </w:tcPr>
          <w:p>
            <w:pPr>
              <w:spacing w:after="20"/>
            </w:pPr>
            <w:r>
              <w:rPr>
                <w:color w:val="1C3A36"/>
                <w:sz w:val="14"/>
              </w:rPr>
              <w:t>Country</w:t>
            </w:r>
          </w:p>
        </w:tc>
        <w:tc>
          <w:tcPr>
            <w:tcW w:type="dxa" w:w="2275"/>
          </w:tcPr>
          <w:p>
            <w:pPr>
              <w:spacing w:after="20"/>
            </w:pPr>
            <w:r>
              <w:rPr>
                <w:color w:val="1C3A36"/>
                <w:sz w:val="14"/>
              </w:rPr>
              <w:t>sovereign macro (inflation, policy rate, FX/deval risk)</w:t>
            </w:r>
          </w:p>
        </w:tc>
        <w:tc>
          <w:tcPr>
            <w:tcW w:type="dxa" w:w="5846"/>
          </w:tcPr>
          <w:p>
            <w:pPr>
              <w:spacing w:after="20"/>
            </w:pPr>
            <w:r>
              <w:rPr>
                <w:color w:val="1C3A36"/>
                <w:sz w:val="14"/>
              </w:rPr>
              <w:t>Egypt 5-year CDS ~330bp (May-2026), materially tighter than the 2024 crisis peak</w:t>
            </w:r>
          </w:p>
        </w:tc>
        <w:tc>
          <w:tcPr>
            <w:tcW w:type="dxa" w:w="3053"/>
          </w:tcPr>
          <w:p>
            <w:pPr>
              <w:spacing w:after="20"/>
            </w:pPr>
            <w:r>
              <w:rPr>
                <w:color w:val="1C3A36"/>
                <w:sz w:val="14"/>
              </w:rPr>
              <w:t>Egypt 5Y CDS series</w:t>
            </w:r>
          </w:p>
        </w:tc>
        <w:tc>
          <w:tcPr>
            <w:tcW w:type="dxa" w:w="1267"/>
          </w:tcPr>
          <w:p>
            <w:pPr>
              <w:spacing w:after="20"/>
            </w:pPr>
            <w:r>
              <w:rPr>
                <w:color w:val="1C3A36"/>
                <w:sz w:val="14"/>
              </w:rPr>
              <w:t>2026-05-31</w:t>
            </w:r>
          </w:p>
        </w:tc>
      </w:tr>
      <w:tr>
        <w:tc>
          <w:tcPr>
            <w:tcW w:type="dxa" w:w="1094"/>
          </w:tcPr>
          <w:p>
            <w:pPr>
              <w:spacing w:after="20"/>
            </w:pPr>
            <w:r>
              <w:rPr>
                <w:color w:val="1C3A36"/>
                <w:sz w:val="14"/>
              </w:rPr>
              <w:t>Country</w:t>
            </w:r>
          </w:p>
        </w:tc>
        <w:tc>
          <w:tcPr>
            <w:tcW w:type="dxa" w:w="2275"/>
          </w:tcPr>
          <w:p>
            <w:pPr>
              <w:spacing w:after="20"/>
            </w:pPr>
            <w:r>
              <w:rPr>
                <w:color w:val="1C3A36"/>
                <w:sz w:val="14"/>
              </w:rPr>
              <w:t>regulatory environment (regulator, caps, tariffs, tax/subsidy)</w:t>
            </w:r>
          </w:p>
        </w:tc>
        <w:tc>
          <w:tcPr>
            <w:tcW w:type="dxa" w:w="5846"/>
          </w:tcPr>
          <w:p>
            <w:pPr>
              <w:spacing w:after="20"/>
            </w:pPr>
            <w:r>
              <w:rPr>
                <w:color w:val="1C3A36"/>
                <w:sz w:val="14"/>
              </w:rPr>
              <w:t>The Egyptian Competition Authority PERMANENTLY lifted cement production quotas in July 2025 (suspended from May 2025). The quota regime had capped output since 2021</w:t>
            </w:r>
          </w:p>
        </w:tc>
        <w:tc>
          <w:tcPr>
            <w:tcW w:type="dxa" w:w="3053"/>
          </w:tcPr>
          <w:p>
            <w:pPr>
              <w:spacing w:after="20"/>
            </w:pPr>
            <w:r>
              <w:rPr>
                <w:color w:val="1C3A36"/>
                <w:sz w:val="14"/>
              </w:rPr>
              <w:t>Egyptian Competition Authority, reported via EnterpriseAM / Global Cement</w:t>
            </w:r>
          </w:p>
        </w:tc>
        <w:tc>
          <w:tcPr>
            <w:tcW w:type="dxa" w:w="1267"/>
          </w:tcPr>
          <w:p>
            <w:pPr>
              <w:spacing w:after="20"/>
            </w:pPr>
            <w:r>
              <w:rPr>
                <w:color w:val="1C3A36"/>
                <w:sz w:val="14"/>
              </w:rPr>
              <w:t>2025-07-01</w:t>
            </w:r>
          </w:p>
        </w:tc>
      </w:tr>
      <w:tr>
        <w:tc>
          <w:tcPr>
            <w:tcW w:type="dxa" w:w="1094"/>
          </w:tcPr>
          <w:p>
            <w:pPr>
              <w:spacing w:after="20"/>
            </w:pPr>
            <w:r>
              <w:rPr>
                <w:color w:val="1C3A36"/>
                <w:sz w:val="14"/>
              </w:rPr>
              <w:t>Country</w:t>
            </w:r>
          </w:p>
        </w:tc>
        <w:tc>
          <w:tcPr>
            <w:tcW w:type="dxa" w:w="2275"/>
          </w:tcPr>
          <w:p>
            <w:pPr>
              <w:spacing w:after="20"/>
            </w:pPr>
            <w:r>
              <w:rPr>
                <w:color w:val="1C3A36"/>
                <w:sz w:val="14"/>
              </w:rPr>
              <w:t>regulatory environment (regulator, caps, tariffs, tax/subsidy)</w:t>
            </w:r>
          </w:p>
        </w:tc>
        <w:tc>
          <w:tcPr>
            <w:tcW w:type="dxa" w:w="5846"/>
          </w:tcPr>
          <w:p>
            <w:pPr>
              <w:spacing w:after="20"/>
            </w:pPr>
            <w:r>
              <w:rPr>
                <w:color w:val="1C3A36"/>
                <w:sz w:val="14"/>
              </w:rPr>
              <w:t>Egypt corporate income tax 22.5%, unchanged</w:t>
            </w:r>
          </w:p>
        </w:tc>
        <w:tc>
          <w:tcPr>
            <w:tcW w:type="dxa" w:w="3053"/>
          </w:tcPr>
          <w:p>
            <w:pPr>
              <w:spacing w:after="20"/>
            </w:pPr>
            <w:r>
              <w:rPr>
                <w:color w:val="1C3A36"/>
                <w:sz w:val="14"/>
              </w:rPr>
              <w:t>PwC Worldwide Tax Summaries (house Cost-of-Capital reference)</w:t>
            </w:r>
          </w:p>
        </w:tc>
        <w:tc>
          <w:tcPr>
            <w:tcW w:type="dxa" w:w="1267"/>
          </w:tcPr>
          <w:p>
            <w:pPr>
              <w:spacing w:after="20"/>
            </w:pPr>
            <w:r>
              <w:rPr>
                <w:color w:val="1C3A36"/>
                <w:sz w:val="14"/>
              </w:rPr>
              <w:t>2026-01-01</w:t>
            </w:r>
          </w:p>
        </w:tc>
      </w:tr>
      <w:tr>
        <w:tc>
          <w:tcPr>
            <w:tcW w:type="dxa" w:w="1094"/>
          </w:tcPr>
          <w:p>
            <w:pPr>
              <w:spacing w:after="20"/>
            </w:pPr>
            <w:r>
              <w:rPr>
                <w:color w:val="1C3A36"/>
                <w:sz w:val="14"/>
              </w:rPr>
              <w:t>Country</w:t>
            </w:r>
          </w:p>
        </w:tc>
        <w:tc>
          <w:tcPr>
            <w:tcW w:type="dxa" w:w="2275"/>
          </w:tcPr>
          <w:p>
            <w:pPr>
              <w:spacing w:after="20"/>
            </w:pPr>
            <w:r>
              <w:rPr>
                <w:color w:val="1C3A36"/>
                <w:sz w:val="14"/>
              </w:rPr>
              <w:t>fiscal / political events with sector read-through</w:t>
            </w:r>
          </w:p>
        </w:tc>
        <w:tc>
          <w:tcPr>
            <w:tcW w:type="dxa" w:w="5846"/>
          </w:tcPr>
          <w:p>
            <w:pPr>
              <w:spacing w:after="20"/>
            </w:pPr>
            <w:r>
              <w:rPr>
                <w:color w:val="1C3A36"/>
                <w:sz w:val="14"/>
              </w:rPr>
              <w:t>State-led housing, industrial and transport programmes are the marginal buyer of Egyptian cement; domestic consumption rose 13.4% to 54Mt in 2025 on that programme</w:t>
            </w:r>
          </w:p>
        </w:tc>
        <w:tc>
          <w:tcPr>
            <w:tcW w:type="dxa" w:w="3053"/>
          </w:tcPr>
          <w:p>
            <w:pPr>
              <w:spacing w:after="20"/>
            </w:pPr>
            <w:r>
              <w:rPr>
                <w:color w:val="1C3A36"/>
                <w:sz w:val="14"/>
              </w:rPr>
              <w:t>Global Cement — Update on Egypt</w:t>
            </w:r>
          </w:p>
        </w:tc>
        <w:tc>
          <w:tcPr>
            <w:tcW w:type="dxa" w:w="1267"/>
          </w:tcPr>
          <w:p>
            <w:pPr>
              <w:spacing w:after="20"/>
            </w:pPr>
            <w:r>
              <w:rPr>
                <w:color w:val="1C3A36"/>
                <w:sz w:val="14"/>
              </w:rPr>
              <w:t>2025-10-01</w:t>
            </w:r>
          </w:p>
        </w:tc>
      </w:tr>
      <w:tr>
        <w:tc>
          <w:tcPr>
            <w:tcW w:type="dxa" w:w="1094"/>
          </w:tcPr>
          <w:p>
            <w:pPr>
              <w:spacing w:after="20"/>
            </w:pPr>
            <w:r>
              <w:rPr>
                <w:color w:val="1C3A36"/>
                <w:sz w:val="14"/>
              </w:rPr>
              <w:t>Industry</w:t>
            </w:r>
          </w:p>
        </w:tc>
        <w:tc>
          <w:tcPr>
            <w:tcW w:type="dxa" w:w="2275"/>
          </w:tcPr>
          <w:p>
            <w:pPr>
              <w:spacing w:after="20"/>
            </w:pPr>
            <w:r>
              <w:rPr>
                <w:color w:val="1C3A36"/>
                <w:sz w:val="14"/>
              </w:rPr>
              <w:t>demand drivers &amp; capacity/supply balance</w:t>
            </w:r>
          </w:p>
        </w:tc>
        <w:tc>
          <w:tcPr>
            <w:tcW w:type="dxa" w:w="5846"/>
          </w:tcPr>
          <w:p>
            <w:pPr>
              <w:spacing w:after="20"/>
            </w:pPr>
            <w:r>
              <w:rPr>
                <w:color w:val="1C3A36"/>
                <w:sz w:val="14"/>
              </w:rPr>
              <w:t>2025 was the first year since 2008 that Egypt's cement supply-demand gap closed: domestic consumption 54Mt (+13.4% from 47.6Mt), production ~65Mt (+18% from 55Mt), operating utilisation ~98% against a nameplate 76Mt/yr across 46 lines</w:t>
            </w:r>
          </w:p>
        </w:tc>
        <w:tc>
          <w:tcPr>
            <w:tcW w:type="dxa" w:w="3053"/>
          </w:tcPr>
          <w:p>
            <w:pPr>
              <w:spacing w:after="20"/>
            </w:pPr>
            <w:r>
              <w:rPr>
                <w:color w:val="1C3A36"/>
                <w:sz w:val="14"/>
              </w:rPr>
              <w:t>Global Cement / cemnet (International Cement Review) — Egypt 2025 production</w:t>
            </w:r>
          </w:p>
        </w:tc>
        <w:tc>
          <w:tcPr>
            <w:tcW w:type="dxa" w:w="1267"/>
          </w:tcPr>
          <w:p>
            <w:pPr>
              <w:spacing w:after="20"/>
            </w:pPr>
            <w:r>
              <w:rPr>
                <w:color w:val="1C3A36"/>
                <w:sz w:val="14"/>
              </w:rPr>
              <w:t>2026-01-01</w:t>
            </w:r>
          </w:p>
        </w:tc>
      </w:tr>
      <w:tr>
        <w:tc>
          <w:tcPr>
            <w:tcW w:type="dxa" w:w="1094"/>
          </w:tcPr>
          <w:p>
            <w:pPr>
              <w:spacing w:after="20"/>
            </w:pPr>
            <w:r>
              <w:rPr>
                <w:color w:val="1C3A36"/>
                <w:sz w:val="14"/>
              </w:rPr>
              <w:t>Industry</w:t>
            </w:r>
          </w:p>
        </w:tc>
        <w:tc>
          <w:tcPr>
            <w:tcW w:type="dxa" w:w="2275"/>
          </w:tcPr>
          <w:p>
            <w:pPr>
              <w:spacing w:after="20"/>
            </w:pPr>
            <w:r>
              <w:rPr>
                <w:color w:val="1C3A36"/>
                <w:sz w:val="14"/>
              </w:rPr>
              <w:t>new entrants (named-competitor level)</w:t>
            </w:r>
          </w:p>
        </w:tc>
        <w:tc>
          <w:tcPr>
            <w:tcW w:type="dxa" w:w="5846"/>
          </w:tcPr>
          <w:p>
            <w:pPr>
              <w:spacing w:after="20"/>
            </w:pPr>
            <w:r>
              <w:rPr>
                <w:color w:val="1C3A36"/>
                <w:sz w:val="14"/>
              </w:rPr>
              <w:t>Seven to nine dormant production lines are under study for revival, potentially adding 12.6Mt of supply from 2H 2026 -- ~23% of 2025 domestic consumption, landing INSIDE the explicit forecast window</w:t>
            </w:r>
          </w:p>
        </w:tc>
        <w:tc>
          <w:tcPr>
            <w:tcW w:type="dxa" w:w="3053"/>
          </w:tcPr>
          <w:p>
            <w:pPr>
              <w:spacing w:after="20"/>
            </w:pPr>
            <w:r>
              <w:rPr>
                <w:color w:val="1C3A36"/>
                <w:sz w:val="14"/>
              </w:rPr>
              <w:t>Global Cement — Update on Egypt</w:t>
            </w:r>
          </w:p>
        </w:tc>
        <w:tc>
          <w:tcPr>
            <w:tcW w:type="dxa" w:w="1267"/>
          </w:tcPr>
          <w:p>
            <w:pPr>
              <w:spacing w:after="20"/>
            </w:pPr>
            <w:r>
              <w:rPr>
                <w:color w:val="1C3A36"/>
                <w:sz w:val="14"/>
              </w:rPr>
              <w:t>2025-10-01</w:t>
            </w:r>
          </w:p>
        </w:tc>
      </w:tr>
      <w:tr>
        <w:tc>
          <w:tcPr>
            <w:tcW w:type="dxa" w:w="1094"/>
          </w:tcPr>
          <w:p>
            <w:pPr>
              <w:spacing w:after="20"/>
            </w:pPr>
            <w:r>
              <w:rPr>
                <w:color w:val="1C3A36"/>
                <w:sz w:val="14"/>
              </w:rPr>
              <w:t>Industry</w:t>
            </w:r>
          </w:p>
        </w:tc>
        <w:tc>
          <w:tcPr>
            <w:tcW w:type="dxa" w:w="2275"/>
          </w:tcPr>
          <w:p>
            <w:pPr>
              <w:spacing w:after="20"/>
            </w:pPr>
            <w:r>
              <w:rPr>
                <w:color w:val="1C3A36"/>
                <w:sz w:val="14"/>
              </w:rPr>
              <w:t>pricing</w:t>
            </w:r>
          </w:p>
        </w:tc>
        <w:tc>
          <w:tcPr>
            <w:tcW w:type="dxa" w:w="5846"/>
          </w:tcPr>
          <w:p>
            <w:pPr>
              <w:spacing w:after="20"/>
            </w:pPr>
            <w:r>
              <w:rPr>
                <w:color w:val="1C3A36"/>
                <w:sz w:val="14"/>
              </w:rPr>
              <w:t>Egyptian cement prices roughly doubled to ~USD 81/t (EGP 3.9k) in 2025 from ~USD 50/t (EGP 2.1k) a year earlier, then are estimated to normalise to EGP 3,600-3,620/t in 2026e on ~1% higher demand and higher costs</w:t>
            </w:r>
          </w:p>
        </w:tc>
        <w:tc>
          <w:tcPr>
            <w:tcW w:type="dxa" w:w="3053"/>
          </w:tcPr>
          <w:p>
            <w:pPr>
              <w:spacing w:after="20"/>
            </w:pPr>
            <w:r>
              <w:rPr>
                <w:color w:val="1C3A36"/>
                <w:sz w:val="14"/>
              </w:rPr>
              <w:t>EnterpriseAM Egypt — how Egypt's cement industry fared in 2025 and what's next</w:t>
            </w:r>
          </w:p>
        </w:tc>
        <w:tc>
          <w:tcPr>
            <w:tcW w:type="dxa" w:w="1267"/>
          </w:tcPr>
          <w:p>
            <w:pPr>
              <w:spacing w:after="20"/>
            </w:pPr>
            <w:r>
              <w:rPr>
                <w:color w:val="1C3A36"/>
                <w:sz w:val="14"/>
              </w:rPr>
              <w:t>2026-01-01</w:t>
            </w:r>
          </w:p>
        </w:tc>
      </w:tr>
      <w:tr>
        <w:tc>
          <w:tcPr>
            <w:tcW w:type="dxa" w:w="1094"/>
          </w:tcPr>
          <w:p>
            <w:pPr>
              <w:spacing w:after="20"/>
            </w:pPr>
            <w:r>
              <w:rPr>
                <w:color w:val="1C3A36"/>
                <w:sz w:val="14"/>
              </w:rPr>
              <w:t>Industry</w:t>
            </w:r>
          </w:p>
        </w:tc>
        <w:tc>
          <w:tcPr>
            <w:tcW w:type="dxa" w:w="2275"/>
          </w:tcPr>
          <w:p>
            <w:pPr>
              <w:spacing w:after="20"/>
            </w:pPr>
            <w:r>
              <w:rPr>
                <w:color w:val="1C3A36"/>
                <w:sz w:val="14"/>
              </w:rPr>
              <w:t>technology substitution</w:t>
            </w:r>
          </w:p>
        </w:tc>
        <w:tc>
          <w:tcPr>
            <w:tcW w:type="dxa" w:w="5846"/>
          </w:tcPr>
          <w:p>
            <w:pPr>
              <w:spacing w:after="20"/>
            </w:pPr>
            <w:r>
              <w:rPr>
                <w:color w:val="1C3A36"/>
                <w:sz w:val="14"/>
              </w:rPr>
              <w:t>No material substitution threat to Portland cement in Egyptian construction over the forecast horizon; the live technology question is decarbonisation capex (alternative fuels, clinker factor), which is a cost/capex item rather than a demand substitution</w:t>
            </w:r>
          </w:p>
        </w:tc>
        <w:tc>
          <w:tcPr>
            <w:tcW w:type="dxa" w:w="3053"/>
          </w:tcPr>
          <w:p>
            <w:pPr>
              <w:spacing w:after="20"/>
            </w:pPr>
            <w:r>
              <w:rPr>
                <w:color w:val="1C3A36"/>
                <w:sz w:val="14"/>
              </w:rPr>
              <w:t>Global Cement sector coverage</w:t>
            </w:r>
          </w:p>
        </w:tc>
        <w:tc>
          <w:tcPr>
            <w:tcW w:type="dxa" w:w="1267"/>
          </w:tcPr>
          <w:p>
            <w:pPr>
              <w:spacing w:after="20"/>
            </w:pPr>
            <w:r>
              <w:rPr>
                <w:color w:val="1C3A36"/>
                <w:sz w:val="14"/>
              </w:rPr>
              <w:t>2025-10-01</w:t>
            </w:r>
          </w:p>
        </w:tc>
      </w:tr>
      <w:tr>
        <w:tc>
          <w:tcPr>
            <w:tcW w:type="dxa" w:w="1094"/>
          </w:tcPr>
          <w:p>
            <w:pPr>
              <w:spacing w:after="20"/>
            </w:pPr>
            <w:r>
              <w:rPr>
                <w:color w:val="1C3A36"/>
                <w:sz w:val="14"/>
              </w:rPr>
              <w:t>Industry</w:t>
            </w:r>
          </w:p>
        </w:tc>
        <w:tc>
          <w:tcPr>
            <w:tcW w:type="dxa" w:w="2275"/>
          </w:tcPr>
          <w:p>
            <w:pPr>
              <w:spacing w:after="20"/>
            </w:pPr>
            <w:r>
              <w:rPr>
                <w:color w:val="1C3A36"/>
                <w:sz w:val="14"/>
              </w:rPr>
              <w:t>competitor capacity / price moves (named)</w:t>
            </w:r>
          </w:p>
        </w:tc>
        <w:tc>
          <w:tcPr>
            <w:tcW w:type="dxa" w:w="5846"/>
          </w:tcPr>
          <w:p>
            <w:pPr>
              <w:spacing w:after="20"/>
            </w:pPr>
            <w:r>
              <w:rPr>
                <w:color w:val="1C3A36"/>
                <w:sz w:val="14"/>
              </w:rPr>
              <w:t>Named listed EGX peers all posted the same 2025 step-change: Misr Beni Suef (MBSC) attributable profit +373.7% to EGP 3.946bn on sales of EGP 5.700bn, EPS EGP 61.25, trailing P/E 6.44 and EV/EBITDA 5.03 on a EGP 13.73bn market cap; Arabian Cement (ARCC) FY2025 consolidated profit ~EGP 3.6bn (H1-2025 alone +305.5% to EGP 1.405bn)</w:t>
            </w:r>
          </w:p>
        </w:tc>
        <w:tc>
          <w:tcPr>
            <w:tcW w:type="dxa" w:w="3053"/>
          </w:tcPr>
          <w:p>
            <w:pPr>
              <w:spacing w:after="20"/>
            </w:pPr>
            <w:r>
              <w:rPr>
                <w:color w:val="1C3A36"/>
                <w:sz w:val="14"/>
              </w:rPr>
              <w:t>Arab Finance / EGX filings for MBSC and ARCC</w:t>
            </w:r>
          </w:p>
        </w:tc>
        <w:tc>
          <w:tcPr>
            <w:tcW w:type="dxa" w:w="1267"/>
          </w:tcPr>
          <w:p>
            <w:pPr>
              <w:spacing w:after="20"/>
            </w:pPr>
            <w:r>
              <w:rPr>
                <w:color w:val="1C3A36"/>
                <w:sz w:val="14"/>
              </w:rPr>
              <w:t>2026-03-01</w:t>
            </w:r>
          </w:p>
        </w:tc>
      </w:tr>
      <w:tr>
        <w:tc>
          <w:tcPr>
            <w:tcW w:type="dxa" w:w="1094"/>
          </w:tcPr>
          <w:p>
            <w:pPr>
              <w:spacing w:after="20"/>
            </w:pPr>
            <w:r>
              <w:rPr>
                <w:color w:val="1C3A36"/>
                <w:sz w:val="14"/>
              </w:rPr>
              <w:t>Company</w:t>
            </w:r>
          </w:p>
        </w:tc>
        <w:tc>
          <w:tcPr>
            <w:tcW w:type="dxa" w:w="2275"/>
          </w:tcPr>
          <w:p>
            <w:pPr>
              <w:spacing w:after="20"/>
            </w:pPr>
            <w:r>
              <w:rPr>
                <w:color w:val="1C3A36"/>
                <w:sz w:val="14"/>
              </w:rPr>
              <w:t>one-off base-resetting transactions</w:t>
            </w:r>
          </w:p>
        </w:tc>
        <w:tc>
          <w:tcPr>
            <w:tcW w:type="dxa" w:w="5846"/>
          </w:tcPr>
          <w:p>
            <w:pPr>
              <w:spacing w:after="20"/>
            </w:pPr>
            <w:r>
              <w:rPr>
                <w:color w:val="1C3A36"/>
                <w:sz w:val="14"/>
              </w:rPr>
              <w:t>SCEM sold its 25.40% stake in Sinai White Portland Cement to Aalborg Portland Holding (Cementir) for EUR 30m; completed 13 Aug 2024, taking Cementir to 96.5% of SWCC</w:t>
            </w:r>
          </w:p>
        </w:tc>
        <w:tc>
          <w:tcPr>
            <w:tcW w:type="dxa" w:w="3053"/>
          </w:tcPr>
          <w:p>
            <w:pPr>
              <w:spacing w:after="20"/>
            </w:pPr>
            <w:r>
              <w:rPr>
                <w:color w:val="1C3A36"/>
                <w:sz w:val="14"/>
              </w:rPr>
              <w:t>Cementir Holding N.V. corporate announcement; cemnet/ICR</w:t>
            </w:r>
          </w:p>
        </w:tc>
        <w:tc>
          <w:tcPr>
            <w:tcW w:type="dxa" w:w="1267"/>
          </w:tcPr>
          <w:p>
            <w:pPr>
              <w:spacing w:after="20"/>
            </w:pPr>
            <w:r>
              <w:rPr>
                <w:color w:val="1C3A36"/>
                <w:sz w:val="14"/>
              </w:rPr>
              <w:t>2024-08-13</w:t>
            </w:r>
          </w:p>
        </w:tc>
      </w:tr>
      <w:tr>
        <w:tc>
          <w:tcPr>
            <w:tcW w:type="dxa" w:w="1094"/>
          </w:tcPr>
          <w:p>
            <w:pPr>
              <w:spacing w:after="20"/>
            </w:pPr>
            <w:r>
              <w:rPr>
                <w:color w:val="1C3A36"/>
                <w:sz w:val="14"/>
              </w:rPr>
              <w:t>Company</w:t>
            </w:r>
          </w:p>
        </w:tc>
        <w:tc>
          <w:tcPr>
            <w:tcW w:type="dxa" w:w="2275"/>
          </w:tcPr>
          <w:p>
            <w:pPr>
              <w:spacing w:after="20"/>
            </w:pPr>
            <w:r>
              <w:rPr>
                <w:color w:val="1C3A36"/>
                <w:sz w:val="14"/>
              </w:rPr>
              <w:t>ownership / stake changes (named-transaction rule)</w:t>
            </w:r>
          </w:p>
        </w:tc>
        <w:tc>
          <w:tcPr>
            <w:tcW w:type="dxa" w:w="5846"/>
          </w:tcPr>
          <w:p>
            <w:pPr>
              <w:spacing w:after="20"/>
            </w:pPr>
            <w:r>
              <w:rPr>
                <w:color w:val="1C3A36"/>
                <w:sz w:val="14"/>
              </w:rPr>
              <w:t>Vicat, via Vicat Egypt Cement Industries, holds 77.6%; in Jul-2025 it filed a mandatory tender offer for the remaining 58,416,664 shares (22.4%) at EGP 41.00/share</w:t>
            </w:r>
          </w:p>
        </w:tc>
        <w:tc>
          <w:tcPr>
            <w:tcW w:type="dxa" w:w="3053"/>
          </w:tcPr>
          <w:p>
            <w:pPr>
              <w:spacing w:after="20"/>
            </w:pPr>
            <w:r>
              <w:rPr>
                <w:color w:val="1C3A36"/>
                <w:sz w:val="14"/>
              </w:rPr>
              <w:t>FRA filing reported via Reuters/TradingView; Vicat H1-2025 results</w:t>
            </w:r>
          </w:p>
        </w:tc>
        <w:tc>
          <w:tcPr>
            <w:tcW w:type="dxa" w:w="1267"/>
          </w:tcPr>
          <w:p>
            <w:pPr>
              <w:spacing w:after="20"/>
            </w:pPr>
            <w:r>
              <w:rPr>
                <w:color w:val="1C3A36"/>
                <w:sz w:val="14"/>
              </w:rPr>
              <w:t>2025-07-28</w:t>
            </w:r>
          </w:p>
        </w:tc>
      </w:tr>
      <w:tr>
        <w:tc>
          <w:tcPr>
            <w:tcW w:type="dxa" w:w="1094"/>
          </w:tcPr>
          <w:p>
            <w:pPr>
              <w:spacing w:after="20"/>
            </w:pPr>
            <w:r>
              <w:rPr>
                <w:color w:val="1C3A36"/>
                <w:sz w:val="14"/>
              </w:rPr>
              <w:t>Company</w:t>
            </w:r>
          </w:p>
        </w:tc>
        <w:tc>
          <w:tcPr>
            <w:tcW w:type="dxa" w:w="2275"/>
          </w:tcPr>
          <w:p>
            <w:pPr>
              <w:spacing w:after="20"/>
            </w:pPr>
            <w:r>
              <w:rPr>
                <w:color w:val="1C3A36"/>
                <w:sz w:val="14"/>
              </w:rPr>
              <w:t>management &amp; capital actions</w:t>
            </w:r>
          </w:p>
        </w:tc>
        <w:tc>
          <w:tcPr>
            <w:tcW w:type="dxa" w:w="5846"/>
          </w:tcPr>
          <w:p>
            <w:pPr>
              <w:spacing w:after="20"/>
            </w:pPr>
            <w:r>
              <w:rPr>
                <w:color w:val="1C3A36"/>
                <w:sz w:val="14"/>
              </w:rPr>
              <w:t>Feb-2024 EGM raised authorised capital to EGP 10bn and issued capital by EGP 1.68bn; 168.20m shares offered, 75.95% (127.74m) taken up by senior shareholders in phase 1. Issued capital now EGP 2,608,124,770 at EGP 10 par = 260,812,477 shares</w:t>
            </w:r>
          </w:p>
        </w:tc>
        <w:tc>
          <w:tcPr>
            <w:tcW w:type="dxa" w:w="3053"/>
          </w:tcPr>
          <w:p>
            <w:pPr>
              <w:spacing w:after="20"/>
            </w:pPr>
            <w:r>
              <w:rPr>
                <w:color w:val="1C3A36"/>
                <w:sz w:val="14"/>
              </w:rPr>
              <w:t>Sinai Cement EGM resolutions and capital-increase announcements via EGX</w:t>
            </w:r>
          </w:p>
        </w:tc>
        <w:tc>
          <w:tcPr>
            <w:tcW w:type="dxa" w:w="1267"/>
          </w:tcPr>
          <w:p>
            <w:pPr>
              <w:spacing w:after="20"/>
            </w:pPr>
            <w:r>
              <w:rPr>
                <w:color w:val="1C3A36"/>
                <w:sz w:val="14"/>
              </w:rPr>
              <w:t>2024-07-01</w:t>
            </w:r>
          </w:p>
        </w:tc>
      </w:tr>
      <w:tr>
        <w:tc>
          <w:tcPr>
            <w:tcW w:type="dxa" w:w="1094"/>
          </w:tcPr>
          <w:p>
            <w:pPr>
              <w:spacing w:after="20"/>
            </w:pPr>
            <w:r>
              <w:rPr>
                <w:color w:val="1C3A36"/>
                <w:sz w:val="14"/>
              </w:rPr>
              <w:t>Company</w:t>
            </w:r>
          </w:p>
        </w:tc>
        <w:tc>
          <w:tcPr>
            <w:tcW w:type="dxa" w:w="2275"/>
          </w:tcPr>
          <w:p>
            <w:pPr>
              <w:spacing w:after="20"/>
            </w:pPr>
            <w:r>
              <w:rPr>
                <w:color w:val="1C3A36"/>
                <w:sz w:val="14"/>
              </w:rPr>
              <w:t>official financial statements</w:t>
            </w:r>
          </w:p>
        </w:tc>
        <w:tc>
          <w:tcPr>
            <w:tcW w:type="dxa" w:w="5846"/>
          </w:tcPr>
          <w:p>
            <w:pPr>
              <w:spacing w:after="20"/>
            </w:pPr>
            <w:r>
              <w:rPr>
                <w:color w:val="1C3A36"/>
                <w:sz w:val="14"/>
              </w:rPr>
              <w:t>FY2023-FY2025 consolidated: revenue EGP 4.28bn / 6.42bn / 9.09bn; net profit after tax EGP -121.4m / +3,070m / +2,290m; FY2024 EPS attributable EGP 23.13 (FY2023 -0.88 restated); 9M-2025 net profit EGP 1.53bn</w:t>
            </w:r>
          </w:p>
        </w:tc>
        <w:tc>
          <w:tcPr>
            <w:tcW w:type="dxa" w:w="3053"/>
          </w:tcPr>
          <w:p>
            <w:pPr>
              <w:spacing w:after="20"/>
            </w:pPr>
            <w:r>
              <w:rPr>
                <w:color w:val="1C3A36"/>
                <w:sz w:val="14"/>
              </w:rPr>
              <w:t>EGX filings reported by Global Cement, cemnet/ICR, Daily News Egypt and Arab Finance</w:t>
            </w:r>
          </w:p>
        </w:tc>
        <w:tc>
          <w:tcPr>
            <w:tcW w:type="dxa" w:w="1267"/>
          </w:tcPr>
          <w:p>
            <w:pPr>
              <w:spacing w:after="20"/>
            </w:pPr>
            <w:r>
              <w:rPr>
                <w:color w:val="1C3A36"/>
                <w:sz w:val="14"/>
              </w:rPr>
              <w:t>2026-03-10</w:t>
            </w:r>
          </w:p>
        </w:tc>
      </w:tr>
      <w:tr>
        <w:tc>
          <w:tcPr>
            <w:tcW w:type="dxa" w:w="1094"/>
          </w:tcPr>
          <w:p>
            <w:pPr>
              <w:spacing w:after="20"/>
            </w:pPr>
            <w:r>
              <w:rPr>
                <w:color w:val="1C3A36"/>
                <w:sz w:val="14"/>
              </w:rPr>
              <w:t>Company</w:t>
            </w:r>
          </w:p>
        </w:tc>
        <w:tc>
          <w:tcPr>
            <w:tcW w:type="dxa" w:w="2275"/>
          </w:tcPr>
          <w:p>
            <w:pPr>
              <w:spacing w:after="20"/>
            </w:pPr>
            <w:r>
              <w:rPr>
                <w:color w:val="1C3A36"/>
                <w:sz w:val="14"/>
              </w:rPr>
              <w:t>regular disclosures</w:t>
            </w:r>
          </w:p>
        </w:tc>
        <w:tc>
          <w:tcPr>
            <w:tcW w:type="dxa" w:w="5846"/>
          </w:tcPr>
          <w:p>
            <w:pPr>
              <w:spacing w:after="20"/>
            </w:pPr>
            <w:r>
              <w:rPr>
                <w:color w:val="1C3A36"/>
                <w:sz w:val="14"/>
              </w:rPr>
              <w:t>Balance sheet: FY2024 total assets EGP 6,385.9m against total liabilities EGP 1,610.9m (equity EGP 4,775.1m -- the triple closes exactly). Latest reported total debt EGP 36.8m against ~EGP 5.2bn equity, i.e. debt/equity 0.7% and a NET CASH position</w:t>
            </w:r>
          </w:p>
        </w:tc>
        <w:tc>
          <w:tcPr>
            <w:tcW w:type="dxa" w:w="3053"/>
          </w:tcPr>
          <w:p>
            <w:pPr>
              <w:spacing w:after="20"/>
            </w:pPr>
            <w:r>
              <w:rPr>
                <w:color w:val="1C3A36"/>
                <w:sz w:val="14"/>
              </w:rPr>
              <w:t>EGX filings via aggregated financial summaries</w:t>
            </w:r>
          </w:p>
        </w:tc>
        <w:tc>
          <w:tcPr>
            <w:tcW w:type="dxa" w:w="1267"/>
          </w:tcPr>
          <w:p>
            <w:pPr>
              <w:spacing w:after="20"/>
            </w:pPr>
            <w:r>
              <w:rPr>
                <w:color w:val="1C3A36"/>
                <w:sz w:val="14"/>
              </w:rPr>
              <w:t>2026-03-10</w:t>
            </w:r>
          </w:p>
        </w:tc>
      </w:tr>
      <w:tr>
        <w:tc>
          <w:tcPr>
            <w:tcW w:type="dxa" w:w="1094"/>
          </w:tcPr>
          <w:p>
            <w:pPr>
              <w:spacing w:after="20"/>
            </w:pPr>
            <w:r>
              <w:rPr>
                <w:color w:val="1C3A36"/>
                <w:sz w:val="14"/>
              </w:rPr>
              <w:t>Company</w:t>
            </w:r>
          </w:p>
        </w:tc>
        <w:tc>
          <w:tcPr>
            <w:tcW w:type="dxa" w:w="2275"/>
          </w:tcPr>
          <w:p>
            <w:pPr>
              <w:spacing w:after="20"/>
            </w:pPr>
            <w:r>
              <w:rPr>
                <w:color w:val="1C3A36"/>
                <w:sz w:val="14"/>
              </w:rPr>
              <w:t>strategic plans &amp; guidance</w:t>
            </w:r>
          </w:p>
        </w:tc>
        <w:tc>
          <w:tcPr>
            <w:tcW w:type="dxa" w:w="5846"/>
          </w:tcPr>
          <w:p>
            <w:pPr>
              <w:spacing w:after="20"/>
            </w:pPr>
            <w:r>
              <w:rPr>
                <w:color w:val="1C3A36"/>
                <w:sz w:val="14"/>
              </w:rPr>
              <w:t>SCEM operates two lines at El Hassana, North Sinai, ~3.8Mt/yr cement capacity, and reported lifting its market share to ~5% of the Egyptian market</w:t>
            </w:r>
          </w:p>
        </w:tc>
        <w:tc>
          <w:tcPr>
            <w:tcW w:type="dxa" w:w="3053"/>
          </w:tcPr>
          <w:p>
            <w:pPr>
              <w:spacing w:after="20"/>
            </w:pPr>
            <w:r>
              <w:rPr>
                <w:color w:val="1C3A36"/>
                <w:sz w:val="14"/>
              </w:rPr>
              <w:t>Company profile and FY2024 results commentary via Daily News Egypt / Global Energy Monitor plant register</w:t>
            </w:r>
          </w:p>
        </w:tc>
        <w:tc>
          <w:tcPr>
            <w:tcW w:type="dxa" w:w="1267"/>
          </w:tcPr>
          <w:p>
            <w:pPr>
              <w:spacing w:after="20"/>
            </w:pPr>
            <w:r>
              <w:rPr>
                <w:color w:val="1C3A36"/>
                <w:sz w:val="14"/>
              </w:rPr>
              <w:t>2025-03-23</w:t>
            </w:r>
          </w:p>
        </w:tc>
      </w:tr>
    </w:tbl>
    <w:p>
      <w:pPr>
        <w:spacing w:after="40"/>
      </w:pPr>
    </w:p>
    <w:p>
      <w:pPr>
        <w:spacing w:after="80" w:before="200"/>
      </w:pPr>
      <w:r>
        <w:rPr>
          <w:b/>
          <w:i w:val="0"/>
          <w:color w:val="1C3A36"/>
          <w:sz w:val="23"/>
        </w:rPr>
        <w:t>Searches that returned nothing</w:t>
      </w:r>
    </w:p>
    <w:p>
      <w:pPr>
        <w:spacing w:after="100" w:before="0"/>
      </w:pPr>
      <w:r>
        <w:rPr>
          <w:b w:val="0"/>
          <w:i w:val="0"/>
          <w:color w:val="1C3A36"/>
          <w:sz w:val="19"/>
        </w:rPr>
        <w:t>Recorded because an absence of evidence shaped the model as much as the evidence did.</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168"/>
        <w:gridCol w:w="10512"/>
      </w:tblGrid>
      <w:tr>
        <w:tc>
          <w:tcPr>
            <w:tcW w:type="dxa" w:w="3168"/>
            <w:shd w:val="clear" w:color="auto" w:fill="EAF0EE"/>
          </w:tcPr>
          <w:p>
            <w:pPr>
              <w:spacing w:after="20"/>
            </w:pPr>
            <w:r>
              <w:rPr>
                <w:b/>
                <w:color w:val="1C3A36"/>
                <w:sz w:val="16"/>
              </w:rPr>
              <w:t>Topic</w:t>
            </w:r>
          </w:p>
        </w:tc>
        <w:tc>
          <w:tcPr>
            <w:tcW w:type="dxa" w:w="10512"/>
            <w:shd w:val="clear" w:color="auto" w:fill="EAF0EE"/>
          </w:tcPr>
          <w:p>
            <w:pPr>
              <w:spacing w:after="20"/>
            </w:pPr>
            <w:r>
              <w:rPr>
                <w:b/>
                <w:color w:val="1C3A36"/>
                <w:sz w:val="16"/>
              </w:rPr>
              <w:t>What was searched for</w:t>
            </w:r>
          </w:p>
        </w:tc>
      </w:tr>
      <w:tr>
        <w:tc>
          <w:tcPr>
            <w:tcW w:type="dxa" w:w="3168"/>
          </w:tcPr>
          <w:p>
            <w:pPr>
              <w:spacing w:after="20"/>
            </w:pPr>
            <w:r>
              <w:rPr>
                <w:color w:val="1C3A36"/>
                <w:sz w:val="16"/>
              </w:rPr>
              <w:t>IR communications (calls, presentations, releases)</w:t>
            </w:r>
          </w:p>
        </w:tc>
        <w:tc>
          <w:tcPr>
            <w:tcW w:type="dxa" w:w="10512"/>
          </w:tcPr>
          <w:p>
            <w:pPr>
              <w:spacing w:after="20"/>
            </w:pPr>
            <w:r>
              <w:rPr>
                <w:color w:val="1C3A36"/>
                <w:sz w:val="16"/>
              </w:rPr>
              <w:t>sinaicement.com investor relations, EGX disclosure portal, earnings-call transcripts and results presentations for FY2024/FY2025 -- every host refused by egress policy; no transcript or presentation obtainable from search either</w:t>
            </w:r>
          </w:p>
        </w:tc>
      </w:tr>
      <w:tr>
        <w:tc>
          <w:tcPr>
            <w:tcW w:type="dxa" w:w="3168"/>
          </w:tcPr>
          <w:p>
            <w:pPr>
              <w:spacing w:after="20"/>
            </w:pPr>
            <w:r>
              <w:rPr>
                <w:color w:val="1C3A36"/>
                <w:sz w:val="16"/>
              </w:rPr>
              <w:t>regular disclosures</w:t>
            </w:r>
          </w:p>
        </w:tc>
        <w:tc>
          <w:tcPr>
            <w:tcW w:type="dxa" w:w="10512"/>
          </w:tcPr>
          <w:p>
            <w:pPr>
              <w:spacing w:after="20"/>
            </w:pPr>
            <w:r>
              <w:rPr>
                <w:color w:val="1C3A36"/>
                <w:sz w:val="16"/>
              </w:rPr>
              <w:t>'Sinai Cement other income / investment income / treasury bills / deposits EGP' and '9M 2025 operating profit gross profit cost of sales' -- no interest-income, finance-income or below-EBIT line item is disclosed in any retrievable source; the income statement between revenue and net profit is not obtainable line by line</w:t>
            </w:r>
          </w:p>
        </w:tc>
      </w:tr>
      <w:tr>
        <w:tc>
          <w:tcPr>
            <w:tcW w:type="dxa" w:w="3168"/>
          </w:tcPr>
          <w:p>
            <w:pPr>
              <w:spacing w:after="20"/>
            </w:pPr>
            <w:r>
              <w:rPr>
                <w:color w:val="1C3A36"/>
                <w:sz w:val="16"/>
              </w:rPr>
              <w:t>strategic plans &amp; guidance</w:t>
            </w:r>
          </w:p>
        </w:tc>
        <w:tc>
          <w:tcPr>
            <w:tcW w:type="dxa" w:w="10512"/>
          </w:tcPr>
          <w:p>
            <w:pPr>
              <w:spacing w:after="20"/>
            </w:pPr>
            <w:r>
              <w:rPr>
                <w:color w:val="1C3A36"/>
                <w:sz w:val="16"/>
              </w:rPr>
              <w:t>'Sinai Cement capex / capital expenditure / investment plan / maintenance capex / free cash flow 2025 2026' -- no capital-expenditure figure, guidance or investment programme is disclosed in any retrievable source</w:t>
            </w:r>
          </w:p>
        </w:tc>
      </w:tr>
    </w:tbl>
    <w:p>
      <w:pPr>
        <w:spacing w:after="40"/>
      </w:pPr>
    </w:p>
    <w:p>
      <w:pPr>
        <w:spacing w:after="100" w:before="0"/>
      </w:pPr>
      <w:r>
        <w:rPr>
          <w:b w:val="0"/>
          <w:i w:val="0"/>
          <w:color w:val="1C3A36"/>
          <w:sz w:val="19"/>
        </w:rPr>
      </w:r>
    </w:p>
    <w:p>
      <w:pPr>
        <w:spacing w:after="100" w:before="0"/>
      </w:pPr>
      <w:r>
        <w:rPr>
          <w:b w:val="0"/>
          <w:i/>
          <w:color w:val="6E7B77"/>
          <w:sz w:val="16"/>
        </w:rPr>
        <w:t>Testahil · Independent valuation research · Educational analysis, not investment advice.</w:t>
      </w:r>
    </w:p>
    <w:sectPr w:rsidR="00FC693F" w:rsidRPr="0006063C" w:rsidSect="00034616">
      <w:pgSz w:w="15840" w:h="122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color w:val="1C3A3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