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40"/>
        </w:rPr>
        <w:t>PALM HILLS DEVELOPMENTS</w:t>
      </w:r>
    </w:p>
    <w:p>
      <w:pPr>
        <w:spacing w:after="280"/>
      </w:pPr>
      <w:r>
        <w:rPr>
          <w:b w:val="0"/>
          <w:i w:val="0"/>
          <w:color w:val="5B6570"/>
          <w:sz w:val="20"/>
        </w:rPr>
        <w:t>Egyptian Exchange · PHDC · Egyptian pounds · edition of 30 August 2026</w:t>
      </w:r>
    </w:p>
    <w:p>
      <w:pPr>
        <w:pStyle w:val="Heading2"/>
      </w:pPr>
      <w:r>
        <w:t>READ FIRST</w:t>
      </w:r>
    </w:p>
    <w:p>
      <w:pPr>
        <w:spacing w:after="140"/>
      </w:pPr>
      <w:r>
        <w:rPr>
          <w:b w:val="0"/>
          <w:i w:val="0"/>
          <w:color w:val="1A1D21"/>
          <w:sz w:val="20"/>
        </w:rPr>
        <w:t>This is a valuation study, not advice. It carries no rating, no recommendation and no price target. What it publishes is a range of value and the reasoning behind it, so that a reader can disagree with the reasoning rather than with a number.</w:t>
      </w:r>
    </w:p>
    <w:p>
      <w:pPr>
        <w:spacing w:after="140"/>
      </w:pPr>
      <w:r>
        <w:rPr>
          <w:b w:val="0"/>
          <w:i w:val="0"/>
          <w:color w:val="1A1D21"/>
          <w:sz w:val="20"/>
        </w:rPr>
        <w:t>It supersedes the edition of 11 June 2026. Two things in that edition were wrong and are corrected here, and both are set out plainly in section 1.8 rather than buried: the discount rate was below Egypt's own government bond yield, and the project-level price and cost table it valued the company on is not disclosed by the company anywhere.</w:t>
      </w:r>
    </w:p>
    <w:p>
      <w:pPr>
        <w:spacing w:after="140"/>
      </w:pPr>
      <w:r>
        <w:rPr>
          <w:b w:val="0"/>
          <w:i w:val="0"/>
          <w:color w:val="1A1D21"/>
          <w:sz w:val="20"/>
        </w:rPr>
        <w:t>The company's own audited statements are the only source used for its reported history. Where something needed is not disclosed, this study says so and does not fill the hole. There are five such gaps and they are listed in section 7.</w:t>
      </w:r>
    </w:p>
    <w:p>
      <w:pPr>
        <w:spacing w:after="140"/>
      </w:pPr>
      <w:r>
        <w:rPr>
          <w:b w:val="0"/>
          <w:i/>
          <w:color w:val="5B6570"/>
          <w:sz w:val="18"/>
        </w:rPr>
        <w:t>Information set: everything the company had published as at 30 August 2026, which ends at its first-quarter 2026 results. No half-year 2026 figures had been released at that date.</w:t>
      </w:r>
    </w:p>
    <w:p>
      <w:pPr>
        <w:pStyle w:val="Heading1"/>
      </w:pPr>
      <w:r>
        <w:t>Headline</w:t>
      </w:r>
    </w:p>
    <w:p>
      <w:pPr>
        <w:spacing w:after="140"/>
      </w:pPr>
      <w:r>
        <w:rPr>
          <w:b/>
          <w:i w:val="0"/>
          <w:color w:val="1A1D21"/>
          <w:sz w:val="23"/>
        </w:rPr>
        <w:t>Palm Hills is worth between EGP 9.17 and EGP 38.74 a share on the company's own audited figures, and which end of that range is right depends almost entirely on one thing the company does not disclose.</w:t>
      </w:r>
    </w:p>
    <w:p>
      <w:pPr>
        <w:pStyle w:val="ListBullet"/>
        <w:spacing w:after="60"/>
      </w:pPr>
      <w:r>
        <w:rPr>
          <w:color w:val="1A1D21"/>
          <w:sz w:val="20"/>
        </w:rPr>
        <w:t>The discount rate in the previous edition was 18.00%. Egypt's ten-year government bond yields 23.00%. Rebuilt from the ground up, the company's cost of capital is 26.25%.</w:t>
      </w:r>
    </w:p>
    <w:p>
      <w:pPr>
        <w:pStyle w:val="ListBullet"/>
        <w:spacing w:after="60"/>
      </w:pPr>
      <w:r>
        <w:rPr>
          <w:color w:val="1A1D21"/>
          <w:sz w:val="20"/>
        </w:rPr>
        <w:t>Value turns on how quickly contracted sales become cash. Over the three years the company has published a cash-flow statement, operating cash was 4.3%, 17.9% and 3.9% of revenue. At the low end the shares are worth EGP 9.17; at the high end, EGP 38.74.</w:t>
      </w:r>
    </w:p>
    <w:p>
      <w:pPr>
        <w:pStyle w:val="ListBullet"/>
        <w:spacing w:after="60"/>
      </w:pPr>
      <w:r>
        <w:rPr>
          <w:color w:val="1A1D21"/>
          <w:sz w:val="20"/>
        </w:rPr>
        <w:t>At the closing price of EGP 15.20 the market is paying for a conversion rate of 6.8% — above the two weak years, well below the strong one.</w:t>
      </w:r>
    </w:p>
    <w:p>
      <w:pPr>
        <w:pStyle w:val="ListBullet"/>
        <w:spacing w:after="60"/>
      </w:pPr>
      <w:r>
        <w:rPr>
          <w:color w:val="1A1D21"/>
          <w:sz w:val="20"/>
        </w:rPr>
        <w:t>The contracted order book stands at EGP 263bn against 2025 revenue of EGP 36.2bn. What limits this company is how fast it can build and hand over, not whether it can sell.</w:t>
      </w:r>
    </w:p>
    <w:p>
      <w:pPr>
        <w:pStyle w:val="Heading1"/>
      </w:pPr>
      <w:r>
        <w:t>Valuation summary — every read at a glance</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3175"/>
          </w:tcPr>
          <w:p>
            <w:r/>
            <w:r>
              <w:rPr>
                <w:b/>
                <w:color w:val="5B6570"/>
                <w:sz w:val="17"/>
              </w:rPr>
              <w:t>Lens</w:t>
            </w:r>
          </w:p>
        </w:tc>
        <w:tc>
          <w:tcPr>
            <w:tcW w:type="dxa" w:w="2041"/>
          </w:tcPr>
          <w:p>
            <w:r/>
            <w:r>
              <w:rPr>
                <w:b/>
                <w:color w:val="5B6570"/>
                <w:sz w:val="17"/>
              </w:rPr>
              <w:t>Value per share (EGP)</w:t>
            </w:r>
          </w:p>
        </w:tc>
        <w:tc>
          <w:tcPr>
            <w:tcW w:type="dxa" w:w="3969"/>
          </w:tcPr>
          <w:p>
            <w:r/>
            <w:r>
              <w:rPr>
                <w:b/>
                <w:color w:val="5B6570"/>
                <w:sz w:val="17"/>
              </w:rPr>
              <w:t>What it rests on</w:t>
            </w:r>
          </w:p>
        </w:tc>
      </w:tr>
      <w:tr>
        <w:tc>
          <w:tcPr>
            <w:tcW w:type="dxa" w:w="3175"/>
          </w:tcPr>
          <w:p>
            <w:r/>
            <w:r>
              <w:rPr>
                <w:color w:val="1A1D21"/>
                <w:sz w:val="17"/>
              </w:rPr>
              <w:t>Cash-flow value, weak conversion</w:t>
            </w:r>
          </w:p>
        </w:tc>
        <w:tc>
          <w:tcPr>
            <w:tcW w:type="dxa" w:w="2041"/>
          </w:tcPr>
          <w:p>
            <w:pPr>
              <w:jc w:val="right"/>
            </w:pPr>
            <w:r/>
            <w:r>
              <w:rPr>
                <w:color w:val="1A1D21"/>
                <w:sz w:val="17"/>
              </w:rPr>
              <w:t>9.17</w:t>
            </w:r>
          </w:p>
        </w:tc>
        <w:tc>
          <w:tcPr>
            <w:tcW w:type="dxa" w:w="3969"/>
          </w:tcPr>
          <w:p>
            <w:r/>
            <w:r>
              <w:rPr>
                <w:color w:val="1A1D21"/>
                <w:sz w:val="17"/>
              </w:rPr>
              <w:t>operating cash at 3.9% of revenue, the 2023 and 2025 outcome</w:t>
            </w:r>
          </w:p>
        </w:tc>
      </w:tr>
      <w:tr>
        <w:tc>
          <w:tcPr>
            <w:tcW w:type="dxa" w:w="3175"/>
          </w:tcPr>
          <w:p>
            <w:r/>
            <w:r>
              <w:rPr>
                <w:color w:val="1A1D21"/>
                <w:sz w:val="17"/>
              </w:rPr>
              <w:t>Cash-flow value, average conversion</w:t>
            </w:r>
          </w:p>
        </w:tc>
        <w:tc>
          <w:tcPr>
            <w:tcW w:type="dxa" w:w="2041"/>
          </w:tcPr>
          <w:p>
            <w:pPr>
              <w:jc w:val="right"/>
            </w:pPr>
            <w:r/>
            <w:r>
              <w:rPr>
                <w:color w:val="1A1D21"/>
                <w:sz w:val="17"/>
              </w:rPr>
              <w:t>19.30</w:t>
            </w:r>
          </w:p>
        </w:tc>
        <w:tc>
          <w:tcPr>
            <w:tcW w:type="dxa" w:w="3969"/>
          </w:tcPr>
          <w:p>
            <w:r/>
            <w:r>
              <w:rPr>
                <w:color w:val="1A1D21"/>
                <w:sz w:val="17"/>
              </w:rPr>
              <w:t>operating cash at 8.7%, the three-year mean</w:t>
            </w:r>
          </w:p>
        </w:tc>
      </w:tr>
      <w:tr>
        <w:tc>
          <w:tcPr>
            <w:tcW w:type="dxa" w:w="3175"/>
          </w:tcPr>
          <w:p>
            <w:r/>
            <w:r>
              <w:rPr>
                <w:color w:val="1A1D21"/>
                <w:sz w:val="17"/>
              </w:rPr>
              <w:t>Cash-flow value, strong conversion</w:t>
            </w:r>
          </w:p>
        </w:tc>
        <w:tc>
          <w:tcPr>
            <w:tcW w:type="dxa" w:w="2041"/>
          </w:tcPr>
          <w:p>
            <w:pPr>
              <w:jc w:val="right"/>
            </w:pPr>
            <w:r/>
            <w:r>
              <w:rPr>
                <w:color w:val="1A1D21"/>
                <w:sz w:val="17"/>
              </w:rPr>
              <w:t>38.74</w:t>
            </w:r>
          </w:p>
        </w:tc>
        <w:tc>
          <w:tcPr>
            <w:tcW w:type="dxa" w:w="3969"/>
          </w:tcPr>
          <w:p>
            <w:r/>
            <w:r>
              <w:rPr>
                <w:color w:val="1A1D21"/>
                <w:sz w:val="17"/>
              </w:rPr>
              <w:t>operating cash at 17.9%, the 2024 outcome</w:t>
            </w:r>
          </w:p>
        </w:tc>
      </w:tr>
      <w:tr>
        <w:tc>
          <w:tcPr>
            <w:tcW w:type="dxa" w:w="3175"/>
          </w:tcPr>
          <w:p>
            <w:r/>
            <w:r>
              <w:rPr>
                <w:color w:val="1A1D21"/>
                <w:sz w:val="17"/>
              </w:rPr>
              <w:t>Same, on the alternative country-risk basis</w:t>
            </w:r>
          </w:p>
        </w:tc>
        <w:tc>
          <w:tcPr>
            <w:tcW w:type="dxa" w:w="2041"/>
          </w:tcPr>
          <w:p>
            <w:pPr>
              <w:jc w:val="right"/>
            </w:pPr>
            <w:r/>
            <w:r>
              <w:rPr>
                <w:color w:val="1A1D21"/>
                <w:sz w:val="17"/>
              </w:rPr>
              <w:t>21.44</w:t>
            </w:r>
          </w:p>
        </w:tc>
        <w:tc>
          <w:tcPr>
            <w:tcW w:type="dxa" w:w="3969"/>
          </w:tcPr>
          <w:p>
            <w:r/>
            <w:r>
              <w:rPr>
                <w:color w:val="1A1D21"/>
                <w:sz w:val="17"/>
              </w:rPr>
              <w:t>identical model at a 25.24% discount rate</w:t>
            </w:r>
          </w:p>
        </w:tc>
      </w:tr>
      <w:tr>
        <w:tc>
          <w:tcPr>
            <w:tcW w:type="dxa" w:w="3175"/>
          </w:tcPr>
          <w:p>
            <w:r/>
            <w:r>
              <w:rPr>
                <w:color w:val="1A1D21"/>
                <w:sz w:val="17"/>
              </w:rPr>
              <w:t>Book value of equity</w:t>
            </w:r>
          </w:p>
        </w:tc>
        <w:tc>
          <w:tcPr>
            <w:tcW w:type="dxa" w:w="2041"/>
          </w:tcPr>
          <w:p>
            <w:pPr>
              <w:jc w:val="right"/>
            </w:pPr>
            <w:r/>
            <w:r>
              <w:rPr>
                <w:color w:val="1A1D21"/>
                <w:sz w:val="17"/>
              </w:rPr>
              <w:t>6.56</w:t>
            </w:r>
          </w:p>
        </w:tc>
        <w:tc>
          <w:tcPr>
            <w:tcW w:type="dxa" w:w="3969"/>
          </w:tcPr>
          <w:p>
            <w:r/>
            <w:r>
              <w:rPr>
                <w:color w:val="1A1D21"/>
                <w:sz w:val="17"/>
              </w:rPr>
              <w:t>audited shareholders' funds at 31 December 2025</w:t>
            </w:r>
          </w:p>
        </w:tc>
      </w:tr>
      <w:tr>
        <w:tc>
          <w:tcPr>
            <w:tcW w:type="dxa" w:w="3175"/>
          </w:tcPr>
          <w:p>
            <w:r/>
            <w:r>
              <w:rPr>
                <w:color w:val="1A1D21"/>
                <w:sz w:val="17"/>
              </w:rPr>
              <w:t>Market price</w:t>
            </w:r>
          </w:p>
        </w:tc>
        <w:tc>
          <w:tcPr>
            <w:tcW w:type="dxa" w:w="2041"/>
          </w:tcPr>
          <w:p>
            <w:pPr>
              <w:jc w:val="right"/>
            </w:pPr>
            <w:r/>
            <w:r>
              <w:rPr>
                <w:color w:val="1A1D21"/>
                <w:sz w:val="17"/>
              </w:rPr>
              <w:t>15.20</w:t>
            </w:r>
          </w:p>
        </w:tc>
        <w:tc>
          <w:tcPr>
            <w:tcW w:type="dxa" w:w="3969"/>
          </w:tcPr>
          <w:p>
            <w:r/>
            <w:r>
              <w:rPr>
                <w:color w:val="1A1D21"/>
                <w:sz w:val="17"/>
              </w:rPr>
              <w:t>closing price, 23 August 2026</w:t>
            </w:r>
          </w:p>
        </w:tc>
      </w:tr>
      <w:tr>
        <w:tc>
          <w:tcPr>
            <w:tcW w:type="dxa" w:w="3175"/>
          </w:tcPr>
          <w:p>
            <w:r/>
            <w:r>
              <w:rPr>
                <w:color w:val="1A1D21"/>
                <w:sz w:val="17"/>
              </w:rPr>
              <w:t>Previous edition, for reference</w:t>
            </w:r>
          </w:p>
        </w:tc>
        <w:tc>
          <w:tcPr>
            <w:tcW w:type="dxa" w:w="2041"/>
          </w:tcPr>
          <w:p>
            <w:r/>
            <w:r>
              <w:rPr>
                <w:color w:val="1A1D21"/>
                <w:sz w:val="17"/>
              </w:rPr>
              <w:t>7.62 – 24.92</w:t>
            </w:r>
          </w:p>
        </w:tc>
        <w:tc>
          <w:tcPr>
            <w:tcW w:type="dxa" w:w="3969"/>
          </w:tcPr>
          <w:p>
            <w:r/>
            <w:r>
              <w:rPr>
                <w:color w:val="1A1D21"/>
                <w:sz w:val="17"/>
              </w:rPr>
              <w:t>edition of 11 June 2026, discounted at 18%</w:t>
            </w:r>
          </w:p>
        </w:tc>
      </w:tr>
    </w:tbl>
    <w:p>
      <w:pPr>
        <w:spacing w:after="200"/>
      </w:pPr>
      <w:r>
        <w:rPr>
          <w:b w:val="0"/>
          <w:i/>
          <w:color w:val="5B6570"/>
          <w:sz w:val="16"/>
        </w:rPr>
        <w:t>Every figure recomputes from the audited 2025 statements and the cost of capital in section 1.8. No single number is put forward as the fair value; section 1.7 explains why.</w:t>
      </w:r>
    </w:p>
    <w:p>
      <w:pPr>
        <w:jc w:val="center"/>
      </w:pPr>
      <w:r>
        <w:drawing>
          <wp:inline xmlns:a="http://schemas.openxmlformats.org/drawingml/2006/main" xmlns:pic="http://schemas.openxmlformats.org/drawingml/2006/picture">
            <wp:extent cx="5832000" cy="262752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627524"/>
                    </a:xfrm>
                    <a:prstGeom prst="rect"/>
                  </pic:spPr>
                </pic:pic>
              </a:graphicData>
            </a:graphic>
          </wp:inline>
        </w:drawing>
      </w:r>
    </w:p>
    <w:p>
      <w:pPr>
        <w:spacing w:after="240"/>
        <w:jc w:val="center"/>
      </w:pPr>
      <w:r>
        <w:rPr>
          <w:b w:val="0"/>
          <w:i/>
          <w:color w:val="5B6570"/>
          <w:sz w:val="16"/>
        </w:rPr>
        <w:t>Figure 1 — each bar is one observed rate of cash conversion; the bar spans the discount rate from four points below the rebuilt cost of capital to four points above, and the white tick marks the value at the rebuilt rate itself. Shown against the closing price and the previous edition's central figure.</w:t>
      </w:r>
    </w:p>
    <w:p>
      <w:pPr>
        <w:pStyle w:val="Heading1"/>
      </w:pPr>
      <w:r>
        <w:t>Company overview</w:t>
      </w:r>
    </w:p>
    <w:p>
      <w:pPr>
        <w:spacing w:after="140"/>
      </w:pPr>
      <w:r>
        <w:rPr>
          <w:b w:val="0"/>
          <w:i w:val="0"/>
          <w:color w:val="1A1D21"/>
          <w:sz w:val="20"/>
        </w:rPr>
        <w:t>Palm Hills Developments builds and sells residential and commercial property in Egypt, principally in West Cairo, East Cairo, and the North Coast and Alexandria. It has been listed on the Egyptian Exchange since 2008. Units are sold off plan and paid for in instalments over several years, so the company collects cash long before, and long after, it recognises the sale.</w:t>
      </w:r>
    </w:p>
    <w:p>
      <w:pPr>
        <w:spacing w:after="140"/>
      </w:pPr>
      <w:r>
        <w:rPr>
          <w:b w:val="0"/>
          <w:i w:val="0"/>
          <w:color w:val="1A1D21"/>
          <w:sz w:val="20"/>
        </w:rPr>
        <w:t>Two things follow from that model and they shape everything in this study. First, revenue is recognised as construction completes rather than when a contract is signed, so the order book and the income statement move on different clocks. Second, the balance sheet carries a very large receivable book — EGP 103.5bn at the end of 2025 — against customer advances of EGP 69.4bn.</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4195"/>
          </w:tcPr>
          <w:p>
            <w:r/>
            <w:r>
              <w:rPr>
                <w:b/>
                <w:color w:val="5B6570"/>
                <w:sz w:val="17"/>
              </w:rPr>
            </w:r>
          </w:p>
        </w:tc>
        <w:tc>
          <w:tcPr>
            <w:tcW w:type="dxa" w:w="2494"/>
          </w:tcPr>
          <w:p>
            <w:r/>
            <w:r>
              <w:rPr>
                <w:b/>
                <w:color w:val="5B6570"/>
                <w:sz w:val="17"/>
              </w:rPr>
              <w:t>2025</w:t>
            </w:r>
          </w:p>
        </w:tc>
        <w:tc>
          <w:tcPr>
            <w:tcW w:type="dxa" w:w="2494"/>
          </w:tcPr>
          <w:p>
            <w:r/>
            <w:r>
              <w:rPr>
                <w:b/>
                <w:color w:val="5B6570"/>
                <w:sz w:val="17"/>
              </w:rPr>
              <w:t>2024</w:t>
            </w:r>
          </w:p>
        </w:tc>
      </w:tr>
      <w:tr>
        <w:tc>
          <w:tcPr>
            <w:tcW w:type="dxa" w:w="4195"/>
          </w:tcPr>
          <w:p>
            <w:r/>
            <w:r>
              <w:rPr>
                <w:color w:val="1A1D21"/>
                <w:sz w:val="17"/>
              </w:rPr>
              <w:t>Revenue (EGP mn)</w:t>
            </w:r>
          </w:p>
        </w:tc>
        <w:tc>
          <w:tcPr>
            <w:tcW w:type="dxa" w:w="2494"/>
          </w:tcPr>
          <w:p>
            <w:pPr>
              <w:jc w:val="right"/>
            </w:pPr>
            <w:r/>
            <w:r>
              <w:rPr>
                <w:color w:val="1A1D21"/>
                <w:sz w:val="17"/>
              </w:rPr>
              <w:t>36,169</w:t>
            </w:r>
          </w:p>
        </w:tc>
        <w:tc>
          <w:tcPr>
            <w:tcW w:type="dxa" w:w="2494"/>
          </w:tcPr>
          <w:p>
            <w:pPr>
              <w:jc w:val="right"/>
            </w:pPr>
            <w:r/>
            <w:r>
              <w:rPr>
                <w:color w:val="1A1D21"/>
                <w:sz w:val="17"/>
              </w:rPr>
              <w:t>27,167</w:t>
            </w:r>
          </w:p>
        </w:tc>
      </w:tr>
      <w:tr>
        <w:tc>
          <w:tcPr>
            <w:tcW w:type="dxa" w:w="4195"/>
          </w:tcPr>
          <w:p>
            <w:r/>
            <w:r>
              <w:rPr>
                <w:color w:val="1A1D21"/>
                <w:sz w:val="17"/>
              </w:rPr>
              <w:t>Gross profit (EGP mn)</w:t>
            </w:r>
          </w:p>
        </w:tc>
        <w:tc>
          <w:tcPr>
            <w:tcW w:type="dxa" w:w="2494"/>
          </w:tcPr>
          <w:p>
            <w:pPr>
              <w:jc w:val="right"/>
            </w:pPr>
            <w:r/>
            <w:r>
              <w:rPr>
                <w:color w:val="1A1D21"/>
                <w:sz w:val="17"/>
              </w:rPr>
              <w:t>14,888</w:t>
            </w:r>
          </w:p>
        </w:tc>
        <w:tc>
          <w:tcPr>
            <w:tcW w:type="dxa" w:w="2494"/>
          </w:tcPr>
          <w:p>
            <w:pPr>
              <w:jc w:val="right"/>
            </w:pPr>
            <w:r/>
            <w:r>
              <w:rPr>
                <w:color w:val="1A1D21"/>
                <w:sz w:val="17"/>
              </w:rPr>
              <w:t>9,330</w:t>
            </w:r>
          </w:p>
        </w:tc>
      </w:tr>
      <w:tr>
        <w:tc>
          <w:tcPr>
            <w:tcW w:type="dxa" w:w="4195"/>
          </w:tcPr>
          <w:p>
            <w:r/>
            <w:r>
              <w:rPr>
                <w:color w:val="1A1D21"/>
                <w:sz w:val="17"/>
              </w:rPr>
              <w:t>Gross margin</w:t>
            </w:r>
          </w:p>
        </w:tc>
        <w:tc>
          <w:tcPr>
            <w:tcW w:type="dxa" w:w="2494"/>
          </w:tcPr>
          <w:p>
            <w:pPr>
              <w:jc w:val="right"/>
            </w:pPr>
            <w:r/>
            <w:r>
              <w:rPr>
                <w:color w:val="1A1D21"/>
                <w:sz w:val="17"/>
              </w:rPr>
              <w:t>41.2%</w:t>
            </w:r>
          </w:p>
        </w:tc>
        <w:tc>
          <w:tcPr>
            <w:tcW w:type="dxa" w:w="2494"/>
          </w:tcPr>
          <w:p>
            <w:pPr>
              <w:jc w:val="right"/>
            </w:pPr>
            <w:r/>
            <w:r>
              <w:rPr>
                <w:color w:val="1A1D21"/>
                <w:sz w:val="17"/>
              </w:rPr>
              <w:t>34.3%</w:t>
            </w:r>
          </w:p>
        </w:tc>
      </w:tr>
      <w:tr>
        <w:tc>
          <w:tcPr>
            <w:tcW w:type="dxa" w:w="4195"/>
          </w:tcPr>
          <w:p>
            <w:r/>
            <w:r>
              <w:rPr>
                <w:color w:val="1A1D21"/>
                <w:sz w:val="17"/>
              </w:rPr>
              <w:t>Profit after tax and minority (EGP mn)</w:t>
            </w:r>
          </w:p>
        </w:tc>
        <w:tc>
          <w:tcPr>
            <w:tcW w:type="dxa" w:w="2494"/>
          </w:tcPr>
          <w:p>
            <w:pPr>
              <w:jc w:val="right"/>
            </w:pPr>
            <w:r/>
            <w:r>
              <w:rPr>
                <w:color w:val="1A1D21"/>
                <w:sz w:val="17"/>
              </w:rPr>
              <w:t>4,217</w:t>
            </w:r>
          </w:p>
        </w:tc>
        <w:tc>
          <w:tcPr>
            <w:tcW w:type="dxa" w:w="2494"/>
          </w:tcPr>
          <w:p>
            <w:pPr>
              <w:jc w:val="right"/>
            </w:pPr>
            <w:r/>
            <w:r>
              <w:rPr>
                <w:color w:val="1A1D21"/>
                <w:sz w:val="17"/>
              </w:rPr>
              <w:t>3,255</w:t>
            </w:r>
          </w:p>
        </w:tc>
      </w:tr>
      <w:tr>
        <w:tc>
          <w:tcPr>
            <w:tcW w:type="dxa" w:w="4195"/>
          </w:tcPr>
          <w:p>
            <w:r/>
            <w:r>
              <w:rPr>
                <w:color w:val="1A1D21"/>
                <w:sz w:val="17"/>
              </w:rPr>
              <w:t>Cash from operations (EGP mn)</w:t>
            </w:r>
          </w:p>
        </w:tc>
        <w:tc>
          <w:tcPr>
            <w:tcW w:type="dxa" w:w="2494"/>
          </w:tcPr>
          <w:p>
            <w:pPr>
              <w:jc w:val="right"/>
            </w:pPr>
            <w:r/>
            <w:r>
              <w:rPr>
                <w:color w:val="1A1D21"/>
                <w:sz w:val="17"/>
              </w:rPr>
              <w:t>1,424</w:t>
            </w:r>
          </w:p>
        </w:tc>
        <w:tc>
          <w:tcPr>
            <w:tcW w:type="dxa" w:w="2494"/>
          </w:tcPr>
          <w:p>
            <w:pPr>
              <w:jc w:val="right"/>
            </w:pPr>
            <w:r/>
            <w:r>
              <w:rPr>
                <w:color w:val="1A1D21"/>
                <w:sz w:val="17"/>
              </w:rPr>
              <w:t>4,855</w:t>
            </w:r>
          </w:p>
        </w:tc>
      </w:tr>
      <w:tr>
        <w:tc>
          <w:tcPr>
            <w:tcW w:type="dxa" w:w="4195"/>
          </w:tcPr>
          <w:p>
            <w:r/>
            <w:r>
              <w:rPr>
                <w:color w:val="1A1D21"/>
                <w:sz w:val="17"/>
              </w:rPr>
              <w:t>Order book (EGP mn)</w:t>
            </w:r>
          </w:p>
        </w:tc>
        <w:tc>
          <w:tcPr>
            <w:tcW w:type="dxa" w:w="2494"/>
          </w:tcPr>
          <w:p>
            <w:r/>
            <w:r>
              <w:rPr>
                <w:color w:val="1A1D21"/>
                <w:sz w:val="17"/>
              </w:rPr>
              <w:t>263,000 (at 31 Mar 2026)</w:t>
            </w:r>
          </w:p>
        </w:tc>
        <w:tc>
          <w:tcPr>
            <w:tcW w:type="dxa" w:w="2494"/>
          </w:tcPr>
          <w:p>
            <w:pPr>
              <w:jc w:val="right"/>
            </w:pPr>
            <w:r/>
            <w:r>
              <w:rPr>
                <w:color w:val="1A1D21"/>
                <w:sz w:val="17"/>
              </w:rPr>
              <w:t>147,000</w:t>
            </w:r>
          </w:p>
        </w:tc>
      </w:tr>
      <w:tr>
        <w:tc>
          <w:tcPr>
            <w:tcW w:type="dxa" w:w="4195"/>
          </w:tcPr>
          <w:p>
            <w:r/>
            <w:r>
              <w:rPr>
                <w:color w:val="1A1D21"/>
                <w:sz w:val="17"/>
              </w:rPr>
              <w:t>Total assets (EGP mn)</w:t>
            </w:r>
          </w:p>
        </w:tc>
        <w:tc>
          <w:tcPr>
            <w:tcW w:type="dxa" w:w="2494"/>
          </w:tcPr>
          <w:p>
            <w:pPr>
              <w:jc w:val="right"/>
            </w:pPr>
            <w:r/>
            <w:r>
              <w:rPr>
                <w:color w:val="1A1D21"/>
                <w:sz w:val="17"/>
              </w:rPr>
              <w:t>172,130</w:t>
            </w:r>
          </w:p>
        </w:tc>
        <w:tc>
          <w:tcPr>
            <w:tcW w:type="dxa" w:w="2494"/>
          </w:tcPr>
          <w:p>
            <w:pPr>
              <w:jc w:val="right"/>
            </w:pPr>
            <w:r/>
            <w:r>
              <w:rPr>
                <w:color w:val="1A1D21"/>
                <w:sz w:val="17"/>
              </w:rPr>
              <w:t>123,437</w:t>
            </w:r>
          </w:p>
        </w:tc>
      </w:tr>
      <w:tr>
        <w:tc>
          <w:tcPr>
            <w:tcW w:type="dxa" w:w="4195"/>
          </w:tcPr>
          <w:p>
            <w:r/>
            <w:r>
              <w:rPr>
                <w:color w:val="1A1D21"/>
                <w:sz w:val="17"/>
              </w:rPr>
              <w:t>Shareholders' funds (EGP mn)</w:t>
            </w:r>
          </w:p>
        </w:tc>
        <w:tc>
          <w:tcPr>
            <w:tcW w:type="dxa" w:w="2494"/>
          </w:tcPr>
          <w:p>
            <w:pPr>
              <w:jc w:val="right"/>
            </w:pPr>
            <w:r/>
            <w:r>
              <w:rPr>
                <w:color w:val="1A1D21"/>
                <w:sz w:val="17"/>
              </w:rPr>
              <w:t>18,766</w:t>
            </w:r>
          </w:p>
        </w:tc>
        <w:tc>
          <w:tcPr>
            <w:tcW w:type="dxa" w:w="2494"/>
          </w:tcPr>
          <w:p>
            <w:pPr>
              <w:jc w:val="right"/>
            </w:pPr>
            <w:r/>
            <w:r>
              <w:rPr>
                <w:color w:val="1A1D21"/>
                <w:sz w:val="17"/>
              </w:rPr>
              <w:t>14,625</w:t>
            </w:r>
          </w:p>
        </w:tc>
      </w:tr>
    </w:tbl>
    <w:p>
      <w:pPr>
        <w:spacing w:after="200"/>
      </w:pPr>
      <w:r>
        <w:rPr>
          <w:b w:val="0"/>
          <w:i/>
          <w:color w:val="5B6570"/>
          <w:sz w:val="16"/>
        </w:rPr>
        <w:t>Source: the company's audited consolidated financial statements and its own results releases.</w:t>
      </w:r>
    </w:p>
    <w:p>
      <w:pPr>
        <w:pStyle w:val="Heading1"/>
      </w:pPr>
      <w:r>
        <w:t>1  Fundamental valuation</w:t>
      </w:r>
    </w:p>
    <w:p>
      <w:pPr>
        <w:pStyle w:val="Heading2"/>
      </w:pPr>
      <w:r>
        <w:t>1.1  The cash-flow model</w:t>
      </w:r>
    </w:p>
    <w:p>
      <w:pPr>
        <w:spacing w:after="140"/>
      </w:pPr>
      <w:r>
        <w:rPr>
          <w:b w:val="0"/>
          <w:i w:val="0"/>
          <w:color w:val="1A1D21"/>
          <w:sz w:val="20"/>
        </w:rPr>
        <w:t>The model runs ten years from the audited 2025 base and then a terminal value. Revenue is limited by how much the company can build and hand over, not by how much it has sold: the order book is EGP 263bn against 2025 revenue of EGP 36.2bn, so sales are not the binding constraint and have not been for some years. Delivery capacity is grown with construction inflation and the order book is rolled behind it, converging back to the multiple of revenue it stood at in 2024.</w:t>
      </w:r>
    </w:p>
    <w:p>
      <w:pPr>
        <w:spacing w:after="140"/>
      </w:pPr>
      <w:r>
        <w:rPr>
          <w:b w:val="0"/>
          <w:i w:val="0"/>
          <w:color w:val="1A1D21"/>
          <w:sz w:val="20"/>
        </w:rPr>
        <w:t>Cost is recognised on the same completion schedule as revenue. That sounds obvious and it is the single most important correction in this edition. Since January 2016 the company has recognised revenue on standalone units as construction progresses; a model that accrues revenue that way but accrues cost on handover has the two legs on different clocks, and it systematically overstates profit. Gross margin here is an output of price against cost, never an input.</w:t>
      </w:r>
    </w:p>
    <w:tbl>
      <w:tblPr>
        <w:tblStyle w:val="TableGrid"/>
        <w:tblW w:type="auto" w:w="0"/>
        <w:jc w:val="center"/>
        <w:tblLayout w:type="fixed"/>
        <w:tblLook w:firstColumn="1" w:firstRow="1" w:lastColumn="0" w:lastRow="0" w:noHBand="0" w:noVBand="1" w:val="04A0"/>
        <w:tblLayout w:type="fixed"/>
      </w:tblPr>
      <w:tblGrid>
        <w:gridCol w:w="1376"/>
        <w:gridCol w:w="1376"/>
        <w:gridCol w:w="1376"/>
        <w:gridCol w:w="1376"/>
        <w:gridCol w:w="1376"/>
        <w:gridCol w:w="1376"/>
        <w:gridCol w:w="1376"/>
      </w:tblGrid>
      <w:tr>
        <w:tc>
          <w:tcPr>
            <w:tcW w:type="dxa" w:w="1077"/>
          </w:tcPr>
          <w:p>
            <w:r/>
            <w:r>
              <w:rPr>
                <w:b/>
                <w:color w:val="5B6570"/>
                <w:sz w:val="17"/>
              </w:rPr>
              <w:t>Year</w:t>
            </w:r>
          </w:p>
        </w:tc>
        <w:tc>
          <w:tcPr>
            <w:tcW w:type="dxa" w:w="1417"/>
          </w:tcPr>
          <w:p>
            <w:r/>
            <w:r>
              <w:rPr>
                <w:b/>
                <w:color w:val="5B6570"/>
                <w:sz w:val="17"/>
              </w:rPr>
              <w:t>Revenue</w:t>
            </w:r>
          </w:p>
        </w:tc>
        <w:tc>
          <w:tcPr>
            <w:tcW w:type="dxa" w:w="1417"/>
          </w:tcPr>
          <w:p>
            <w:r/>
            <w:r>
              <w:rPr>
                <w:b/>
                <w:color w:val="5B6570"/>
                <w:sz w:val="17"/>
              </w:rPr>
              <w:t>Gross profit</w:t>
            </w:r>
          </w:p>
        </w:tc>
        <w:tc>
          <w:tcPr>
            <w:tcW w:type="dxa" w:w="1020"/>
          </w:tcPr>
          <w:p>
            <w:r/>
            <w:r>
              <w:rPr>
                <w:b/>
                <w:color w:val="5B6570"/>
                <w:sz w:val="17"/>
              </w:rPr>
              <w:t>Margin</w:t>
            </w:r>
          </w:p>
        </w:tc>
        <w:tc>
          <w:tcPr>
            <w:tcW w:type="dxa" w:w="1474"/>
          </w:tcPr>
          <w:p>
            <w:r/>
            <w:r>
              <w:rPr>
                <w:b/>
                <w:color w:val="5B6570"/>
                <w:sz w:val="17"/>
              </w:rPr>
              <w:t>Pre-tax profit</w:t>
            </w:r>
          </w:p>
        </w:tc>
        <w:tc>
          <w:tcPr>
            <w:tcW w:type="dxa" w:w="1417"/>
          </w:tcPr>
          <w:p>
            <w:r/>
            <w:r>
              <w:rPr>
                <w:b/>
                <w:color w:val="5B6570"/>
                <w:sz w:val="17"/>
              </w:rPr>
              <w:t>Operating cash</w:t>
            </w:r>
          </w:p>
        </w:tc>
        <w:tc>
          <w:tcPr>
            <w:tcW w:type="dxa" w:w="1474"/>
          </w:tcPr>
          <w:p>
            <w:r/>
            <w:r>
              <w:rPr>
                <w:b/>
                <w:color w:val="5B6570"/>
                <w:sz w:val="17"/>
              </w:rPr>
              <w:t>Free cash flow</w:t>
            </w:r>
          </w:p>
        </w:tc>
      </w:tr>
      <w:tr>
        <w:tc>
          <w:tcPr>
            <w:tcW w:type="dxa" w:w="1077"/>
          </w:tcPr>
          <w:p>
            <w:r/>
            <w:r>
              <w:rPr>
                <w:color w:val="1A1D21"/>
                <w:sz w:val="17"/>
              </w:rPr>
              <w:t>2026</w:t>
            </w:r>
          </w:p>
        </w:tc>
        <w:tc>
          <w:tcPr>
            <w:tcW w:type="dxa" w:w="1417"/>
          </w:tcPr>
          <w:p>
            <w:pPr>
              <w:jc w:val="right"/>
            </w:pPr>
            <w:r/>
            <w:r>
              <w:rPr>
                <w:color w:val="1A1D21"/>
                <w:sz w:val="17"/>
              </w:rPr>
              <w:t>45,284</w:t>
            </w:r>
          </w:p>
        </w:tc>
        <w:tc>
          <w:tcPr>
            <w:tcW w:type="dxa" w:w="1417"/>
          </w:tcPr>
          <w:p>
            <w:pPr>
              <w:jc w:val="right"/>
            </w:pPr>
            <w:r/>
            <w:r>
              <w:rPr>
                <w:color w:val="1A1D21"/>
                <w:sz w:val="17"/>
              </w:rPr>
              <w:t>17,354</w:t>
            </w:r>
          </w:p>
        </w:tc>
        <w:tc>
          <w:tcPr>
            <w:tcW w:type="dxa" w:w="1020"/>
          </w:tcPr>
          <w:p>
            <w:pPr>
              <w:jc w:val="right"/>
            </w:pPr>
            <w:r/>
            <w:r>
              <w:rPr>
                <w:color w:val="1A1D21"/>
                <w:sz w:val="17"/>
              </w:rPr>
              <w:t>38.3%</w:t>
            </w:r>
          </w:p>
        </w:tc>
        <w:tc>
          <w:tcPr>
            <w:tcW w:type="dxa" w:w="1474"/>
          </w:tcPr>
          <w:p>
            <w:pPr>
              <w:jc w:val="right"/>
            </w:pPr>
            <w:r/>
            <w:r>
              <w:rPr>
                <w:color w:val="1A1D21"/>
                <w:sz w:val="17"/>
              </w:rPr>
              <w:t>828</w:t>
            </w:r>
          </w:p>
        </w:tc>
        <w:tc>
          <w:tcPr>
            <w:tcW w:type="dxa" w:w="1417"/>
          </w:tcPr>
          <w:p>
            <w:pPr>
              <w:jc w:val="right"/>
            </w:pPr>
            <w:r/>
            <w:r>
              <w:rPr>
                <w:color w:val="1A1D21"/>
                <w:sz w:val="17"/>
              </w:rPr>
              <w:t>3,946</w:t>
            </w:r>
          </w:p>
        </w:tc>
        <w:tc>
          <w:tcPr>
            <w:tcW w:type="dxa" w:w="1474"/>
          </w:tcPr>
          <w:p>
            <w:pPr>
              <w:jc w:val="right"/>
            </w:pPr>
            <w:r/>
            <w:r>
              <w:rPr>
                <w:color w:val="1A1D21"/>
                <w:sz w:val="17"/>
              </w:rPr>
              <w:t>10,124</w:t>
            </w:r>
          </w:p>
        </w:tc>
      </w:tr>
      <w:tr>
        <w:tc>
          <w:tcPr>
            <w:tcW w:type="dxa" w:w="1077"/>
          </w:tcPr>
          <w:p>
            <w:r/>
            <w:r>
              <w:rPr>
                <w:color w:val="1A1D21"/>
                <w:sz w:val="17"/>
              </w:rPr>
              <w:t>2027</w:t>
            </w:r>
          </w:p>
        </w:tc>
        <w:tc>
          <w:tcPr>
            <w:tcW w:type="dxa" w:w="1417"/>
          </w:tcPr>
          <w:p>
            <w:pPr>
              <w:jc w:val="right"/>
            </w:pPr>
            <w:r/>
            <w:r>
              <w:rPr>
                <w:color w:val="1A1D21"/>
                <w:sz w:val="17"/>
              </w:rPr>
              <w:t>56,696</w:t>
            </w:r>
          </w:p>
        </w:tc>
        <w:tc>
          <w:tcPr>
            <w:tcW w:type="dxa" w:w="1417"/>
          </w:tcPr>
          <w:p>
            <w:pPr>
              <w:jc w:val="right"/>
            </w:pPr>
            <w:r/>
            <w:r>
              <w:rPr>
                <w:color w:val="1A1D21"/>
                <w:sz w:val="17"/>
              </w:rPr>
              <w:t>21,727</w:t>
            </w:r>
          </w:p>
        </w:tc>
        <w:tc>
          <w:tcPr>
            <w:tcW w:type="dxa" w:w="1020"/>
          </w:tcPr>
          <w:p>
            <w:pPr>
              <w:jc w:val="right"/>
            </w:pPr>
            <w:r/>
            <w:r>
              <w:rPr>
                <w:color w:val="1A1D21"/>
                <w:sz w:val="17"/>
              </w:rPr>
              <w:t>38.3%</w:t>
            </w:r>
          </w:p>
        </w:tc>
        <w:tc>
          <w:tcPr>
            <w:tcW w:type="dxa" w:w="1474"/>
          </w:tcPr>
          <w:p>
            <w:pPr>
              <w:jc w:val="right"/>
            </w:pPr>
            <w:r/>
            <w:r>
              <w:rPr>
                <w:color w:val="1A1D21"/>
                <w:sz w:val="17"/>
              </w:rPr>
              <w:t>3,193</w:t>
            </w:r>
          </w:p>
        </w:tc>
        <w:tc>
          <w:tcPr>
            <w:tcW w:type="dxa" w:w="1417"/>
          </w:tcPr>
          <w:p>
            <w:pPr>
              <w:jc w:val="right"/>
            </w:pPr>
            <w:r/>
            <w:r>
              <w:rPr>
                <w:color w:val="1A1D21"/>
                <w:sz w:val="17"/>
              </w:rPr>
              <w:t>4,940</w:t>
            </w:r>
          </w:p>
        </w:tc>
        <w:tc>
          <w:tcPr>
            <w:tcW w:type="dxa" w:w="1474"/>
          </w:tcPr>
          <w:p>
            <w:pPr>
              <w:jc w:val="right"/>
            </w:pPr>
            <w:r/>
            <w:r>
              <w:rPr>
                <w:color w:val="1A1D21"/>
                <w:sz w:val="17"/>
              </w:rPr>
              <w:t>11,004</w:t>
            </w:r>
          </w:p>
        </w:tc>
      </w:tr>
      <w:tr>
        <w:tc>
          <w:tcPr>
            <w:tcW w:type="dxa" w:w="1077"/>
          </w:tcPr>
          <w:p>
            <w:r/>
            <w:r>
              <w:rPr>
                <w:color w:val="1A1D21"/>
                <w:sz w:val="17"/>
              </w:rPr>
              <w:t>2028</w:t>
            </w:r>
          </w:p>
        </w:tc>
        <w:tc>
          <w:tcPr>
            <w:tcW w:type="dxa" w:w="1417"/>
          </w:tcPr>
          <w:p>
            <w:pPr>
              <w:jc w:val="right"/>
            </w:pPr>
            <w:r/>
            <w:r>
              <w:rPr>
                <w:color w:val="1A1D21"/>
                <w:sz w:val="17"/>
              </w:rPr>
              <w:t>70,983</w:t>
            </w:r>
          </w:p>
        </w:tc>
        <w:tc>
          <w:tcPr>
            <w:tcW w:type="dxa" w:w="1417"/>
          </w:tcPr>
          <w:p>
            <w:pPr>
              <w:jc w:val="right"/>
            </w:pPr>
            <w:r/>
            <w:r>
              <w:rPr>
                <w:color w:val="1A1D21"/>
                <w:sz w:val="17"/>
              </w:rPr>
              <w:t>27,202</w:t>
            </w:r>
          </w:p>
        </w:tc>
        <w:tc>
          <w:tcPr>
            <w:tcW w:type="dxa" w:w="1020"/>
          </w:tcPr>
          <w:p>
            <w:pPr>
              <w:jc w:val="right"/>
            </w:pPr>
            <w:r/>
            <w:r>
              <w:rPr>
                <w:color w:val="1A1D21"/>
                <w:sz w:val="17"/>
              </w:rPr>
              <w:t>38.3%</w:t>
            </w:r>
          </w:p>
        </w:tc>
        <w:tc>
          <w:tcPr>
            <w:tcW w:type="dxa" w:w="1474"/>
          </w:tcPr>
          <w:p>
            <w:pPr>
              <w:jc w:val="right"/>
            </w:pPr>
            <w:r/>
            <w:r>
              <w:rPr>
                <w:color w:val="1A1D21"/>
                <w:sz w:val="17"/>
              </w:rPr>
              <w:t>6,154</w:t>
            </w:r>
          </w:p>
        </w:tc>
        <w:tc>
          <w:tcPr>
            <w:tcW w:type="dxa" w:w="1417"/>
          </w:tcPr>
          <w:p>
            <w:pPr>
              <w:jc w:val="right"/>
            </w:pPr>
            <w:r/>
            <w:r>
              <w:rPr>
                <w:color w:val="1A1D21"/>
                <w:sz w:val="17"/>
              </w:rPr>
              <w:t>6,185</w:t>
            </w:r>
          </w:p>
        </w:tc>
        <w:tc>
          <w:tcPr>
            <w:tcW w:type="dxa" w:w="1474"/>
          </w:tcPr>
          <w:p>
            <w:pPr>
              <w:jc w:val="right"/>
            </w:pPr>
            <w:r/>
            <w:r>
              <w:rPr>
                <w:color w:val="1A1D21"/>
                <w:sz w:val="17"/>
              </w:rPr>
              <w:t>12,106</w:t>
            </w:r>
          </w:p>
        </w:tc>
      </w:tr>
      <w:tr>
        <w:tc>
          <w:tcPr>
            <w:tcW w:type="dxa" w:w="1077"/>
          </w:tcPr>
          <w:p>
            <w:r/>
            <w:r>
              <w:rPr>
                <w:color w:val="1A1D21"/>
                <w:sz w:val="17"/>
              </w:rPr>
              <w:t>2029</w:t>
            </w:r>
          </w:p>
        </w:tc>
        <w:tc>
          <w:tcPr>
            <w:tcW w:type="dxa" w:w="1417"/>
          </w:tcPr>
          <w:p>
            <w:pPr>
              <w:jc w:val="right"/>
            </w:pPr>
            <w:r/>
            <w:r>
              <w:rPr>
                <w:color w:val="1A1D21"/>
                <w:sz w:val="17"/>
              </w:rPr>
              <w:t>88,870</w:t>
            </w:r>
          </w:p>
        </w:tc>
        <w:tc>
          <w:tcPr>
            <w:tcW w:type="dxa" w:w="1417"/>
          </w:tcPr>
          <w:p>
            <w:pPr>
              <w:jc w:val="right"/>
            </w:pPr>
            <w:r/>
            <w:r>
              <w:rPr>
                <w:color w:val="1A1D21"/>
                <w:sz w:val="17"/>
              </w:rPr>
              <w:t>34,057</w:t>
            </w:r>
          </w:p>
        </w:tc>
        <w:tc>
          <w:tcPr>
            <w:tcW w:type="dxa" w:w="1020"/>
          </w:tcPr>
          <w:p>
            <w:pPr>
              <w:jc w:val="right"/>
            </w:pPr>
            <w:r/>
            <w:r>
              <w:rPr>
                <w:color w:val="1A1D21"/>
                <w:sz w:val="17"/>
              </w:rPr>
              <w:t>38.3%</w:t>
            </w:r>
          </w:p>
        </w:tc>
        <w:tc>
          <w:tcPr>
            <w:tcW w:type="dxa" w:w="1474"/>
          </w:tcPr>
          <w:p>
            <w:pPr>
              <w:jc w:val="right"/>
            </w:pPr>
            <w:r/>
            <w:r>
              <w:rPr>
                <w:color w:val="1A1D21"/>
                <w:sz w:val="17"/>
              </w:rPr>
              <w:t>9,861</w:t>
            </w:r>
          </w:p>
        </w:tc>
        <w:tc>
          <w:tcPr>
            <w:tcW w:type="dxa" w:w="1417"/>
          </w:tcPr>
          <w:p>
            <w:pPr>
              <w:jc w:val="right"/>
            </w:pPr>
            <w:r/>
            <w:r>
              <w:rPr>
                <w:color w:val="1A1D21"/>
                <w:sz w:val="17"/>
              </w:rPr>
              <w:t>7,744</w:t>
            </w:r>
          </w:p>
        </w:tc>
        <w:tc>
          <w:tcPr>
            <w:tcW w:type="dxa" w:w="1474"/>
          </w:tcPr>
          <w:p>
            <w:pPr>
              <w:jc w:val="right"/>
            </w:pPr>
            <w:r/>
            <w:r>
              <w:rPr>
                <w:color w:val="1A1D21"/>
                <w:sz w:val="17"/>
              </w:rPr>
              <w:t>13,486</w:t>
            </w:r>
          </w:p>
        </w:tc>
      </w:tr>
      <w:tr>
        <w:tc>
          <w:tcPr>
            <w:tcW w:type="dxa" w:w="1077"/>
          </w:tcPr>
          <w:p>
            <w:r/>
            <w:r>
              <w:rPr>
                <w:color w:val="1A1D21"/>
                <w:sz w:val="17"/>
              </w:rPr>
              <w:t>2030</w:t>
            </w:r>
          </w:p>
        </w:tc>
        <w:tc>
          <w:tcPr>
            <w:tcW w:type="dxa" w:w="1417"/>
          </w:tcPr>
          <w:p>
            <w:pPr>
              <w:jc w:val="right"/>
            </w:pPr>
            <w:r/>
            <w:r>
              <w:rPr>
                <w:color w:val="1A1D21"/>
                <w:sz w:val="17"/>
              </w:rPr>
              <w:t>111,266</w:t>
            </w:r>
          </w:p>
        </w:tc>
        <w:tc>
          <w:tcPr>
            <w:tcW w:type="dxa" w:w="1417"/>
          </w:tcPr>
          <w:p>
            <w:pPr>
              <w:jc w:val="right"/>
            </w:pPr>
            <w:r/>
            <w:r>
              <w:rPr>
                <w:color w:val="1A1D21"/>
                <w:sz w:val="17"/>
              </w:rPr>
              <w:t>42,640</w:t>
            </w:r>
          </w:p>
        </w:tc>
        <w:tc>
          <w:tcPr>
            <w:tcW w:type="dxa" w:w="1020"/>
          </w:tcPr>
          <w:p>
            <w:pPr>
              <w:jc w:val="right"/>
            </w:pPr>
            <w:r/>
            <w:r>
              <w:rPr>
                <w:color w:val="1A1D21"/>
                <w:sz w:val="17"/>
              </w:rPr>
              <w:t>38.3%</w:t>
            </w:r>
          </w:p>
        </w:tc>
        <w:tc>
          <w:tcPr>
            <w:tcW w:type="dxa" w:w="1474"/>
          </w:tcPr>
          <w:p>
            <w:pPr>
              <w:jc w:val="right"/>
            </w:pPr>
            <w:r/>
            <w:r>
              <w:rPr>
                <w:color w:val="1A1D21"/>
                <w:sz w:val="17"/>
              </w:rPr>
              <w:t>14,502</w:t>
            </w:r>
          </w:p>
        </w:tc>
        <w:tc>
          <w:tcPr>
            <w:tcW w:type="dxa" w:w="1417"/>
          </w:tcPr>
          <w:p>
            <w:pPr>
              <w:jc w:val="right"/>
            </w:pPr>
            <w:r/>
            <w:r>
              <w:rPr>
                <w:color w:val="1A1D21"/>
                <w:sz w:val="17"/>
              </w:rPr>
              <w:t>9,695</w:t>
            </w:r>
          </w:p>
        </w:tc>
        <w:tc>
          <w:tcPr>
            <w:tcW w:type="dxa" w:w="1474"/>
          </w:tcPr>
          <w:p>
            <w:pPr>
              <w:jc w:val="right"/>
            </w:pPr>
            <w:r/>
            <w:r>
              <w:rPr>
                <w:color w:val="1A1D21"/>
                <w:sz w:val="17"/>
              </w:rPr>
              <w:t>15,214</w:t>
            </w:r>
          </w:p>
        </w:tc>
      </w:tr>
      <w:tr>
        <w:tc>
          <w:tcPr>
            <w:tcW w:type="dxa" w:w="1077"/>
          </w:tcPr>
          <w:p>
            <w:r/>
            <w:r>
              <w:rPr>
                <w:color w:val="1A1D21"/>
                <w:sz w:val="17"/>
              </w:rPr>
              <w:t>2031</w:t>
            </w:r>
          </w:p>
        </w:tc>
        <w:tc>
          <w:tcPr>
            <w:tcW w:type="dxa" w:w="1417"/>
          </w:tcPr>
          <w:p>
            <w:pPr>
              <w:jc w:val="right"/>
            </w:pPr>
            <w:r/>
            <w:r>
              <w:rPr>
                <w:color w:val="1A1D21"/>
                <w:sz w:val="17"/>
              </w:rPr>
              <w:t>139,305</w:t>
            </w:r>
          </w:p>
        </w:tc>
        <w:tc>
          <w:tcPr>
            <w:tcW w:type="dxa" w:w="1417"/>
          </w:tcPr>
          <w:p>
            <w:pPr>
              <w:jc w:val="right"/>
            </w:pPr>
            <w:r/>
            <w:r>
              <w:rPr>
                <w:color w:val="1A1D21"/>
                <w:sz w:val="17"/>
              </w:rPr>
              <w:t>53,385</w:t>
            </w:r>
          </w:p>
        </w:tc>
        <w:tc>
          <w:tcPr>
            <w:tcW w:type="dxa" w:w="1020"/>
          </w:tcPr>
          <w:p>
            <w:pPr>
              <w:jc w:val="right"/>
            </w:pPr>
            <w:r/>
            <w:r>
              <w:rPr>
                <w:color w:val="1A1D21"/>
                <w:sz w:val="17"/>
              </w:rPr>
              <w:t>38.3%</w:t>
            </w:r>
          </w:p>
        </w:tc>
        <w:tc>
          <w:tcPr>
            <w:tcW w:type="dxa" w:w="1474"/>
          </w:tcPr>
          <w:p>
            <w:pPr>
              <w:jc w:val="right"/>
            </w:pPr>
            <w:r/>
            <w:r>
              <w:rPr>
                <w:color w:val="1A1D21"/>
                <w:sz w:val="17"/>
              </w:rPr>
              <w:t>20,312</w:t>
            </w:r>
          </w:p>
        </w:tc>
        <w:tc>
          <w:tcPr>
            <w:tcW w:type="dxa" w:w="1417"/>
          </w:tcPr>
          <w:p>
            <w:pPr>
              <w:jc w:val="right"/>
            </w:pPr>
            <w:r/>
            <w:r>
              <w:rPr>
                <w:color w:val="1A1D21"/>
                <w:sz w:val="17"/>
              </w:rPr>
              <w:t>12,139</w:t>
            </w:r>
          </w:p>
        </w:tc>
        <w:tc>
          <w:tcPr>
            <w:tcW w:type="dxa" w:w="1474"/>
          </w:tcPr>
          <w:p>
            <w:pPr>
              <w:jc w:val="right"/>
            </w:pPr>
            <w:r/>
            <w:r>
              <w:rPr>
                <w:color w:val="1A1D21"/>
                <w:sz w:val="17"/>
              </w:rPr>
              <w:t>17,376</w:t>
            </w:r>
          </w:p>
        </w:tc>
      </w:tr>
    </w:tbl>
    <w:p>
      <w:pPr>
        <w:spacing w:after="200"/>
      </w:pPr>
      <w:r>
        <w:rPr>
          <w:b w:val="0"/>
          <w:i/>
          <w:color w:val="5B6570"/>
          <w:sz w:val="16"/>
        </w:rPr>
        <w:t>EGP million, central case. The full ten-year path and the bridge from enterprise value to equity are in the accompanying workbook.</w:t>
      </w:r>
    </w:p>
    <w:tbl>
      <w:tblPr>
        <w:tblStyle w:val="TableGrid"/>
        <w:tblW w:type="auto" w:w="0"/>
        <w:jc w:val="center"/>
        <w:tblLayout w:type="fixed"/>
        <w:tblLook w:firstColumn="1" w:firstRow="1" w:lastColumn="0" w:lastRow="0" w:noHBand="0" w:noVBand="1" w:val="04A0"/>
        <w:tblLayout w:type="fixed"/>
      </w:tblPr>
      <w:tblGrid>
        <w:gridCol w:w="4816"/>
        <w:gridCol w:w="4816"/>
      </w:tblGrid>
      <w:tr>
        <w:tc>
          <w:tcPr>
            <w:tcW w:type="dxa" w:w="6009"/>
          </w:tcPr>
          <w:p>
            <w:r/>
            <w:r>
              <w:rPr>
                <w:b/>
                <w:color w:val="5B6570"/>
                <w:sz w:val="17"/>
              </w:rPr>
              <w:t>Bridge from enterprise value to equity, central case</w:t>
            </w:r>
          </w:p>
        </w:tc>
        <w:tc>
          <w:tcPr>
            <w:tcW w:type="dxa" w:w="3175"/>
          </w:tcPr>
          <w:p>
            <w:r/>
            <w:r>
              <w:rPr>
                <w:b/>
                <w:color w:val="5B6570"/>
                <w:sz w:val="17"/>
              </w:rPr>
              <w:t>EGP mn</w:t>
            </w:r>
          </w:p>
        </w:tc>
      </w:tr>
      <w:tr>
        <w:tc>
          <w:tcPr>
            <w:tcW w:type="dxa" w:w="6009"/>
          </w:tcPr>
          <w:p>
            <w:r/>
            <w:r>
              <w:rPr>
                <w:color w:val="1A1D21"/>
                <w:sz w:val="17"/>
              </w:rPr>
              <w:t>Present value of the explicit ten years</w:t>
            </w:r>
          </w:p>
        </w:tc>
        <w:tc>
          <w:tcPr>
            <w:tcW w:type="dxa" w:w="3175"/>
          </w:tcPr>
          <w:p>
            <w:pPr>
              <w:jc w:val="right"/>
            </w:pPr>
            <w:r/>
            <w:r>
              <w:rPr>
                <w:color w:val="1A1D21"/>
                <w:sz w:val="17"/>
              </w:rPr>
              <w:t>49,460</w:t>
            </w:r>
          </w:p>
        </w:tc>
      </w:tr>
      <w:tr>
        <w:tc>
          <w:tcPr>
            <w:tcW w:type="dxa" w:w="6009"/>
          </w:tcPr>
          <w:p>
            <w:r/>
            <w:r>
              <w:rPr>
                <w:color w:val="1A1D21"/>
                <w:sz w:val="17"/>
              </w:rPr>
              <w:t>Present value of the terminal value</w:t>
            </w:r>
          </w:p>
        </w:tc>
        <w:tc>
          <w:tcPr>
            <w:tcW w:type="dxa" w:w="3175"/>
          </w:tcPr>
          <w:p>
            <w:pPr>
              <w:jc w:val="right"/>
            </w:pPr>
            <w:r/>
            <w:r>
              <w:rPr>
                <w:color w:val="1A1D21"/>
                <w:sz w:val="17"/>
              </w:rPr>
              <w:t>25,237</w:t>
            </w:r>
          </w:p>
        </w:tc>
      </w:tr>
      <w:tr>
        <w:tc>
          <w:tcPr>
            <w:tcW w:type="dxa" w:w="6009"/>
          </w:tcPr>
          <w:p>
            <w:r/>
            <w:r>
              <w:rPr>
                <w:color w:val="1A1D21"/>
                <w:sz w:val="17"/>
              </w:rPr>
              <w:t>Enterprise value</w:t>
            </w:r>
          </w:p>
        </w:tc>
        <w:tc>
          <w:tcPr>
            <w:tcW w:type="dxa" w:w="3175"/>
          </w:tcPr>
          <w:p>
            <w:pPr>
              <w:jc w:val="right"/>
            </w:pPr>
            <w:r/>
            <w:r>
              <w:rPr>
                <w:color w:val="1A1D21"/>
                <w:sz w:val="17"/>
              </w:rPr>
              <w:t>74,697</w:t>
            </w:r>
          </w:p>
        </w:tc>
      </w:tr>
      <w:tr>
        <w:tc>
          <w:tcPr>
            <w:tcW w:type="dxa" w:w="6009"/>
          </w:tcPr>
          <w:p>
            <w:r/>
            <w:r>
              <w:rPr>
                <w:color w:val="1A1D21"/>
                <w:sz w:val="17"/>
              </w:rPr>
              <w:t>less net debt</w:t>
            </w:r>
          </w:p>
        </w:tc>
        <w:tc>
          <w:tcPr>
            <w:tcW w:type="dxa" w:w="3175"/>
          </w:tcPr>
          <w:p>
            <w:pPr>
              <w:jc w:val="right"/>
            </w:pPr>
            <w:r/>
            <w:r>
              <w:rPr>
                <w:color w:val="1A1D21"/>
                <w:sz w:val="17"/>
              </w:rPr>
              <w:t>(24,133)</w:t>
            </w:r>
          </w:p>
        </w:tc>
      </w:tr>
      <w:tr>
        <w:tc>
          <w:tcPr>
            <w:tcW w:type="dxa" w:w="6009"/>
          </w:tcPr>
          <w:p>
            <w:r/>
            <w:r>
              <w:rPr>
                <w:color w:val="1A1D21"/>
                <w:sz w:val="17"/>
              </w:rPr>
              <w:t>plus investments in associates</w:t>
            </w:r>
          </w:p>
        </w:tc>
        <w:tc>
          <w:tcPr>
            <w:tcW w:type="dxa" w:w="3175"/>
          </w:tcPr>
          <w:p>
            <w:pPr>
              <w:jc w:val="right"/>
            </w:pPr>
            <w:r/>
            <w:r>
              <w:rPr>
                <w:color w:val="1A1D21"/>
                <w:sz w:val="17"/>
              </w:rPr>
              <w:t>3,612</w:t>
            </w:r>
          </w:p>
        </w:tc>
      </w:tr>
      <w:tr>
        <w:tc>
          <w:tcPr>
            <w:tcW w:type="dxa" w:w="6009"/>
          </w:tcPr>
          <w:p>
            <w:r/>
            <w:r>
              <w:rPr>
                <w:color w:val="1A1D21"/>
                <w:sz w:val="17"/>
              </w:rPr>
              <w:t>plus investment property</w:t>
            </w:r>
          </w:p>
        </w:tc>
        <w:tc>
          <w:tcPr>
            <w:tcW w:type="dxa" w:w="3175"/>
          </w:tcPr>
          <w:p>
            <w:pPr>
              <w:jc w:val="right"/>
            </w:pPr>
            <w:r/>
            <w:r>
              <w:rPr>
                <w:color w:val="1A1D21"/>
                <w:sz w:val="17"/>
              </w:rPr>
              <w:t>1,032</w:t>
            </w:r>
          </w:p>
        </w:tc>
      </w:tr>
      <w:tr>
        <w:tc>
          <w:tcPr>
            <w:tcW w:type="dxa" w:w="6009"/>
          </w:tcPr>
          <w:p>
            <w:r/>
            <w:r>
              <w:rPr>
                <w:color w:val="1A1D21"/>
                <w:sz w:val="17"/>
              </w:rPr>
              <w:t>Equity value</w:t>
            </w:r>
          </w:p>
        </w:tc>
        <w:tc>
          <w:tcPr>
            <w:tcW w:type="dxa" w:w="3175"/>
          </w:tcPr>
          <w:p>
            <w:pPr>
              <w:jc w:val="right"/>
            </w:pPr>
            <w:r/>
            <w:r>
              <w:rPr>
                <w:color w:val="1A1D21"/>
                <w:sz w:val="17"/>
              </w:rPr>
              <w:t>55,208</w:t>
            </w:r>
          </w:p>
        </w:tc>
      </w:tr>
      <w:tr>
        <w:tc>
          <w:tcPr>
            <w:tcW w:type="dxa" w:w="6009"/>
          </w:tcPr>
          <w:p>
            <w:r/>
            <w:r>
              <w:rPr>
                <w:color w:val="1A1D21"/>
                <w:sz w:val="17"/>
              </w:rPr>
              <w:t>Shares outstanding (millions)</w:t>
            </w:r>
          </w:p>
        </w:tc>
        <w:tc>
          <w:tcPr>
            <w:tcW w:type="dxa" w:w="3175"/>
          </w:tcPr>
          <w:p>
            <w:pPr>
              <w:jc w:val="right"/>
            </w:pPr>
            <w:r/>
            <w:r>
              <w:rPr>
                <w:color w:val="1A1D21"/>
                <w:sz w:val="17"/>
              </w:rPr>
              <w:t>2,859.9</w:t>
            </w:r>
          </w:p>
        </w:tc>
      </w:tr>
      <w:tr>
        <w:tc>
          <w:tcPr>
            <w:tcW w:type="dxa" w:w="6009"/>
          </w:tcPr>
          <w:p>
            <w:r/>
            <w:r>
              <w:rPr>
                <w:color w:val="1A1D21"/>
                <w:sz w:val="17"/>
              </w:rPr>
              <w:t>Value per share (EGP)</w:t>
            </w:r>
          </w:p>
        </w:tc>
        <w:tc>
          <w:tcPr>
            <w:tcW w:type="dxa" w:w="3175"/>
          </w:tcPr>
          <w:p>
            <w:pPr>
              <w:jc w:val="right"/>
            </w:pPr>
            <w:r/>
            <w:r>
              <w:rPr>
                <w:color w:val="1A1D21"/>
                <w:sz w:val="17"/>
              </w:rPr>
              <w:t>19.30</w:t>
            </w:r>
          </w:p>
        </w:tc>
      </w:tr>
    </w:tbl>
    <w:p>
      <w:pPr>
        <w:spacing w:after="200"/>
      </w:pPr>
      <w:r>
        <w:rPr>
          <w:b w:val="0"/>
          <w:i/>
          <w:color w:val="5B6570"/>
          <w:sz w:val="16"/>
        </w:rPr>
        <w:t>The terminal value is 34% of enterprise value in the central case, which is high and is one of the reasons no single figure is published.</w:t>
      </w:r>
    </w:p>
    <w:p>
      <w:pPr>
        <w:pStyle w:val="Heading2"/>
      </w:pPr>
      <w:r>
        <w:t>1.2  Book value and sustainable return</w:t>
      </w:r>
    </w:p>
    <w:p>
      <w:pPr>
        <w:spacing w:after="140"/>
      </w:pPr>
      <w:r>
        <w:rPr>
          <w:b w:val="0"/>
          <w:i w:val="0"/>
          <w:color w:val="1A1D21"/>
          <w:sz w:val="20"/>
        </w:rPr>
        <w:t>Shareholders' funds were EGP 18,766 million at the end of 2025, or EGP 6.56 a share, against a market price of EGP 15.20 — the shares change hands at about 2.3 times book. Profit after tax and minority interest of EGP 4,217 million on average shareholders' funds gives a return on equity of roughly 25.3%. Against a cost of equity of 31.3%, the company is not currently earning its cost of capital on book, which is why book value sits well below every cash-flow read in this study rather than acting as a floor.</w:t>
      </w:r>
    </w:p>
    <w:p>
      <w:pPr>
        <w:pStyle w:val="Heading2"/>
      </w:pPr>
      <w:r>
        <w:t>1.3  Relative multiples</w:t>
      </w:r>
    </w:p>
    <w:p>
      <w:pPr>
        <w:spacing w:after="140"/>
      </w:pPr>
      <w:r>
        <w:rPr>
          <w:b w:val="0"/>
          <w:i w:val="0"/>
          <w:color w:val="1A1D21"/>
          <w:sz w:val="20"/>
        </w:rPr>
        <w:t>The Egyptian listed developers are compared in Appendix B on the measures that can actually be sourced for all of them on the same basis. Earnings and book multiples for the peer group are NOT published here: no peer discloses figures this study can obtain on a consistent basis, and a multiple assembled from inconsistent or unsourced inputs would look precise and mean nothing. What is comparable is market risk, and on that measure Palm Hills sits in the middle of its sector.</w:t>
      </w:r>
    </w:p>
    <w:p>
      <w:pPr>
        <w:pStyle w:val="Heading2"/>
      </w:pPr>
      <w:r>
        <w:t>1.4  Normalised earnings power</w:t>
      </w:r>
    </w:p>
    <w:p>
      <w:pPr>
        <w:spacing w:after="140"/>
      </w:pPr>
      <w:r>
        <w:rPr>
          <w:b w:val="0"/>
          <w:i w:val="0"/>
          <w:color w:val="1A1D21"/>
          <w:sz w:val="20"/>
        </w:rPr>
        <w:t>Normalising on the three disclosed years, revenue converts to gross profit at about 38.3%, overheads absorb about 17.6% of revenue, and interest on the disclosed borrowings absorbs a further large share. The result is a company whose accounting profit is real but whose cash profit is small and volatile: EGP 1,424 million of operating cash in 2025 on EGP 36,169 million of revenue, against EGP 4,855 million on EGP 27,167 million the year before.</w:t>
      </w:r>
    </w:p>
    <w:p>
      <w:pPr>
        <w:pStyle w:val="Heading2"/>
      </w:pPr>
      <w:r>
        <w:t>1.5  Synthesis — the lenses in one field</w:t>
      </w:r>
    </w:p>
    <w:p>
      <w:pPr>
        <w:spacing w:after="140"/>
      </w:pPr>
      <w:r>
        <w:rPr>
          <w:b w:val="0"/>
          <w:i w:val="0"/>
          <w:color w:val="1A1D21"/>
          <w:sz w:val="20"/>
        </w:rPr>
        <w:t>The cash-flow lens spans EGP 9.17 to EGP 38.74 depending on cash conversion. Book value is EGP 6.56. The market is at EGP 15.20. The lenses do not disagree about the business; they disagree about one number, and Figure 1 shows how far apart that one number pushes them.</w:t>
      </w:r>
    </w:p>
    <w:p>
      <w:pPr>
        <w:pStyle w:val="Heading2"/>
      </w:pPr>
      <w:r>
        <w:t>1.6  Drivers</w:t>
      </w:r>
    </w:p>
    <w:p>
      <w:pPr>
        <w:spacing w:after="140"/>
      </w:pPr>
      <w:r>
        <w:rPr>
          <w:b w:val="0"/>
          <w:i w:val="0"/>
          <w:color w:val="1A1D21"/>
          <w:sz w:val="20"/>
        </w:rPr>
        <w:t>The company discloses new sales in Egyptian pounds and units sold, in total and by region, and it discloses units delivered and construction spending. It does not disclose unit mix, average unit size, price per square metre or construction cost per square metre for any project. The forecast is therefore built at the level the disclosure supports, and that limit is stated rather than disguised. The previous edition carried a full table of per-project areas, unit mixes, prices per square metre and construction costs per square metre for fifteen named projects. None of those figures is disclosed by the company. They are not used here.</w:t>
      </w:r>
    </w:p>
    <w:p>
      <w:pPr>
        <w:pStyle w:val="Heading2"/>
      </w:pPr>
      <w:r>
        <w:t>1.7  The crux</w:t>
      </w:r>
    </w:p>
    <w:p>
      <w:pPr>
        <w:spacing w:after="140"/>
      </w:pPr>
      <w:r>
        <w:rPr>
          <w:b/>
          <w:i w:val="0"/>
          <w:color w:val="1A1D21"/>
          <w:sz w:val="20"/>
        </w:rPr>
        <w:t>How fast do contracted sales become cash?</w:t>
      </w:r>
    </w:p>
    <w:p>
      <w:pPr>
        <w:spacing w:after="140"/>
      </w:pPr>
      <w:r>
        <w:rPr>
          <w:b w:val="0"/>
          <w:i w:val="0"/>
          <w:color w:val="1A1D21"/>
          <w:sz w:val="20"/>
        </w:rPr>
        <w:t>Everything else in this study is secondary to that question. Palm Hills sells off plan on long instalment terms, so a sale signed today produces cash over several years on a schedule the company does not publish — no down-payment percentage, no instalment tenor, no post-handover tail. The previous edition assumed all three. This edition measures the outcome instead, from the three years in which the company has published a cash-flow statement.</w:t>
      </w:r>
    </w:p>
    <w:tbl>
      <w:tblPr>
        <w:tblStyle w:val="TableGrid"/>
        <w:tblW w:type="auto" w:w="0"/>
        <w:jc w:val="center"/>
        <w:tblLayout w:type="fixed"/>
        <w:tblLook w:firstColumn="1" w:firstRow="1" w:lastColumn="0" w:lastRow="0" w:noHBand="0" w:noVBand="1" w:val="04A0"/>
        <w:tblLayout w:type="fixed"/>
      </w:tblPr>
      <w:tblGrid>
        <w:gridCol w:w="2408"/>
        <w:gridCol w:w="2408"/>
        <w:gridCol w:w="2408"/>
        <w:gridCol w:w="2408"/>
      </w:tblGrid>
      <w:tr>
        <w:tc>
          <w:tcPr>
            <w:tcW w:type="dxa" w:w="1474"/>
          </w:tcPr>
          <w:p>
            <w:r/>
            <w:r>
              <w:rPr>
                <w:b/>
                <w:color w:val="5B6570"/>
                <w:sz w:val="17"/>
              </w:rPr>
              <w:t>Year</w:t>
            </w:r>
          </w:p>
        </w:tc>
        <w:tc>
          <w:tcPr>
            <w:tcW w:type="dxa" w:w="2948"/>
          </w:tcPr>
          <w:p>
            <w:r/>
            <w:r>
              <w:rPr>
                <w:b/>
                <w:color w:val="5B6570"/>
                <w:sz w:val="17"/>
              </w:rPr>
              <w:t>Cash from operations (EGP mn)</w:t>
            </w:r>
          </w:p>
        </w:tc>
        <w:tc>
          <w:tcPr>
            <w:tcW w:type="dxa" w:w="2268"/>
          </w:tcPr>
          <w:p>
            <w:r/>
            <w:r>
              <w:rPr>
                <w:b/>
                <w:color w:val="5B6570"/>
                <w:sz w:val="17"/>
              </w:rPr>
              <w:t>Revenue (EGP mn)</w:t>
            </w:r>
          </w:p>
        </w:tc>
        <w:tc>
          <w:tcPr>
            <w:tcW w:type="dxa" w:w="2494"/>
          </w:tcPr>
          <w:p>
            <w:r/>
            <w:r>
              <w:rPr>
                <w:b/>
                <w:color w:val="5B6570"/>
                <w:sz w:val="17"/>
              </w:rPr>
              <w:t>Cash as a share of revenue</w:t>
            </w:r>
          </w:p>
        </w:tc>
      </w:tr>
      <w:tr>
        <w:tc>
          <w:tcPr>
            <w:tcW w:type="dxa" w:w="1474"/>
          </w:tcPr>
          <w:p>
            <w:r/>
            <w:r>
              <w:rPr>
                <w:color w:val="1A1D21"/>
                <w:sz w:val="17"/>
              </w:rPr>
              <w:t>2023</w:t>
            </w:r>
          </w:p>
        </w:tc>
        <w:tc>
          <w:tcPr>
            <w:tcW w:type="dxa" w:w="2948"/>
          </w:tcPr>
          <w:p>
            <w:pPr>
              <w:jc w:val="right"/>
            </w:pPr>
            <w:r/>
            <w:r>
              <w:rPr>
                <w:color w:val="1A1D21"/>
                <w:sz w:val="17"/>
              </w:rPr>
              <w:t>757</w:t>
            </w:r>
          </w:p>
        </w:tc>
        <w:tc>
          <w:tcPr>
            <w:tcW w:type="dxa" w:w="2268"/>
          </w:tcPr>
          <w:p>
            <w:pPr>
              <w:jc w:val="right"/>
            </w:pPr>
            <w:r/>
            <w:r>
              <w:rPr>
                <w:color w:val="1A1D21"/>
                <w:sz w:val="17"/>
              </w:rPr>
              <w:t>17,462</w:t>
            </w:r>
          </w:p>
        </w:tc>
        <w:tc>
          <w:tcPr>
            <w:tcW w:type="dxa" w:w="2494"/>
          </w:tcPr>
          <w:p>
            <w:pPr>
              <w:jc w:val="right"/>
            </w:pPr>
            <w:r/>
            <w:r>
              <w:rPr>
                <w:color w:val="1A1D21"/>
                <w:sz w:val="17"/>
              </w:rPr>
              <w:t>4.3%</w:t>
            </w:r>
          </w:p>
        </w:tc>
      </w:tr>
      <w:tr>
        <w:tc>
          <w:tcPr>
            <w:tcW w:type="dxa" w:w="1474"/>
          </w:tcPr>
          <w:p>
            <w:r/>
            <w:r>
              <w:rPr>
                <w:color w:val="1A1D21"/>
                <w:sz w:val="17"/>
              </w:rPr>
              <w:t>2024</w:t>
            </w:r>
          </w:p>
        </w:tc>
        <w:tc>
          <w:tcPr>
            <w:tcW w:type="dxa" w:w="2948"/>
          </w:tcPr>
          <w:p>
            <w:pPr>
              <w:jc w:val="right"/>
            </w:pPr>
            <w:r/>
            <w:r>
              <w:rPr>
                <w:color w:val="1A1D21"/>
                <w:sz w:val="17"/>
              </w:rPr>
              <w:t>4,855</w:t>
            </w:r>
          </w:p>
        </w:tc>
        <w:tc>
          <w:tcPr>
            <w:tcW w:type="dxa" w:w="2268"/>
          </w:tcPr>
          <w:p>
            <w:pPr>
              <w:jc w:val="right"/>
            </w:pPr>
            <w:r/>
            <w:r>
              <w:rPr>
                <w:color w:val="1A1D21"/>
                <w:sz w:val="17"/>
              </w:rPr>
              <w:t>27,167</w:t>
            </w:r>
          </w:p>
        </w:tc>
        <w:tc>
          <w:tcPr>
            <w:tcW w:type="dxa" w:w="2494"/>
          </w:tcPr>
          <w:p>
            <w:pPr>
              <w:jc w:val="right"/>
            </w:pPr>
            <w:r/>
            <w:r>
              <w:rPr>
                <w:color w:val="1A1D21"/>
                <w:sz w:val="17"/>
              </w:rPr>
              <w:t>17.9%</w:t>
            </w:r>
          </w:p>
        </w:tc>
      </w:tr>
      <w:tr>
        <w:tc>
          <w:tcPr>
            <w:tcW w:type="dxa" w:w="1474"/>
          </w:tcPr>
          <w:p>
            <w:r/>
            <w:r>
              <w:rPr>
                <w:color w:val="1A1D21"/>
                <w:sz w:val="17"/>
              </w:rPr>
              <w:t>2025</w:t>
            </w:r>
          </w:p>
        </w:tc>
        <w:tc>
          <w:tcPr>
            <w:tcW w:type="dxa" w:w="2948"/>
          </w:tcPr>
          <w:p>
            <w:pPr>
              <w:jc w:val="right"/>
            </w:pPr>
            <w:r/>
            <w:r>
              <w:rPr>
                <w:color w:val="1A1D21"/>
                <w:sz w:val="17"/>
              </w:rPr>
              <w:t>1,424</w:t>
            </w:r>
          </w:p>
        </w:tc>
        <w:tc>
          <w:tcPr>
            <w:tcW w:type="dxa" w:w="2268"/>
          </w:tcPr>
          <w:p>
            <w:pPr>
              <w:jc w:val="right"/>
            </w:pPr>
            <w:r/>
            <w:r>
              <w:rPr>
                <w:color w:val="1A1D21"/>
                <w:sz w:val="17"/>
              </w:rPr>
              <w:t>36,169</w:t>
            </w:r>
          </w:p>
        </w:tc>
        <w:tc>
          <w:tcPr>
            <w:tcW w:type="dxa" w:w="2494"/>
          </w:tcPr>
          <w:p>
            <w:pPr>
              <w:jc w:val="right"/>
            </w:pPr>
            <w:r/>
            <w:r>
              <w:rPr>
                <w:color w:val="1A1D21"/>
                <w:sz w:val="17"/>
              </w:rPr>
              <w:t>3.9%</w:t>
            </w:r>
          </w:p>
        </w:tc>
      </w:tr>
    </w:tbl>
    <w:p>
      <w:pPr>
        <w:spacing w:after="200"/>
      </w:pPr>
      <w:r>
        <w:rPr>
          <w:b w:val="0"/>
          <w:i/>
          <w:color w:val="5B6570"/>
          <w:sz w:val="16"/>
        </w:rPr>
        <w:t>The 2024 figure is the one in the audited statements. The company's own results release for that year reported EGP 3,132 million and the figure was later restated; the audited number is used.</w:t>
      </w:r>
    </w:p>
    <w:p>
      <w:pPr>
        <w:spacing w:after="140"/>
      </w:pPr>
      <w:r>
        <w:rPr>
          <w:b w:val="0"/>
          <w:i w:val="0"/>
          <w:color w:val="1A1D21"/>
          <w:sz w:val="20"/>
        </w:rPr>
        <w:t>A spread of 3.9% to 17.9% over three consecutive years is not noise around a stable rate — it is the absence of a stable rate. Until the company discloses its collection terms, or until more years accumulate, this is the honest width of the answer.</w:t>
      </w:r>
    </w:p>
    <w:p>
      <w:pPr>
        <w:pStyle w:val="Heading2"/>
      </w:pPr>
      <w:r>
        <w:t>1.8  Macro, country risk and the cost of capital</w:t>
      </w:r>
    </w:p>
    <w:p>
      <w:pPr>
        <w:spacing w:after="140"/>
      </w:pPr>
      <w:r>
        <w:rPr>
          <w:b w:val="0"/>
          <w:i w:val="0"/>
          <w:color w:val="1A1D21"/>
          <w:sz w:val="20"/>
        </w:rPr>
        <w:t>The previous edition discounted at 18%. Egypt's ten-year government bond yields 23.00%. A discount rate below the sovereign yield prices this company as safer than the government that taxes it, which cannot be right, and it is not a real-versus-nominal mismatch: that edition escalated selling prices at 14 per cent a year, so its cash flows were in nominal pounds throughout.</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3969"/>
          </w:tcPr>
          <w:p>
            <w:r/>
            <w:r>
              <w:rPr>
                <w:b/>
                <w:color w:val="5B6570"/>
                <w:sz w:val="17"/>
              </w:rPr>
              <w:t>Cost of capital</w:t>
            </w:r>
          </w:p>
        </w:tc>
        <w:tc>
          <w:tcPr>
            <w:tcW w:type="dxa" w:w="2608"/>
          </w:tcPr>
          <w:p>
            <w:r/>
            <w:r>
              <w:rPr>
                <w:b/>
                <w:color w:val="5B6570"/>
                <w:sz w:val="17"/>
              </w:rPr>
              <w:t>On the credit-rating basis</w:t>
            </w:r>
          </w:p>
        </w:tc>
        <w:tc>
          <w:tcPr>
            <w:tcW w:type="dxa" w:w="2608"/>
          </w:tcPr>
          <w:p>
            <w:r/>
            <w:r>
              <w:rPr>
                <w:b/>
                <w:color w:val="5B6570"/>
                <w:sz w:val="17"/>
              </w:rPr>
              <w:t>On the credit-default-swap basis</w:t>
            </w:r>
          </w:p>
        </w:tc>
      </w:tr>
      <w:tr>
        <w:tc>
          <w:tcPr>
            <w:tcW w:type="dxa" w:w="3969"/>
          </w:tcPr>
          <w:p>
            <w:r/>
            <w:r>
              <w:rPr>
                <w:color w:val="1A1D21"/>
                <w:sz w:val="17"/>
              </w:rPr>
              <w:t>Egyptian ten-year government bond yield</w:t>
            </w:r>
          </w:p>
        </w:tc>
        <w:tc>
          <w:tcPr>
            <w:tcW w:type="dxa" w:w="2608"/>
          </w:tcPr>
          <w:p>
            <w:pPr>
              <w:jc w:val="right"/>
            </w:pPr>
            <w:r/>
            <w:r>
              <w:rPr>
                <w:color w:val="1A1D21"/>
                <w:sz w:val="17"/>
              </w:rPr>
              <w:t>23.00%</w:t>
            </w:r>
          </w:p>
        </w:tc>
        <w:tc>
          <w:tcPr>
            <w:tcW w:type="dxa" w:w="2608"/>
          </w:tcPr>
          <w:p>
            <w:pPr>
              <w:jc w:val="right"/>
            </w:pPr>
            <w:r/>
            <w:r>
              <w:rPr>
                <w:color w:val="1A1D21"/>
                <w:sz w:val="17"/>
              </w:rPr>
              <w:t>23.00%</w:t>
            </w:r>
          </w:p>
        </w:tc>
      </w:tr>
      <w:tr>
        <w:tc>
          <w:tcPr>
            <w:tcW w:type="dxa" w:w="3969"/>
          </w:tcPr>
          <w:p>
            <w:r/>
            <w:r>
              <w:rPr>
                <w:color w:val="1A1D21"/>
                <w:sz w:val="17"/>
              </w:rPr>
              <w:t>less Egypt's own sovereign default spread</w:t>
            </w:r>
          </w:p>
        </w:tc>
        <w:tc>
          <w:tcPr>
            <w:tcW w:type="dxa" w:w="2608"/>
          </w:tcPr>
          <w:p>
            <w:pPr>
              <w:jc w:val="right"/>
            </w:pPr>
            <w:r/>
            <w:r>
              <w:rPr>
                <w:color w:val="1A1D21"/>
                <w:sz w:val="17"/>
              </w:rPr>
              <w:t>6.37%</w:t>
            </w:r>
          </w:p>
        </w:tc>
        <w:tc>
          <w:tcPr>
            <w:tcW w:type="dxa" w:w="2608"/>
          </w:tcPr>
          <w:p>
            <w:pPr>
              <w:jc w:val="right"/>
            </w:pPr>
            <w:r/>
            <w:r>
              <w:rPr>
                <w:color w:val="1A1D21"/>
                <w:sz w:val="17"/>
              </w:rPr>
              <w:t>3.41%</w:t>
            </w:r>
          </w:p>
        </w:tc>
      </w:tr>
      <w:tr>
        <w:tc>
          <w:tcPr>
            <w:tcW w:type="dxa" w:w="3969"/>
          </w:tcPr>
          <w:p>
            <w:r/>
            <w:r>
              <w:rPr>
                <w:color w:val="1A1D21"/>
                <w:sz w:val="17"/>
              </w:rPr>
              <w:t>Normalised risk-free rate</w:t>
            </w:r>
          </w:p>
        </w:tc>
        <w:tc>
          <w:tcPr>
            <w:tcW w:type="dxa" w:w="2608"/>
          </w:tcPr>
          <w:p>
            <w:pPr>
              <w:jc w:val="right"/>
            </w:pPr>
            <w:r/>
            <w:r>
              <w:rPr>
                <w:color w:val="1A1D21"/>
                <w:sz w:val="17"/>
              </w:rPr>
              <w:t>16.63%</w:t>
            </w:r>
          </w:p>
        </w:tc>
        <w:tc>
          <w:tcPr>
            <w:tcW w:type="dxa" w:w="2608"/>
          </w:tcPr>
          <w:p>
            <w:pPr>
              <w:jc w:val="right"/>
            </w:pPr>
            <w:r/>
            <w:r>
              <w:rPr>
                <w:color w:val="1A1D21"/>
                <w:sz w:val="17"/>
              </w:rPr>
              <w:t>19.59%</w:t>
            </w:r>
          </w:p>
        </w:tc>
      </w:tr>
      <w:tr>
        <w:tc>
          <w:tcPr>
            <w:tcW w:type="dxa" w:w="3969"/>
          </w:tcPr>
          <w:p>
            <w:r/>
            <w:r>
              <w:rPr>
                <w:color w:val="1A1D21"/>
                <w:sz w:val="17"/>
              </w:rPr>
              <w:t>Equity risk premium for Egypt</w:t>
            </w:r>
          </w:p>
        </w:tc>
        <w:tc>
          <w:tcPr>
            <w:tcW w:type="dxa" w:w="2608"/>
          </w:tcPr>
          <w:p>
            <w:pPr>
              <w:jc w:val="right"/>
            </w:pPr>
            <w:r/>
            <w:r>
              <w:rPr>
                <w:color w:val="1A1D21"/>
                <w:sz w:val="17"/>
              </w:rPr>
              <w:t>13.94%</w:t>
            </w:r>
          </w:p>
        </w:tc>
        <w:tc>
          <w:tcPr>
            <w:tcW w:type="dxa" w:w="2608"/>
          </w:tcPr>
          <w:p>
            <w:pPr>
              <w:jc w:val="right"/>
            </w:pPr>
            <w:r/>
            <w:r>
              <w:rPr>
                <w:color w:val="1A1D21"/>
                <w:sz w:val="17"/>
              </w:rPr>
              <w:t>9.41%</w:t>
            </w:r>
          </w:p>
        </w:tc>
      </w:tr>
      <w:tr>
        <w:tc>
          <w:tcPr>
            <w:tcW w:type="dxa" w:w="3969"/>
          </w:tcPr>
          <w:p>
            <w:r/>
            <w:r>
              <w:rPr>
                <w:color w:val="1A1D21"/>
                <w:sz w:val="17"/>
              </w:rPr>
              <w:t>Beta</w:t>
            </w:r>
          </w:p>
        </w:tc>
        <w:tc>
          <w:tcPr>
            <w:tcW w:type="dxa" w:w="2608"/>
          </w:tcPr>
          <w:p>
            <w:pPr>
              <w:jc w:val="right"/>
            </w:pPr>
            <w:r/>
            <w:r>
              <w:rPr>
                <w:color w:val="1A1D21"/>
                <w:sz w:val="17"/>
              </w:rPr>
              <w:t>1.0493</w:t>
            </w:r>
          </w:p>
        </w:tc>
        <w:tc>
          <w:tcPr>
            <w:tcW w:type="dxa" w:w="2608"/>
          </w:tcPr>
          <w:p>
            <w:pPr>
              <w:jc w:val="right"/>
            </w:pPr>
            <w:r/>
            <w:r>
              <w:rPr>
                <w:color w:val="1A1D21"/>
                <w:sz w:val="17"/>
              </w:rPr>
              <w:t>1.0493</w:t>
            </w:r>
          </w:p>
        </w:tc>
      </w:tr>
      <w:tr>
        <w:tc>
          <w:tcPr>
            <w:tcW w:type="dxa" w:w="3969"/>
          </w:tcPr>
          <w:p>
            <w:r/>
            <w:r>
              <w:rPr>
                <w:color w:val="1A1D21"/>
                <w:sz w:val="17"/>
              </w:rPr>
              <w:t>Cost of equity</w:t>
            </w:r>
          </w:p>
        </w:tc>
        <w:tc>
          <w:tcPr>
            <w:tcW w:type="dxa" w:w="2608"/>
          </w:tcPr>
          <w:p>
            <w:pPr>
              <w:jc w:val="right"/>
            </w:pPr>
            <w:r/>
            <w:r>
              <w:rPr>
                <w:color w:val="1A1D21"/>
                <w:sz w:val="17"/>
              </w:rPr>
              <w:t>31.26%</w:t>
            </w:r>
          </w:p>
        </w:tc>
        <w:tc>
          <w:tcPr>
            <w:tcW w:type="dxa" w:w="2608"/>
          </w:tcPr>
          <w:p>
            <w:pPr>
              <w:jc w:val="right"/>
            </w:pPr>
            <w:r/>
            <w:r>
              <w:rPr>
                <w:color w:val="1A1D21"/>
                <w:sz w:val="17"/>
              </w:rPr>
              <w:t>29.46%</w:t>
            </w:r>
          </w:p>
        </w:tc>
      </w:tr>
      <w:tr>
        <w:tc>
          <w:tcPr>
            <w:tcW w:type="dxa" w:w="3969"/>
          </w:tcPr>
          <w:p>
            <w:r/>
            <w:r>
              <w:rPr>
                <w:color w:val="1A1D21"/>
                <w:sz w:val="17"/>
              </w:rPr>
              <w:t>Cost of debt before tax</w:t>
            </w:r>
          </w:p>
        </w:tc>
        <w:tc>
          <w:tcPr>
            <w:tcW w:type="dxa" w:w="2608"/>
          </w:tcPr>
          <w:p>
            <w:pPr>
              <w:jc w:val="right"/>
            </w:pPr>
            <w:r/>
            <w:r>
              <w:rPr>
                <w:color w:val="1A1D21"/>
                <w:sz w:val="17"/>
              </w:rPr>
              <w:t>25.50%</w:t>
            </w:r>
          </w:p>
        </w:tc>
        <w:tc>
          <w:tcPr>
            <w:tcW w:type="dxa" w:w="2608"/>
          </w:tcPr>
          <w:p>
            <w:pPr>
              <w:jc w:val="right"/>
            </w:pPr>
            <w:r/>
            <w:r>
              <w:rPr>
                <w:color w:val="1A1D21"/>
                <w:sz w:val="17"/>
              </w:rPr>
              <w:t>25.50%</w:t>
            </w:r>
          </w:p>
        </w:tc>
      </w:tr>
      <w:tr>
        <w:tc>
          <w:tcPr>
            <w:tcW w:type="dxa" w:w="3969"/>
          </w:tcPr>
          <w:p>
            <w:r/>
            <w:r>
              <w:rPr>
                <w:color w:val="1A1D21"/>
                <w:sz w:val="17"/>
              </w:rPr>
              <w:t>Cost of debt after tax at 22.5%</w:t>
            </w:r>
          </w:p>
        </w:tc>
        <w:tc>
          <w:tcPr>
            <w:tcW w:type="dxa" w:w="2608"/>
          </w:tcPr>
          <w:p>
            <w:pPr>
              <w:jc w:val="right"/>
            </w:pPr>
            <w:r/>
            <w:r>
              <w:rPr>
                <w:color w:val="1A1D21"/>
                <w:sz w:val="17"/>
              </w:rPr>
              <w:t>19.76%</w:t>
            </w:r>
          </w:p>
        </w:tc>
        <w:tc>
          <w:tcPr>
            <w:tcW w:type="dxa" w:w="2608"/>
          </w:tcPr>
          <w:p>
            <w:pPr>
              <w:jc w:val="right"/>
            </w:pPr>
            <w:r/>
            <w:r>
              <w:rPr>
                <w:color w:val="1A1D21"/>
                <w:sz w:val="17"/>
              </w:rPr>
              <w:t>19.76%</w:t>
            </w:r>
          </w:p>
        </w:tc>
      </w:tr>
      <w:tr>
        <w:tc>
          <w:tcPr>
            <w:tcW w:type="dxa" w:w="3969"/>
          </w:tcPr>
          <w:p>
            <w:r/>
            <w:r>
              <w:rPr>
                <w:color w:val="1A1D21"/>
                <w:sz w:val="17"/>
              </w:rPr>
              <w:t>Equity weight at market value</w:t>
            </w:r>
          </w:p>
        </w:tc>
        <w:tc>
          <w:tcPr>
            <w:tcW w:type="dxa" w:w="2608"/>
          </w:tcPr>
          <w:p>
            <w:pPr>
              <w:jc w:val="right"/>
            </w:pPr>
            <w:r/>
            <w:r>
              <w:rPr>
                <w:color w:val="1A1D21"/>
                <w:sz w:val="17"/>
              </w:rPr>
              <w:t>56.4%</w:t>
            </w:r>
          </w:p>
        </w:tc>
        <w:tc>
          <w:tcPr>
            <w:tcW w:type="dxa" w:w="2608"/>
          </w:tcPr>
          <w:p>
            <w:pPr>
              <w:jc w:val="right"/>
            </w:pPr>
            <w:r/>
            <w:r>
              <w:rPr>
                <w:color w:val="1A1D21"/>
                <w:sz w:val="17"/>
              </w:rPr>
              <w:t>56.4%</w:t>
            </w:r>
          </w:p>
        </w:tc>
      </w:tr>
      <w:tr>
        <w:tc>
          <w:tcPr>
            <w:tcW w:type="dxa" w:w="3969"/>
          </w:tcPr>
          <w:p>
            <w:r/>
            <w:r>
              <w:rPr>
                <w:color w:val="1A1D21"/>
                <w:sz w:val="17"/>
              </w:rPr>
              <w:t>Debt weight</w:t>
            </w:r>
          </w:p>
        </w:tc>
        <w:tc>
          <w:tcPr>
            <w:tcW w:type="dxa" w:w="2608"/>
          </w:tcPr>
          <w:p>
            <w:pPr>
              <w:jc w:val="right"/>
            </w:pPr>
            <w:r/>
            <w:r>
              <w:rPr>
                <w:color w:val="1A1D21"/>
                <w:sz w:val="17"/>
              </w:rPr>
              <w:t>43.6%</w:t>
            </w:r>
          </w:p>
        </w:tc>
        <w:tc>
          <w:tcPr>
            <w:tcW w:type="dxa" w:w="2608"/>
          </w:tcPr>
          <w:p>
            <w:pPr>
              <w:jc w:val="right"/>
            </w:pPr>
            <w:r/>
            <w:r>
              <w:rPr>
                <w:color w:val="1A1D21"/>
                <w:sz w:val="17"/>
              </w:rPr>
              <w:t>43.6%</w:t>
            </w:r>
          </w:p>
        </w:tc>
      </w:tr>
      <w:tr>
        <w:tc>
          <w:tcPr>
            <w:tcW w:type="dxa" w:w="3969"/>
          </w:tcPr>
          <w:p>
            <w:r/>
            <w:r>
              <w:rPr>
                <w:color w:val="1A1D21"/>
                <w:sz w:val="17"/>
              </w:rPr>
              <w:t>Weighted average cost of capital</w:t>
            </w:r>
          </w:p>
        </w:tc>
        <w:tc>
          <w:tcPr>
            <w:tcW w:type="dxa" w:w="2608"/>
          </w:tcPr>
          <w:p>
            <w:pPr>
              <w:jc w:val="right"/>
            </w:pPr>
            <w:r/>
            <w:r>
              <w:rPr>
                <w:color w:val="1A1D21"/>
                <w:sz w:val="17"/>
              </w:rPr>
              <w:t>26.25%</w:t>
            </w:r>
          </w:p>
        </w:tc>
        <w:tc>
          <w:tcPr>
            <w:tcW w:type="dxa" w:w="2608"/>
          </w:tcPr>
          <w:p>
            <w:pPr>
              <w:jc w:val="right"/>
            </w:pPr>
            <w:r/>
            <w:r>
              <w:rPr>
                <w:color w:val="1A1D21"/>
                <w:sz w:val="17"/>
              </w:rPr>
              <w:t>25.24%</w:t>
            </w:r>
          </w:p>
        </w:tc>
      </w:tr>
    </w:tbl>
    <w:p>
      <w:pPr>
        <w:spacing w:after="200"/>
      </w:pPr>
      <w:r>
        <w:rPr>
          <w:b w:val="0"/>
          <w:i/>
          <w:color w:val="5B6570"/>
          <w:sz w:val="16"/>
        </w:rPr>
        <w:t>Country risk is counted once, inside the equity risk premium, and the government bond yield is reduced by Egypt's own default spread on the matching basis before that premium is added. Both bases are published because both are defensible and they differ by about a point.</w:t>
      </w:r>
    </w:p>
    <w:p>
      <w:pPr>
        <w:spacing w:after="140"/>
      </w:pPr>
      <w:r>
        <w:rPr>
          <w:b w:val="0"/>
          <w:i w:val="0"/>
          <w:color w:val="1A1D21"/>
          <w:sz w:val="20"/>
        </w:rPr>
        <w:t>The beta is measured on Palm Hills' own weekly price history against the EGX30 index over 4.85 years: 1.0493, with a standard error of 0.1823, an R-squared of 29.9% and 251 weekly observations. A cross-check adjustment toward the market gives 1.0329. Appendix B shows the same measurement for every listed Egyptian developer.</w:t>
      </w:r>
    </w:p>
    <w:p>
      <w:pPr>
        <w:spacing w:after="140"/>
      </w:pPr>
      <w:r>
        <w:rPr>
          <w:b w:val="0"/>
          <w:i w:val="0"/>
          <w:color w:val="1A1D21"/>
          <w:sz w:val="20"/>
        </w:rPr>
        <w:t>The cost of debt is the one cost-of-capital input in this study that is not sourced, and it is flagged. The right anchor exists: the company closed an EGP 2,015 million securitisation on 4 February 2026, the first draw on a newly approved EGP 30 billion programme, in four tranches of 13, 36, 60 and 84 months rated AA+, AA, A+ and A- on the Egyptian national scale. No coupon is published for any tranche. The cost of debt is therefore built as the sovereign yield plus a 250 basis point corporate spread, which puts it above the sovereign as it must be. The accounting rate is deliberately not used: EGP 3,348 million of finance cost on average gross borrowings of about EGP 26,700 million implies 12.5 per cent, far below the sovereign, because much of the balance does not bear interest and part of the charge is capitalised into work in progress.</w:t>
      </w:r>
    </w:p>
    <w:p>
      <w:pPr>
        <w:pStyle w:val="Heading2"/>
      </w:pPr>
      <w:r>
        <w:t>1.9  Sensitivity</w:t>
      </w:r>
    </w:p>
    <w:p>
      <w:pPr>
        <w:spacing w:after="140"/>
      </w:pPr>
      <w:r>
        <w:rPr>
          <w:b w:val="0"/>
          <w:i w:val="0"/>
          <w:color w:val="1A1D21"/>
          <w:sz w:val="20"/>
        </w:rPr>
        <w:t>The table below prices the crux against the discount rate. Read it down a column rather than across a row: moving the discount rate by the whole 800 basis points of the previous edition's error changes value by less than moving cash conversion from one observed year to another.</w:t>
      </w:r>
    </w:p>
    <w:tbl>
      <w:tblPr>
        <w:tblStyle w:val="TableGrid"/>
        <w:tblW w:type="auto" w:w="0"/>
        <w:jc w:val="center"/>
        <w:tblLayout w:type="fixed"/>
        <w:tblLook w:firstColumn="1" w:firstRow="1" w:lastColumn="0" w:lastRow="0" w:noHBand="0" w:noVBand="1" w:val="04A0"/>
        <w:tblLayout w:type="fixed"/>
      </w:tblPr>
      <w:tblGrid>
        <w:gridCol w:w="1605"/>
        <w:gridCol w:w="1605"/>
        <w:gridCol w:w="1605"/>
        <w:gridCol w:w="1605"/>
        <w:gridCol w:w="1605"/>
        <w:gridCol w:w="1605"/>
      </w:tblGrid>
      <w:tr>
        <w:tc>
          <w:tcPr>
            <w:tcW w:type="dxa" w:w="2494"/>
          </w:tcPr>
          <w:p>
            <w:r/>
            <w:r>
              <w:rPr>
                <w:b/>
                <w:color w:val="5B6570"/>
                <w:sz w:val="17"/>
              </w:rPr>
              <w:t>Cash conversion</w:t>
            </w:r>
          </w:p>
        </w:tc>
        <w:tc>
          <w:tcPr>
            <w:tcW w:type="dxa" w:w="1361"/>
          </w:tcPr>
          <w:p>
            <w:r/>
            <w:r>
              <w:rPr>
                <w:b/>
                <w:color w:val="5B6570"/>
                <w:sz w:val="17"/>
              </w:rPr>
              <w:t>22.25%</w:t>
            </w:r>
          </w:p>
        </w:tc>
        <w:tc>
          <w:tcPr>
            <w:tcW w:type="dxa" w:w="1361"/>
          </w:tcPr>
          <w:p>
            <w:r/>
            <w:r>
              <w:rPr>
                <w:b/>
                <w:color w:val="5B6570"/>
                <w:sz w:val="17"/>
              </w:rPr>
              <w:t>24.25%</w:t>
            </w:r>
          </w:p>
        </w:tc>
        <w:tc>
          <w:tcPr>
            <w:tcW w:type="dxa" w:w="1361"/>
          </w:tcPr>
          <w:p>
            <w:r/>
            <w:r>
              <w:rPr>
                <w:b/>
                <w:color w:val="5B6570"/>
                <w:sz w:val="17"/>
              </w:rPr>
              <w:t>26.25%</w:t>
            </w:r>
          </w:p>
        </w:tc>
        <w:tc>
          <w:tcPr>
            <w:tcW w:type="dxa" w:w="1361"/>
          </w:tcPr>
          <w:p>
            <w:r/>
            <w:r>
              <w:rPr>
                <w:b/>
                <w:color w:val="5B6570"/>
                <w:sz w:val="17"/>
              </w:rPr>
              <w:t>28.25%</w:t>
            </w:r>
          </w:p>
        </w:tc>
        <w:tc>
          <w:tcPr>
            <w:tcW w:type="dxa" w:w="1361"/>
          </w:tcPr>
          <w:p>
            <w:r/>
            <w:r>
              <w:rPr>
                <w:b/>
                <w:color w:val="5B6570"/>
                <w:sz w:val="17"/>
              </w:rPr>
              <w:t>30.25%</w:t>
            </w:r>
          </w:p>
        </w:tc>
      </w:tr>
      <w:tr>
        <w:tc>
          <w:tcPr>
            <w:tcW w:type="dxa" w:w="2494"/>
          </w:tcPr>
          <w:p>
            <w:r/>
            <w:r>
              <w:rPr>
                <w:color w:val="1A1D21"/>
                <w:sz w:val="17"/>
              </w:rPr>
              <w:t>3.9%</w:t>
            </w:r>
          </w:p>
        </w:tc>
        <w:tc>
          <w:tcPr>
            <w:tcW w:type="dxa" w:w="1361"/>
          </w:tcPr>
          <w:p>
            <w:pPr>
              <w:jc w:val="right"/>
            </w:pPr>
            <w:r/>
            <w:r>
              <w:rPr>
                <w:color w:val="1A1D21"/>
                <w:sz w:val="17"/>
              </w:rPr>
              <w:t>15.00</w:t>
            </w:r>
          </w:p>
        </w:tc>
        <w:tc>
          <w:tcPr>
            <w:tcW w:type="dxa" w:w="1361"/>
          </w:tcPr>
          <w:p>
            <w:pPr>
              <w:jc w:val="right"/>
            </w:pPr>
            <w:r/>
            <w:r>
              <w:rPr>
                <w:color w:val="1A1D21"/>
                <w:sz w:val="17"/>
              </w:rPr>
              <w:t>11.61</w:t>
            </w:r>
          </w:p>
        </w:tc>
        <w:tc>
          <w:tcPr>
            <w:tcW w:type="dxa" w:w="1361"/>
          </w:tcPr>
          <w:p>
            <w:pPr>
              <w:jc w:val="right"/>
            </w:pPr>
            <w:r/>
            <w:r>
              <w:rPr>
                <w:color w:val="1A1D21"/>
                <w:sz w:val="17"/>
              </w:rPr>
              <w:t>9.17</w:t>
            </w:r>
          </w:p>
        </w:tc>
        <w:tc>
          <w:tcPr>
            <w:tcW w:type="dxa" w:w="1361"/>
          </w:tcPr>
          <w:p>
            <w:pPr>
              <w:jc w:val="right"/>
            </w:pPr>
            <w:r/>
            <w:r>
              <w:rPr>
                <w:color w:val="1A1D21"/>
                <w:sz w:val="17"/>
              </w:rPr>
              <w:t>7.31</w:t>
            </w:r>
          </w:p>
        </w:tc>
        <w:tc>
          <w:tcPr>
            <w:tcW w:type="dxa" w:w="1361"/>
          </w:tcPr>
          <w:p>
            <w:pPr>
              <w:jc w:val="right"/>
            </w:pPr>
            <w:r/>
            <w:r>
              <w:rPr>
                <w:color w:val="1A1D21"/>
                <w:sz w:val="17"/>
              </w:rPr>
              <w:t>5.86</w:t>
            </w:r>
          </w:p>
        </w:tc>
      </w:tr>
      <w:tr>
        <w:tc>
          <w:tcPr>
            <w:tcW w:type="dxa" w:w="2494"/>
          </w:tcPr>
          <w:p>
            <w:r/>
            <w:r>
              <w:rPr>
                <w:color w:val="1A1D21"/>
                <w:sz w:val="17"/>
              </w:rPr>
              <w:t>6.0%</w:t>
            </w:r>
          </w:p>
        </w:tc>
        <w:tc>
          <w:tcPr>
            <w:tcW w:type="dxa" w:w="1361"/>
          </w:tcPr>
          <w:p>
            <w:pPr>
              <w:jc w:val="right"/>
            </w:pPr>
            <w:r/>
            <w:r>
              <w:rPr>
                <w:color w:val="1A1D21"/>
                <w:sz w:val="17"/>
              </w:rPr>
              <w:t>21.60</w:t>
            </w:r>
          </w:p>
        </w:tc>
        <w:tc>
          <w:tcPr>
            <w:tcW w:type="dxa" w:w="1361"/>
          </w:tcPr>
          <w:p>
            <w:pPr>
              <w:jc w:val="right"/>
            </w:pPr>
            <w:r/>
            <w:r>
              <w:rPr>
                <w:color w:val="1A1D21"/>
                <w:sz w:val="17"/>
              </w:rPr>
              <w:t>16.91</w:t>
            </w:r>
          </w:p>
        </w:tc>
        <w:tc>
          <w:tcPr>
            <w:tcW w:type="dxa" w:w="1361"/>
          </w:tcPr>
          <w:p>
            <w:pPr>
              <w:jc w:val="right"/>
            </w:pPr>
            <w:r/>
            <w:r>
              <w:rPr>
                <w:color w:val="1A1D21"/>
                <w:sz w:val="17"/>
              </w:rPr>
              <w:t>13.54</w:t>
            </w:r>
          </w:p>
        </w:tc>
        <w:tc>
          <w:tcPr>
            <w:tcW w:type="dxa" w:w="1361"/>
          </w:tcPr>
          <w:p>
            <w:pPr>
              <w:jc w:val="right"/>
            </w:pPr>
            <w:r/>
            <w:r>
              <w:rPr>
                <w:color w:val="1A1D21"/>
                <w:sz w:val="17"/>
              </w:rPr>
              <w:t>11.02</w:t>
            </w:r>
          </w:p>
        </w:tc>
        <w:tc>
          <w:tcPr>
            <w:tcW w:type="dxa" w:w="1361"/>
          </w:tcPr>
          <w:p>
            <w:pPr>
              <w:jc w:val="right"/>
            </w:pPr>
            <w:r/>
            <w:r>
              <w:rPr>
                <w:color w:val="1A1D21"/>
                <w:sz w:val="17"/>
              </w:rPr>
              <w:t>9.05</w:t>
            </w:r>
          </w:p>
        </w:tc>
      </w:tr>
      <w:tr>
        <w:tc>
          <w:tcPr>
            <w:tcW w:type="dxa" w:w="2494"/>
          </w:tcPr>
          <w:p>
            <w:r/>
            <w:r>
              <w:rPr>
                <w:color w:val="1A1D21"/>
                <w:sz w:val="17"/>
              </w:rPr>
              <w:t>8.7%</w:t>
            </w:r>
          </w:p>
        </w:tc>
        <w:tc>
          <w:tcPr>
            <w:tcW w:type="dxa" w:w="1361"/>
          </w:tcPr>
          <w:p>
            <w:pPr>
              <w:jc w:val="right"/>
            </w:pPr>
            <w:r/>
            <w:r>
              <w:rPr>
                <w:color w:val="1A1D21"/>
                <w:sz w:val="17"/>
              </w:rPr>
              <w:t>30.28</w:t>
            </w:r>
          </w:p>
        </w:tc>
        <w:tc>
          <w:tcPr>
            <w:tcW w:type="dxa" w:w="1361"/>
          </w:tcPr>
          <w:p>
            <w:pPr>
              <w:jc w:val="right"/>
            </w:pPr>
            <w:r/>
            <w:r>
              <w:rPr>
                <w:color w:val="1A1D21"/>
                <w:sz w:val="17"/>
              </w:rPr>
              <w:t>23.87</w:t>
            </w:r>
          </w:p>
        </w:tc>
        <w:tc>
          <w:tcPr>
            <w:tcW w:type="dxa" w:w="1361"/>
          </w:tcPr>
          <w:p>
            <w:pPr>
              <w:jc w:val="right"/>
            </w:pPr>
            <w:r/>
            <w:r>
              <w:rPr>
                <w:color w:val="1A1D21"/>
                <w:sz w:val="17"/>
              </w:rPr>
              <w:t>19.30</w:t>
            </w:r>
          </w:p>
        </w:tc>
        <w:tc>
          <w:tcPr>
            <w:tcW w:type="dxa" w:w="1361"/>
          </w:tcPr>
          <w:p>
            <w:pPr>
              <w:jc w:val="right"/>
            </w:pPr>
            <w:r/>
            <w:r>
              <w:rPr>
                <w:color w:val="1A1D21"/>
                <w:sz w:val="17"/>
              </w:rPr>
              <w:t>15.89</w:t>
            </w:r>
          </w:p>
        </w:tc>
        <w:tc>
          <w:tcPr>
            <w:tcW w:type="dxa" w:w="1361"/>
          </w:tcPr>
          <w:p>
            <w:pPr>
              <w:jc w:val="right"/>
            </w:pPr>
            <w:r/>
            <w:r>
              <w:rPr>
                <w:color w:val="1A1D21"/>
                <w:sz w:val="17"/>
              </w:rPr>
              <w:t>13.25</w:t>
            </w:r>
          </w:p>
        </w:tc>
      </w:tr>
      <w:tr>
        <w:tc>
          <w:tcPr>
            <w:tcW w:type="dxa" w:w="2494"/>
          </w:tcPr>
          <w:p>
            <w:r/>
            <w:r>
              <w:rPr>
                <w:color w:val="1A1D21"/>
                <w:sz w:val="17"/>
              </w:rPr>
              <w:t>12.0%</w:t>
            </w:r>
          </w:p>
        </w:tc>
        <w:tc>
          <w:tcPr>
            <w:tcW w:type="dxa" w:w="1361"/>
          </w:tcPr>
          <w:p>
            <w:pPr>
              <w:jc w:val="right"/>
            </w:pPr>
            <w:r/>
            <w:r>
              <w:rPr>
                <w:color w:val="1A1D21"/>
                <w:sz w:val="17"/>
              </w:rPr>
              <w:t>40.80</w:t>
            </w:r>
          </w:p>
        </w:tc>
        <w:tc>
          <w:tcPr>
            <w:tcW w:type="dxa" w:w="1361"/>
          </w:tcPr>
          <w:p>
            <w:pPr>
              <w:jc w:val="right"/>
            </w:pPr>
            <w:r/>
            <w:r>
              <w:rPr>
                <w:color w:val="1A1D21"/>
                <w:sz w:val="17"/>
              </w:rPr>
              <w:t>32.31</w:t>
            </w:r>
          </w:p>
        </w:tc>
        <w:tc>
          <w:tcPr>
            <w:tcW w:type="dxa" w:w="1361"/>
          </w:tcPr>
          <w:p>
            <w:pPr>
              <w:jc w:val="right"/>
            </w:pPr>
            <w:r/>
            <w:r>
              <w:rPr>
                <w:color w:val="1A1D21"/>
                <w:sz w:val="17"/>
              </w:rPr>
              <w:t>26.28</w:t>
            </w:r>
          </w:p>
        </w:tc>
        <w:tc>
          <w:tcPr>
            <w:tcW w:type="dxa" w:w="1361"/>
          </w:tcPr>
          <w:p>
            <w:pPr>
              <w:jc w:val="right"/>
            </w:pPr>
            <w:r/>
            <w:r>
              <w:rPr>
                <w:color w:val="1A1D21"/>
                <w:sz w:val="17"/>
              </w:rPr>
              <w:t>21.79</w:t>
            </w:r>
          </w:p>
        </w:tc>
        <w:tc>
          <w:tcPr>
            <w:tcW w:type="dxa" w:w="1361"/>
          </w:tcPr>
          <w:p>
            <w:pPr>
              <w:jc w:val="right"/>
            </w:pPr>
            <w:r/>
            <w:r>
              <w:rPr>
                <w:color w:val="1A1D21"/>
                <w:sz w:val="17"/>
              </w:rPr>
              <w:t>18.33</w:t>
            </w:r>
          </w:p>
        </w:tc>
      </w:tr>
      <w:tr>
        <w:tc>
          <w:tcPr>
            <w:tcW w:type="dxa" w:w="2494"/>
          </w:tcPr>
          <w:p>
            <w:r/>
            <w:r>
              <w:rPr>
                <w:color w:val="1A1D21"/>
                <w:sz w:val="17"/>
              </w:rPr>
              <w:t>17.9%</w:t>
            </w:r>
          </w:p>
        </w:tc>
        <w:tc>
          <w:tcPr>
            <w:tcW w:type="dxa" w:w="1361"/>
          </w:tcPr>
          <w:p>
            <w:pPr>
              <w:jc w:val="right"/>
            </w:pPr>
            <w:r/>
            <w:r>
              <w:rPr>
                <w:color w:val="1A1D21"/>
                <w:sz w:val="17"/>
              </w:rPr>
              <w:t>59.58</w:t>
            </w:r>
          </w:p>
        </w:tc>
        <w:tc>
          <w:tcPr>
            <w:tcW w:type="dxa" w:w="1361"/>
          </w:tcPr>
          <w:p>
            <w:pPr>
              <w:jc w:val="right"/>
            </w:pPr>
            <w:r/>
            <w:r>
              <w:rPr>
                <w:color w:val="1A1D21"/>
                <w:sz w:val="17"/>
              </w:rPr>
              <w:t>47.38</w:t>
            </w:r>
          </w:p>
        </w:tc>
        <w:tc>
          <w:tcPr>
            <w:tcW w:type="dxa" w:w="1361"/>
          </w:tcPr>
          <w:p>
            <w:pPr>
              <w:jc w:val="right"/>
            </w:pPr>
            <w:r/>
            <w:r>
              <w:rPr>
                <w:color w:val="1A1D21"/>
                <w:sz w:val="17"/>
              </w:rPr>
              <w:t>38.74</w:t>
            </w:r>
          </w:p>
        </w:tc>
        <w:tc>
          <w:tcPr>
            <w:tcW w:type="dxa" w:w="1361"/>
          </w:tcPr>
          <w:p>
            <w:pPr>
              <w:jc w:val="right"/>
            </w:pPr>
            <w:r/>
            <w:r>
              <w:rPr>
                <w:color w:val="1A1D21"/>
                <w:sz w:val="17"/>
              </w:rPr>
              <w:t>32.33</w:t>
            </w:r>
          </w:p>
        </w:tc>
        <w:tc>
          <w:tcPr>
            <w:tcW w:type="dxa" w:w="1361"/>
          </w:tcPr>
          <w:p>
            <w:pPr>
              <w:jc w:val="right"/>
            </w:pPr>
            <w:r/>
            <w:r>
              <w:rPr>
                <w:color w:val="1A1D21"/>
                <w:sz w:val="17"/>
              </w:rPr>
              <w:t>27.41</w:t>
            </w:r>
          </w:p>
        </w:tc>
      </w:tr>
    </w:tbl>
    <w:p>
      <w:pPr>
        <w:spacing w:after="200"/>
      </w:pPr>
      <w:r>
        <w:rPr>
          <w:b w:val="0"/>
          <w:i/>
          <w:color w:val="5B6570"/>
          <w:sz w:val="16"/>
        </w:rPr>
        <w:t>Value per share in Egyptian pounds. The closing price on 23 August 2026 was EGP 15.20.</w:t>
      </w:r>
    </w:p>
    <w:p>
      <w:pPr>
        <w:jc w:val="center"/>
      </w:pPr>
      <w:r>
        <w:drawing>
          <wp:inline xmlns:a="http://schemas.openxmlformats.org/drawingml/2006/main" xmlns:pic="http://schemas.openxmlformats.org/drawingml/2006/picture">
            <wp:extent cx="5832000" cy="3272375"/>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3272375"/>
                    </a:xfrm>
                    <a:prstGeom prst="rect"/>
                  </pic:spPr>
                </pic:pic>
              </a:graphicData>
            </a:graphic>
          </wp:inline>
        </w:drawing>
      </w:r>
    </w:p>
    <w:p>
      <w:pPr>
        <w:spacing w:after="240"/>
        <w:jc w:val="center"/>
      </w:pPr>
      <w:r>
        <w:rPr>
          <w:b w:val="0"/>
          <w:i/>
          <w:color w:val="5B6570"/>
          <w:sz w:val="16"/>
        </w:rPr>
        <w:t>Figure 2 — the same grid. Darker cells are higher values; the two axes are the discount rate and the rate at which contracted sales turn into cash.</w:t>
      </w:r>
    </w:p>
    <w:p>
      <w:pPr>
        <w:spacing w:after="140"/>
      </w:pPr>
      <w:r>
        <w:rPr>
          <w:b w:val="0"/>
          <w:i w:val="0"/>
          <w:color w:val="1A1D21"/>
          <w:sz w:val="20"/>
        </w:rPr>
        <w:t>Solving the model back to the closing price gives a cash-conversion rate of 6.8%. That is the clearest single statement this study can make about the current price: the market is paying for conversion better than 2023 and 2025 delivered, and materially worse than 2024 did.</w:t>
      </w:r>
    </w:p>
    <w:p>
      <w:pPr>
        <w:pStyle w:val="Heading1"/>
      </w:pPr>
      <w:r>
        <w:t>2  Technical and price structure</w:t>
      </w:r>
    </w:p>
    <w:p>
      <w:pPr>
        <w:spacing w:after="140"/>
      </w:pPr>
      <w:r>
        <w:rPr>
          <w:b w:val="0"/>
          <w:i w:val="0"/>
          <w:color w:val="1A1D21"/>
          <w:sz w:val="20"/>
        </w:rPr>
        <w:t>The shares closed at EGP 15.20 on 23 August 2026, above a rising 20-day average at 15.15, a rising 50-day at 15.10 and a rising 200-day at 10.95. The whole moving-average stack is beneath the price and sloping up, which is the least ambiguous configuration a trend read produces.</w:t>
      </w:r>
    </w:p>
    <w:tbl>
      <w:tblPr>
        <w:tblStyle w:val="TableGrid"/>
        <w:tblW w:type="auto" w:w="0"/>
        <w:jc w:val="center"/>
        <w:tblLayout w:type="fixed"/>
        <w:tblLook w:firstColumn="1" w:firstRow="1" w:lastColumn="0" w:lastRow="0" w:noHBand="0" w:noVBand="1" w:val="04A0"/>
        <w:tblLayout w:type="fixed"/>
      </w:tblPr>
      <w:tblGrid>
        <w:gridCol w:w="2408"/>
        <w:gridCol w:w="2408"/>
        <w:gridCol w:w="2408"/>
        <w:gridCol w:w="2408"/>
      </w:tblGrid>
      <w:tr>
        <w:tc>
          <w:tcPr>
            <w:tcW w:type="dxa" w:w="2041"/>
          </w:tcPr>
          <w:p>
            <w:r/>
            <w:r>
              <w:rPr>
                <w:b/>
                <w:color w:val="5B6570"/>
                <w:sz w:val="17"/>
              </w:rPr>
              <w:t>Resistance</w:t>
            </w:r>
          </w:p>
        </w:tc>
        <w:tc>
          <w:tcPr>
            <w:tcW w:type="dxa" w:w="2268"/>
          </w:tcPr>
          <w:p>
            <w:r/>
            <w:r>
              <w:rPr>
                <w:b/>
                <w:color w:val="5B6570"/>
                <w:sz w:val="17"/>
              </w:rPr>
              <w:t>EGP</w:t>
            </w:r>
          </w:p>
        </w:tc>
        <w:tc>
          <w:tcPr>
            <w:tcW w:type="dxa" w:w="2041"/>
          </w:tcPr>
          <w:p>
            <w:r/>
            <w:r>
              <w:rPr>
                <w:b/>
                <w:color w:val="5B6570"/>
                <w:sz w:val="17"/>
              </w:rPr>
              <w:t>Support</w:t>
            </w:r>
          </w:p>
        </w:tc>
        <w:tc>
          <w:tcPr>
            <w:tcW w:type="dxa" w:w="2268"/>
          </w:tcPr>
          <w:p>
            <w:r/>
            <w:r>
              <w:rPr>
                <w:b/>
                <w:color w:val="5B6570"/>
                <w:sz w:val="17"/>
              </w:rPr>
              <w:t>EGP</w:t>
            </w:r>
          </w:p>
        </w:tc>
      </w:tr>
      <w:tr>
        <w:tc>
          <w:tcPr>
            <w:tcW w:type="dxa" w:w="2041"/>
          </w:tcPr>
          <w:p>
            <w:r/>
            <w:r>
              <w:rPr>
                <w:color w:val="1A1D21"/>
                <w:sz w:val="17"/>
              </w:rPr>
              <w:t>First</w:t>
            </w:r>
          </w:p>
        </w:tc>
        <w:tc>
          <w:tcPr>
            <w:tcW w:type="dxa" w:w="2268"/>
          </w:tcPr>
          <w:p>
            <w:pPr>
              <w:jc w:val="right"/>
            </w:pPr>
            <w:r/>
            <w:r>
              <w:rPr>
                <w:color w:val="1A1D21"/>
                <w:sz w:val="17"/>
              </w:rPr>
              <w:t>15.38</w:t>
            </w:r>
          </w:p>
        </w:tc>
        <w:tc>
          <w:tcPr>
            <w:tcW w:type="dxa" w:w="2041"/>
          </w:tcPr>
          <w:p>
            <w:r/>
            <w:r>
              <w:rPr>
                <w:color w:val="1A1D21"/>
                <w:sz w:val="17"/>
              </w:rPr>
              <w:t>First</w:t>
            </w:r>
          </w:p>
        </w:tc>
        <w:tc>
          <w:tcPr>
            <w:tcW w:type="dxa" w:w="2268"/>
          </w:tcPr>
          <w:p>
            <w:pPr>
              <w:jc w:val="right"/>
            </w:pPr>
            <w:r/>
            <w:r>
              <w:rPr>
                <w:color w:val="1A1D21"/>
                <w:sz w:val="17"/>
              </w:rPr>
              <w:t>14.99</w:t>
            </w:r>
          </w:p>
        </w:tc>
      </w:tr>
      <w:tr>
        <w:tc>
          <w:tcPr>
            <w:tcW w:type="dxa" w:w="2041"/>
          </w:tcPr>
          <w:p>
            <w:r/>
            <w:r>
              <w:rPr>
                <w:color w:val="1A1D21"/>
                <w:sz w:val="17"/>
              </w:rPr>
              <w:t>Second</w:t>
            </w:r>
          </w:p>
        </w:tc>
        <w:tc>
          <w:tcPr>
            <w:tcW w:type="dxa" w:w="2268"/>
          </w:tcPr>
          <w:p>
            <w:pPr>
              <w:jc w:val="right"/>
            </w:pPr>
            <w:r/>
            <w:r>
              <w:rPr>
                <w:color w:val="1A1D21"/>
                <w:sz w:val="17"/>
              </w:rPr>
              <w:t>15.73</w:t>
            </w:r>
          </w:p>
        </w:tc>
        <w:tc>
          <w:tcPr>
            <w:tcW w:type="dxa" w:w="2041"/>
          </w:tcPr>
          <w:p>
            <w:r/>
            <w:r>
              <w:rPr>
                <w:color w:val="1A1D21"/>
                <w:sz w:val="17"/>
              </w:rPr>
              <w:t>Second</w:t>
            </w:r>
          </w:p>
        </w:tc>
        <w:tc>
          <w:tcPr>
            <w:tcW w:type="dxa" w:w="2268"/>
          </w:tcPr>
          <w:p>
            <w:pPr>
              <w:jc w:val="right"/>
            </w:pPr>
            <w:r/>
            <w:r>
              <w:rPr>
                <w:color w:val="1A1D21"/>
                <w:sz w:val="17"/>
              </w:rPr>
              <w:t>14.40</w:t>
            </w:r>
          </w:p>
        </w:tc>
      </w:tr>
      <w:tr>
        <w:tc>
          <w:tcPr>
            <w:tcW w:type="dxa" w:w="2041"/>
          </w:tcPr>
          <w:p>
            <w:r/>
            <w:r>
              <w:rPr>
                <w:color w:val="1A1D21"/>
                <w:sz w:val="17"/>
              </w:rPr>
              <w:t>Third</w:t>
            </w:r>
          </w:p>
        </w:tc>
        <w:tc>
          <w:tcPr>
            <w:tcW w:type="dxa" w:w="2268"/>
          </w:tcPr>
          <w:p>
            <w:pPr>
              <w:jc w:val="right"/>
            </w:pPr>
            <w:r/>
            <w:r>
              <w:rPr>
                <w:color w:val="1A1D21"/>
                <w:sz w:val="17"/>
              </w:rPr>
              <w:t>16.08</w:t>
            </w:r>
          </w:p>
        </w:tc>
        <w:tc>
          <w:tcPr>
            <w:tcW w:type="dxa" w:w="2041"/>
          </w:tcPr>
          <w:p>
            <w:r/>
            <w:r>
              <w:rPr>
                <w:color w:val="1A1D21"/>
                <w:sz w:val="17"/>
              </w:rPr>
              <w:t>Third</w:t>
            </w:r>
          </w:p>
        </w:tc>
        <w:tc>
          <w:tcPr>
            <w:tcW w:type="dxa" w:w="2268"/>
          </w:tcPr>
          <w:p>
            <w:pPr>
              <w:jc w:val="right"/>
            </w:pPr>
            <w:r/>
            <w:r>
              <w:rPr>
                <w:color w:val="1A1D21"/>
                <w:sz w:val="17"/>
              </w:rPr>
              <w:t>13.01</w:t>
            </w:r>
          </w:p>
        </w:tc>
      </w:tr>
    </w:tbl>
    <w:p>
      <w:pPr>
        <w:spacing w:after="200"/>
      </w:pPr>
      <w:r>
        <w:rPr>
          <w:b w:val="0"/>
          <w:i/>
          <w:color w:val="5B6570"/>
          <w:sz w:val="16"/>
        </w:rPr>
        <w:t>Levels are computed from the same cleaned price history the distribution in section 3 is built on; first resistance and first support are always the nearest to the close.</w:t>
      </w:r>
    </w:p>
    <w:p>
      <w:pPr>
        <w:spacing w:after="140"/>
      </w:pPr>
      <w:r>
        <w:rPr>
          <w:b w:val="0"/>
          <w:i w:val="0"/>
          <w:color w:val="1A1D21"/>
          <w:sz w:val="20"/>
        </w:rPr>
        <w:t>The levels sit close together — first resistance is 1.2 per cent above the close and first support 1.4 per cent below — so the near-term structure is tight and offers little information on its own. The 200-day average at 10.95 is far below the price, which is a consequence of how much the shares have risen, not a signal.</w:t>
      </w:r>
    </w:p>
    <w:p>
      <w:pPr>
        <w:pStyle w:val="Heading1"/>
      </w:pPr>
      <w:r>
        <w:t>3  A probabilistic price map</w:t>
      </w:r>
    </w:p>
    <w:p>
      <w:pPr>
        <w:spacing w:after="140"/>
      </w:pPr>
      <w:r>
        <w:rPr>
          <w:b w:val="0"/>
          <w:i w:val="0"/>
          <w:color w:val="1A1D21"/>
          <w:sz w:val="20"/>
        </w:rPr>
        <w:t>This section is not a forecast and does not connect to the valuation above. It is a statement of how widely the price has historically moved over one and three months, expressed as a distribution.</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2494"/>
          </w:tcPr>
          <w:p>
            <w:r/>
            <w:r>
              <w:rPr>
                <w:b/>
                <w:color w:val="5B6570"/>
                <w:sz w:val="17"/>
              </w:rPr>
              <w:t>Percentile</w:t>
            </w:r>
          </w:p>
        </w:tc>
        <w:tc>
          <w:tcPr>
            <w:tcW w:type="dxa" w:w="3175"/>
          </w:tcPr>
          <w:p>
            <w:r/>
            <w:r>
              <w:rPr>
                <w:b/>
                <w:color w:val="5B6570"/>
                <w:sz w:val="17"/>
              </w:rPr>
              <w:t>One month (EGP)</w:t>
            </w:r>
          </w:p>
        </w:tc>
        <w:tc>
          <w:tcPr>
            <w:tcW w:type="dxa" w:w="3175"/>
          </w:tcPr>
          <w:p>
            <w:r/>
            <w:r>
              <w:rPr>
                <w:b/>
                <w:color w:val="5B6570"/>
                <w:sz w:val="17"/>
              </w:rPr>
              <w:t>Three months (EGP)</w:t>
            </w:r>
          </w:p>
        </w:tc>
      </w:tr>
      <w:tr>
        <w:tc>
          <w:tcPr>
            <w:tcW w:type="dxa" w:w="2494"/>
          </w:tcPr>
          <w:p>
            <w:r/>
            <w:r>
              <w:rPr>
                <w:color w:val="1A1D21"/>
                <w:sz w:val="17"/>
              </w:rPr>
              <w:t>5th</w:t>
            </w:r>
          </w:p>
        </w:tc>
        <w:tc>
          <w:tcPr>
            <w:tcW w:type="dxa" w:w="3175"/>
          </w:tcPr>
          <w:p>
            <w:pPr>
              <w:jc w:val="right"/>
            </w:pPr>
            <w:r/>
            <w:r>
              <w:rPr>
                <w:color w:val="1A1D21"/>
                <w:sz w:val="17"/>
              </w:rPr>
              <w:t>13.08</w:t>
            </w:r>
          </w:p>
        </w:tc>
        <w:tc>
          <w:tcPr>
            <w:tcW w:type="dxa" w:w="3175"/>
          </w:tcPr>
          <w:p>
            <w:pPr>
              <w:jc w:val="right"/>
            </w:pPr>
            <w:r/>
            <w:r>
              <w:rPr>
                <w:color w:val="1A1D21"/>
                <w:sz w:val="17"/>
              </w:rPr>
              <w:t>11.98</w:t>
            </w:r>
          </w:p>
        </w:tc>
      </w:tr>
      <w:tr>
        <w:tc>
          <w:tcPr>
            <w:tcW w:type="dxa" w:w="2494"/>
          </w:tcPr>
          <w:p>
            <w:r/>
            <w:r>
              <w:rPr>
                <w:color w:val="1A1D21"/>
                <w:sz w:val="17"/>
              </w:rPr>
              <w:t>25th</w:t>
            </w:r>
          </w:p>
        </w:tc>
        <w:tc>
          <w:tcPr>
            <w:tcW w:type="dxa" w:w="3175"/>
          </w:tcPr>
          <w:p>
            <w:pPr>
              <w:jc w:val="right"/>
            </w:pPr>
            <w:r/>
            <w:r>
              <w:rPr>
                <w:color w:val="1A1D21"/>
                <w:sz w:val="17"/>
              </w:rPr>
              <w:t>14.67</w:t>
            </w:r>
          </w:p>
        </w:tc>
        <w:tc>
          <w:tcPr>
            <w:tcW w:type="dxa" w:w="3175"/>
          </w:tcPr>
          <w:p>
            <w:pPr>
              <w:jc w:val="right"/>
            </w:pPr>
            <w:r/>
            <w:r>
              <w:rPr>
                <w:color w:val="1A1D21"/>
                <w:sz w:val="17"/>
              </w:rPr>
              <w:t>14.61</w:t>
            </w:r>
          </w:p>
        </w:tc>
      </w:tr>
      <w:tr>
        <w:tc>
          <w:tcPr>
            <w:tcW w:type="dxa" w:w="2494"/>
          </w:tcPr>
          <w:p>
            <w:r/>
            <w:r>
              <w:rPr>
                <w:color w:val="1A1D21"/>
                <w:sz w:val="17"/>
              </w:rPr>
              <w:t>50th</w:t>
            </w:r>
          </w:p>
        </w:tc>
        <w:tc>
          <w:tcPr>
            <w:tcW w:type="dxa" w:w="3175"/>
          </w:tcPr>
          <w:p>
            <w:pPr>
              <w:jc w:val="right"/>
            </w:pPr>
            <w:r/>
            <w:r>
              <w:rPr>
                <w:color w:val="1A1D21"/>
                <w:sz w:val="17"/>
              </w:rPr>
              <w:t>15.64</w:t>
            </w:r>
          </w:p>
        </w:tc>
        <w:tc>
          <w:tcPr>
            <w:tcW w:type="dxa" w:w="3175"/>
          </w:tcPr>
          <w:p>
            <w:pPr>
              <w:jc w:val="right"/>
            </w:pPr>
            <w:r/>
            <w:r>
              <w:rPr>
                <w:color w:val="1A1D21"/>
                <w:sz w:val="17"/>
              </w:rPr>
              <w:t>16.34</w:t>
            </w:r>
          </w:p>
        </w:tc>
      </w:tr>
      <w:tr>
        <w:tc>
          <w:tcPr>
            <w:tcW w:type="dxa" w:w="2494"/>
          </w:tcPr>
          <w:p>
            <w:r/>
            <w:r>
              <w:rPr>
                <w:color w:val="1A1D21"/>
                <w:sz w:val="17"/>
              </w:rPr>
              <w:t>75th</w:t>
            </w:r>
          </w:p>
        </w:tc>
        <w:tc>
          <w:tcPr>
            <w:tcW w:type="dxa" w:w="3175"/>
          </w:tcPr>
          <w:p>
            <w:pPr>
              <w:jc w:val="right"/>
            </w:pPr>
            <w:r/>
            <w:r>
              <w:rPr>
                <w:color w:val="1A1D21"/>
                <w:sz w:val="17"/>
              </w:rPr>
              <w:t>16.68</w:t>
            </w:r>
          </w:p>
        </w:tc>
        <w:tc>
          <w:tcPr>
            <w:tcW w:type="dxa" w:w="3175"/>
          </w:tcPr>
          <w:p>
            <w:pPr>
              <w:jc w:val="right"/>
            </w:pPr>
            <w:r/>
            <w:r>
              <w:rPr>
                <w:color w:val="1A1D21"/>
                <w:sz w:val="17"/>
              </w:rPr>
              <w:t>18.27</w:t>
            </w:r>
          </w:p>
        </w:tc>
      </w:tr>
      <w:tr>
        <w:tc>
          <w:tcPr>
            <w:tcW w:type="dxa" w:w="2494"/>
          </w:tcPr>
          <w:p>
            <w:r/>
            <w:r>
              <w:rPr>
                <w:color w:val="1A1D21"/>
                <w:sz w:val="17"/>
              </w:rPr>
              <w:t>95th</w:t>
            </w:r>
          </w:p>
        </w:tc>
        <w:tc>
          <w:tcPr>
            <w:tcW w:type="dxa" w:w="3175"/>
          </w:tcPr>
          <w:p>
            <w:pPr>
              <w:jc w:val="right"/>
            </w:pPr>
            <w:r/>
            <w:r>
              <w:rPr>
                <w:color w:val="1A1D21"/>
                <w:sz w:val="17"/>
              </w:rPr>
              <w:t>18.71</w:t>
            </w:r>
          </w:p>
        </w:tc>
        <w:tc>
          <w:tcPr>
            <w:tcW w:type="dxa" w:w="3175"/>
          </w:tcPr>
          <w:p>
            <w:pPr>
              <w:jc w:val="right"/>
            </w:pPr>
            <w:r/>
            <w:r>
              <w:rPr>
                <w:color w:val="1A1D21"/>
                <w:sz w:val="17"/>
              </w:rPr>
              <w:t>22.26</w:t>
            </w:r>
          </w:p>
        </w:tc>
      </w:tr>
    </w:tbl>
    <w:p>
      <w:pPr>
        <w:spacing w:after="200"/>
      </w:pPr>
      <w:r>
        <w:rPr>
          <w:b w:val="0"/>
          <w:i/>
          <w:color w:val="5B6570"/>
          <w:sz w:val="16"/>
        </w:rPr>
        <w:t>Resolving 2026-09-23 and 2026-11-23 respectively.</w:t>
      </w:r>
    </w:p>
    <w:p>
      <w:pPr>
        <w:jc w:val="center"/>
      </w:pPr>
      <w:r>
        <w:drawing>
          <wp:inline xmlns:a="http://schemas.openxmlformats.org/drawingml/2006/main" xmlns:pic="http://schemas.openxmlformats.org/drawingml/2006/picture">
            <wp:extent cx="5832000" cy="3110713"/>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3110713"/>
                    </a:xfrm>
                    <a:prstGeom prst="rect"/>
                  </pic:spPr>
                </pic:pic>
              </a:graphicData>
            </a:graphic>
          </wp:inline>
        </w:drawing>
      </w:r>
    </w:p>
    <w:p>
      <w:pPr>
        <w:spacing w:after="240"/>
        <w:jc w:val="center"/>
      </w:pPr>
      <w:r>
        <w:rPr>
          <w:b w:val="0"/>
          <w:i/>
          <w:color w:val="5B6570"/>
          <w:sz w:val="16"/>
        </w:rPr>
        <w:t>Figure 3 — the same distribution drawn as a cone. The shaded bands are the middle half and the 5th-to-95th range.</w:t>
      </w:r>
    </w:p>
    <w:p>
      <w:pPr>
        <w:spacing w:after="140"/>
      </w:pPr>
      <w:r>
        <w:rPr>
          <w:b w:val="0"/>
          <w:i w:val="0"/>
          <w:color w:val="1A1D21"/>
          <w:sz w:val="20"/>
        </w:rPr>
        <w:t>Over 57 resolved three-month forecasts on this company, the price finished inside the 90 per cent band 91.2% of the time, and inside the middle band 50.9% of the time. That is a long record by the standards of this series. The bands are about 1.47 times as wide as a simple random-walk band over the same horizon, which is what Egyptian devaluation risk costs in width.</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2494"/>
          </w:tcPr>
          <w:p>
            <w:r/>
            <w:r>
              <w:rPr>
                <w:b/>
                <w:color w:val="5B6570"/>
                <w:sz w:val="17"/>
              </w:rPr>
              <w:t>Level (EGP)</w:t>
            </w:r>
          </w:p>
        </w:tc>
        <w:tc>
          <w:tcPr>
            <w:tcW w:type="dxa" w:w="3402"/>
          </w:tcPr>
          <w:p>
            <w:r/>
            <w:r>
              <w:rPr>
                <w:b/>
                <w:color w:val="5B6570"/>
                <w:sz w:val="17"/>
              </w:rPr>
              <w:t>Chance of touching within one month</w:t>
            </w:r>
          </w:p>
        </w:tc>
        <w:tc>
          <w:tcPr>
            <w:tcW w:type="dxa" w:w="2948"/>
          </w:tcPr>
          <w:p>
            <w:r/>
            <w:r>
              <w:rPr>
                <w:b/>
                <w:color w:val="5B6570"/>
                <w:sz w:val="17"/>
              </w:rPr>
              <w:t>Within three months</w:t>
            </w:r>
          </w:p>
        </w:tc>
      </w:tr>
      <w:tr>
        <w:tc>
          <w:tcPr>
            <w:tcW w:type="dxa" w:w="2494"/>
          </w:tcPr>
          <w:p>
            <w:r/>
            <w:r>
              <w:rPr>
                <w:color w:val="1A1D21"/>
                <w:sz w:val="17"/>
              </w:rPr>
              <w:t>20.00</w:t>
            </w:r>
          </w:p>
        </w:tc>
        <w:tc>
          <w:tcPr>
            <w:tcW w:type="dxa" w:w="3402"/>
          </w:tcPr>
          <w:p>
            <w:pPr>
              <w:jc w:val="right"/>
            </w:pPr>
            <w:r/>
            <w:r>
              <w:rPr>
                <w:color w:val="1A1D21"/>
                <w:sz w:val="17"/>
              </w:rPr>
              <w:t>3%</w:t>
            </w:r>
          </w:p>
        </w:tc>
        <w:tc>
          <w:tcPr>
            <w:tcW w:type="dxa" w:w="2948"/>
          </w:tcPr>
          <w:p>
            <w:pPr>
              <w:jc w:val="right"/>
            </w:pPr>
            <w:r/>
            <w:r>
              <w:rPr>
                <w:color w:val="1A1D21"/>
                <w:sz w:val="17"/>
              </w:rPr>
              <w:t>19%</w:t>
            </w:r>
          </w:p>
        </w:tc>
      </w:tr>
      <w:tr>
        <w:tc>
          <w:tcPr>
            <w:tcW w:type="dxa" w:w="2494"/>
          </w:tcPr>
          <w:p>
            <w:r/>
            <w:r>
              <w:rPr>
                <w:color w:val="1A1D21"/>
                <w:sz w:val="17"/>
              </w:rPr>
              <w:t>18.50</w:t>
            </w:r>
          </w:p>
        </w:tc>
        <w:tc>
          <w:tcPr>
            <w:tcW w:type="dxa" w:w="3402"/>
          </w:tcPr>
          <w:p>
            <w:pPr>
              <w:jc w:val="right"/>
            </w:pPr>
            <w:r/>
            <w:r>
              <w:rPr>
                <w:color w:val="1A1D21"/>
                <w:sz w:val="17"/>
              </w:rPr>
              <w:t>9%</w:t>
            </w:r>
          </w:p>
        </w:tc>
        <w:tc>
          <w:tcPr>
            <w:tcW w:type="dxa" w:w="2948"/>
          </w:tcPr>
          <w:p>
            <w:pPr>
              <w:jc w:val="right"/>
            </w:pPr>
            <w:r/>
            <w:r>
              <w:rPr>
                <w:color w:val="1A1D21"/>
                <w:sz w:val="17"/>
              </w:rPr>
              <w:t>35%</w:t>
            </w:r>
          </w:p>
        </w:tc>
      </w:tr>
      <w:tr>
        <w:tc>
          <w:tcPr>
            <w:tcW w:type="dxa" w:w="2494"/>
          </w:tcPr>
          <w:p>
            <w:r/>
            <w:r>
              <w:rPr>
                <w:color w:val="1A1D21"/>
                <w:sz w:val="17"/>
              </w:rPr>
              <w:t>17.50</w:t>
            </w:r>
          </w:p>
        </w:tc>
        <w:tc>
          <w:tcPr>
            <w:tcW w:type="dxa" w:w="3402"/>
          </w:tcPr>
          <w:p>
            <w:pPr>
              <w:jc w:val="right"/>
            </w:pPr>
            <w:r/>
            <w:r>
              <w:rPr>
                <w:color w:val="1A1D21"/>
                <w:sz w:val="17"/>
              </w:rPr>
              <w:t>20%</w:t>
            </w:r>
          </w:p>
        </w:tc>
        <w:tc>
          <w:tcPr>
            <w:tcW w:type="dxa" w:w="2948"/>
          </w:tcPr>
          <w:p>
            <w:pPr>
              <w:jc w:val="right"/>
            </w:pPr>
            <w:r/>
            <w:r>
              <w:rPr>
                <w:color w:val="1A1D21"/>
                <w:sz w:val="17"/>
              </w:rPr>
              <w:t>51%</w:t>
            </w:r>
          </w:p>
        </w:tc>
      </w:tr>
      <w:tr>
        <w:tc>
          <w:tcPr>
            <w:tcW w:type="dxa" w:w="2494"/>
          </w:tcPr>
          <w:p>
            <w:r/>
            <w:r>
              <w:rPr>
                <w:color w:val="1A1D21"/>
                <w:sz w:val="17"/>
              </w:rPr>
              <w:t>16.50</w:t>
            </w:r>
          </w:p>
        </w:tc>
        <w:tc>
          <w:tcPr>
            <w:tcW w:type="dxa" w:w="3402"/>
          </w:tcPr>
          <w:p>
            <w:pPr>
              <w:jc w:val="right"/>
            </w:pPr>
            <w:r/>
            <w:r>
              <w:rPr>
                <w:color w:val="1A1D21"/>
                <w:sz w:val="17"/>
              </w:rPr>
              <w:t>43%</w:t>
            </w:r>
          </w:p>
        </w:tc>
        <w:tc>
          <w:tcPr>
            <w:tcW w:type="dxa" w:w="2948"/>
          </w:tcPr>
          <w:p>
            <w:pPr>
              <w:jc w:val="right"/>
            </w:pPr>
            <w:r/>
            <w:r>
              <w:rPr>
                <w:color w:val="1A1D21"/>
                <w:sz w:val="17"/>
              </w:rPr>
              <w:t>71%</w:t>
            </w:r>
          </w:p>
        </w:tc>
      </w:tr>
      <w:tr>
        <w:tc>
          <w:tcPr>
            <w:tcW w:type="dxa" w:w="2494"/>
          </w:tcPr>
          <w:p>
            <w:r/>
            <w:r>
              <w:rPr>
                <w:color w:val="1A1D21"/>
                <w:sz w:val="17"/>
              </w:rPr>
              <w:t>15.55</w:t>
            </w:r>
          </w:p>
        </w:tc>
        <w:tc>
          <w:tcPr>
            <w:tcW w:type="dxa" w:w="3402"/>
          </w:tcPr>
          <w:p>
            <w:pPr>
              <w:jc w:val="right"/>
            </w:pPr>
            <w:r/>
            <w:r>
              <w:rPr>
                <w:color w:val="1A1D21"/>
                <w:sz w:val="17"/>
              </w:rPr>
              <w:t>80%</w:t>
            </w:r>
          </w:p>
        </w:tc>
        <w:tc>
          <w:tcPr>
            <w:tcW w:type="dxa" w:w="2948"/>
          </w:tcPr>
          <w:p>
            <w:pPr>
              <w:jc w:val="right"/>
            </w:pPr>
            <w:r/>
            <w:r>
              <w:rPr>
                <w:color w:val="1A1D21"/>
                <w:sz w:val="17"/>
              </w:rPr>
              <w:t>90%</w:t>
            </w:r>
          </w:p>
        </w:tc>
      </w:tr>
    </w:tbl>
    <w:p>
      <w:pPr>
        <w:spacing w:after="200"/>
      </w:pPr>
      <w:r>
        <w:rPr>
          <w:b w:val="0"/>
          <w:i/>
          <w:color w:val="5B6570"/>
          <w:sz w:val="16"/>
        </w:rPr>
        <w:t>The chance that the price trades at or through each level at any point in the window, not the chance it ends there.</w:t>
      </w:r>
    </w:p>
    <w:p>
      <w:pPr>
        <w:spacing w:after="140"/>
      </w:pPr>
      <w:r>
        <w:rPr>
          <w:b w:val="0"/>
          <w:i/>
          <w:color w:val="5B6570"/>
          <w:sz w:val="17"/>
        </w:rPr>
        <w:t>Price data to 2026-08-23, computed 2026-08-24; the trend read uses data to 2026-08-23, computed 2026-08-25.</w:t>
      </w:r>
    </w:p>
    <w:p>
      <w:pPr>
        <w:pStyle w:val="Heading1"/>
      </w:pPr>
      <w:r>
        <w:t>4  Comparison of the lenses</w:t>
      </w:r>
    </w:p>
    <w:p>
      <w:pPr>
        <w:spacing w:after="140"/>
      </w:pPr>
      <w:r>
        <w:rPr>
          <w:b w:val="0"/>
          <w:i w:val="0"/>
          <w:color w:val="1A1D21"/>
          <w:sz w:val="20"/>
        </w:rPr>
        <w:t>The three readings are deliberately independent — none is an input to another — so where they agree, the agreement carries information.</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2154"/>
          </w:tcPr>
          <w:p>
            <w:r/>
            <w:r>
              <w:rPr>
                <w:b/>
                <w:color w:val="5B6570"/>
                <w:sz w:val="17"/>
              </w:rPr>
              <w:t>Lens</w:t>
            </w:r>
          </w:p>
        </w:tc>
        <w:tc>
          <w:tcPr>
            <w:tcW w:type="dxa" w:w="3628"/>
          </w:tcPr>
          <w:p>
            <w:r/>
            <w:r>
              <w:rPr>
                <w:b/>
                <w:color w:val="5B6570"/>
                <w:sz w:val="17"/>
              </w:rPr>
              <w:t>What it says</w:t>
            </w:r>
          </w:p>
        </w:tc>
        <w:tc>
          <w:tcPr>
            <w:tcW w:type="dxa" w:w="3175"/>
          </w:tcPr>
          <w:p>
            <w:r/>
            <w:r>
              <w:rPr>
                <w:b/>
                <w:color w:val="5B6570"/>
                <w:sz w:val="17"/>
              </w:rPr>
              <w:t>Relative to the EGP 15.20 close</w:t>
            </w:r>
          </w:p>
        </w:tc>
      </w:tr>
      <w:tr>
        <w:tc>
          <w:tcPr>
            <w:tcW w:type="dxa" w:w="2154"/>
          </w:tcPr>
          <w:p>
            <w:r/>
            <w:r>
              <w:rPr>
                <w:color w:val="1A1D21"/>
                <w:sz w:val="17"/>
              </w:rPr>
              <w:t>Fundamental value</w:t>
            </w:r>
          </w:p>
        </w:tc>
        <w:tc>
          <w:tcPr>
            <w:tcW w:type="dxa" w:w="3628"/>
          </w:tcPr>
          <w:p>
            <w:r/>
            <w:r>
              <w:rPr>
                <w:color w:val="1A1D21"/>
                <w:sz w:val="17"/>
              </w:rPr>
              <w:t>EGP 9.17 to EGP 38.74 depending on cash conversion</w:t>
            </w:r>
          </w:p>
        </w:tc>
        <w:tc>
          <w:tcPr>
            <w:tcW w:type="dxa" w:w="3175"/>
          </w:tcPr>
          <w:p>
            <w:r/>
            <w:r>
              <w:rPr>
                <w:color w:val="1A1D21"/>
                <w:sz w:val="17"/>
              </w:rPr>
              <w:t>the close sits inside the range, near its lower half</w:t>
            </w:r>
          </w:p>
        </w:tc>
      </w:tr>
      <w:tr>
        <w:tc>
          <w:tcPr>
            <w:tcW w:type="dxa" w:w="2154"/>
          </w:tcPr>
          <w:p>
            <w:r/>
            <w:r>
              <w:rPr>
                <w:color w:val="1A1D21"/>
                <w:sz w:val="17"/>
              </w:rPr>
              <w:t>Price distribution</w:t>
            </w:r>
          </w:p>
        </w:tc>
        <w:tc>
          <w:tcPr>
            <w:tcW w:type="dxa" w:w="3628"/>
          </w:tcPr>
          <w:p>
            <w:r/>
            <w:r>
              <w:rPr>
                <w:color w:val="1A1D21"/>
                <w:sz w:val="17"/>
              </w:rPr>
              <w:t>three-month middle band EGP 14.61 to 18.27</w:t>
            </w:r>
          </w:p>
        </w:tc>
        <w:tc>
          <w:tcPr>
            <w:tcW w:type="dxa" w:w="3175"/>
          </w:tcPr>
          <w:p>
            <w:r/>
            <w:r>
              <w:rPr>
                <w:color w:val="1A1D21"/>
                <w:sz w:val="17"/>
              </w:rPr>
              <w:t>the distribution is centred slightly above the close</w:t>
            </w:r>
          </w:p>
        </w:tc>
      </w:tr>
      <w:tr>
        <w:tc>
          <w:tcPr>
            <w:tcW w:type="dxa" w:w="2154"/>
          </w:tcPr>
          <w:p>
            <w:r/>
            <w:r>
              <w:rPr>
                <w:color w:val="1A1D21"/>
                <w:sz w:val="17"/>
              </w:rPr>
              <w:t>Trend structure</w:t>
            </w:r>
          </w:p>
        </w:tc>
        <w:tc>
          <w:tcPr>
            <w:tcW w:type="dxa" w:w="3628"/>
          </w:tcPr>
          <w:p>
            <w:r/>
            <w:r>
              <w:rPr>
                <w:color w:val="1A1D21"/>
                <w:sz w:val="17"/>
              </w:rPr>
              <w:t>above a rising 20-, 50- and 200-day average</w:t>
            </w:r>
          </w:p>
        </w:tc>
        <w:tc>
          <w:tcPr>
            <w:tcW w:type="dxa" w:w="3175"/>
          </w:tcPr>
          <w:p>
            <w:r/>
            <w:r>
              <w:rPr>
                <w:color w:val="1A1D21"/>
                <w:sz w:val="17"/>
              </w:rPr>
              <w:t>constructive, with resistance only 1.2 per cent away</w:t>
            </w:r>
          </w:p>
        </w:tc>
      </w:tr>
    </w:tbl>
    <w:p>
      <w:pPr>
        <w:spacing w:after="140"/>
      </w:pPr>
      <w:r>
        <w:rPr>
          <w:b w:val="0"/>
          <w:i w:val="0"/>
          <w:color w:val="1A1D21"/>
          <w:sz w:val="20"/>
        </w:rPr>
        <w:t>They point the same way without being made to. The fundamental range brackets the price, the distribution is mildly positive and the trend is intact. None of that resolves the crux in section 1.7.</w:t>
      </w:r>
    </w:p>
    <w:p>
      <w:pPr>
        <w:pStyle w:val="Heading1"/>
      </w:pPr>
      <w:r>
        <w:t>5  Catalysts to watch</w:t>
      </w:r>
    </w:p>
    <w:p>
      <w:pPr>
        <w:pStyle w:val="ListBullet"/>
        <w:spacing w:after="60"/>
      </w:pPr>
      <w:r>
        <w:rPr>
          <w:color w:val="1A1D21"/>
          <w:sz w:val="20"/>
        </w:rPr>
        <w:t>The half-year 2026 results. None had been published as at 30 August 2026, which is itself notable this late in the year.</w:t>
      </w:r>
    </w:p>
    <w:p>
      <w:pPr>
        <w:pStyle w:val="ListBullet"/>
        <w:spacing w:after="60"/>
      </w:pPr>
      <w:r>
        <w:rPr>
          <w:color w:val="1A1D21"/>
          <w:sz w:val="20"/>
        </w:rPr>
        <w:t>The full-year 2025 results release. The audited statements were published but the accompanying release, which is where units sold, new sales, deliveries and construction spending are disclosed, was not.</w:t>
      </w:r>
    </w:p>
    <w:p>
      <w:pPr>
        <w:pStyle w:val="ListBullet"/>
        <w:spacing w:after="60"/>
      </w:pPr>
      <w:r>
        <w:rPr>
          <w:color w:val="1A1D21"/>
          <w:sz w:val="20"/>
        </w:rPr>
        <w:t>Any disclosure of collection terms — down payment, instalment tenor, post-handover tail. This is the single disclosure that would most narrow the range in this study.</w:t>
      </w:r>
    </w:p>
    <w:p>
      <w:pPr>
        <w:pStyle w:val="ListBullet"/>
        <w:spacing w:after="60"/>
      </w:pPr>
      <w:r>
        <w:rPr>
          <w:color w:val="1A1D21"/>
          <w:sz w:val="20"/>
        </w:rPr>
        <w:t>Progress on the EGP 30 billion securitisation programme. Selling receivables converts the instalment book to cash and is the direct lever on the crux; pricing on any tranche would also fix the cost of debt.</w:t>
      </w:r>
    </w:p>
    <w:p>
      <w:pPr>
        <w:pStyle w:val="ListBullet"/>
        <w:spacing w:after="60"/>
      </w:pPr>
      <w:r>
        <w:rPr>
          <w:color w:val="1A1D21"/>
          <w:sz w:val="20"/>
        </w:rPr>
        <w:t>The Village de La Capitale launch, which contributed EGP 24 billion of the EGP 52 billion of first-quarter 2026 sales. Whether that rate of launch sales repeats materially changes the order book path.</w:t>
      </w:r>
    </w:p>
    <w:p>
      <w:pPr>
        <w:pStyle w:val="ListBullet"/>
        <w:spacing w:after="60"/>
      </w:pPr>
      <w:r>
        <w:rPr>
          <w:color w:val="1A1D21"/>
          <w:sz w:val="20"/>
        </w:rPr>
        <w:t>Egyptian interest rates. The cost of capital here is built on a 23.00% sovereign yield; a sustained fall would raise every figure in section 1.9.</w:t>
      </w:r>
    </w:p>
    <w:p>
      <w:pPr>
        <w:pStyle w:val="Heading1"/>
      </w:pPr>
      <w:r>
        <w:t>6  Reading the probability zones</w:t>
      </w:r>
    </w:p>
    <w:p>
      <w:pPr>
        <w:spacing w:after="140"/>
      </w:pPr>
      <w:r>
        <w:rPr>
          <w:b w:val="0"/>
          <w:i w:val="0"/>
          <w:color w:val="1A1D21"/>
          <w:sz w:val="20"/>
        </w:rPr>
        <w:t>The bands in section 3 describe where the price has tended to go, not where it should go. They are wide because Egyptian equities are genuinely volatile: the middle half of the three-month distribution spans EGP 14.61 to EGP 18.27, a range of about 24 per cent of the current price. A reader who wants a narrower band is asking for a less honest one.</w:t>
      </w:r>
    </w:p>
    <w:p>
      <w:pPr>
        <w:spacing w:after="140"/>
      </w:pPr>
      <w:r>
        <w:rPr>
          <w:b w:val="0"/>
          <w:i w:val="0"/>
          <w:color w:val="1A1D21"/>
          <w:sz w:val="20"/>
        </w:rPr>
        <w:t>The touch ladder answers a different question from the percentile map. A level with a 51 per cent chance of being touched inside three months is not a level with a 51 per cent chance of holding — prices pass through levels far more often than they settle at them.</w:t>
      </w:r>
    </w:p>
    <w:p>
      <w:pPr>
        <w:pStyle w:val="Heading1"/>
      </w:pPr>
      <w:r>
        <w:t>7  Caveats and what would change our mind</w:t>
      </w:r>
    </w:p>
    <w:p>
      <w:pPr>
        <w:spacing w:after="140"/>
      </w:pPr>
      <w:r>
        <w:rPr>
          <w:b/>
          <w:i w:val="0"/>
          <w:color w:val="1A1D21"/>
          <w:sz w:val="20"/>
        </w:rPr>
        <w:t>Five things are not disclosed by the company and are therefore not in this study. Each is named with what would close it.</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2041"/>
          </w:tcPr>
          <w:p>
            <w:r/>
            <w:r>
              <w:rPr>
                <w:b/>
                <w:color w:val="5B6570"/>
                <w:sz w:val="17"/>
              </w:rPr>
              <w:t>What is missing</w:t>
            </w:r>
          </w:p>
        </w:tc>
        <w:tc>
          <w:tcPr>
            <w:tcW w:type="dxa" w:w="3969"/>
          </w:tcPr>
          <w:p>
            <w:r/>
            <w:r>
              <w:rPr>
                <w:b/>
                <w:color w:val="5B6570"/>
                <w:sz w:val="17"/>
              </w:rPr>
              <w:t>Why it matters</w:t>
            </w:r>
          </w:p>
        </w:tc>
        <w:tc>
          <w:tcPr>
            <w:tcW w:type="dxa" w:w="2948"/>
          </w:tcPr>
          <w:p>
            <w:r/>
            <w:r>
              <w:rPr>
                <w:b/>
                <w:color w:val="5B6570"/>
                <w:sz w:val="17"/>
              </w:rPr>
              <w:t>What would close it</w:t>
            </w:r>
          </w:p>
        </w:tc>
      </w:tr>
      <w:tr>
        <w:tc>
          <w:tcPr>
            <w:tcW w:type="dxa" w:w="2041"/>
          </w:tcPr>
          <w:p>
            <w:r/>
            <w:r>
              <w:rPr>
                <w:color w:val="1A1D21"/>
                <w:sz w:val="17"/>
              </w:rPr>
              <w:t>Collection schedule</w:t>
            </w:r>
          </w:p>
        </w:tc>
        <w:tc>
          <w:tcPr>
            <w:tcW w:type="dxa" w:w="3969"/>
          </w:tcPr>
          <w:p>
            <w:r/>
            <w:r>
              <w:rPr>
                <w:color w:val="1A1D21"/>
                <w:sz w:val="17"/>
              </w:rPr>
              <w:t>Down payment, instalment tenor and post-handover tail are not published. This is the crux; it is measured from outcomes instead of built from terms.</w:t>
            </w:r>
          </w:p>
        </w:tc>
        <w:tc>
          <w:tcPr>
            <w:tcW w:type="dxa" w:w="2948"/>
          </w:tcPr>
          <w:p>
            <w:r/>
            <w:r>
              <w:rPr>
                <w:color w:val="1A1D21"/>
                <w:sz w:val="17"/>
              </w:rPr>
              <w:t>Disclosure of contract terms.</w:t>
            </w:r>
          </w:p>
        </w:tc>
      </w:tr>
      <w:tr>
        <w:tc>
          <w:tcPr>
            <w:tcW w:type="dxa" w:w="2041"/>
          </w:tcPr>
          <w:p>
            <w:r/>
            <w:r>
              <w:rPr>
                <w:color w:val="1A1D21"/>
                <w:sz w:val="17"/>
              </w:rPr>
              <w:t>Project unit economics</w:t>
            </w:r>
          </w:p>
        </w:tc>
        <w:tc>
          <w:tcPr>
            <w:tcW w:type="dxa" w:w="3969"/>
          </w:tcPr>
          <w:p>
            <w:r/>
            <w:r>
              <w:rPr>
                <w:color w:val="1A1D21"/>
                <w:sz w:val="17"/>
              </w:rPr>
              <w:t>No per-project unit mix, unit area, price per square metre or construction cost per square metre is disclosed.</w:t>
            </w:r>
          </w:p>
        </w:tc>
        <w:tc>
          <w:tcPr>
            <w:tcW w:type="dxa" w:w="2948"/>
          </w:tcPr>
          <w:p>
            <w:r/>
            <w:r>
              <w:rPr>
                <w:color w:val="1A1D21"/>
                <w:sz w:val="17"/>
              </w:rPr>
              <w:t>Project-level disclosure or an investor presentation carrying them.</w:t>
            </w:r>
          </w:p>
        </w:tc>
      </w:tr>
      <w:tr>
        <w:tc>
          <w:tcPr>
            <w:tcW w:type="dxa" w:w="2041"/>
          </w:tcPr>
          <w:p>
            <w:r/>
            <w:r>
              <w:rPr>
                <w:color w:val="1A1D21"/>
                <w:sz w:val="17"/>
              </w:rPr>
              <w:t>Cost of debt</w:t>
            </w:r>
          </w:p>
        </w:tc>
        <w:tc>
          <w:tcPr>
            <w:tcW w:type="dxa" w:w="3969"/>
          </w:tcPr>
          <w:p>
            <w:r/>
            <w:r>
              <w:rPr>
                <w:color w:val="1A1D21"/>
                <w:sz w:val="17"/>
              </w:rPr>
              <w:t>The February 2026 securitisation publishes sizes, tenors and ratings but no coupon.</w:t>
            </w:r>
          </w:p>
        </w:tc>
        <w:tc>
          <w:tcPr>
            <w:tcW w:type="dxa" w:w="2948"/>
          </w:tcPr>
          <w:p>
            <w:r/>
            <w:r>
              <w:rPr>
                <w:color w:val="1A1D21"/>
                <w:sz w:val="17"/>
              </w:rPr>
              <w:t>A coupon on any tranche.</w:t>
            </w:r>
          </w:p>
        </w:tc>
      </w:tr>
      <w:tr>
        <w:tc>
          <w:tcPr>
            <w:tcW w:type="dxa" w:w="2041"/>
          </w:tcPr>
          <w:p>
            <w:r/>
            <w:r>
              <w:rPr>
                <w:color w:val="1A1D21"/>
                <w:sz w:val="17"/>
              </w:rPr>
              <w:t>Full-year 2025 operating figures</w:t>
            </w:r>
          </w:p>
        </w:tc>
        <w:tc>
          <w:tcPr>
            <w:tcW w:type="dxa" w:w="3969"/>
          </w:tcPr>
          <w:p>
            <w:r/>
            <w:r>
              <w:rPr>
                <w:color w:val="1A1D21"/>
                <w:sz w:val="17"/>
              </w:rPr>
              <w:t>The audited statements were published; the results release, which carries units and new sales, was not.</w:t>
            </w:r>
          </w:p>
        </w:tc>
        <w:tc>
          <w:tcPr>
            <w:tcW w:type="dxa" w:w="2948"/>
          </w:tcPr>
          <w:p>
            <w:r/>
            <w:r>
              <w:rPr>
                <w:color w:val="1A1D21"/>
                <w:sz w:val="17"/>
              </w:rPr>
              <w:t>The 2025 results release.</w:t>
            </w:r>
          </w:p>
        </w:tc>
      </w:tr>
      <w:tr>
        <w:tc>
          <w:tcPr>
            <w:tcW w:type="dxa" w:w="2041"/>
          </w:tcPr>
          <w:p>
            <w:r/>
            <w:r>
              <w:rPr>
                <w:color w:val="1A1D21"/>
                <w:sz w:val="17"/>
              </w:rPr>
              <w:t>Half-year 2026</w:t>
            </w:r>
          </w:p>
        </w:tc>
        <w:tc>
          <w:tcPr>
            <w:tcW w:type="dxa" w:w="3969"/>
          </w:tcPr>
          <w:p>
            <w:r/>
            <w:r>
              <w:rPr>
                <w:color w:val="1A1D21"/>
                <w:sz w:val="17"/>
              </w:rPr>
              <w:t>Nothing newer than the first quarter of 2026 had been published as at this edition's date.</w:t>
            </w:r>
          </w:p>
        </w:tc>
        <w:tc>
          <w:tcPr>
            <w:tcW w:type="dxa" w:w="2948"/>
          </w:tcPr>
          <w:p>
            <w:r/>
            <w:r>
              <w:rPr>
                <w:color w:val="1A1D21"/>
                <w:sz w:val="17"/>
              </w:rPr>
              <w:t>The half-year filing.</w:t>
            </w:r>
          </w:p>
        </w:tc>
      </w:tr>
    </w:tbl>
    <w:p>
      <w:pPr>
        <w:spacing w:after="140"/>
      </w:pPr>
      <w:r>
        <w:rPr>
          <w:b/>
          <w:i w:val="0"/>
          <w:color w:val="1A1D21"/>
          <w:sz w:val="20"/>
        </w:rPr>
        <w:t>What would change our mind, in order of force:</w:t>
      </w:r>
    </w:p>
    <w:p>
      <w:pPr>
        <w:pStyle w:val="ListBullet"/>
        <w:spacing w:after="60"/>
      </w:pPr>
      <w:r>
        <w:rPr>
          <w:color w:val="1A1D21"/>
          <w:sz w:val="20"/>
        </w:rPr>
        <w:t>Two more years of cash conversion clustering. Three observations spanning 3.9% to 17.9% cannot distinguish a volatile business from a mismeasured one; five could.</w:t>
      </w:r>
    </w:p>
    <w:p>
      <w:pPr>
        <w:pStyle w:val="ListBullet"/>
        <w:spacing w:after="60"/>
      </w:pPr>
      <w:r>
        <w:rPr>
          <w:color w:val="1A1D21"/>
          <w:sz w:val="20"/>
        </w:rPr>
        <w:t>Disclosure of collection terms, which would replace the measured range with a built schedule and narrow the answer directly.</w:t>
      </w:r>
    </w:p>
    <w:p>
      <w:pPr>
        <w:pStyle w:val="ListBullet"/>
        <w:spacing w:after="60"/>
      </w:pPr>
      <w:r>
        <w:rPr>
          <w:color w:val="1A1D21"/>
          <w:sz w:val="20"/>
        </w:rPr>
        <w:t>A sustained fall in Egyptian interest rates, which lifts every cell in the sensitivity table.</w:t>
      </w:r>
    </w:p>
    <w:p>
      <w:pPr>
        <w:pStyle w:val="ListBullet"/>
        <w:spacing w:after="60"/>
      </w:pPr>
      <w:r>
        <w:rPr>
          <w:color w:val="1A1D21"/>
          <w:sz w:val="20"/>
        </w:rPr>
        <w:t>Evidence that the order book converts at the rate the company's delivery history implies rather than more slowly. The order book is now more than seven times revenue, against 5.4 times in 2024 and 3.4 times in 2023; that ratio has risen every year and cannot rise indefinitely.</w:t>
      </w:r>
    </w:p>
    <w:p>
      <w:pPr>
        <w:spacing w:after="140"/>
      </w:pPr>
      <w:r>
        <w:rPr>
          <w:b w:val="0"/>
          <w:i w:val="0"/>
          <w:color w:val="1A1D21"/>
          <w:sz w:val="20"/>
        </w:rPr>
        <w:t>A note on this study's own track record. Tested across ten annual starting points on this company's history from 2011 to 2025, this method forecast revenue tolerably but overstated net profit by about three times, consistently and in 97 per cent of tested cases, and did worse than simply assuming no change. The cause was the mismatched recognition clock corrected in section 1.1. That is why this edition publishes ranges rather than a central figure, and why the reader should treat the upper end of section 1.9 with more suspicion than the lower.</w:t>
      </w:r>
    </w:p>
    <w:p>
      <w:r>
        <w:br w:type="page"/>
      </w:r>
    </w:p>
    <w:p>
      <w:pPr>
        <w:pStyle w:val="Heading1"/>
      </w:pPr>
      <w:r>
        <w:t>Appendix A  Financial statements</w:t>
      </w:r>
    </w:p>
    <w:p>
      <w:pPr>
        <w:pStyle w:val="Heading2"/>
      </w:pPr>
      <w:r>
        <w:t>A.1  Income statement</w:t>
      </w:r>
    </w:p>
    <w:tbl>
      <w:tblPr>
        <w:tblStyle w:val="TableGrid"/>
        <w:tblW w:type="auto" w:w="0"/>
        <w:jc w:val="center"/>
        <w:tblLayout w:type="fixed"/>
        <w:tblLook w:firstColumn="1" w:firstRow="1" w:lastColumn="0" w:lastRow="0" w:noHBand="0" w:noVBand="1" w:val="04A0"/>
        <w:tblLayout w:type="fixed"/>
      </w:tblPr>
      <w:tblGrid>
        <w:gridCol w:w="2408"/>
        <w:gridCol w:w="2408"/>
        <w:gridCol w:w="2408"/>
        <w:gridCol w:w="2408"/>
      </w:tblGrid>
      <w:tr>
        <w:tc>
          <w:tcPr>
            <w:tcW w:type="dxa" w:w="3515"/>
          </w:tcPr>
          <w:p>
            <w:r/>
            <w:r>
              <w:rPr>
                <w:b/>
                <w:color w:val="5B6570"/>
                <w:sz w:val="17"/>
              </w:rPr>
              <w:t>EGP million</w:t>
            </w:r>
          </w:p>
        </w:tc>
        <w:tc>
          <w:tcPr>
            <w:tcW w:type="dxa" w:w="1871"/>
          </w:tcPr>
          <w:p>
            <w:r/>
            <w:r>
              <w:rPr>
                <w:b/>
                <w:color w:val="5B6570"/>
                <w:sz w:val="17"/>
              </w:rPr>
              <w:t>2023</w:t>
            </w:r>
          </w:p>
        </w:tc>
        <w:tc>
          <w:tcPr>
            <w:tcW w:type="dxa" w:w="1871"/>
          </w:tcPr>
          <w:p>
            <w:r/>
            <w:r>
              <w:rPr>
                <w:b/>
                <w:color w:val="5B6570"/>
                <w:sz w:val="17"/>
              </w:rPr>
              <w:t>2024</w:t>
            </w:r>
          </w:p>
        </w:tc>
        <w:tc>
          <w:tcPr>
            <w:tcW w:type="dxa" w:w="1871"/>
          </w:tcPr>
          <w:p>
            <w:r/>
            <w:r>
              <w:rPr>
                <w:b/>
                <w:color w:val="5B6570"/>
                <w:sz w:val="17"/>
              </w:rPr>
              <w:t>2025</w:t>
            </w:r>
          </w:p>
        </w:tc>
      </w:tr>
      <w:tr>
        <w:tc>
          <w:tcPr>
            <w:tcW w:type="dxa" w:w="3515"/>
          </w:tcPr>
          <w:p>
            <w:r/>
            <w:r>
              <w:rPr>
                <w:color w:val="1A1D21"/>
                <w:sz w:val="17"/>
              </w:rPr>
              <w:t>Revenue</w:t>
            </w:r>
          </w:p>
        </w:tc>
        <w:tc>
          <w:tcPr>
            <w:tcW w:type="dxa" w:w="1871"/>
          </w:tcPr>
          <w:p>
            <w:pPr>
              <w:jc w:val="right"/>
            </w:pPr>
            <w:r/>
            <w:r>
              <w:rPr>
                <w:color w:val="1A1D21"/>
                <w:sz w:val="17"/>
              </w:rPr>
              <w:t>17,462.1</w:t>
            </w:r>
          </w:p>
        </w:tc>
        <w:tc>
          <w:tcPr>
            <w:tcW w:type="dxa" w:w="1871"/>
          </w:tcPr>
          <w:p>
            <w:pPr>
              <w:jc w:val="right"/>
            </w:pPr>
            <w:r/>
            <w:r>
              <w:rPr>
                <w:color w:val="1A1D21"/>
                <w:sz w:val="17"/>
              </w:rPr>
              <w:t>27,167.3</w:t>
            </w:r>
          </w:p>
        </w:tc>
        <w:tc>
          <w:tcPr>
            <w:tcW w:type="dxa" w:w="1871"/>
          </w:tcPr>
          <w:p>
            <w:pPr>
              <w:jc w:val="right"/>
            </w:pPr>
            <w:r/>
            <w:r>
              <w:rPr>
                <w:color w:val="1A1D21"/>
                <w:sz w:val="17"/>
              </w:rPr>
              <w:t>36,169.3</w:t>
            </w:r>
          </w:p>
        </w:tc>
      </w:tr>
      <w:tr>
        <w:tc>
          <w:tcPr>
            <w:tcW w:type="dxa" w:w="3515"/>
          </w:tcPr>
          <w:p>
            <w:r/>
            <w:r>
              <w:rPr>
                <w:color w:val="1A1D21"/>
                <w:sz w:val="17"/>
              </w:rPr>
              <w:t>Cost of revenue</w:t>
            </w:r>
          </w:p>
        </w:tc>
        <w:tc>
          <w:tcPr>
            <w:tcW w:type="dxa" w:w="1871"/>
          </w:tcPr>
          <w:p>
            <w:pPr>
              <w:jc w:val="right"/>
            </w:pPr>
            <w:r/>
            <w:r>
              <w:rPr>
                <w:color w:val="1A1D21"/>
                <w:sz w:val="17"/>
              </w:rPr>
              <w:t>-11,907.2</w:t>
            </w:r>
          </w:p>
        </w:tc>
        <w:tc>
          <w:tcPr>
            <w:tcW w:type="dxa" w:w="1871"/>
          </w:tcPr>
          <w:p>
            <w:pPr>
              <w:jc w:val="right"/>
            </w:pPr>
            <w:r/>
            <w:r>
              <w:rPr>
                <w:color w:val="1A1D21"/>
                <w:sz w:val="17"/>
              </w:rPr>
              <w:t>-17,837.2</w:t>
            </w:r>
          </w:p>
        </w:tc>
        <w:tc>
          <w:tcPr>
            <w:tcW w:type="dxa" w:w="1871"/>
          </w:tcPr>
          <w:p>
            <w:pPr>
              <w:jc w:val="right"/>
            </w:pPr>
            <w:r/>
            <w:r>
              <w:rPr>
                <w:color w:val="1A1D21"/>
                <w:sz w:val="17"/>
              </w:rPr>
              <w:t>-21,118.9</w:t>
            </w:r>
          </w:p>
        </w:tc>
      </w:tr>
      <w:tr>
        <w:tc>
          <w:tcPr>
            <w:tcW w:type="dxa" w:w="3515"/>
          </w:tcPr>
          <w:p>
            <w:r/>
            <w:r>
              <w:rPr>
                <w:color w:val="1A1D21"/>
                <w:sz w:val="17"/>
              </w:rPr>
              <w:t>Gross profit</w:t>
            </w:r>
          </w:p>
        </w:tc>
        <w:tc>
          <w:tcPr>
            <w:tcW w:type="dxa" w:w="1871"/>
          </w:tcPr>
          <w:p>
            <w:pPr>
              <w:jc w:val="right"/>
            </w:pPr>
            <w:r/>
            <w:r>
              <w:rPr>
                <w:color w:val="1A1D21"/>
                <w:sz w:val="17"/>
              </w:rPr>
              <w:t>5,507.6</w:t>
            </w:r>
          </w:p>
        </w:tc>
        <w:tc>
          <w:tcPr>
            <w:tcW w:type="dxa" w:w="1871"/>
          </w:tcPr>
          <w:p>
            <w:pPr>
              <w:jc w:val="right"/>
            </w:pPr>
            <w:r/>
            <w:r>
              <w:rPr>
                <w:color w:val="1A1D21"/>
                <w:sz w:val="17"/>
              </w:rPr>
              <w:t>9,330.1</w:t>
            </w:r>
          </w:p>
        </w:tc>
        <w:tc>
          <w:tcPr>
            <w:tcW w:type="dxa" w:w="1871"/>
          </w:tcPr>
          <w:p>
            <w:pPr>
              <w:jc w:val="right"/>
            </w:pPr>
            <w:r/>
            <w:r>
              <w:rPr>
                <w:color w:val="1A1D21"/>
                <w:sz w:val="17"/>
              </w:rPr>
              <w:t>14,887.6</w:t>
            </w:r>
          </w:p>
        </w:tc>
      </w:tr>
      <w:tr>
        <w:tc>
          <w:tcPr>
            <w:tcW w:type="dxa" w:w="3515"/>
          </w:tcPr>
          <w:p>
            <w:r/>
            <w:r>
              <w:rPr>
                <w:color w:val="1A1D21"/>
                <w:sz w:val="17"/>
              </w:rPr>
              <w:t>Overheads</w:t>
            </w:r>
          </w:p>
        </w:tc>
        <w:tc>
          <w:tcPr>
            <w:tcW w:type="dxa" w:w="1871"/>
          </w:tcPr>
          <w:p>
            <w:pPr>
              <w:jc w:val="right"/>
            </w:pPr>
            <w:r/>
            <w:r>
              <w:rPr>
                <w:color w:val="1A1D21"/>
                <w:sz w:val="17"/>
              </w:rPr>
              <w:t>-2,060.5</w:t>
            </w:r>
          </w:p>
        </w:tc>
        <w:tc>
          <w:tcPr>
            <w:tcW w:type="dxa" w:w="1871"/>
          </w:tcPr>
          <w:p>
            <w:pPr>
              <w:jc w:val="right"/>
            </w:pPr>
            <w:r/>
            <w:r>
              <w:rPr>
                <w:color w:val="1A1D21"/>
                <w:sz w:val="17"/>
              </w:rPr>
              <w:t>-3,435.8</w:t>
            </w:r>
          </w:p>
        </w:tc>
        <w:tc>
          <w:tcPr>
            <w:tcW w:type="dxa" w:w="1871"/>
          </w:tcPr>
          <w:p>
            <w:pPr>
              <w:jc w:val="right"/>
            </w:pPr>
            <w:r/>
            <w:r>
              <w:rPr>
                <w:color w:val="1A1D21"/>
                <w:sz w:val="17"/>
              </w:rPr>
              <w:t>-6,365.6</w:t>
            </w:r>
          </w:p>
        </w:tc>
      </w:tr>
      <w:tr>
        <w:tc>
          <w:tcPr>
            <w:tcW w:type="dxa" w:w="3515"/>
          </w:tcPr>
          <w:p>
            <w:r/>
            <w:r>
              <w:rPr>
                <w:color w:val="1A1D21"/>
                <w:sz w:val="17"/>
              </w:rPr>
              <w:t>Depreciation and amortisation</w:t>
            </w:r>
          </w:p>
        </w:tc>
        <w:tc>
          <w:tcPr>
            <w:tcW w:type="dxa" w:w="1871"/>
          </w:tcPr>
          <w:p>
            <w:pPr>
              <w:jc w:val="right"/>
            </w:pPr>
            <w:r/>
            <w:r>
              <w:rPr>
                <w:color w:val="1A1D21"/>
                <w:sz w:val="17"/>
              </w:rPr>
              <w:t>-178.6</w:t>
            </w:r>
          </w:p>
        </w:tc>
        <w:tc>
          <w:tcPr>
            <w:tcW w:type="dxa" w:w="1871"/>
          </w:tcPr>
          <w:p>
            <w:pPr>
              <w:jc w:val="right"/>
            </w:pPr>
            <w:r/>
            <w:r>
              <w:rPr>
                <w:color w:val="1A1D21"/>
                <w:sz w:val="17"/>
              </w:rPr>
              <w:t>-239.9</w:t>
            </w:r>
          </w:p>
        </w:tc>
        <w:tc>
          <w:tcPr>
            <w:tcW w:type="dxa" w:w="1871"/>
          </w:tcPr>
          <w:p>
            <w:pPr>
              <w:jc w:val="right"/>
            </w:pPr>
            <w:r/>
            <w:r>
              <w:rPr>
                <w:color w:val="1A1D21"/>
                <w:sz w:val="17"/>
              </w:rPr>
              <w:t>-353.7</w:t>
            </w:r>
          </w:p>
        </w:tc>
      </w:tr>
      <w:tr>
        <w:tc>
          <w:tcPr>
            <w:tcW w:type="dxa" w:w="3515"/>
          </w:tcPr>
          <w:p>
            <w:r/>
            <w:r>
              <w:rPr>
                <w:color w:val="1A1D21"/>
                <w:sz w:val="17"/>
              </w:rPr>
              <w:t>Finance cost</w:t>
            </w:r>
          </w:p>
        </w:tc>
        <w:tc>
          <w:tcPr>
            <w:tcW w:type="dxa" w:w="1871"/>
          </w:tcPr>
          <w:p>
            <w:r/>
            <w:r>
              <w:rPr>
                <w:color w:val="1A1D21"/>
                <w:sz w:val="17"/>
              </w:rPr>
            </w:r>
          </w:p>
        </w:tc>
        <w:tc>
          <w:tcPr>
            <w:tcW w:type="dxa" w:w="1871"/>
          </w:tcPr>
          <w:p>
            <w:pPr>
              <w:jc w:val="right"/>
            </w:pPr>
            <w:r/>
            <w:r>
              <w:rPr>
                <w:color w:val="1A1D21"/>
                <w:sz w:val="17"/>
              </w:rPr>
              <w:t>-2,311.4</w:t>
            </w:r>
          </w:p>
        </w:tc>
        <w:tc>
          <w:tcPr>
            <w:tcW w:type="dxa" w:w="1871"/>
          </w:tcPr>
          <w:p>
            <w:pPr>
              <w:jc w:val="right"/>
            </w:pPr>
            <w:r/>
            <w:r>
              <w:rPr>
                <w:color w:val="1A1D21"/>
                <w:sz w:val="17"/>
              </w:rPr>
              <w:t>-3,347.5</w:t>
            </w:r>
          </w:p>
        </w:tc>
      </w:tr>
      <w:tr>
        <w:tc>
          <w:tcPr>
            <w:tcW w:type="dxa" w:w="3515"/>
          </w:tcPr>
          <w:p>
            <w:r/>
            <w:r>
              <w:rPr>
                <w:color w:val="1A1D21"/>
                <w:sz w:val="17"/>
              </w:rPr>
              <w:t>Profit before tax and minority</w:t>
            </w:r>
          </w:p>
        </w:tc>
        <w:tc>
          <w:tcPr>
            <w:tcW w:type="dxa" w:w="1871"/>
          </w:tcPr>
          <w:p>
            <w:pPr>
              <w:jc w:val="right"/>
            </w:pPr>
            <w:r/>
            <w:r>
              <w:rPr>
                <w:color w:val="1A1D21"/>
                <w:sz w:val="17"/>
              </w:rPr>
              <w:t>2,300.7</w:t>
            </w:r>
          </w:p>
        </w:tc>
        <w:tc>
          <w:tcPr>
            <w:tcW w:type="dxa" w:w="1871"/>
          </w:tcPr>
          <w:p>
            <w:pPr>
              <w:jc w:val="right"/>
            </w:pPr>
            <w:r/>
            <w:r>
              <w:rPr>
                <w:color w:val="1A1D21"/>
                <w:sz w:val="17"/>
              </w:rPr>
              <w:t>4,320.6</w:t>
            </w:r>
          </w:p>
        </w:tc>
        <w:tc>
          <w:tcPr>
            <w:tcW w:type="dxa" w:w="1871"/>
          </w:tcPr>
          <w:p>
            <w:pPr>
              <w:jc w:val="right"/>
            </w:pPr>
            <w:r/>
            <w:r>
              <w:rPr>
                <w:color w:val="1A1D21"/>
                <w:sz w:val="17"/>
              </w:rPr>
              <w:t>6,251.1</w:t>
            </w:r>
          </w:p>
        </w:tc>
      </w:tr>
      <w:tr>
        <w:tc>
          <w:tcPr>
            <w:tcW w:type="dxa" w:w="3515"/>
          </w:tcPr>
          <w:p>
            <w:r/>
            <w:r>
              <w:rPr>
                <w:color w:val="1A1D21"/>
                <w:sz w:val="17"/>
              </w:rPr>
              <w:t>Tax</w:t>
            </w:r>
          </w:p>
        </w:tc>
        <w:tc>
          <w:tcPr>
            <w:tcW w:type="dxa" w:w="1871"/>
          </w:tcPr>
          <w:p>
            <w:pPr>
              <w:jc w:val="right"/>
            </w:pPr>
            <w:r/>
            <w:r>
              <w:rPr>
                <w:color w:val="1A1D21"/>
                <w:sz w:val="17"/>
              </w:rPr>
              <w:t>-567.3</w:t>
            </w:r>
          </w:p>
        </w:tc>
        <w:tc>
          <w:tcPr>
            <w:tcW w:type="dxa" w:w="1871"/>
          </w:tcPr>
          <w:p>
            <w:pPr>
              <w:jc w:val="right"/>
            </w:pPr>
            <w:r/>
            <w:r>
              <w:rPr>
                <w:color w:val="1A1D21"/>
                <w:sz w:val="17"/>
              </w:rPr>
              <w:t>-917.1</w:t>
            </w:r>
          </w:p>
        </w:tc>
        <w:tc>
          <w:tcPr>
            <w:tcW w:type="dxa" w:w="1871"/>
          </w:tcPr>
          <w:p>
            <w:pPr>
              <w:jc w:val="right"/>
            </w:pPr>
            <w:r/>
            <w:r>
              <w:rPr>
                <w:color w:val="1A1D21"/>
                <w:sz w:val="17"/>
              </w:rPr>
              <w:t>-1,827.2</w:t>
            </w:r>
          </w:p>
        </w:tc>
      </w:tr>
      <w:tr>
        <w:tc>
          <w:tcPr>
            <w:tcW w:type="dxa" w:w="3515"/>
          </w:tcPr>
          <w:p>
            <w:r/>
            <w:r>
              <w:rPr>
                <w:color w:val="1A1D21"/>
                <w:sz w:val="17"/>
              </w:rPr>
              <w:t>Profit after tax and minority</w:t>
            </w:r>
          </w:p>
        </w:tc>
        <w:tc>
          <w:tcPr>
            <w:tcW w:type="dxa" w:w="1871"/>
          </w:tcPr>
          <w:p>
            <w:pPr>
              <w:jc w:val="right"/>
            </w:pPr>
            <w:r/>
            <w:r>
              <w:rPr>
                <w:color w:val="1A1D21"/>
                <w:sz w:val="17"/>
              </w:rPr>
              <w:t>1,581.5</w:t>
            </w:r>
          </w:p>
        </w:tc>
        <w:tc>
          <w:tcPr>
            <w:tcW w:type="dxa" w:w="1871"/>
          </w:tcPr>
          <w:p>
            <w:pPr>
              <w:jc w:val="right"/>
            </w:pPr>
            <w:r/>
            <w:r>
              <w:rPr>
                <w:color w:val="1A1D21"/>
                <w:sz w:val="17"/>
              </w:rPr>
              <w:t>3,254.9</w:t>
            </w:r>
          </w:p>
        </w:tc>
        <w:tc>
          <w:tcPr>
            <w:tcW w:type="dxa" w:w="1871"/>
          </w:tcPr>
          <w:p>
            <w:pPr>
              <w:jc w:val="right"/>
            </w:pPr>
            <w:r/>
            <w:r>
              <w:rPr>
                <w:color w:val="1A1D21"/>
                <w:sz w:val="17"/>
              </w:rPr>
              <w:t>4,216.7</w:t>
            </w:r>
          </w:p>
        </w:tc>
      </w:tr>
    </w:tbl>
    <w:p>
      <w:pPr>
        <w:spacing w:after="200"/>
      </w:pPr>
      <w:r>
        <w:rPr>
          <w:b w:val="0"/>
          <w:i/>
          <w:color w:val="5B6570"/>
          <w:sz w:val="16"/>
        </w:rPr>
        <w:t>Three years as reported in the company's audited statements.</w:t>
      </w:r>
    </w:p>
    <w:tbl>
      <w:tblPr>
        <w:tblStyle w:val="TableGrid"/>
        <w:tblW w:type="auto" w:w="0"/>
        <w:jc w:val="center"/>
        <w:tblLayout w:type="fixed"/>
        <w:tblLook w:firstColumn="1" w:firstRow="1" w:lastColumn="0" w:lastRow="0" w:noHBand="0" w:noVBand="1" w:val="04A0"/>
        <w:tblLayout w:type="fixed"/>
      </w:tblPr>
      <w:tblGrid>
        <w:gridCol w:w="1926"/>
        <w:gridCol w:w="1926"/>
        <w:gridCol w:w="1926"/>
        <w:gridCol w:w="1926"/>
        <w:gridCol w:w="1926"/>
      </w:tblGrid>
      <w:tr>
        <w:tc>
          <w:tcPr>
            <w:tcW w:type="dxa" w:w="2494"/>
          </w:tcPr>
          <w:p>
            <w:r/>
            <w:r>
              <w:rPr>
                <w:b/>
                <w:color w:val="5B6570"/>
                <w:sz w:val="17"/>
              </w:rPr>
              <w:t>Forecast, EGP million</w:t>
            </w:r>
          </w:p>
        </w:tc>
        <w:tc>
          <w:tcPr>
            <w:tcW w:type="dxa" w:w="1701"/>
          </w:tcPr>
          <w:p>
            <w:r/>
            <w:r>
              <w:rPr>
                <w:b/>
                <w:color w:val="5B6570"/>
                <w:sz w:val="17"/>
              </w:rPr>
              <w:t>Revenue</w:t>
            </w:r>
          </w:p>
        </w:tc>
        <w:tc>
          <w:tcPr>
            <w:tcW w:type="dxa" w:w="1701"/>
          </w:tcPr>
          <w:p>
            <w:r/>
            <w:r>
              <w:rPr>
                <w:b/>
                <w:color w:val="5B6570"/>
                <w:sz w:val="17"/>
              </w:rPr>
              <w:t>Gross profit</w:t>
            </w:r>
          </w:p>
        </w:tc>
        <w:tc>
          <w:tcPr>
            <w:tcW w:type="dxa" w:w="1701"/>
          </w:tcPr>
          <w:p>
            <w:r/>
            <w:r>
              <w:rPr>
                <w:b/>
                <w:color w:val="5B6570"/>
                <w:sz w:val="17"/>
              </w:rPr>
              <w:t>Pre-tax profit</w:t>
            </w:r>
          </w:p>
        </w:tc>
        <w:tc>
          <w:tcPr>
            <w:tcW w:type="dxa" w:w="1701"/>
          </w:tcPr>
          <w:p>
            <w:r/>
            <w:r>
              <w:rPr>
                <w:b/>
                <w:color w:val="5B6570"/>
                <w:sz w:val="17"/>
              </w:rPr>
              <w:t>Operating cash</w:t>
            </w:r>
          </w:p>
        </w:tc>
      </w:tr>
      <w:tr>
        <w:tc>
          <w:tcPr>
            <w:tcW w:type="dxa" w:w="2494"/>
          </w:tcPr>
          <w:p>
            <w:r/>
            <w:r>
              <w:rPr>
                <w:color w:val="1A1D21"/>
                <w:sz w:val="17"/>
              </w:rPr>
              <w:t>2026</w:t>
            </w:r>
          </w:p>
        </w:tc>
        <w:tc>
          <w:tcPr>
            <w:tcW w:type="dxa" w:w="1701"/>
          </w:tcPr>
          <w:p>
            <w:pPr>
              <w:jc w:val="right"/>
            </w:pPr>
            <w:r/>
            <w:r>
              <w:rPr>
                <w:color w:val="1A1D21"/>
                <w:sz w:val="17"/>
              </w:rPr>
              <w:t>45,284</w:t>
            </w:r>
          </w:p>
        </w:tc>
        <w:tc>
          <w:tcPr>
            <w:tcW w:type="dxa" w:w="1701"/>
          </w:tcPr>
          <w:p>
            <w:pPr>
              <w:jc w:val="right"/>
            </w:pPr>
            <w:r/>
            <w:r>
              <w:rPr>
                <w:color w:val="1A1D21"/>
                <w:sz w:val="17"/>
              </w:rPr>
              <w:t>17,354</w:t>
            </w:r>
          </w:p>
        </w:tc>
        <w:tc>
          <w:tcPr>
            <w:tcW w:type="dxa" w:w="1701"/>
          </w:tcPr>
          <w:p>
            <w:pPr>
              <w:jc w:val="right"/>
            </w:pPr>
            <w:r/>
            <w:r>
              <w:rPr>
                <w:color w:val="1A1D21"/>
                <w:sz w:val="17"/>
              </w:rPr>
              <w:t>828</w:t>
            </w:r>
          </w:p>
        </w:tc>
        <w:tc>
          <w:tcPr>
            <w:tcW w:type="dxa" w:w="1701"/>
          </w:tcPr>
          <w:p>
            <w:pPr>
              <w:jc w:val="right"/>
            </w:pPr>
            <w:r/>
            <w:r>
              <w:rPr>
                <w:color w:val="1A1D21"/>
                <w:sz w:val="17"/>
              </w:rPr>
              <w:t>3,946</w:t>
            </w:r>
          </w:p>
        </w:tc>
      </w:tr>
      <w:tr>
        <w:tc>
          <w:tcPr>
            <w:tcW w:type="dxa" w:w="2494"/>
          </w:tcPr>
          <w:p>
            <w:r/>
            <w:r>
              <w:rPr>
                <w:color w:val="1A1D21"/>
                <w:sz w:val="17"/>
              </w:rPr>
              <w:t>2027</w:t>
            </w:r>
          </w:p>
        </w:tc>
        <w:tc>
          <w:tcPr>
            <w:tcW w:type="dxa" w:w="1701"/>
          </w:tcPr>
          <w:p>
            <w:pPr>
              <w:jc w:val="right"/>
            </w:pPr>
            <w:r/>
            <w:r>
              <w:rPr>
                <w:color w:val="1A1D21"/>
                <w:sz w:val="17"/>
              </w:rPr>
              <w:t>56,696</w:t>
            </w:r>
          </w:p>
        </w:tc>
        <w:tc>
          <w:tcPr>
            <w:tcW w:type="dxa" w:w="1701"/>
          </w:tcPr>
          <w:p>
            <w:pPr>
              <w:jc w:val="right"/>
            </w:pPr>
            <w:r/>
            <w:r>
              <w:rPr>
                <w:color w:val="1A1D21"/>
                <w:sz w:val="17"/>
              </w:rPr>
              <w:t>21,727</w:t>
            </w:r>
          </w:p>
        </w:tc>
        <w:tc>
          <w:tcPr>
            <w:tcW w:type="dxa" w:w="1701"/>
          </w:tcPr>
          <w:p>
            <w:pPr>
              <w:jc w:val="right"/>
            </w:pPr>
            <w:r/>
            <w:r>
              <w:rPr>
                <w:color w:val="1A1D21"/>
                <w:sz w:val="17"/>
              </w:rPr>
              <w:t>3,193</w:t>
            </w:r>
          </w:p>
        </w:tc>
        <w:tc>
          <w:tcPr>
            <w:tcW w:type="dxa" w:w="1701"/>
          </w:tcPr>
          <w:p>
            <w:pPr>
              <w:jc w:val="right"/>
            </w:pPr>
            <w:r/>
            <w:r>
              <w:rPr>
                <w:color w:val="1A1D21"/>
                <w:sz w:val="17"/>
              </w:rPr>
              <w:t>4,940</w:t>
            </w:r>
          </w:p>
        </w:tc>
      </w:tr>
      <w:tr>
        <w:tc>
          <w:tcPr>
            <w:tcW w:type="dxa" w:w="2494"/>
          </w:tcPr>
          <w:p>
            <w:r/>
            <w:r>
              <w:rPr>
                <w:color w:val="1A1D21"/>
                <w:sz w:val="17"/>
              </w:rPr>
              <w:t>2028</w:t>
            </w:r>
          </w:p>
        </w:tc>
        <w:tc>
          <w:tcPr>
            <w:tcW w:type="dxa" w:w="1701"/>
          </w:tcPr>
          <w:p>
            <w:pPr>
              <w:jc w:val="right"/>
            </w:pPr>
            <w:r/>
            <w:r>
              <w:rPr>
                <w:color w:val="1A1D21"/>
                <w:sz w:val="17"/>
              </w:rPr>
              <w:t>70,983</w:t>
            </w:r>
          </w:p>
        </w:tc>
        <w:tc>
          <w:tcPr>
            <w:tcW w:type="dxa" w:w="1701"/>
          </w:tcPr>
          <w:p>
            <w:pPr>
              <w:jc w:val="right"/>
            </w:pPr>
            <w:r/>
            <w:r>
              <w:rPr>
                <w:color w:val="1A1D21"/>
                <w:sz w:val="17"/>
              </w:rPr>
              <w:t>27,202</w:t>
            </w:r>
          </w:p>
        </w:tc>
        <w:tc>
          <w:tcPr>
            <w:tcW w:type="dxa" w:w="1701"/>
          </w:tcPr>
          <w:p>
            <w:pPr>
              <w:jc w:val="right"/>
            </w:pPr>
            <w:r/>
            <w:r>
              <w:rPr>
                <w:color w:val="1A1D21"/>
                <w:sz w:val="17"/>
              </w:rPr>
              <w:t>6,154</w:t>
            </w:r>
          </w:p>
        </w:tc>
        <w:tc>
          <w:tcPr>
            <w:tcW w:type="dxa" w:w="1701"/>
          </w:tcPr>
          <w:p>
            <w:pPr>
              <w:jc w:val="right"/>
            </w:pPr>
            <w:r/>
            <w:r>
              <w:rPr>
                <w:color w:val="1A1D21"/>
                <w:sz w:val="17"/>
              </w:rPr>
              <w:t>6,185</w:t>
            </w:r>
          </w:p>
        </w:tc>
      </w:tr>
      <w:tr>
        <w:tc>
          <w:tcPr>
            <w:tcW w:type="dxa" w:w="2494"/>
          </w:tcPr>
          <w:p>
            <w:r/>
            <w:r>
              <w:rPr>
                <w:color w:val="1A1D21"/>
                <w:sz w:val="17"/>
              </w:rPr>
              <w:t>2029</w:t>
            </w:r>
          </w:p>
        </w:tc>
        <w:tc>
          <w:tcPr>
            <w:tcW w:type="dxa" w:w="1701"/>
          </w:tcPr>
          <w:p>
            <w:pPr>
              <w:jc w:val="right"/>
            </w:pPr>
            <w:r/>
            <w:r>
              <w:rPr>
                <w:color w:val="1A1D21"/>
                <w:sz w:val="17"/>
              </w:rPr>
              <w:t>88,870</w:t>
            </w:r>
          </w:p>
        </w:tc>
        <w:tc>
          <w:tcPr>
            <w:tcW w:type="dxa" w:w="1701"/>
          </w:tcPr>
          <w:p>
            <w:pPr>
              <w:jc w:val="right"/>
            </w:pPr>
            <w:r/>
            <w:r>
              <w:rPr>
                <w:color w:val="1A1D21"/>
                <w:sz w:val="17"/>
              </w:rPr>
              <w:t>34,057</w:t>
            </w:r>
          </w:p>
        </w:tc>
        <w:tc>
          <w:tcPr>
            <w:tcW w:type="dxa" w:w="1701"/>
          </w:tcPr>
          <w:p>
            <w:pPr>
              <w:jc w:val="right"/>
            </w:pPr>
            <w:r/>
            <w:r>
              <w:rPr>
                <w:color w:val="1A1D21"/>
                <w:sz w:val="17"/>
              </w:rPr>
              <w:t>9,861</w:t>
            </w:r>
          </w:p>
        </w:tc>
        <w:tc>
          <w:tcPr>
            <w:tcW w:type="dxa" w:w="1701"/>
          </w:tcPr>
          <w:p>
            <w:pPr>
              <w:jc w:val="right"/>
            </w:pPr>
            <w:r/>
            <w:r>
              <w:rPr>
                <w:color w:val="1A1D21"/>
                <w:sz w:val="17"/>
              </w:rPr>
              <w:t>7,744</w:t>
            </w:r>
          </w:p>
        </w:tc>
      </w:tr>
      <w:tr>
        <w:tc>
          <w:tcPr>
            <w:tcW w:type="dxa" w:w="2494"/>
          </w:tcPr>
          <w:p>
            <w:r/>
            <w:r>
              <w:rPr>
                <w:color w:val="1A1D21"/>
                <w:sz w:val="17"/>
              </w:rPr>
              <w:t>2030</w:t>
            </w:r>
          </w:p>
        </w:tc>
        <w:tc>
          <w:tcPr>
            <w:tcW w:type="dxa" w:w="1701"/>
          </w:tcPr>
          <w:p>
            <w:pPr>
              <w:jc w:val="right"/>
            </w:pPr>
            <w:r/>
            <w:r>
              <w:rPr>
                <w:color w:val="1A1D21"/>
                <w:sz w:val="17"/>
              </w:rPr>
              <w:t>111,266</w:t>
            </w:r>
          </w:p>
        </w:tc>
        <w:tc>
          <w:tcPr>
            <w:tcW w:type="dxa" w:w="1701"/>
          </w:tcPr>
          <w:p>
            <w:pPr>
              <w:jc w:val="right"/>
            </w:pPr>
            <w:r/>
            <w:r>
              <w:rPr>
                <w:color w:val="1A1D21"/>
                <w:sz w:val="17"/>
              </w:rPr>
              <w:t>42,640</w:t>
            </w:r>
          </w:p>
        </w:tc>
        <w:tc>
          <w:tcPr>
            <w:tcW w:type="dxa" w:w="1701"/>
          </w:tcPr>
          <w:p>
            <w:pPr>
              <w:jc w:val="right"/>
            </w:pPr>
            <w:r/>
            <w:r>
              <w:rPr>
                <w:color w:val="1A1D21"/>
                <w:sz w:val="17"/>
              </w:rPr>
              <w:t>14,502</w:t>
            </w:r>
          </w:p>
        </w:tc>
        <w:tc>
          <w:tcPr>
            <w:tcW w:type="dxa" w:w="1701"/>
          </w:tcPr>
          <w:p>
            <w:pPr>
              <w:jc w:val="right"/>
            </w:pPr>
            <w:r/>
            <w:r>
              <w:rPr>
                <w:color w:val="1A1D21"/>
                <w:sz w:val="17"/>
              </w:rPr>
              <w:t>9,695</w:t>
            </w:r>
          </w:p>
        </w:tc>
      </w:tr>
    </w:tbl>
    <w:p>
      <w:pPr>
        <w:spacing w:after="200"/>
      </w:pPr>
      <w:r>
        <w:rPr>
          <w:b w:val="0"/>
          <w:i/>
          <w:color w:val="5B6570"/>
          <w:sz w:val="16"/>
        </w:rPr>
        <w:t>Five forecast years, central case. Years three to five should be read as the corresponding rows of the range in section 1.9, not as points.</w:t>
      </w:r>
    </w:p>
    <w:p>
      <w:pPr>
        <w:pStyle w:val="Heading2"/>
      </w:pPr>
      <w:r>
        <w:t>A.2  Balance sheet</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4195"/>
          </w:tcPr>
          <w:p>
            <w:r/>
            <w:r>
              <w:rPr>
                <w:b/>
                <w:color w:val="5B6570"/>
                <w:sz w:val="17"/>
              </w:rPr>
              <w:t>EGP million</w:t>
            </w:r>
          </w:p>
        </w:tc>
        <w:tc>
          <w:tcPr>
            <w:tcW w:type="dxa" w:w="2494"/>
          </w:tcPr>
          <w:p>
            <w:r/>
            <w:r>
              <w:rPr>
                <w:b/>
                <w:color w:val="5B6570"/>
                <w:sz w:val="17"/>
              </w:rPr>
              <w:t>2025</w:t>
            </w:r>
          </w:p>
        </w:tc>
        <w:tc>
          <w:tcPr>
            <w:tcW w:type="dxa" w:w="2494"/>
          </w:tcPr>
          <w:p>
            <w:r/>
            <w:r>
              <w:rPr>
                <w:b/>
                <w:color w:val="5B6570"/>
                <w:sz w:val="17"/>
              </w:rPr>
              <w:t>2024</w:t>
            </w:r>
          </w:p>
        </w:tc>
      </w:tr>
      <w:tr>
        <w:tc>
          <w:tcPr>
            <w:tcW w:type="dxa" w:w="4195"/>
          </w:tcPr>
          <w:p>
            <w:r/>
            <w:r>
              <w:rPr>
                <w:color w:val="1A1D21"/>
                <w:sz w:val="17"/>
              </w:rPr>
              <w:t>Non-current assets</w:t>
            </w:r>
          </w:p>
        </w:tc>
        <w:tc>
          <w:tcPr>
            <w:tcW w:type="dxa" w:w="2494"/>
          </w:tcPr>
          <w:p>
            <w:pPr>
              <w:jc w:val="right"/>
            </w:pPr>
            <w:r/>
            <w:r>
              <w:rPr>
                <w:color w:val="1A1D21"/>
                <w:sz w:val="17"/>
              </w:rPr>
              <w:t>65,900.2</w:t>
            </w:r>
          </w:p>
        </w:tc>
        <w:tc>
          <w:tcPr>
            <w:tcW w:type="dxa" w:w="2494"/>
          </w:tcPr>
          <w:p>
            <w:pPr>
              <w:jc w:val="right"/>
            </w:pPr>
            <w:r/>
            <w:r>
              <w:rPr>
                <w:color w:val="1A1D21"/>
                <w:sz w:val="17"/>
              </w:rPr>
              <w:t>54,166.4</w:t>
            </w:r>
          </w:p>
        </w:tc>
      </w:tr>
      <w:tr>
        <w:tc>
          <w:tcPr>
            <w:tcW w:type="dxa" w:w="4195"/>
          </w:tcPr>
          <w:p>
            <w:r/>
            <w:r>
              <w:rPr>
                <w:color w:val="1A1D21"/>
                <w:sz w:val="17"/>
              </w:rPr>
              <w:t xml:space="preserve">  of which notes receivable, long term</w:t>
            </w:r>
          </w:p>
        </w:tc>
        <w:tc>
          <w:tcPr>
            <w:tcW w:type="dxa" w:w="2494"/>
          </w:tcPr>
          <w:p>
            <w:pPr>
              <w:jc w:val="right"/>
            </w:pPr>
            <w:r/>
            <w:r>
              <w:rPr>
                <w:color w:val="1A1D21"/>
                <w:sz w:val="17"/>
              </w:rPr>
              <w:t>56,319.8</w:t>
            </w:r>
          </w:p>
        </w:tc>
        <w:tc>
          <w:tcPr>
            <w:tcW w:type="dxa" w:w="2494"/>
          </w:tcPr>
          <w:p>
            <w:pPr>
              <w:jc w:val="right"/>
            </w:pPr>
            <w:r/>
            <w:r>
              <w:rPr>
                <w:color w:val="1A1D21"/>
                <w:sz w:val="17"/>
              </w:rPr>
              <w:t>46,309.1</w:t>
            </w:r>
          </w:p>
        </w:tc>
      </w:tr>
      <w:tr>
        <w:tc>
          <w:tcPr>
            <w:tcW w:type="dxa" w:w="4195"/>
          </w:tcPr>
          <w:p>
            <w:r/>
            <w:r>
              <w:rPr>
                <w:color w:val="1A1D21"/>
                <w:sz w:val="17"/>
              </w:rPr>
              <w:t>Current assets</w:t>
            </w:r>
          </w:p>
        </w:tc>
        <w:tc>
          <w:tcPr>
            <w:tcW w:type="dxa" w:w="2494"/>
          </w:tcPr>
          <w:p>
            <w:pPr>
              <w:jc w:val="right"/>
            </w:pPr>
            <w:r/>
            <w:r>
              <w:rPr>
                <w:color w:val="1A1D21"/>
                <w:sz w:val="17"/>
              </w:rPr>
              <w:t>106,229.6</w:t>
            </w:r>
          </w:p>
        </w:tc>
        <w:tc>
          <w:tcPr>
            <w:tcW w:type="dxa" w:w="2494"/>
          </w:tcPr>
          <w:p>
            <w:pPr>
              <w:jc w:val="right"/>
            </w:pPr>
            <w:r/>
            <w:r>
              <w:rPr>
                <w:color w:val="1A1D21"/>
                <w:sz w:val="17"/>
              </w:rPr>
              <w:t>69,270.9</w:t>
            </w:r>
          </w:p>
        </w:tc>
      </w:tr>
      <w:tr>
        <w:tc>
          <w:tcPr>
            <w:tcW w:type="dxa" w:w="4195"/>
          </w:tcPr>
          <w:p>
            <w:r/>
            <w:r>
              <w:rPr>
                <w:color w:val="1A1D21"/>
                <w:sz w:val="17"/>
              </w:rPr>
              <w:t xml:space="preserve">  of which work in progress</w:t>
            </w:r>
          </w:p>
        </w:tc>
        <w:tc>
          <w:tcPr>
            <w:tcW w:type="dxa" w:w="2494"/>
          </w:tcPr>
          <w:p>
            <w:pPr>
              <w:jc w:val="right"/>
            </w:pPr>
            <w:r/>
            <w:r>
              <w:rPr>
                <w:color w:val="1A1D21"/>
                <w:sz w:val="17"/>
              </w:rPr>
              <w:t>17,570.9</w:t>
            </w:r>
          </w:p>
        </w:tc>
        <w:tc>
          <w:tcPr>
            <w:tcW w:type="dxa" w:w="2494"/>
          </w:tcPr>
          <w:p>
            <w:pPr>
              <w:jc w:val="right"/>
            </w:pPr>
            <w:r/>
            <w:r>
              <w:rPr>
                <w:color w:val="1A1D21"/>
                <w:sz w:val="17"/>
              </w:rPr>
              <w:t>13,209.8</w:t>
            </w:r>
          </w:p>
        </w:tc>
      </w:tr>
      <w:tr>
        <w:tc>
          <w:tcPr>
            <w:tcW w:type="dxa" w:w="4195"/>
          </w:tcPr>
          <w:p>
            <w:r/>
            <w:r>
              <w:rPr>
                <w:color w:val="1A1D21"/>
                <w:sz w:val="17"/>
              </w:rPr>
              <w:t xml:space="preserve">  of which trade receivables</w:t>
            </w:r>
          </w:p>
        </w:tc>
        <w:tc>
          <w:tcPr>
            <w:tcW w:type="dxa" w:w="2494"/>
          </w:tcPr>
          <w:p>
            <w:pPr>
              <w:jc w:val="right"/>
            </w:pPr>
            <w:r/>
            <w:r>
              <w:rPr>
                <w:color w:val="1A1D21"/>
                <w:sz w:val="17"/>
              </w:rPr>
              <w:t>28,118.1</w:t>
            </w:r>
          </w:p>
        </w:tc>
        <w:tc>
          <w:tcPr>
            <w:tcW w:type="dxa" w:w="2494"/>
          </w:tcPr>
          <w:p>
            <w:pPr>
              <w:jc w:val="right"/>
            </w:pPr>
            <w:r/>
            <w:r>
              <w:rPr>
                <w:color w:val="1A1D21"/>
                <w:sz w:val="17"/>
              </w:rPr>
              <w:t>15,561.1</w:t>
            </w:r>
          </w:p>
        </w:tc>
      </w:tr>
      <w:tr>
        <w:tc>
          <w:tcPr>
            <w:tcW w:type="dxa" w:w="4195"/>
          </w:tcPr>
          <w:p>
            <w:r/>
            <w:r>
              <w:rPr>
                <w:color w:val="1A1D21"/>
                <w:sz w:val="17"/>
              </w:rPr>
              <w:t xml:space="preserve">  of which cash</w:t>
            </w:r>
          </w:p>
        </w:tc>
        <w:tc>
          <w:tcPr>
            <w:tcW w:type="dxa" w:w="2494"/>
          </w:tcPr>
          <w:p>
            <w:pPr>
              <w:jc w:val="right"/>
            </w:pPr>
            <w:r/>
            <w:r>
              <w:rPr>
                <w:color w:val="1A1D21"/>
                <w:sz w:val="17"/>
              </w:rPr>
              <w:t>9,419.5</w:t>
            </w:r>
          </w:p>
        </w:tc>
        <w:tc>
          <w:tcPr>
            <w:tcW w:type="dxa" w:w="2494"/>
          </w:tcPr>
          <w:p>
            <w:pPr>
              <w:jc w:val="right"/>
            </w:pPr>
            <w:r/>
            <w:r>
              <w:rPr>
                <w:color w:val="1A1D21"/>
                <w:sz w:val="17"/>
              </w:rPr>
              <w:t>6,372.4</w:t>
            </w:r>
          </w:p>
        </w:tc>
      </w:tr>
      <w:tr>
        <w:tc>
          <w:tcPr>
            <w:tcW w:type="dxa" w:w="4195"/>
          </w:tcPr>
          <w:p>
            <w:r/>
            <w:r>
              <w:rPr>
                <w:color w:val="1A1D21"/>
                <w:sz w:val="17"/>
              </w:rPr>
              <w:t>Total assets</w:t>
            </w:r>
          </w:p>
        </w:tc>
        <w:tc>
          <w:tcPr>
            <w:tcW w:type="dxa" w:w="2494"/>
          </w:tcPr>
          <w:p>
            <w:pPr>
              <w:jc w:val="right"/>
            </w:pPr>
            <w:r/>
            <w:r>
              <w:rPr>
                <w:color w:val="1A1D21"/>
                <w:sz w:val="17"/>
              </w:rPr>
              <w:t>172,129.8</w:t>
            </w:r>
          </w:p>
        </w:tc>
        <w:tc>
          <w:tcPr>
            <w:tcW w:type="dxa" w:w="2494"/>
          </w:tcPr>
          <w:p>
            <w:pPr>
              <w:jc w:val="right"/>
            </w:pPr>
            <w:r/>
            <w:r>
              <w:rPr>
                <w:color w:val="1A1D21"/>
                <w:sz w:val="17"/>
              </w:rPr>
              <w:t>123,437.3</w:t>
            </w:r>
          </w:p>
        </w:tc>
      </w:tr>
      <w:tr>
        <w:tc>
          <w:tcPr>
            <w:tcW w:type="dxa" w:w="4195"/>
          </w:tcPr>
          <w:p>
            <w:r/>
            <w:r>
              <w:rPr>
                <w:color w:val="1A1D21"/>
                <w:sz w:val="17"/>
              </w:rPr>
              <w:t>Current liabilities</w:t>
            </w:r>
          </w:p>
        </w:tc>
        <w:tc>
          <w:tcPr>
            <w:tcW w:type="dxa" w:w="2494"/>
          </w:tcPr>
          <w:p>
            <w:pPr>
              <w:jc w:val="right"/>
            </w:pPr>
            <w:r/>
            <w:r>
              <w:rPr>
                <w:color w:val="1A1D21"/>
                <w:sz w:val="17"/>
              </w:rPr>
              <w:t>105,099.0</w:t>
            </w:r>
          </w:p>
        </w:tc>
        <w:tc>
          <w:tcPr>
            <w:tcW w:type="dxa" w:w="2494"/>
          </w:tcPr>
          <w:p>
            <w:pPr>
              <w:jc w:val="right"/>
            </w:pPr>
            <w:r/>
            <w:r>
              <w:rPr>
                <w:color w:val="1A1D21"/>
                <w:sz w:val="17"/>
              </w:rPr>
              <w:t>74,496.9</w:t>
            </w:r>
          </w:p>
        </w:tc>
      </w:tr>
      <w:tr>
        <w:tc>
          <w:tcPr>
            <w:tcW w:type="dxa" w:w="4195"/>
          </w:tcPr>
          <w:p>
            <w:r/>
            <w:r>
              <w:rPr>
                <w:color w:val="1A1D21"/>
                <w:sz w:val="17"/>
              </w:rPr>
              <w:t xml:space="preserve">  of which advances from customers</w:t>
            </w:r>
          </w:p>
        </w:tc>
        <w:tc>
          <w:tcPr>
            <w:tcW w:type="dxa" w:w="2494"/>
          </w:tcPr>
          <w:p>
            <w:pPr>
              <w:jc w:val="right"/>
            </w:pPr>
            <w:r/>
            <w:r>
              <w:rPr>
                <w:color w:val="1A1D21"/>
                <w:sz w:val="17"/>
              </w:rPr>
              <w:t>69,354.1</w:t>
            </w:r>
          </w:p>
        </w:tc>
        <w:tc>
          <w:tcPr>
            <w:tcW w:type="dxa" w:w="2494"/>
          </w:tcPr>
          <w:p>
            <w:pPr>
              <w:jc w:val="right"/>
            </w:pPr>
            <w:r/>
            <w:r>
              <w:rPr>
                <w:color w:val="1A1D21"/>
                <w:sz w:val="17"/>
              </w:rPr>
              <w:t>47,403.8</w:t>
            </w:r>
          </w:p>
        </w:tc>
      </w:tr>
      <w:tr>
        <w:tc>
          <w:tcPr>
            <w:tcW w:type="dxa" w:w="4195"/>
          </w:tcPr>
          <w:p>
            <w:r/>
            <w:r>
              <w:rPr>
                <w:color w:val="1A1D21"/>
                <w:sz w:val="17"/>
              </w:rPr>
              <w:t>Non-current liabilities</w:t>
            </w:r>
          </w:p>
        </w:tc>
        <w:tc>
          <w:tcPr>
            <w:tcW w:type="dxa" w:w="2494"/>
          </w:tcPr>
          <w:p>
            <w:pPr>
              <w:jc w:val="right"/>
            </w:pPr>
            <w:r/>
            <w:r>
              <w:rPr>
                <w:color w:val="1A1D21"/>
                <w:sz w:val="17"/>
              </w:rPr>
              <w:t>48,265.1</w:t>
            </w:r>
          </w:p>
        </w:tc>
        <w:tc>
          <w:tcPr>
            <w:tcW w:type="dxa" w:w="2494"/>
          </w:tcPr>
          <w:p>
            <w:pPr>
              <w:jc w:val="right"/>
            </w:pPr>
            <w:r/>
            <w:r>
              <w:rPr>
                <w:color w:val="1A1D21"/>
                <w:sz w:val="17"/>
              </w:rPr>
              <w:t>34,315.7</w:t>
            </w:r>
          </w:p>
        </w:tc>
      </w:tr>
      <w:tr>
        <w:tc>
          <w:tcPr>
            <w:tcW w:type="dxa" w:w="4195"/>
          </w:tcPr>
          <w:p>
            <w:r/>
            <w:r>
              <w:rPr>
                <w:color w:val="1A1D21"/>
                <w:sz w:val="17"/>
              </w:rPr>
              <w:t>Total liabilities</w:t>
            </w:r>
          </w:p>
        </w:tc>
        <w:tc>
          <w:tcPr>
            <w:tcW w:type="dxa" w:w="2494"/>
          </w:tcPr>
          <w:p>
            <w:pPr>
              <w:jc w:val="right"/>
            </w:pPr>
            <w:r/>
            <w:r>
              <w:rPr>
                <w:color w:val="1A1D21"/>
                <w:sz w:val="17"/>
              </w:rPr>
              <w:t>153,364.1</w:t>
            </w:r>
          </w:p>
        </w:tc>
        <w:tc>
          <w:tcPr>
            <w:tcW w:type="dxa" w:w="2494"/>
          </w:tcPr>
          <w:p>
            <w:pPr>
              <w:jc w:val="right"/>
            </w:pPr>
            <w:r/>
            <w:r>
              <w:rPr>
                <w:color w:val="1A1D21"/>
                <w:sz w:val="17"/>
              </w:rPr>
              <w:t>108,812.6</w:t>
            </w:r>
          </w:p>
        </w:tc>
      </w:tr>
      <w:tr>
        <w:tc>
          <w:tcPr>
            <w:tcW w:type="dxa" w:w="4195"/>
          </w:tcPr>
          <w:p>
            <w:r/>
            <w:r>
              <w:rPr>
                <w:color w:val="1A1D21"/>
                <w:sz w:val="17"/>
              </w:rPr>
              <w:t>Shareholders' funds</w:t>
            </w:r>
          </w:p>
        </w:tc>
        <w:tc>
          <w:tcPr>
            <w:tcW w:type="dxa" w:w="2494"/>
          </w:tcPr>
          <w:p>
            <w:pPr>
              <w:jc w:val="right"/>
            </w:pPr>
            <w:r/>
            <w:r>
              <w:rPr>
                <w:color w:val="1A1D21"/>
                <w:sz w:val="17"/>
              </w:rPr>
              <w:t>18,765.8</w:t>
            </w:r>
          </w:p>
        </w:tc>
        <w:tc>
          <w:tcPr>
            <w:tcW w:type="dxa" w:w="2494"/>
          </w:tcPr>
          <w:p>
            <w:pPr>
              <w:jc w:val="right"/>
            </w:pPr>
            <w:r/>
            <w:r>
              <w:rPr>
                <w:color w:val="1A1D21"/>
                <w:sz w:val="17"/>
              </w:rPr>
              <w:t>14,624.7</w:t>
            </w:r>
          </w:p>
        </w:tc>
      </w:tr>
      <w:tr>
        <w:tc>
          <w:tcPr>
            <w:tcW w:type="dxa" w:w="4195"/>
          </w:tcPr>
          <w:p>
            <w:r/>
            <w:r>
              <w:rPr>
                <w:color w:val="1A1D21"/>
                <w:sz w:val="17"/>
              </w:rPr>
              <w:t>Total equity and liabilities</w:t>
            </w:r>
          </w:p>
        </w:tc>
        <w:tc>
          <w:tcPr>
            <w:tcW w:type="dxa" w:w="2494"/>
          </w:tcPr>
          <w:p>
            <w:pPr>
              <w:jc w:val="right"/>
            </w:pPr>
            <w:r/>
            <w:r>
              <w:rPr>
                <w:color w:val="1A1D21"/>
                <w:sz w:val="17"/>
              </w:rPr>
              <w:t>172,129.8</w:t>
            </w:r>
          </w:p>
        </w:tc>
        <w:tc>
          <w:tcPr>
            <w:tcW w:type="dxa" w:w="2494"/>
          </w:tcPr>
          <w:p>
            <w:pPr>
              <w:jc w:val="right"/>
            </w:pPr>
            <w:r/>
            <w:r>
              <w:rPr>
                <w:color w:val="1A1D21"/>
                <w:sz w:val="17"/>
              </w:rPr>
              <w:t>123,437.3</w:t>
            </w:r>
          </w:p>
        </w:tc>
      </w:tr>
    </w:tbl>
    <w:p>
      <w:pPr>
        <w:spacing w:after="200"/>
      </w:pPr>
      <w:r>
        <w:rPr>
          <w:b w:val="0"/>
          <w:i/>
          <w:color w:val="5B6570"/>
          <w:sz w:val="16"/>
        </w:rPr>
        <w:t>As reported. Total assets equal total liabilities plus shareholders' funds in both years, and each subtotal reconciles to its components.</w:t>
      </w:r>
    </w:p>
    <w:p>
      <w:pPr>
        <w:pStyle w:val="Heading2"/>
      </w:pPr>
      <w:r>
        <w:t>A.3  Forecast balance sheet and cash-flow markers</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2835"/>
          </w:tcPr>
          <w:p>
            <w:r/>
            <w:r>
              <w:rPr>
                <w:b/>
                <w:color w:val="5B6570"/>
                <w:sz w:val="17"/>
              </w:rPr>
              <w:t>Marker</w:t>
            </w:r>
          </w:p>
        </w:tc>
        <w:tc>
          <w:tcPr>
            <w:tcW w:type="dxa" w:w="2381"/>
          </w:tcPr>
          <w:p>
            <w:r/>
            <w:r>
              <w:rPr>
                <w:b/>
                <w:color w:val="5B6570"/>
                <w:sz w:val="17"/>
              </w:rPr>
              <w:t>2025 actual</w:t>
            </w:r>
          </w:p>
        </w:tc>
        <w:tc>
          <w:tcPr>
            <w:tcW w:type="dxa" w:w="3969"/>
          </w:tcPr>
          <w:p>
            <w:r/>
            <w:r>
              <w:rPr>
                <w:b/>
                <w:color w:val="5B6570"/>
                <w:sz w:val="17"/>
              </w:rPr>
              <w:t>Basis carried forward</w:t>
            </w:r>
          </w:p>
        </w:tc>
      </w:tr>
      <w:tr>
        <w:tc>
          <w:tcPr>
            <w:tcW w:type="dxa" w:w="2835"/>
          </w:tcPr>
          <w:p>
            <w:r/>
            <w:r>
              <w:rPr>
                <w:color w:val="1A1D21"/>
                <w:sz w:val="17"/>
              </w:rPr>
              <w:t>Gross borrowings (EGP mn)</w:t>
            </w:r>
          </w:p>
        </w:tc>
        <w:tc>
          <w:tcPr>
            <w:tcW w:type="dxa" w:w="2381"/>
          </w:tcPr>
          <w:p>
            <w:pPr>
              <w:jc w:val="right"/>
            </w:pPr>
            <w:r/>
            <w:r>
              <w:rPr>
                <w:color w:val="1A1D21"/>
                <w:sz w:val="17"/>
              </w:rPr>
              <w:t>33,552.7</w:t>
            </w:r>
          </w:p>
        </w:tc>
        <w:tc>
          <w:tcPr>
            <w:tcW w:type="dxa" w:w="3969"/>
          </w:tcPr>
          <w:p>
            <w:r/>
            <w:r>
              <w:rPr>
                <w:color w:val="1A1D21"/>
                <w:sz w:val="17"/>
              </w:rPr>
              <w:t>held at the 2025 level; no repayment schedule is disclosed</w:t>
            </w:r>
          </w:p>
        </w:tc>
      </w:tr>
      <w:tr>
        <w:tc>
          <w:tcPr>
            <w:tcW w:type="dxa" w:w="2835"/>
          </w:tcPr>
          <w:p>
            <w:r/>
            <w:r>
              <w:rPr>
                <w:color w:val="1A1D21"/>
                <w:sz w:val="17"/>
              </w:rPr>
              <w:t>Net debt (EGP mn)</w:t>
            </w:r>
          </w:p>
        </w:tc>
        <w:tc>
          <w:tcPr>
            <w:tcW w:type="dxa" w:w="2381"/>
          </w:tcPr>
          <w:p>
            <w:pPr>
              <w:jc w:val="right"/>
            </w:pPr>
            <w:r/>
            <w:r>
              <w:rPr>
                <w:color w:val="1A1D21"/>
                <w:sz w:val="17"/>
              </w:rPr>
              <w:t>24,133.2</w:t>
            </w:r>
          </w:p>
        </w:tc>
        <w:tc>
          <w:tcPr>
            <w:tcW w:type="dxa" w:w="3969"/>
          </w:tcPr>
          <w:p>
            <w:r/>
            <w:r>
              <w:rPr>
                <w:color w:val="1A1D21"/>
                <w:sz w:val="17"/>
              </w:rPr>
              <w:t>gross borrowings less cash</w:t>
            </w:r>
          </w:p>
        </w:tc>
      </w:tr>
      <w:tr>
        <w:tc>
          <w:tcPr>
            <w:tcW w:type="dxa" w:w="2835"/>
          </w:tcPr>
          <w:p>
            <w:r/>
            <w:r>
              <w:rPr>
                <w:color w:val="1A1D21"/>
                <w:sz w:val="17"/>
              </w:rPr>
              <w:t>Order book (EGP mn)</w:t>
            </w:r>
          </w:p>
        </w:tc>
        <w:tc>
          <w:tcPr>
            <w:tcW w:type="dxa" w:w="2381"/>
          </w:tcPr>
          <w:p>
            <w:r/>
            <w:r>
              <w:rPr>
                <w:color w:val="1A1D21"/>
                <w:sz w:val="17"/>
              </w:rPr>
              <w:t>263,000 at 31 Mar 2026</w:t>
            </w:r>
          </w:p>
        </w:tc>
        <w:tc>
          <w:tcPr>
            <w:tcW w:type="dxa" w:w="3969"/>
          </w:tcPr>
          <w:p>
            <w:r/>
            <w:r>
              <w:rPr>
                <w:color w:val="1A1D21"/>
                <w:sz w:val="17"/>
              </w:rPr>
              <w:t>converges to 5.4 times revenue, its 2024 level</w:t>
            </w:r>
          </w:p>
        </w:tc>
      </w:tr>
      <w:tr>
        <w:tc>
          <w:tcPr>
            <w:tcW w:type="dxa" w:w="2835"/>
          </w:tcPr>
          <w:p>
            <w:r/>
            <w:r>
              <w:rPr>
                <w:color w:val="1A1D21"/>
                <w:sz w:val="17"/>
              </w:rPr>
              <w:t>Cash from operations</w:t>
            </w:r>
          </w:p>
        </w:tc>
        <w:tc>
          <w:tcPr>
            <w:tcW w:type="dxa" w:w="2381"/>
          </w:tcPr>
          <w:p>
            <w:pPr>
              <w:jc w:val="right"/>
            </w:pPr>
            <w:r/>
            <w:r>
              <w:rPr>
                <w:color w:val="1A1D21"/>
                <w:sz w:val="17"/>
              </w:rPr>
              <w:t>1,424.2</w:t>
            </w:r>
          </w:p>
        </w:tc>
        <w:tc>
          <w:tcPr>
            <w:tcW w:type="dxa" w:w="3969"/>
          </w:tcPr>
          <w:p>
            <w:r/>
            <w:r>
              <w:rPr>
                <w:color w:val="1A1D21"/>
                <w:sz w:val="17"/>
              </w:rPr>
              <w:t>modelled as a share of revenue across the observed range</w:t>
            </w:r>
          </w:p>
        </w:tc>
      </w:tr>
      <w:tr>
        <w:tc>
          <w:tcPr>
            <w:tcW w:type="dxa" w:w="2835"/>
          </w:tcPr>
          <w:p>
            <w:r/>
            <w:r>
              <w:rPr>
                <w:color w:val="1A1D21"/>
                <w:sz w:val="17"/>
              </w:rPr>
              <w:t>Overheads as a share of revenue</w:t>
            </w:r>
          </w:p>
        </w:tc>
        <w:tc>
          <w:tcPr>
            <w:tcW w:type="dxa" w:w="2381"/>
          </w:tcPr>
          <w:p>
            <w:pPr>
              <w:jc w:val="right"/>
            </w:pPr>
            <w:r/>
            <w:r>
              <w:rPr>
                <w:color w:val="1A1D21"/>
                <w:sz w:val="17"/>
              </w:rPr>
              <w:t>17.6%</w:t>
            </w:r>
          </w:p>
        </w:tc>
        <w:tc>
          <w:tcPr>
            <w:tcW w:type="dxa" w:w="3969"/>
          </w:tcPr>
          <w:p>
            <w:r/>
            <w:r>
              <w:rPr>
                <w:color w:val="1A1D21"/>
                <w:sz w:val="17"/>
              </w:rPr>
              <w:t>held at the 2025 rate</w:t>
            </w:r>
          </w:p>
        </w:tc>
      </w:tr>
    </w:tbl>
    <w:p>
      <w:r>
        <w:br w:type="page"/>
      </w:r>
    </w:p>
    <w:p>
      <w:pPr>
        <w:pStyle w:val="Heading1"/>
      </w:pPr>
      <w:r>
        <w:t>Appendix B  Peer frame, risk register and research register</w:t>
      </w:r>
    </w:p>
    <w:p>
      <w:pPr>
        <w:pStyle w:val="Heading2"/>
      </w:pPr>
      <w:r>
        <w:t>B.1  The Egyptian listed developers</w:t>
      </w:r>
    </w:p>
    <w:tbl>
      <w:tblPr>
        <w:tblStyle w:val="TableGrid"/>
        <w:tblW w:type="auto" w:w="0"/>
        <w:jc w:val="center"/>
        <w:tblLayout w:type="fixed"/>
        <w:tblLook w:firstColumn="1" w:firstRow="1" w:lastColumn="0" w:lastRow="0" w:noHBand="0" w:noVBand="1" w:val="04A0"/>
        <w:tblLayout w:type="fixed"/>
      </w:tblPr>
      <w:tblGrid>
        <w:gridCol w:w="1376"/>
        <w:gridCol w:w="1376"/>
        <w:gridCol w:w="1376"/>
        <w:gridCol w:w="1376"/>
        <w:gridCol w:w="1376"/>
        <w:gridCol w:w="1376"/>
        <w:gridCol w:w="1376"/>
      </w:tblGrid>
      <w:tr>
        <w:tc>
          <w:tcPr>
            <w:tcW w:type="dxa" w:w="964"/>
          </w:tcPr>
          <w:p>
            <w:r/>
            <w:r>
              <w:rPr>
                <w:b/>
                <w:color w:val="5B6570"/>
                <w:sz w:val="17"/>
              </w:rPr>
              <w:t>Code</w:t>
            </w:r>
          </w:p>
        </w:tc>
        <w:tc>
          <w:tcPr>
            <w:tcW w:type="dxa" w:w="2494"/>
          </w:tcPr>
          <w:p>
            <w:r/>
            <w:r>
              <w:rPr>
                <w:b/>
                <w:color w:val="5B6570"/>
                <w:sz w:val="17"/>
              </w:rPr>
              <w:t>Company</w:t>
            </w:r>
          </w:p>
        </w:tc>
        <w:tc>
          <w:tcPr>
            <w:tcW w:type="dxa" w:w="1134"/>
          </w:tcPr>
          <w:p>
            <w:r/>
            <w:r>
              <w:rPr>
                <w:b/>
                <w:color w:val="5B6570"/>
                <w:sz w:val="17"/>
              </w:rPr>
              <w:t>Beta</w:t>
            </w:r>
          </w:p>
        </w:tc>
        <w:tc>
          <w:tcPr>
            <w:tcW w:type="dxa" w:w="1247"/>
          </w:tcPr>
          <w:p>
            <w:r/>
            <w:r>
              <w:rPr>
                <w:b/>
                <w:color w:val="5B6570"/>
                <w:sz w:val="17"/>
              </w:rPr>
              <w:t>R-squared</w:t>
            </w:r>
          </w:p>
        </w:tc>
        <w:tc>
          <w:tcPr>
            <w:tcW w:type="dxa" w:w="1134"/>
          </w:tcPr>
          <w:p>
            <w:r/>
            <w:r>
              <w:rPr>
                <w:b/>
                <w:color w:val="5B6570"/>
                <w:sz w:val="17"/>
              </w:rPr>
              <w:t>Std error</w:t>
            </w:r>
          </w:p>
        </w:tc>
        <w:tc>
          <w:tcPr>
            <w:tcW w:type="dxa" w:w="1134"/>
          </w:tcPr>
          <w:p>
            <w:r/>
            <w:r>
              <w:rPr>
                <w:b/>
                <w:color w:val="5B6570"/>
                <w:sz w:val="17"/>
              </w:rPr>
              <w:t>Volatility</w:t>
            </w:r>
          </w:p>
        </w:tc>
        <w:tc>
          <w:tcPr>
            <w:tcW w:type="dxa" w:w="1134"/>
          </w:tcPr>
          <w:p>
            <w:r/>
            <w:r>
              <w:rPr>
                <w:b/>
                <w:color w:val="5B6570"/>
                <w:sz w:val="17"/>
              </w:rPr>
              <w:t>Worst fall</w:t>
            </w:r>
          </w:p>
        </w:tc>
      </w:tr>
      <w:tr>
        <w:tc>
          <w:tcPr>
            <w:tcW w:type="dxa" w:w="964"/>
          </w:tcPr>
          <w:p>
            <w:r/>
            <w:r>
              <w:rPr>
                <w:color w:val="1A1D21"/>
                <w:sz w:val="17"/>
              </w:rPr>
              <w:t>TMGH</w:t>
            </w:r>
          </w:p>
        </w:tc>
        <w:tc>
          <w:tcPr>
            <w:tcW w:type="dxa" w:w="2494"/>
          </w:tcPr>
          <w:p>
            <w:r/>
            <w:r>
              <w:rPr>
                <w:color w:val="1A1D21"/>
                <w:sz w:val="17"/>
              </w:rPr>
              <w:t>Talaat Moustafa Group Holding</w:t>
            </w:r>
          </w:p>
        </w:tc>
        <w:tc>
          <w:tcPr>
            <w:tcW w:type="dxa" w:w="1134"/>
          </w:tcPr>
          <w:p>
            <w:pPr>
              <w:jc w:val="right"/>
            </w:pPr>
            <w:r/>
            <w:r>
              <w:rPr>
                <w:color w:val="1A1D21"/>
                <w:sz w:val="17"/>
              </w:rPr>
              <w:t>1.4718</w:t>
            </w:r>
          </w:p>
        </w:tc>
        <w:tc>
          <w:tcPr>
            <w:tcW w:type="dxa" w:w="1247"/>
          </w:tcPr>
          <w:p>
            <w:pPr>
              <w:jc w:val="right"/>
            </w:pPr>
            <w:r/>
            <w:r>
              <w:rPr>
                <w:color w:val="1A1D21"/>
                <w:sz w:val="17"/>
              </w:rPr>
              <w:t>32.6%</w:t>
            </w:r>
          </w:p>
        </w:tc>
        <w:tc>
          <w:tcPr>
            <w:tcW w:type="dxa" w:w="1134"/>
          </w:tcPr>
          <w:p>
            <w:pPr>
              <w:jc w:val="right"/>
            </w:pPr>
            <w:r/>
            <w:r>
              <w:rPr>
                <w:color w:val="1A1D21"/>
                <w:sz w:val="17"/>
              </w:rPr>
              <w:t>0.185</w:t>
            </w:r>
          </w:p>
        </w:tc>
        <w:tc>
          <w:tcPr>
            <w:tcW w:type="dxa" w:w="1134"/>
          </w:tcPr>
          <w:p>
            <w:pPr>
              <w:jc w:val="right"/>
            </w:pPr>
            <w:r/>
            <w:r>
              <w:rPr>
                <w:color w:val="1A1D21"/>
                <w:sz w:val="17"/>
              </w:rPr>
              <w:t>43.9%</w:t>
            </w:r>
          </w:p>
        </w:tc>
        <w:tc>
          <w:tcPr>
            <w:tcW w:type="dxa" w:w="1134"/>
          </w:tcPr>
          <w:p>
            <w:pPr>
              <w:jc w:val="right"/>
            </w:pPr>
            <w:r/>
            <w:r>
              <w:rPr>
                <w:color w:val="1A1D21"/>
                <w:sz w:val="17"/>
              </w:rPr>
              <w:t>-44.2%</w:t>
            </w:r>
          </w:p>
        </w:tc>
      </w:tr>
      <w:tr>
        <w:tc>
          <w:tcPr>
            <w:tcW w:type="dxa" w:w="964"/>
          </w:tcPr>
          <w:p>
            <w:r/>
            <w:r>
              <w:rPr>
                <w:color w:val="1A1D21"/>
                <w:sz w:val="17"/>
              </w:rPr>
              <w:t>PHDC</w:t>
            </w:r>
          </w:p>
        </w:tc>
        <w:tc>
          <w:tcPr>
            <w:tcW w:type="dxa" w:w="2494"/>
          </w:tcPr>
          <w:p>
            <w:r/>
            <w:r>
              <w:rPr>
                <w:color w:val="1A1D21"/>
                <w:sz w:val="17"/>
              </w:rPr>
              <w:t>Palm Hills Developments</w:t>
            </w:r>
          </w:p>
        </w:tc>
        <w:tc>
          <w:tcPr>
            <w:tcW w:type="dxa" w:w="1134"/>
          </w:tcPr>
          <w:p>
            <w:pPr>
              <w:jc w:val="right"/>
            </w:pPr>
            <w:r/>
            <w:r>
              <w:rPr>
                <w:color w:val="1A1D21"/>
                <w:sz w:val="17"/>
              </w:rPr>
              <w:t>1.0493</w:t>
            </w:r>
          </w:p>
        </w:tc>
        <w:tc>
          <w:tcPr>
            <w:tcW w:type="dxa" w:w="1247"/>
          </w:tcPr>
          <w:p>
            <w:pPr>
              <w:jc w:val="right"/>
            </w:pPr>
            <w:r/>
            <w:r>
              <w:rPr>
                <w:color w:val="1A1D21"/>
                <w:sz w:val="17"/>
              </w:rPr>
              <w:t>29.9%</w:t>
            </w:r>
          </w:p>
        </w:tc>
        <w:tc>
          <w:tcPr>
            <w:tcW w:type="dxa" w:w="1134"/>
          </w:tcPr>
          <w:p>
            <w:pPr>
              <w:jc w:val="right"/>
            </w:pPr>
            <w:r/>
            <w:r>
              <w:rPr>
                <w:color w:val="1A1D21"/>
                <w:sz w:val="17"/>
              </w:rPr>
              <w:t>0.182</w:t>
            </w:r>
          </w:p>
        </w:tc>
        <w:tc>
          <w:tcPr>
            <w:tcW w:type="dxa" w:w="1134"/>
          </w:tcPr>
          <w:p>
            <w:pPr>
              <w:jc w:val="right"/>
            </w:pPr>
            <w:r/>
            <w:r>
              <w:rPr>
                <w:color w:val="1A1D21"/>
                <w:sz w:val="17"/>
              </w:rPr>
              <w:t>43.9%</w:t>
            </w:r>
          </w:p>
        </w:tc>
        <w:tc>
          <w:tcPr>
            <w:tcW w:type="dxa" w:w="1134"/>
          </w:tcPr>
          <w:p>
            <w:pPr>
              <w:jc w:val="right"/>
            </w:pPr>
            <w:r/>
            <w:r>
              <w:rPr>
                <w:color w:val="1A1D21"/>
                <w:sz w:val="17"/>
              </w:rPr>
              <w:t>-48.7%</w:t>
            </w:r>
          </w:p>
        </w:tc>
      </w:tr>
      <w:tr>
        <w:tc>
          <w:tcPr>
            <w:tcW w:type="dxa" w:w="964"/>
          </w:tcPr>
          <w:p>
            <w:r/>
            <w:r>
              <w:rPr>
                <w:color w:val="1A1D21"/>
                <w:sz w:val="17"/>
              </w:rPr>
              <w:t>ORHD</w:t>
            </w:r>
          </w:p>
        </w:tc>
        <w:tc>
          <w:tcPr>
            <w:tcW w:type="dxa" w:w="2494"/>
          </w:tcPr>
          <w:p>
            <w:r/>
            <w:r>
              <w:rPr>
                <w:color w:val="1A1D21"/>
                <w:sz w:val="17"/>
              </w:rPr>
              <w:t>Orascom Development Egypt</w:t>
            </w:r>
          </w:p>
        </w:tc>
        <w:tc>
          <w:tcPr>
            <w:tcW w:type="dxa" w:w="1134"/>
          </w:tcPr>
          <w:p>
            <w:pPr>
              <w:jc w:val="right"/>
            </w:pPr>
            <w:r/>
            <w:r>
              <w:rPr>
                <w:color w:val="1A1D21"/>
                <w:sz w:val="17"/>
              </w:rPr>
              <w:t>0.8837</w:t>
            </w:r>
          </w:p>
        </w:tc>
        <w:tc>
          <w:tcPr>
            <w:tcW w:type="dxa" w:w="1247"/>
          </w:tcPr>
          <w:p>
            <w:pPr>
              <w:jc w:val="right"/>
            </w:pPr>
            <w:r/>
            <w:r>
              <w:rPr>
                <w:color w:val="1A1D21"/>
                <w:sz w:val="17"/>
              </w:rPr>
              <w:t>32.1%</w:t>
            </w:r>
          </w:p>
        </w:tc>
        <w:tc>
          <w:tcPr>
            <w:tcW w:type="dxa" w:w="1134"/>
          </w:tcPr>
          <w:p>
            <w:pPr>
              <w:jc w:val="right"/>
            </w:pPr>
            <w:r/>
            <w:r>
              <w:rPr>
                <w:color w:val="1A1D21"/>
                <w:sz w:val="17"/>
              </w:rPr>
              <w:t>0.173</w:t>
            </w:r>
          </w:p>
        </w:tc>
        <w:tc>
          <w:tcPr>
            <w:tcW w:type="dxa" w:w="1134"/>
          </w:tcPr>
          <w:p>
            <w:pPr>
              <w:jc w:val="right"/>
            </w:pPr>
            <w:r/>
            <w:r>
              <w:rPr>
                <w:color w:val="1A1D21"/>
                <w:sz w:val="17"/>
              </w:rPr>
              <w:t>46.4%</w:t>
            </w:r>
          </w:p>
        </w:tc>
        <w:tc>
          <w:tcPr>
            <w:tcW w:type="dxa" w:w="1134"/>
          </w:tcPr>
          <w:p>
            <w:pPr>
              <w:jc w:val="right"/>
            </w:pPr>
            <w:r/>
            <w:r>
              <w:rPr>
                <w:color w:val="1A1D21"/>
                <w:sz w:val="17"/>
              </w:rPr>
              <w:t>-42.9%</w:t>
            </w:r>
          </w:p>
        </w:tc>
      </w:tr>
      <w:tr>
        <w:tc>
          <w:tcPr>
            <w:tcW w:type="dxa" w:w="964"/>
          </w:tcPr>
          <w:p>
            <w:r/>
            <w:r>
              <w:rPr>
                <w:color w:val="1A1D21"/>
                <w:sz w:val="17"/>
              </w:rPr>
              <w:t>HELI</w:t>
            </w:r>
          </w:p>
        </w:tc>
        <w:tc>
          <w:tcPr>
            <w:tcW w:type="dxa" w:w="2494"/>
          </w:tcPr>
          <w:p>
            <w:r/>
            <w:r>
              <w:rPr>
                <w:color w:val="1A1D21"/>
                <w:sz w:val="17"/>
              </w:rPr>
              <w:t>Heliopolis Housing and Develop</w:t>
            </w:r>
          </w:p>
        </w:tc>
        <w:tc>
          <w:tcPr>
            <w:tcW w:type="dxa" w:w="1134"/>
          </w:tcPr>
          <w:p>
            <w:pPr>
              <w:jc w:val="right"/>
            </w:pPr>
            <w:r/>
            <w:r>
              <w:rPr>
                <w:color w:val="1A1D21"/>
                <w:sz w:val="17"/>
              </w:rPr>
              <w:t>0.7653</w:t>
            </w:r>
          </w:p>
        </w:tc>
        <w:tc>
          <w:tcPr>
            <w:tcW w:type="dxa" w:w="1247"/>
          </w:tcPr>
          <w:p>
            <w:pPr>
              <w:jc w:val="right"/>
            </w:pPr>
            <w:r/>
            <w:r>
              <w:rPr>
                <w:color w:val="1A1D21"/>
                <w:sz w:val="17"/>
              </w:rPr>
              <w:t>28.8%</w:t>
            </w:r>
          </w:p>
        </w:tc>
        <w:tc>
          <w:tcPr>
            <w:tcW w:type="dxa" w:w="1134"/>
          </w:tcPr>
          <w:p>
            <w:pPr>
              <w:jc w:val="right"/>
            </w:pPr>
            <w:r/>
            <w:r>
              <w:rPr>
                <w:color w:val="1A1D21"/>
                <w:sz w:val="17"/>
              </w:rPr>
              <w:t>0.181</w:t>
            </w:r>
          </w:p>
        </w:tc>
        <w:tc>
          <w:tcPr>
            <w:tcW w:type="dxa" w:w="1134"/>
          </w:tcPr>
          <w:p>
            <w:pPr>
              <w:jc w:val="right"/>
            </w:pPr>
            <w:r/>
            <w:r>
              <w:rPr>
                <w:color w:val="1A1D21"/>
                <w:sz w:val="17"/>
              </w:rPr>
              <w:t>44.4%</w:t>
            </w:r>
          </w:p>
        </w:tc>
        <w:tc>
          <w:tcPr>
            <w:tcW w:type="dxa" w:w="1134"/>
          </w:tcPr>
          <w:p>
            <w:pPr>
              <w:jc w:val="right"/>
            </w:pPr>
            <w:r/>
            <w:r>
              <w:rPr>
                <w:color w:val="1A1D21"/>
                <w:sz w:val="17"/>
              </w:rPr>
              <w:t>-39.6%</w:t>
            </w:r>
          </w:p>
        </w:tc>
      </w:tr>
      <w:tr>
        <w:tc>
          <w:tcPr>
            <w:tcW w:type="dxa" w:w="964"/>
          </w:tcPr>
          <w:p>
            <w:r/>
            <w:r>
              <w:rPr>
                <w:color w:val="1A1D21"/>
                <w:sz w:val="17"/>
              </w:rPr>
              <w:t>EMFD</w:t>
            </w:r>
          </w:p>
        </w:tc>
        <w:tc>
          <w:tcPr>
            <w:tcW w:type="dxa" w:w="2494"/>
          </w:tcPr>
          <w:p>
            <w:r/>
            <w:r>
              <w:rPr>
                <w:color w:val="1A1D21"/>
                <w:sz w:val="17"/>
              </w:rPr>
              <w:t>Emaar Misr for Development</w:t>
            </w:r>
          </w:p>
        </w:tc>
        <w:tc>
          <w:tcPr>
            <w:tcW w:type="dxa" w:w="1134"/>
          </w:tcPr>
          <w:p>
            <w:pPr>
              <w:jc w:val="right"/>
            </w:pPr>
            <w:r/>
            <w:r>
              <w:rPr>
                <w:color w:val="1A1D21"/>
                <w:sz w:val="17"/>
              </w:rPr>
              <w:t>0.7388</w:t>
            </w:r>
          </w:p>
        </w:tc>
        <w:tc>
          <w:tcPr>
            <w:tcW w:type="dxa" w:w="1247"/>
          </w:tcPr>
          <w:p>
            <w:pPr>
              <w:jc w:val="right"/>
            </w:pPr>
            <w:r/>
            <w:r>
              <w:rPr>
                <w:color w:val="1A1D21"/>
                <w:sz w:val="17"/>
              </w:rPr>
              <w:t>24.4%</w:t>
            </w:r>
          </w:p>
        </w:tc>
        <w:tc>
          <w:tcPr>
            <w:tcW w:type="dxa" w:w="1134"/>
          </w:tcPr>
          <w:p>
            <w:pPr>
              <w:jc w:val="right"/>
            </w:pPr>
            <w:r/>
            <w:r>
              <w:rPr>
                <w:color w:val="1A1D21"/>
                <w:sz w:val="17"/>
              </w:rPr>
              <w:t>0.169</w:t>
            </w:r>
          </w:p>
        </w:tc>
        <w:tc>
          <w:tcPr>
            <w:tcW w:type="dxa" w:w="1134"/>
          </w:tcPr>
          <w:p>
            <w:pPr>
              <w:jc w:val="right"/>
            </w:pPr>
            <w:r/>
            <w:r>
              <w:rPr>
                <w:color w:val="1A1D21"/>
                <w:sz w:val="17"/>
              </w:rPr>
              <w:t>41.1%</w:t>
            </w:r>
          </w:p>
        </w:tc>
        <w:tc>
          <w:tcPr>
            <w:tcW w:type="dxa" w:w="1134"/>
          </w:tcPr>
          <w:p>
            <w:pPr>
              <w:jc w:val="right"/>
            </w:pPr>
            <w:r/>
            <w:r>
              <w:rPr>
                <w:color w:val="1A1D21"/>
                <w:sz w:val="17"/>
              </w:rPr>
              <w:t>-47.1%</w:t>
            </w:r>
          </w:p>
        </w:tc>
      </w:tr>
      <w:tr>
        <w:tc>
          <w:tcPr>
            <w:tcW w:type="dxa" w:w="964"/>
          </w:tcPr>
          <w:p>
            <w:r/>
            <w:r>
              <w:rPr>
                <w:color w:val="1A1D21"/>
                <w:sz w:val="17"/>
              </w:rPr>
              <w:t>PRDC</w:t>
            </w:r>
          </w:p>
        </w:tc>
        <w:tc>
          <w:tcPr>
            <w:tcW w:type="dxa" w:w="2494"/>
          </w:tcPr>
          <w:p>
            <w:r/>
            <w:r>
              <w:rPr>
                <w:color w:val="1A1D21"/>
                <w:sz w:val="17"/>
              </w:rPr>
              <w:t xml:space="preserve">Pioneers Properties for Urban </w:t>
            </w:r>
          </w:p>
        </w:tc>
        <w:tc>
          <w:tcPr>
            <w:tcW w:type="dxa" w:w="1134"/>
          </w:tcPr>
          <w:p>
            <w:pPr>
              <w:jc w:val="right"/>
            </w:pPr>
            <w:r/>
            <w:r>
              <w:rPr>
                <w:color w:val="1A1D21"/>
                <w:sz w:val="17"/>
              </w:rPr>
              <w:t>0.7067</w:t>
            </w:r>
          </w:p>
        </w:tc>
        <w:tc>
          <w:tcPr>
            <w:tcW w:type="dxa" w:w="1247"/>
          </w:tcPr>
          <w:p>
            <w:pPr>
              <w:jc w:val="right"/>
            </w:pPr>
            <w:r/>
            <w:r>
              <w:rPr>
                <w:color w:val="1A1D21"/>
                <w:sz w:val="17"/>
              </w:rPr>
              <w:t>25.8%</w:t>
            </w:r>
          </w:p>
        </w:tc>
        <w:tc>
          <w:tcPr>
            <w:tcW w:type="dxa" w:w="1134"/>
          </w:tcPr>
          <w:p>
            <w:pPr>
              <w:jc w:val="right"/>
            </w:pPr>
            <w:r/>
            <w:r>
              <w:rPr>
                <w:color w:val="1A1D21"/>
                <w:sz w:val="17"/>
              </w:rPr>
              <w:t>0.186</w:t>
            </w:r>
          </w:p>
        </w:tc>
        <w:tc>
          <w:tcPr>
            <w:tcW w:type="dxa" w:w="1134"/>
          </w:tcPr>
          <w:p>
            <w:pPr>
              <w:jc w:val="right"/>
            </w:pPr>
            <w:r/>
            <w:r>
              <w:rPr>
                <w:color w:val="1A1D21"/>
                <w:sz w:val="17"/>
              </w:rPr>
              <w:t>42.2%</w:t>
            </w:r>
          </w:p>
        </w:tc>
        <w:tc>
          <w:tcPr>
            <w:tcW w:type="dxa" w:w="1134"/>
          </w:tcPr>
          <w:p>
            <w:pPr>
              <w:jc w:val="right"/>
            </w:pPr>
            <w:r/>
            <w:r>
              <w:rPr>
                <w:color w:val="1A1D21"/>
                <w:sz w:val="17"/>
              </w:rPr>
              <w:t>-52.0%</w:t>
            </w:r>
          </w:p>
        </w:tc>
      </w:tr>
      <w:tr>
        <w:tc>
          <w:tcPr>
            <w:tcW w:type="dxa" w:w="964"/>
          </w:tcPr>
          <w:p>
            <w:r/>
            <w:r>
              <w:rPr>
                <w:color w:val="1A1D21"/>
                <w:sz w:val="17"/>
              </w:rPr>
              <w:t>OCDI</w:t>
            </w:r>
          </w:p>
        </w:tc>
        <w:tc>
          <w:tcPr>
            <w:tcW w:type="dxa" w:w="2494"/>
          </w:tcPr>
          <w:p>
            <w:r/>
            <w:r>
              <w:rPr>
                <w:color w:val="1A1D21"/>
                <w:sz w:val="17"/>
              </w:rPr>
              <w:t>Sixth of October Development &amp;</w:t>
            </w:r>
          </w:p>
        </w:tc>
        <w:tc>
          <w:tcPr>
            <w:tcW w:type="dxa" w:w="1134"/>
          </w:tcPr>
          <w:p>
            <w:pPr>
              <w:jc w:val="right"/>
            </w:pPr>
            <w:r/>
            <w:r>
              <w:rPr>
                <w:color w:val="1A1D21"/>
                <w:sz w:val="17"/>
              </w:rPr>
              <w:t>0.4938</w:t>
            </w:r>
          </w:p>
        </w:tc>
        <w:tc>
          <w:tcPr>
            <w:tcW w:type="dxa" w:w="1247"/>
          </w:tcPr>
          <w:p>
            <w:pPr>
              <w:jc w:val="right"/>
            </w:pPr>
            <w:r/>
            <w:r>
              <w:rPr>
                <w:color w:val="1A1D21"/>
                <w:sz w:val="17"/>
              </w:rPr>
              <w:t>10.3%</w:t>
            </w:r>
          </w:p>
        </w:tc>
        <w:tc>
          <w:tcPr>
            <w:tcW w:type="dxa" w:w="1134"/>
          </w:tcPr>
          <w:p>
            <w:pPr>
              <w:jc w:val="right"/>
            </w:pPr>
            <w:r/>
            <w:r>
              <w:rPr>
                <w:color w:val="1A1D21"/>
                <w:sz w:val="17"/>
              </w:rPr>
              <w:t>0.224</w:t>
            </w:r>
          </w:p>
        </w:tc>
        <w:tc>
          <w:tcPr>
            <w:tcW w:type="dxa" w:w="1134"/>
          </w:tcPr>
          <w:p>
            <w:pPr>
              <w:jc w:val="right"/>
            </w:pPr>
            <w:r/>
            <w:r>
              <w:rPr>
                <w:color w:val="1A1D21"/>
                <w:sz w:val="17"/>
              </w:rPr>
              <w:t>47.1%</w:t>
            </w:r>
          </w:p>
        </w:tc>
        <w:tc>
          <w:tcPr>
            <w:tcW w:type="dxa" w:w="1134"/>
          </w:tcPr>
          <w:p>
            <w:pPr>
              <w:jc w:val="right"/>
            </w:pPr>
            <w:r/>
            <w:r>
              <w:rPr>
                <w:color w:val="1A1D21"/>
                <w:sz w:val="17"/>
              </w:rPr>
              <w:t>-46.6%</w:t>
            </w:r>
          </w:p>
        </w:tc>
      </w:tr>
    </w:tbl>
    <w:p>
      <w:pPr>
        <w:spacing w:after="200"/>
      </w:pPr>
      <w:r>
        <w:rPr>
          <w:b w:val="0"/>
          <w:i/>
          <w:color w:val="5B6570"/>
          <w:sz w:val="16"/>
        </w:rPr>
        <w:t>Every measure computed on the same five-year window, through the same cleaning, against the same index. Volatility is annualised from weekly returns; worst fall is the deepest peak-to-trough decline over five years.</w:t>
      </w:r>
    </w:p>
    <w:p>
      <w:pPr>
        <w:jc w:val="center"/>
      </w:pPr>
      <w:r>
        <w:drawing>
          <wp:inline xmlns:a="http://schemas.openxmlformats.org/drawingml/2006/main" xmlns:pic="http://schemas.openxmlformats.org/drawingml/2006/picture">
            <wp:extent cx="5832000" cy="2468495"/>
            <wp:docPr id="4" name="Picture 4"/>
            <wp:cNvGraphicFramePr>
              <a:graphicFrameLocks noChangeAspect="1"/>
            </wp:cNvGraphicFramePr>
            <a:graphic>
              <a:graphicData uri="http://schemas.openxmlformats.org/drawingml/2006/picture">
                <pic:pic>
                  <pic:nvPicPr>
                    <pic:cNvPr id="0" name="fig4_peers.png"/>
                    <pic:cNvPicPr/>
                  </pic:nvPicPr>
                  <pic:blipFill>
                    <a:blip r:embed="rId12"/>
                    <a:stretch>
                      <a:fillRect/>
                    </a:stretch>
                  </pic:blipFill>
                  <pic:spPr>
                    <a:xfrm>
                      <a:off x="0" y="0"/>
                      <a:ext cx="5832000" cy="2468495"/>
                    </a:xfrm>
                    <a:prstGeom prst="rect"/>
                  </pic:spPr>
                </pic:pic>
              </a:graphicData>
            </a:graphic>
          </wp:inline>
        </w:drawing>
      </w:r>
    </w:p>
    <w:p>
      <w:pPr>
        <w:spacing w:after="240"/>
        <w:jc w:val="center"/>
      </w:pPr>
      <w:r>
        <w:rPr>
          <w:b w:val="0"/>
          <w:i/>
          <w:color w:val="5B6570"/>
          <w:sz w:val="16"/>
        </w:rPr>
        <w:t>Figure 4 — the same betas with their standard errors. Palm Hills sits mid-sector: more market-sensitive than most of its peers, materially less so than the largest.</w:t>
      </w:r>
    </w:p>
    <w:p>
      <w:pPr>
        <w:spacing w:after="140"/>
      </w:pPr>
      <w:r>
        <w:rPr>
          <w:b w:val="0"/>
          <w:i w:val="0"/>
          <w:color w:val="1A1D21"/>
          <w:sz w:val="20"/>
        </w:rPr>
        <w:t>Earnings and book multiples for the peer group are not published in this study. No peer discloses financial statements this study can obtain on a consistent basis, and a multiple built from inconsistent inputs would carry more authority than it deserves. What is measured here is measured the same way for every name.</w:t>
      </w:r>
    </w:p>
    <w:p>
      <w:pPr>
        <w:pStyle w:val="Heading2"/>
      </w:pPr>
      <w:r>
        <w:t>B.2  Risk register</w:t>
      </w:r>
    </w:p>
    <w:tbl>
      <w:tblPr>
        <w:tblStyle w:val="TableGrid"/>
        <w:tblW w:type="auto" w:w="0"/>
        <w:jc w:val="center"/>
        <w:tblLayout w:type="fixed"/>
        <w:tblLook w:firstColumn="1" w:firstRow="1" w:lastColumn="0" w:lastRow="0" w:noHBand="0" w:noVBand="1" w:val="04A0"/>
        <w:tblLayout w:type="fixed"/>
      </w:tblPr>
      <w:tblGrid>
        <w:gridCol w:w="3211"/>
        <w:gridCol w:w="3211"/>
        <w:gridCol w:w="3211"/>
      </w:tblGrid>
      <w:tr>
        <w:tc>
          <w:tcPr>
            <w:tcW w:type="dxa" w:w="2608"/>
          </w:tcPr>
          <w:p>
            <w:r/>
            <w:r>
              <w:rPr>
                <w:b/>
                <w:color w:val="5B6570"/>
                <w:sz w:val="17"/>
              </w:rPr>
              <w:t>Risk</w:t>
            </w:r>
          </w:p>
        </w:tc>
        <w:tc>
          <w:tcPr>
            <w:tcW w:type="dxa" w:w="3175"/>
          </w:tcPr>
          <w:p>
            <w:r/>
            <w:r>
              <w:rPr>
                <w:b/>
                <w:color w:val="5B6570"/>
                <w:sz w:val="17"/>
              </w:rPr>
              <w:t>How it would show up</w:t>
            </w:r>
          </w:p>
        </w:tc>
        <w:tc>
          <w:tcPr>
            <w:tcW w:type="dxa" w:w="3402"/>
          </w:tcPr>
          <w:p>
            <w:r/>
            <w:r>
              <w:rPr>
                <w:b/>
                <w:color w:val="5B6570"/>
                <w:sz w:val="17"/>
              </w:rPr>
              <w:t>Where it is priced</w:t>
            </w:r>
          </w:p>
        </w:tc>
      </w:tr>
      <w:tr>
        <w:tc>
          <w:tcPr>
            <w:tcW w:type="dxa" w:w="2608"/>
          </w:tcPr>
          <w:p>
            <w:r/>
            <w:r>
              <w:rPr>
                <w:color w:val="1A1D21"/>
                <w:sz w:val="17"/>
              </w:rPr>
              <w:t>Cash conversion stays at the 2023 and 2025 rate</w:t>
            </w:r>
          </w:p>
        </w:tc>
        <w:tc>
          <w:tcPr>
            <w:tcW w:type="dxa" w:w="3175"/>
          </w:tcPr>
          <w:p>
            <w:r/>
            <w:r>
              <w:rPr>
                <w:color w:val="1A1D21"/>
                <w:sz w:val="17"/>
              </w:rPr>
              <w:t>operating cash near 3.9% of revenue</w:t>
            </w:r>
          </w:p>
        </w:tc>
        <w:tc>
          <w:tcPr>
            <w:tcW w:type="dxa" w:w="3402"/>
          </w:tcPr>
          <w:p>
            <w:r/>
            <w:r>
              <w:rPr>
                <w:color w:val="1A1D21"/>
                <w:sz w:val="17"/>
              </w:rPr>
              <w:t>bottom row of the table in section 1.9</w:t>
            </w:r>
          </w:p>
        </w:tc>
      </w:tr>
      <w:tr>
        <w:tc>
          <w:tcPr>
            <w:tcW w:type="dxa" w:w="2608"/>
          </w:tcPr>
          <w:p>
            <w:r/>
            <w:r>
              <w:rPr>
                <w:color w:val="1A1D21"/>
                <w:sz w:val="17"/>
              </w:rPr>
              <w:t>Egyptian rates stay high or rise</w:t>
            </w:r>
          </w:p>
        </w:tc>
        <w:tc>
          <w:tcPr>
            <w:tcW w:type="dxa" w:w="3175"/>
          </w:tcPr>
          <w:p>
            <w:r/>
            <w:r>
              <w:rPr>
                <w:color w:val="1A1D21"/>
                <w:sz w:val="17"/>
              </w:rPr>
              <w:t>cost of capital above 26.25%</w:t>
            </w:r>
          </w:p>
        </w:tc>
        <w:tc>
          <w:tcPr>
            <w:tcW w:type="dxa" w:w="3402"/>
          </w:tcPr>
          <w:p>
            <w:r/>
            <w:r>
              <w:rPr>
                <w:color w:val="1A1D21"/>
                <w:sz w:val="17"/>
              </w:rPr>
              <w:t>right-hand columns of the same table</w:t>
            </w:r>
          </w:p>
        </w:tc>
      </w:tr>
      <w:tr>
        <w:tc>
          <w:tcPr>
            <w:tcW w:type="dxa" w:w="2608"/>
          </w:tcPr>
          <w:p>
            <w:r/>
            <w:r>
              <w:rPr>
                <w:color w:val="1A1D21"/>
                <w:sz w:val="17"/>
              </w:rPr>
              <w:t>Order book converts more slowly than delivery history implies</w:t>
            </w:r>
          </w:p>
        </w:tc>
        <w:tc>
          <w:tcPr>
            <w:tcW w:type="dxa" w:w="3175"/>
          </w:tcPr>
          <w:p>
            <w:r/>
            <w:r>
              <w:rPr>
                <w:color w:val="1A1D21"/>
                <w:sz w:val="17"/>
              </w:rPr>
              <w:t>the order book keeps rising as a multiple of revenue</w:t>
            </w:r>
          </w:p>
        </w:tc>
        <w:tc>
          <w:tcPr>
            <w:tcW w:type="dxa" w:w="3402"/>
          </w:tcPr>
          <w:p>
            <w:r/>
            <w:r>
              <w:rPr>
                <w:color w:val="1A1D21"/>
                <w:sz w:val="17"/>
              </w:rPr>
              <w:t>section 7, fourth bullet</w:t>
            </w:r>
          </w:p>
        </w:tc>
      </w:tr>
      <w:tr>
        <w:tc>
          <w:tcPr>
            <w:tcW w:type="dxa" w:w="2608"/>
          </w:tcPr>
          <w:p>
            <w:r/>
            <w:r>
              <w:rPr>
                <w:color w:val="1A1D21"/>
                <w:sz w:val="17"/>
              </w:rPr>
              <w:t>Currency devaluation</w:t>
            </w:r>
          </w:p>
        </w:tc>
        <w:tc>
          <w:tcPr>
            <w:tcW w:type="dxa" w:w="3175"/>
          </w:tcPr>
          <w:p>
            <w:r/>
            <w:r>
              <w:rPr>
                <w:color w:val="1A1D21"/>
                <w:sz w:val="17"/>
              </w:rPr>
              <w:t>nominal figures rise, real value does not</w:t>
            </w:r>
          </w:p>
        </w:tc>
        <w:tc>
          <w:tcPr>
            <w:tcW w:type="dxa" w:w="3402"/>
          </w:tcPr>
          <w:p>
            <w:r/>
            <w:r>
              <w:rPr>
                <w:color w:val="1A1D21"/>
                <w:sz w:val="17"/>
              </w:rPr>
              <w:t>the whole study is in nominal pounds; a devaluation moves the denominator too</w:t>
            </w:r>
          </w:p>
        </w:tc>
      </w:tr>
      <w:tr>
        <w:tc>
          <w:tcPr>
            <w:tcW w:type="dxa" w:w="2608"/>
          </w:tcPr>
          <w:p>
            <w:r/>
            <w:r>
              <w:rPr>
                <w:color w:val="1A1D21"/>
                <w:sz w:val="17"/>
              </w:rPr>
              <w:t>Cost of debt above the assumed spread</w:t>
            </w:r>
          </w:p>
        </w:tc>
        <w:tc>
          <w:tcPr>
            <w:tcW w:type="dxa" w:w="3175"/>
          </w:tcPr>
          <w:p>
            <w:r/>
            <w:r>
              <w:rPr>
                <w:color w:val="1A1D21"/>
                <w:sz w:val="17"/>
              </w:rPr>
              <w:t>finance cost above the modelled level</w:t>
            </w:r>
          </w:p>
        </w:tc>
        <w:tc>
          <w:tcPr>
            <w:tcW w:type="dxa" w:w="3402"/>
          </w:tcPr>
          <w:p>
            <w:r/>
            <w:r>
              <w:rPr>
                <w:color w:val="1A1D21"/>
                <w:sz w:val="17"/>
              </w:rPr>
              <w:t>section 1.8; the spread is the one unsourced input</w:t>
            </w:r>
          </w:p>
        </w:tc>
      </w:tr>
    </w:tbl>
    <w:p>
      <w:pPr>
        <w:pStyle w:val="Heading2"/>
      </w:pPr>
      <w:r>
        <w:t>B.3  Research register</w:t>
      </w:r>
    </w:p>
    <w:p>
      <w:pPr>
        <w:spacing w:after="140"/>
      </w:pPr>
      <w:r>
        <w:rPr>
          <w:b w:val="0"/>
          <w:i w:val="0"/>
          <w:color w:val="1A1D21"/>
          <w:sz w:val="20"/>
        </w:rPr>
        <w:t>This study is built on 69 sourced inputs. Every reported historical comes from the company's own audited statements or its own results releases. The only third-party inputs are the exogenous macroeconomic series and the market price. A full register, with the value, source, date and provenance of each input, is published in the accompanying bibliography.</w:t>
      </w:r>
    </w:p>
    <w:p>
      <w:r>
        <w:br w:type="page"/>
      </w:r>
    </w:p>
    <w:p>
      <w:pPr>
        <w:pStyle w:val="Heading1"/>
      </w:pPr>
      <w:r>
        <w:t>Appendix C  Expert panel</w:t>
      </w:r>
    </w:p>
    <w:p>
      <w:pPr>
        <w:spacing w:after="140"/>
      </w:pPr>
      <w:r>
        <w:rPr>
          <w:b w:val="0"/>
          <w:i/>
          <w:color w:val="5B6570"/>
          <w:sz w:val="20"/>
        </w:rPr>
        <w:t>Three readings of the same company by three different methods. The experts are identified by method, not by name.</w:t>
      </w:r>
    </w:p>
    <w:p>
      <w:pPr>
        <w:pStyle w:val="Heading2"/>
      </w:pPr>
      <w:r>
        <w:t>C.1  Expert 1 — the discounted cash-flow analyst</w:t>
      </w:r>
    </w:p>
    <w:p>
      <w:pPr>
        <w:spacing w:after="140"/>
      </w:pPr>
      <w:r>
        <w:rPr>
          <w:b w:val="0"/>
          <w:i w:val="0"/>
          <w:color w:val="1A1D21"/>
          <w:sz w:val="20"/>
        </w:rPr>
        <w:t>Worldview: a company is worth the cash it will hand its owners, discounted at what that cash costs. When it works: businesses with stable conversion of profit to cash. When it fails: businesses where that conversion is the unknown — which is exactly this one.</w:t>
      </w:r>
    </w:p>
    <w:tbl>
      <w:tblPr>
        <w:tblStyle w:val="TableGrid"/>
        <w:tblW w:type="auto" w:w="0"/>
        <w:jc w:val="center"/>
        <w:tblLayout w:type="fixed"/>
        <w:tblLook w:firstColumn="1" w:firstRow="1" w:lastColumn="0" w:lastRow="0" w:noHBand="0" w:noVBand="1" w:val="04A0"/>
        <w:tblLayout w:type="fixed"/>
      </w:tblPr>
      <w:tblGrid>
        <w:gridCol w:w="4816"/>
        <w:gridCol w:w="4816"/>
      </w:tblGrid>
      <w:tr>
        <w:tc>
          <w:tcPr>
            <w:tcW w:type="dxa" w:w="5102"/>
          </w:tcPr>
          <w:p>
            <w:r/>
            <w:r>
              <w:rPr>
                <w:b/>
                <w:color w:val="5B6570"/>
                <w:sz w:val="17"/>
              </w:rPr>
              <w:t>Working</w:t>
            </w:r>
          </w:p>
        </w:tc>
        <w:tc>
          <w:tcPr>
            <w:tcW w:type="dxa" w:w="2835"/>
          </w:tcPr>
          <w:p>
            <w:r/>
            <w:r>
              <w:rPr>
                <w:b/>
                <w:color w:val="5B6570"/>
                <w:sz w:val="17"/>
              </w:rPr>
              <w:t>EGP mn</w:t>
            </w:r>
          </w:p>
        </w:tc>
      </w:tr>
      <w:tr>
        <w:tc>
          <w:tcPr>
            <w:tcW w:type="dxa" w:w="5102"/>
          </w:tcPr>
          <w:p>
            <w:r/>
            <w:r>
              <w:rPr>
                <w:color w:val="1A1D21"/>
                <w:sz w:val="17"/>
              </w:rPr>
              <w:t>Present value of ten explicit years</w:t>
            </w:r>
          </w:p>
        </w:tc>
        <w:tc>
          <w:tcPr>
            <w:tcW w:type="dxa" w:w="2835"/>
          </w:tcPr>
          <w:p>
            <w:pPr>
              <w:jc w:val="right"/>
            </w:pPr>
            <w:r/>
            <w:r>
              <w:rPr>
                <w:color w:val="1A1D21"/>
                <w:sz w:val="17"/>
              </w:rPr>
              <w:t>49,460</w:t>
            </w:r>
          </w:p>
        </w:tc>
      </w:tr>
      <w:tr>
        <w:tc>
          <w:tcPr>
            <w:tcW w:type="dxa" w:w="5102"/>
          </w:tcPr>
          <w:p>
            <w:r/>
            <w:r>
              <w:rPr>
                <w:color w:val="1A1D21"/>
                <w:sz w:val="17"/>
              </w:rPr>
              <w:t>Present value beyond year ten</w:t>
            </w:r>
          </w:p>
        </w:tc>
        <w:tc>
          <w:tcPr>
            <w:tcW w:type="dxa" w:w="2835"/>
          </w:tcPr>
          <w:p>
            <w:pPr>
              <w:jc w:val="right"/>
            </w:pPr>
            <w:r/>
            <w:r>
              <w:rPr>
                <w:color w:val="1A1D21"/>
                <w:sz w:val="17"/>
              </w:rPr>
              <w:t>25,237</w:t>
            </w:r>
          </w:p>
        </w:tc>
      </w:tr>
      <w:tr>
        <w:tc>
          <w:tcPr>
            <w:tcW w:type="dxa" w:w="5102"/>
          </w:tcPr>
          <w:p>
            <w:r/>
            <w:r>
              <w:rPr>
                <w:color w:val="1A1D21"/>
                <w:sz w:val="17"/>
              </w:rPr>
              <w:t>Enterprise value</w:t>
            </w:r>
          </w:p>
        </w:tc>
        <w:tc>
          <w:tcPr>
            <w:tcW w:type="dxa" w:w="2835"/>
          </w:tcPr>
          <w:p>
            <w:pPr>
              <w:jc w:val="right"/>
            </w:pPr>
            <w:r/>
            <w:r>
              <w:rPr>
                <w:color w:val="1A1D21"/>
                <w:sz w:val="17"/>
              </w:rPr>
              <w:t>74,697</w:t>
            </w:r>
          </w:p>
        </w:tc>
      </w:tr>
      <w:tr>
        <w:tc>
          <w:tcPr>
            <w:tcW w:type="dxa" w:w="5102"/>
          </w:tcPr>
          <w:p>
            <w:r/>
            <w:r>
              <w:rPr>
                <w:color w:val="1A1D21"/>
                <w:sz w:val="17"/>
              </w:rPr>
              <w:t>less net debt</w:t>
            </w:r>
          </w:p>
        </w:tc>
        <w:tc>
          <w:tcPr>
            <w:tcW w:type="dxa" w:w="2835"/>
          </w:tcPr>
          <w:p>
            <w:pPr>
              <w:jc w:val="right"/>
            </w:pPr>
            <w:r/>
            <w:r>
              <w:rPr>
                <w:color w:val="1A1D21"/>
                <w:sz w:val="17"/>
              </w:rPr>
              <w:t>(24,133)</w:t>
            </w:r>
          </w:p>
        </w:tc>
      </w:tr>
      <w:tr>
        <w:tc>
          <w:tcPr>
            <w:tcW w:type="dxa" w:w="5102"/>
          </w:tcPr>
          <w:p>
            <w:r/>
            <w:r>
              <w:rPr>
                <w:color w:val="1A1D21"/>
                <w:sz w:val="17"/>
              </w:rPr>
              <w:t>plus associates and investment property</w:t>
            </w:r>
          </w:p>
        </w:tc>
        <w:tc>
          <w:tcPr>
            <w:tcW w:type="dxa" w:w="2835"/>
          </w:tcPr>
          <w:p>
            <w:pPr>
              <w:jc w:val="right"/>
            </w:pPr>
            <w:r/>
            <w:r>
              <w:rPr>
                <w:color w:val="1A1D21"/>
                <w:sz w:val="17"/>
              </w:rPr>
              <w:t>4,644</w:t>
            </w:r>
          </w:p>
        </w:tc>
      </w:tr>
      <w:tr>
        <w:tc>
          <w:tcPr>
            <w:tcW w:type="dxa" w:w="5102"/>
          </w:tcPr>
          <w:p>
            <w:r/>
            <w:r>
              <w:rPr>
                <w:color w:val="1A1D21"/>
                <w:sz w:val="17"/>
              </w:rPr>
              <w:t>Equity</w:t>
            </w:r>
          </w:p>
        </w:tc>
        <w:tc>
          <w:tcPr>
            <w:tcW w:type="dxa" w:w="2835"/>
          </w:tcPr>
          <w:p>
            <w:pPr>
              <w:jc w:val="right"/>
            </w:pPr>
            <w:r/>
            <w:r>
              <w:rPr>
                <w:color w:val="1A1D21"/>
                <w:sz w:val="17"/>
              </w:rPr>
              <w:t>55,208</w:t>
            </w:r>
          </w:p>
        </w:tc>
      </w:tr>
      <w:tr>
        <w:tc>
          <w:tcPr>
            <w:tcW w:type="dxa" w:w="5102"/>
          </w:tcPr>
          <w:p>
            <w:r/>
            <w:r>
              <w:rPr>
                <w:color w:val="1A1D21"/>
                <w:sz w:val="17"/>
              </w:rPr>
              <w:t>Per share (EGP)</w:t>
            </w:r>
          </w:p>
        </w:tc>
        <w:tc>
          <w:tcPr>
            <w:tcW w:type="dxa" w:w="2835"/>
          </w:tcPr>
          <w:p>
            <w:pPr>
              <w:jc w:val="right"/>
            </w:pPr>
            <w:r/>
            <w:r>
              <w:rPr>
                <w:color w:val="1A1D21"/>
                <w:sz w:val="17"/>
              </w:rPr>
              <w:t>19.30</w:t>
            </w:r>
          </w:p>
        </w:tc>
      </w:tr>
    </w:tbl>
    <w:p>
      <w:pPr>
        <w:spacing w:after="140"/>
      </w:pPr>
      <w:r>
        <w:rPr>
          <w:b w:val="0"/>
          <w:i w:val="0"/>
          <w:color w:val="1A1D21"/>
          <w:sz w:val="20"/>
        </w:rPr>
        <w:t>Named sensitivity: a move in cash conversion from 3.9% to 17.9% takes the answer from EGP 9.17 to EGP 38.74. Falsifier stated in advance: if the 2026 and 2027 cash-flow statements show conversion inside two percentage points of 8.7%, this reading is right and the range should collapse toward its centre; if they straddle the full observed spread again, the method should be abandoned for this company.</w:t>
      </w:r>
    </w:p>
    <w:p>
      <w:pPr>
        <w:pStyle w:val="Heading2"/>
      </w:pPr>
      <w:r>
        <w:t>C.2  Expert 2 — the asset-based analyst</w:t>
      </w:r>
    </w:p>
    <w:p>
      <w:pPr>
        <w:spacing w:after="140"/>
      </w:pPr>
      <w:r>
        <w:rPr>
          <w:b w:val="0"/>
          <w:i w:val="0"/>
          <w:color w:val="1A1D21"/>
          <w:sz w:val="20"/>
        </w:rPr>
        <w:t>Worldview: a developer is a pile of land, work in progress and receivables, less what it owes. Earnings are an accident of timing. When it works: asset-heavy businesses in distress or in wind-down. When it fails: going concerns whose value is in execution.</w:t>
      </w:r>
    </w:p>
    <w:tbl>
      <w:tblPr>
        <w:tblStyle w:val="TableGrid"/>
        <w:tblW w:type="auto" w:w="0"/>
        <w:jc w:val="center"/>
        <w:tblLayout w:type="fixed"/>
        <w:tblLook w:firstColumn="1" w:firstRow="1" w:lastColumn="0" w:lastRow="0" w:noHBand="0" w:noVBand="1" w:val="04A0"/>
        <w:tblLayout w:type="fixed"/>
      </w:tblPr>
      <w:tblGrid>
        <w:gridCol w:w="4816"/>
        <w:gridCol w:w="4816"/>
      </w:tblGrid>
      <w:tr>
        <w:tc>
          <w:tcPr>
            <w:tcW w:type="dxa" w:w="5102"/>
          </w:tcPr>
          <w:p>
            <w:r/>
            <w:r>
              <w:rPr>
                <w:b/>
                <w:color w:val="5B6570"/>
                <w:sz w:val="17"/>
              </w:rPr>
              <w:t>Working</w:t>
            </w:r>
          </w:p>
        </w:tc>
        <w:tc>
          <w:tcPr>
            <w:tcW w:type="dxa" w:w="2835"/>
          </w:tcPr>
          <w:p>
            <w:r/>
            <w:r>
              <w:rPr>
                <w:b/>
                <w:color w:val="5B6570"/>
                <w:sz w:val="17"/>
              </w:rPr>
              <w:t>EGP mn</w:t>
            </w:r>
          </w:p>
        </w:tc>
      </w:tr>
      <w:tr>
        <w:tc>
          <w:tcPr>
            <w:tcW w:type="dxa" w:w="5102"/>
          </w:tcPr>
          <w:p>
            <w:r/>
            <w:r>
              <w:rPr>
                <w:color w:val="1A1D21"/>
                <w:sz w:val="17"/>
              </w:rPr>
              <w:t>Work in progress</w:t>
            </w:r>
          </w:p>
        </w:tc>
        <w:tc>
          <w:tcPr>
            <w:tcW w:type="dxa" w:w="2835"/>
          </w:tcPr>
          <w:p>
            <w:pPr>
              <w:jc w:val="right"/>
            </w:pPr>
            <w:r/>
            <w:r>
              <w:rPr>
                <w:color w:val="1A1D21"/>
                <w:sz w:val="17"/>
              </w:rPr>
              <w:t>17,571</w:t>
            </w:r>
          </w:p>
        </w:tc>
      </w:tr>
      <w:tr>
        <w:tc>
          <w:tcPr>
            <w:tcW w:type="dxa" w:w="5102"/>
          </w:tcPr>
          <w:p>
            <w:r/>
            <w:r>
              <w:rPr>
                <w:color w:val="1A1D21"/>
                <w:sz w:val="17"/>
              </w:rPr>
              <w:t>Receivables, trade and instalment</w:t>
            </w:r>
          </w:p>
        </w:tc>
        <w:tc>
          <w:tcPr>
            <w:tcW w:type="dxa" w:w="2835"/>
          </w:tcPr>
          <w:p>
            <w:pPr>
              <w:jc w:val="right"/>
            </w:pPr>
            <w:r/>
            <w:r>
              <w:rPr>
                <w:color w:val="1A1D21"/>
                <w:sz w:val="17"/>
              </w:rPr>
              <w:t>103,511</w:t>
            </w:r>
          </w:p>
        </w:tc>
      </w:tr>
      <w:tr>
        <w:tc>
          <w:tcPr>
            <w:tcW w:type="dxa" w:w="5102"/>
          </w:tcPr>
          <w:p>
            <w:r/>
            <w:r>
              <w:rPr>
                <w:color w:val="1A1D21"/>
                <w:sz w:val="17"/>
              </w:rPr>
              <w:t>Cash</w:t>
            </w:r>
          </w:p>
        </w:tc>
        <w:tc>
          <w:tcPr>
            <w:tcW w:type="dxa" w:w="2835"/>
          </w:tcPr>
          <w:p>
            <w:pPr>
              <w:jc w:val="right"/>
            </w:pPr>
            <w:r/>
            <w:r>
              <w:rPr>
                <w:color w:val="1A1D21"/>
                <w:sz w:val="17"/>
              </w:rPr>
              <w:t>9,420</w:t>
            </w:r>
          </w:p>
        </w:tc>
      </w:tr>
      <w:tr>
        <w:tc>
          <w:tcPr>
            <w:tcW w:type="dxa" w:w="5102"/>
          </w:tcPr>
          <w:p>
            <w:r/>
            <w:r>
              <w:rPr>
                <w:color w:val="1A1D21"/>
                <w:sz w:val="17"/>
              </w:rPr>
              <w:t>Investments and investment property</w:t>
            </w:r>
          </w:p>
        </w:tc>
        <w:tc>
          <w:tcPr>
            <w:tcW w:type="dxa" w:w="2835"/>
          </w:tcPr>
          <w:p>
            <w:pPr>
              <w:jc w:val="right"/>
            </w:pPr>
            <w:r/>
            <w:r>
              <w:rPr>
                <w:color w:val="1A1D21"/>
                <w:sz w:val="17"/>
              </w:rPr>
              <w:t>4,644</w:t>
            </w:r>
          </w:p>
        </w:tc>
      </w:tr>
      <w:tr>
        <w:tc>
          <w:tcPr>
            <w:tcW w:type="dxa" w:w="5102"/>
          </w:tcPr>
          <w:p>
            <w:r/>
            <w:r>
              <w:rPr>
                <w:color w:val="1A1D21"/>
                <w:sz w:val="17"/>
              </w:rPr>
              <w:t>less advances from customers</w:t>
            </w:r>
          </w:p>
        </w:tc>
        <w:tc>
          <w:tcPr>
            <w:tcW w:type="dxa" w:w="2835"/>
          </w:tcPr>
          <w:p>
            <w:pPr>
              <w:jc w:val="right"/>
            </w:pPr>
            <w:r/>
            <w:r>
              <w:rPr>
                <w:color w:val="1A1D21"/>
                <w:sz w:val="17"/>
              </w:rPr>
              <w:t>(69,354)</w:t>
            </w:r>
          </w:p>
        </w:tc>
      </w:tr>
      <w:tr>
        <w:tc>
          <w:tcPr>
            <w:tcW w:type="dxa" w:w="5102"/>
          </w:tcPr>
          <w:p>
            <w:r/>
            <w:r>
              <w:rPr>
                <w:color w:val="1A1D21"/>
                <w:sz w:val="17"/>
              </w:rPr>
              <w:t>less gross borrowings</w:t>
            </w:r>
          </w:p>
        </w:tc>
        <w:tc>
          <w:tcPr>
            <w:tcW w:type="dxa" w:w="2835"/>
          </w:tcPr>
          <w:p>
            <w:pPr>
              <w:jc w:val="right"/>
            </w:pPr>
            <w:r/>
            <w:r>
              <w:rPr>
                <w:color w:val="1A1D21"/>
                <w:sz w:val="17"/>
              </w:rPr>
              <w:t>(33,552.7)</w:t>
            </w:r>
          </w:p>
        </w:tc>
      </w:tr>
      <w:tr>
        <w:tc>
          <w:tcPr>
            <w:tcW w:type="dxa" w:w="5102"/>
          </w:tcPr>
          <w:p>
            <w:r/>
            <w:r>
              <w:rPr>
                <w:color w:val="1A1D21"/>
                <w:sz w:val="17"/>
              </w:rPr>
              <w:t>less other liabilities, balancing</w:t>
            </w:r>
          </w:p>
        </w:tc>
        <w:tc>
          <w:tcPr>
            <w:tcW w:type="dxa" w:w="2835"/>
          </w:tcPr>
          <w:p>
            <w:pPr>
              <w:jc w:val="right"/>
            </w:pPr>
            <w:r/>
            <w:r>
              <w:rPr>
                <w:color w:val="1A1D21"/>
                <w:sz w:val="17"/>
              </w:rPr>
              <w:t>(50,457.3)</w:t>
            </w:r>
          </w:p>
        </w:tc>
      </w:tr>
      <w:tr>
        <w:tc>
          <w:tcPr>
            <w:tcW w:type="dxa" w:w="5102"/>
          </w:tcPr>
          <w:p>
            <w:r/>
            <w:r>
              <w:rPr>
                <w:color w:val="1A1D21"/>
                <w:sz w:val="17"/>
              </w:rPr>
              <w:t>Shareholders' funds as reported</w:t>
            </w:r>
          </w:p>
        </w:tc>
        <w:tc>
          <w:tcPr>
            <w:tcW w:type="dxa" w:w="2835"/>
          </w:tcPr>
          <w:p>
            <w:pPr>
              <w:jc w:val="right"/>
            </w:pPr>
            <w:r/>
            <w:r>
              <w:rPr>
                <w:color w:val="1A1D21"/>
                <w:sz w:val="17"/>
              </w:rPr>
              <w:t>18,766</w:t>
            </w:r>
          </w:p>
        </w:tc>
      </w:tr>
      <w:tr>
        <w:tc>
          <w:tcPr>
            <w:tcW w:type="dxa" w:w="5102"/>
          </w:tcPr>
          <w:p>
            <w:r/>
            <w:r>
              <w:rPr>
                <w:color w:val="1A1D21"/>
                <w:sz w:val="17"/>
              </w:rPr>
              <w:t>Per share (EGP)</w:t>
            </w:r>
          </w:p>
        </w:tc>
        <w:tc>
          <w:tcPr>
            <w:tcW w:type="dxa" w:w="2835"/>
          </w:tcPr>
          <w:p>
            <w:pPr>
              <w:jc w:val="right"/>
            </w:pPr>
            <w:r/>
            <w:r>
              <w:rPr>
                <w:color w:val="1A1D21"/>
                <w:sz w:val="17"/>
              </w:rPr>
              <w:t>6.56</w:t>
            </w:r>
          </w:p>
        </w:tc>
      </w:tr>
    </w:tbl>
    <w:p>
      <w:pPr>
        <w:spacing w:after="140"/>
      </w:pPr>
      <w:r>
        <w:rPr>
          <w:b w:val="0"/>
          <w:i w:val="0"/>
          <w:color w:val="1A1D21"/>
          <w:sz w:val="20"/>
        </w:rPr>
        <w:t>Named sensitivity: the instalment receivable book is carried at face value less unwinding discount. A 10 per cent write-down of that book would remove roughly EGP 10,106 million, about EGP 3.53 a share. Falsifier: evidence of material cancellations or receivable impairment would confirm this reading and invalidate the cash-flow one.</w:t>
      </w:r>
    </w:p>
    <w:p>
      <w:pPr>
        <w:pStyle w:val="Heading2"/>
      </w:pPr>
      <w:r>
        <w:t>C.3  Expert 3 — the market-implied analyst</w:t>
      </w:r>
    </w:p>
    <w:p>
      <w:pPr>
        <w:spacing w:after="140"/>
      </w:pPr>
      <w:r>
        <w:rPr>
          <w:b w:val="0"/>
          <w:i w:val="0"/>
          <w:color w:val="1A1D21"/>
          <w:sz w:val="20"/>
        </w:rPr>
        <w:t>Worldview: do not value the company; ask what the price already assumes, then judge whether that assumption is reasonable. When it works: where a single variable dominates. When it fails: where the market is wrong about many things at once.</w:t>
      </w:r>
    </w:p>
    <w:p>
      <w:pPr>
        <w:spacing w:after="140"/>
      </w:pPr>
      <w:r>
        <w:rPr>
          <w:b w:val="0"/>
          <w:i w:val="0"/>
          <w:color w:val="1A1D21"/>
          <w:sz w:val="20"/>
        </w:rPr>
        <w:t>Working: holding the cost of capital at 26.25% and every other input at the audited 2025 base, the closing price of EGP 15.20 implies cash conversion of 6.8%. The company achieved 4.3% in 2023, 17.9% in 2024 and 3.9% in 2025. Named sensitivity: at a 25.24% cost of capital the implied rate would be lower still. Falsifier: if 2026 conversion prints above 6.8%, the price was too low.</w:t>
      </w:r>
    </w:p>
    <w:p>
      <w:pPr>
        <w:pStyle w:val="Heading2"/>
      </w:pPr>
      <w:r>
        <w:t>C.4  Cross-examination</w:t>
      </w:r>
    </w:p>
    <w:p>
      <w:pPr>
        <w:pStyle w:val="ListBullet"/>
        <w:spacing w:after="60"/>
      </w:pPr>
      <w:r>
        <w:rPr>
          <w:color w:val="1A1D21"/>
          <w:sz w:val="20"/>
        </w:rPr>
        <w:t>Expert 2 to Expert 1: your terminal value is 34% of your answer, so you are mostly valuing years you cannot see. CONCEDED — it is why no single figure is published.</w:t>
      </w:r>
    </w:p>
    <w:p>
      <w:pPr>
        <w:pStyle w:val="ListBullet"/>
        <w:spacing w:after="60"/>
      </w:pPr>
      <w:r>
        <w:rPr>
          <w:color w:val="1A1D21"/>
          <w:sz w:val="20"/>
        </w:rPr>
        <w:t>Expert 1 to Expert 2: book value ignores that the company sells at roughly 41.2% gross margin, so its inventory is worth more than cost. CONCEDED — book is a floor, not a value.</w:t>
      </w:r>
    </w:p>
    <w:p>
      <w:pPr>
        <w:pStyle w:val="ListBullet"/>
        <w:spacing w:after="60"/>
      </w:pPr>
      <w:r>
        <w:rPr>
          <w:color w:val="1A1D21"/>
          <w:sz w:val="20"/>
        </w:rPr>
        <w:t>Expert 3 to both: you disagree by a factor of four and the market sits between you, so neither of you is adding information. REJECTED — the range is the information; a false point estimate would not be.</w:t>
      </w:r>
    </w:p>
    <w:p>
      <w:pPr>
        <w:pStyle w:val="ListBullet"/>
        <w:spacing w:after="60"/>
      </w:pPr>
      <w:r>
        <w:rPr>
          <w:color w:val="1A1D21"/>
          <w:sz w:val="20"/>
        </w:rPr>
        <w:t>Expert 2 to Expert 3: the price also reflects Egyptian equity risk appetite, not just this company's conversion rate. CONCEDED — the implied figure is a single-variable solve and is labelled as one.</w:t>
      </w:r>
    </w:p>
    <w:p>
      <w:pPr>
        <w:pStyle w:val="Heading2"/>
      </w:pPr>
      <w:r>
        <w:t>C.5  The three in one room</w:t>
      </w:r>
    </w:p>
    <w:p>
      <w:pPr>
        <w:spacing w:after="140"/>
      </w:pPr>
      <w:r>
        <w:rPr>
          <w:b w:val="0"/>
          <w:i w:val="0"/>
          <w:color w:val="1A1D21"/>
          <w:sz w:val="20"/>
        </w:rPr>
        <w:t>They agree on the facts and disagree on one number. All three accept the audited 2025 base, the 26.25% cost of capital and the order book. Expert 1 needs a conversion rate to produce an answer; Expert 2 refuses to forecast one and prices the assets instead; Expert 3 asks what rate is already in the price. The room's joint position is that Palm Hills is worth between EGP 9.17 and EGP 38.74, that the price of EGP 15.20 sits in the lower half of that range, and that the width is a property of the disclosure rather than of the analysis.</w:t>
      </w:r>
    </w:p>
    <w:p>
      <w:pPr>
        <w:pStyle w:val="Heading2"/>
      </w:pPr>
      <w:r>
        <w:t>C.6  Reading the divergence</w:t>
      </w:r>
    </w:p>
    <w:tbl>
      <w:tblPr>
        <w:tblStyle w:val="TableGrid"/>
        <w:tblW w:type="auto" w:w="0"/>
        <w:jc w:val="center"/>
        <w:tblLayout w:type="fixed"/>
        <w:tblLook w:firstColumn="1" w:firstRow="1" w:lastColumn="0" w:lastRow="0" w:noHBand="0" w:noVBand="1" w:val="04A0"/>
        <w:tblLayout w:type="fixed"/>
      </w:tblPr>
      <w:tblGrid>
        <w:gridCol w:w="1926"/>
        <w:gridCol w:w="1926"/>
        <w:gridCol w:w="1926"/>
        <w:gridCol w:w="1926"/>
        <w:gridCol w:w="1926"/>
      </w:tblGrid>
      <w:tr>
        <w:tc>
          <w:tcPr>
            <w:tcW w:type="dxa" w:w="1928"/>
          </w:tcPr>
          <w:p>
            <w:r/>
            <w:r>
              <w:rPr>
                <w:b/>
                <w:color w:val="5B6570"/>
                <w:sz w:val="17"/>
              </w:rPr>
              <w:t>Assumption</w:t>
            </w:r>
          </w:p>
        </w:tc>
        <w:tc>
          <w:tcPr>
            <w:tcW w:type="dxa" w:w="1928"/>
          </w:tcPr>
          <w:p>
            <w:r/>
            <w:r>
              <w:rPr>
                <w:b/>
                <w:color w:val="5B6570"/>
                <w:sz w:val="17"/>
              </w:rPr>
              <w:t>Expert 1</w:t>
            </w:r>
          </w:p>
        </w:tc>
        <w:tc>
          <w:tcPr>
            <w:tcW w:type="dxa" w:w="1701"/>
          </w:tcPr>
          <w:p>
            <w:r/>
            <w:r>
              <w:rPr>
                <w:b/>
                <w:color w:val="5B6570"/>
                <w:sz w:val="17"/>
              </w:rPr>
              <w:t>Expert 2</w:t>
            </w:r>
          </w:p>
        </w:tc>
        <w:tc>
          <w:tcPr>
            <w:tcW w:type="dxa" w:w="1814"/>
          </w:tcPr>
          <w:p>
            <w:r/>
            <w:r>
              <w:rPr>
                <w:b/>
                <w:color w:val="5B6570"/>
                <w:sz w:val="17"/>
              </w:rPr>
              <w:t>Expert 3</w:t>
            </w:r>
          </w:p>
        </w:tc>
        <w:tc>
          <w:tcPr>
            <w:tcW w:type="dxa" w:w="1928"/>
          </w:tcPr>
          <w:p>
            <w:r/>
            <w:r>
              <w:rPr>
                <w:b/>
                <w:color w:val="5B6570"/>
                <w:sz w:val="17"/>
              </w:rPr>
              <w:t>Drives the gap?</w:t>
            </w:r>
          </w:p>
        </w:tc>
      </w:tr>
      <w:tr>
        <w:tc>
          <w:tcPr>
            <w:tcW w:type="dxa" w:w="1928"/>
          </w:tcPr>
          <w:p>
            <w:r/>
            <w:r>
              <w:rPr>
                <w:color w:val="1A1D21"/>
                <w:sz w:val="17"/>
              </w:rPr>
              <w:t>Cash conversion</w:t>
            </w:r>
          </w:p>
        </w:tc>
        <w:tc>
          <w:tcPr>
            <w:tcW w:type="dxa" w:w="1928"/>
          </w:tcPr>
          <w:p>
            <w:r/>
            <w:r>
              <w:rPr>
                <w:color w:val="1A1D21"/>
                <w:sz w:val="17"/>
              </w:rPr>
              <w:t>3.9% to 17.9%</w:t>
            </w:r>
          </w:p>
        </w:tc>
        <w:tc>
          <w:tcPr>
            <w:tcW w:type="dxa" w:w="1701"/>
          </w:tcPr>
          <w:p>
            <w:r/>
            <w:r>
              <w:rPr>
                <w:color w:val="1A1D21"/>
                <w:sz w:val="17"/>
              </w:rPr>
              <w:t>not forecast</w:t>
            </w:r>
          </w:p>
        </w:tc>
        <w:tc>
          <w:tcPr>
            <w:tcW w:type="dxa" w:w="1814"/>
          </w:tcPr>
          <w:p>
            <w:r/>
            <w:r>
              <w:rPr>
                <w:color w:val="1A1D21"/>
                <w:sz w:val="17"/>
              </w:rPr>
              <w:t>6.8% implied</w:t>
            </w:r>
          </w:p>
        </w:tc>
        <w:tc>
          <w:tcPr>
            <w:tcW w:type="dxa" w:w="1928"/>
          </w:tcPr>
          <w:p>
            <w:r/>
            <w:r>
              <w:rPr>
                <w:color w:val="1A1D21"/>
                <w:sz w:val="17"/>
              </w:rPr>
              <w:t>YES — this is the whole gap</w:t>
            </w:r>
          </w:p>
        </w:tc>
      </w:tr>
      <w:tr>
        <w:tc>
          <w:tcPr>
            <w:tcW w:type="dxa" w:w="1928"/>
          </w:tcPr>
          <w:p>
            <w:r/>
            <w:r>
              <w:rPr>
                <w:color w:val="1A1D21"/>
                <w:sz w:val="17"/>
              </w:rPr>
              <w:t>Cost of capital</w:t>
            </w:r>
          </w:p>
        </w:tc>
        <w:tc>
          <w:tcPr>
            <w:tcW w:type="dxa" w:w="1928"/>
          </w:tcPr>
          <w:p>
            <w:pPr>
              <w:jc w:val="right"/>
            </w:pPr>
            <w:r/>
            <w:r>
              <w:rPr>
                <w:color w:val="1A1D21"/>
                <w:sz w:val="17"/>
              </w:rPr>
              <w:t>26.25%</w:t>
            </w:r>
          </w:p>
        </w:tc>
        <w:tc>
          <w:tcPr>
            <w:tcW w:type="dxa" w:w="1701"/>
          </w:tcPr>
          <w:p>
            <w:r/>
            <w:r>
              <w:rPr>
                <w:color w:val="1A1D21"/>
                <w:sz w:val="17"/>
              </w:rPr>
              <w:t>not used</w:t>
            </w:r>
          </w:p>
        </w:tc>
        <w:tc>
          <w:tcPr>
            <w:tcW w:type="dxa" w:w="1814"/>
          </w:tcPr>
          <w:p>
            <w:pPr>
              <w:jc w:val="right"/>
            </w:pPr>
            <w:r/>
            <w:r>
              <w:rPr>
                <w:color w:val="1A1D21"/>
                <w:sz w:val="17"/>
              </w:rPr>
              <w:t>26.25%</w:t>
            </w:r>
          </w:p>
        </w:tc>
        <w:tc>
          <w:tcPr>
            <w:tcW w:type="dxa" w:w="1928"/>
          </w:tcPr>
          <w:p>
            <w:r/>
            <w:r>
              <w:rPr>
                <w:color w:val="1A1D21"/>
                <w:sz w:val="17"/>
              </w:rPr>
              <w:t>no — shared</w:t>
            </w:r>
          </w:p>
        </w:tc>
      </w:tr>
      <w:tr>
        <w:tc>
          <w:tcPr>
            <w:tcW w:type="dxa" w:w="1928"/>
          </w:tcPr>
          <w:p>
            <w:r/>
            <w:r>
              <w:rPr>
                <w:color w:val="1A1D21"/>
                <w:sz w:val="17"/>
              </w:rPr>
              <w:t>Receivable book</w:t>
            </w:r>
          </w:p>
        </w:tc>
        <w:tc>
          <w:tcPr>
            <w:tcW w:type="dxa" w:w="1928"/>
          </w:tcPr>
          <w:p>
            <w:r/>
            <w:r>
              <w:rPr>
                <w:color w:val="1A1D21"/>
                <w:sz w:val="17"/>
              </w:rPr>
              <w:t>collected on schedule</w:t>
            </w:r>
          </w:p>
        </w:tc>
        <w:tc>
          <w:tcPr>
            <w:tcW w:type="dxa" w:w="1701"/>
          </w:tcPr>
          <w:p>
            <w:r/>
            <w:r>
              <w:rPr>
                <w:color w:val="1A1D21"/>
                <w:sz w:val="17"/>
              </w:rPr>
              <w:t>at carrying value</w:t>
            </w:r>
          </w:p>
        </w:tc>
        <w:tc>
          <w:tcPr>
            <w:tcW w:type="dxa" w:w="1814"/>
          </w:tcPr>
          <w:p>
            <w:r/>
            <w:r>
              <w:rPr>
                <w:color w:val="1A1D21"/>
                <w:sz w:val="17"/>
              </w:rPr>
              <w:t>as the market judges</w:t>
            </w:r>
          </w:p>
        </w:tc>
        <w:tc>
          <w:tcPr>
            <w:tcW w:type="dxa" w:w="1928"/>
          </w:tcPr>
          <w:p>
            <w:r/>
            <w:r>
              <w:rPr>
                <w:color w:val="1A1D21"/>
                <w:sz w:val="17"/>
              </w:rPr>
              <w:t>partly</w:t>
            </w:r>
          </w:p>
        </w:tc>
      </w:tr>
      <w:tr>
        <w:tc>
          <w:tcPr>
            <w:tcW w:type="dxa" w:w="1928"/>
          </w:tcPr>
          <w:p>
            <w:r/>
            <w:r>
              <w:rPr>
                <w:color w:val="1A1D21"/>
                <w:sz w:val="17"/>
              </w:rPr>
              <w:t>Terminal value</w:t>
            </w:r>
          </w:p>
        </w:tc>
        <w:tc>
          <w:tcPr>
            <w:tcW w:type="dxa" w:w="1928"/>
          </w:tcPr>
          <w:p>
            <w:r/>
            <w:r>
              <w:rPr>
                <w:color w:val="1A1D21"/>
                <w:sz w:val="17"/>
              </w:rPr>
              <w:t>34% of the answer</w:t>
            </w:r>
          </w:p>
        </w:tc>
        <w:tc>
          <w:tcPr>
            <w:tcW w:type="dxa" w:w="1701"/>
          </w:tcPr>
          <w:p>
            <w:r/>
            <w:r>
              <w:rPr>
                <w:color w:val="1A1D21"/>
                <w:sz w:val="17"/>
              </w:rPr>
              <w:t>none</w:t>
            </w:r>
          </w:p>
        </w:tc>
        <w:tc>
          <w:tcPr>
            <w:tcW w:type="dxa" w:w="1814"/>
          </w:tcPr>
          <w:p>
            <w:r/>
            <w:r>
              <w:rPr>
                <w:color w:val="1A1D21"/>
                <w:sz w:val="17"/>
              </w:rPr>
              <w:t>none</w:t>
            </w:r>
          </w:p>
        </w:tc>
        <w:tc>
          <w:tcPr>
            <w:tcW w:type="dxa" w:w="1928"/>
          </w:tcPr>
          <w:p>
            <w:r/>
            <w:r>
              <w:rPr>
                <w:color w:val="1A1D21"/>
                <w:sz w:val="17"/>
              </w:rPr>
              <w:t>yes for Expert 1 alone</w:t>
            </w:r>
          </w:p>
        </w:tc>
      </w:tr>
    </w:tbl>
    <w:p>
      <w:pPr>
        <w:spacing w:after="200"/>
      </w:pPr>
      <w:r>
        <w:rPr>
          <w:b w:val="0"/>
          <w:i/>
          <w:color w:val="5B6570"/>
          <w:sz w:val="16"/>
        </w:rPr>
        <w:t>One assumption explains almost all of the divergence, which is the clearest evidence that section 1.7 has identified the right crux.</w:t>
      </w:r>
    </w:p>
    <w:p>
      <w:r>
        <w:br w:type="page"/>
      </w:r>
    </w:p>
    <w:p>
      <w:pPr>
        <w:pStyle w:val="Heading1"/>
      </w:pPr>
      <w:r>
        <w:t>About this series</w:t>
      </w:r>
    </w:p>
    <w:p>
      <w:pPr>
        <w:spacing w:after="140"/>
      </w:pPr>
      <w:r>
        <w:rPr>
          <w:b w:val="0"/>
          <w:i w:val="0"/>
          <w:color w:val="1A1D21"/>
          <w:sz w:val="20"/>
        </w:rPr>
        <w:t>These studies value a company from its own disclosures, publish the reasoning alongside the answer, and record what the method has historically got right and wrong on that company. They carry no rating and no price target. Where a company does not disclose something the valuation needs, the study says so and prices the consequence rather than filling the gap.</w:t>
      </w:r>
    </w:p>
    <w:p>
      <w:pPr>
        <w:pStyle w:val="Heading1"/>
      </w:pPr>
      <w:r>
        <w:t>Disclosure and disclaimer</w:t>
      </w:r>
    </w:p>
    <w:p>
      <w:pPr>
        <w:spacing w:after="140"/>
      </w:pPr>
      <w:r>
        <w:rPr>
          <w:b w:val="0"/>
          <w:i w:val="0"/>
          <w:color w:val="5B6570"/>
          <w:sz w:val="17"/>
        </w:rPr>
        <w:t>This document is for information and education. It is not investment advice, not a recommendation, and not an offer or solicitation to buy or sell any security. It contains no rating and no price target. Figures are drawn from the company's published financial statements and results releases and from the named third-party sources; they may contain errors and are not warranted. Valuations are estimates that depend on assumptions stated in the text, and small changes in those assumptions produce large changes in the result, as section 1.9 shows directly. Past price behaviour does not predict future returns. Readers must reach their own conclusions and should take professional advice before acting. Edition of 30 August 2026; information set ends at the company's first-quarter 2026 results.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