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Electro Cable Egypt Co. S.A.E. (EGX: ELEC)</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2.19 (5 Aug 2026 close) · 3,313.5 mn shares · mkt cap ~EGP 7.3 bn · Egypt's oldest cable maker (founded 1954, Mostorod plant, ~25,000 t/yr), listed on the EGX since 1995, majority-held by the </w:t>
      </w:r>
      <w:r>
        <w:rPr>
          <w:b/>
          <w:i w:val="0"/>
          <w:color w:val="1C3A36"/>
          <w:sz w:val="19"/>
        </w:rPr>
        <w:t>Gadwa / Pioneers group</w:t>
      </w:r>
      <w:r>
        <w:rPr>
          <w:b w:val="0"/>
          <w:i w:val="0"/>
          <w:color w:val="1C3A36"/>
          <w:sz w:val="19"/>
        </w:rPr>
        <w:t xml:space="preserve"> (~78–81%, free float ~20%), consolidating Giza Power Industry and two smaller subsidiaries · products: low/medium/high-voltage power cables, enameled wire, overhead conductors, telephone cable · prices and probabilities computed 5 Aug 2026 from the attached daily history · primary lens: a free-cash-flow DCF on a forward discount-rate schedule that follows the Egyptian easing cycle down · the two swing factors are working-capital collection and where cable margins settle after the devaluation-era windfall.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 sourcing note specific to this company, stated up front rather than buried: Electro Cable Egypt’s full audited statements were not reachable through the channels available for this study — headline revenue, profit and total assets are multiply-sourced from bourse-disclosure reporting services, but several line items (interest expense, capex, the working-capital split, facility-level debt) are DERIVED and are labelled as such wherever they appear. The one fully-triangulated year, FY2024, closes to the reported net profit within 0.8% using the derived lines, which is why the derivations are considered usable. The companion Source Register document lists every input, its source and its date.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meaningfully overvalued — the price still pays for devaluation-era earnings the company itself is no longer printing. </w:t>
      </w:r>
      <w:r>
        <w:rPr>
          <w:b w:val="0"/>
          <w:i w:val="0"/>
          <w:color w:val="1C3A36"/>
          <w:sz w:val="21"/>
        </w:rPr>
        <w:t>At EGP 2.19 the shares sit roughly 84% above our weighted central estimate of EGP 0.34 (range 0.19–1.19). The arithmetic of the last three years explains why. FY2023–24 were windfall years: revenue rose 52% then 59% and net profit reached EGP 1.25–1.33 bn as devaluation repriced copper-linked cable prices through a pound-denominated cost base and inventory. FY2025 took the windfall back — revenue −21.5%, net profit −62% to EGP 500 mn — and 1Q2026 swung to a consolidated net LOSS of EGP 242 mn on sales down 44%. The disclosed 1Q26 lines are blunt: gross margin 5.7% (vs 33.1% a year earlier) and operating profit of EGP 1.4 mn — effectively zero. Meanwhile the balance sheet carries ~EGP 10.5 bn of bank debt (triangulated from the disclosed FY25 totals; facilities disclosed at 10.9 bn, up from 8.96 bn a year earlier) against EGP ~4 bn of equity, working capital has swollen to ~113% of annual revenue (receivables and copper-inflated inventory), and operating cash flow has been negative — at ~22% funding costs, finance expense alone consumes the entire operating line in a soft year. The valuation is built bottom-up from tonnage: implied volumes fell from ~24,000 t (96% of capacity, FY23–24) to ~9,500 t annualized in 1Q26 (~38%), and conversion EBITDA collapsed from ~146,000 to ~11,000 EGP per tonne. On that build, discounted at a rate schedule following the central bank's own easing path (21.5% gliding to 15.0% terminal, normalized capital structure), the enterprise is worth LESS than its ~EGP 9.8 bn net debt — the intrinsic equity is negative and is floored at zero only by limited liability. The normalized-earnings and book lenses (0.73 and 0.91) assume the balance sheet gets fixed first; even the bull scenario (1.19 central) sits 46% below today's price. Technically the tape is neutral-to-firm — above the short averages, below the falling 200-day, RSI mid-50s — and the three-month simulation, which prices the stock's own path rather than its value, puts the 5th–95th percentile band at EGP 1.71–3.07 with a median near 2.29. The gap between that tape-anchored map and the fundamental work is the study's central tension, examined in §4.</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384"/>
        <w:gridCol w:w="2088"/>
        <w:gridCol w:w="1656"/>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Cash flow on the easing-cycle discount schedule</w:t>
            </w:r>
          </w:p>
        </w:tc>
        <w:tc>
          <w:tcPr>
            <w:tcW w:type="dxa" w:w="2088"/>
          </w:tcPr>
          <w:p>
            <w:pPr>
              <w:spacing w:after="20"/>
              <w:jc w:val="right"/>
            </w:pPr>
            <w:r>
              <w:rPr>
                <w:color w:val="1C3A36"/>
                <w:sz w:val="17"/>
              </w:rPr>
              <w:t>EGP 0.01</w:t>
            </w:r>
          </w:p>
        </w:tc>
        <w:tc>
          <w:tcPr>
            <w:tcW w:type="dxa" w:w="1656"/>
          </w:tcPr>
          <w:p>
            <w:pPr>
              <w:spacing w:after="20"/>
              <w:jc w:val="right"/>
            </w:pPr>
            <w:r>
              <w:rPr>
                <w:color w:val="1C3A36"/>
                <w:sz w:val="17"/>
              </w:rPr>
              <w:t>-100% vs spot</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Mid-cycle EBITDA × peer-anchored multiple</w:t>
            </w:r>
          </w:p>
        </w:tc>
        <w:tc>
          <w:tcPr>
            <w:tcW w:type="dxa" w:w="2088"/>
          </w:tcPr>
          <w:p>
            <w:pPr>
              <w:spacing w:after="20"/>
              <w:jc w:val="right"/>
            </w:pPr>
            <w:r>
              <w:rPr>
                <w:color w:val="1C3A36"/>
                <w:sz w:val="17"/>
              </w:rPr>
              <w:t>EGP 0.05</w:t>
            </w:r>
          </w:p>
        </w:tc>
        <w:tc>
          <w:tcPr>
            <w:tcW w:type="dxa" w:w="1656"/>
          </w:tcPr>
          <w:p>
            <w:pPr>
              <w:spacing w:after="20"/>
              <w:jc w:val="right"/>
            </w:pPr>
            <w:r>
              <w:rPr>
                <w:color w:val="1C3A36"/>
                <w:sz w:val="17"/>
              </w:rPr>
              <w:t>-98%</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EPS × through-cycle P/E</w:t>
            </w:r>
          </w:p>
        </w:tc>
        <w:tc>
          <w:tcPr>
            <w:tcW w:type="dxa" w:w="2088"/>
          </w:tcPr>
          <w:p>
            <w:pPr>
              <w:spacing w:after="20"/>
              <w:jc w:val="right"/>
            </w:pPr>
            <w:r>
              <w:rPr>
                <w:color w:val="1C3A36"/>
                <w:sz w:val="17"/>
              </w:rPr>
              <w:t>EGP 0.73</w:t>
            </w:r>
          </w:p>
        </w:tc>
        <w:tc>
          <w:tcPr>
            <w:tcW w:type="dxa" w:w="1656"/>
          </w:tcPr>
          <w:p>
            <w:pPr>
              <w:spacing w:after="20"/>
              <w:jc w:val="right"/>
            </w:pPr>
            <w:r>
              <w:rPr>
                <w:color w:val="1C3A36"/>
                <w:sz w:val="17"/>
              </w:rPr>
              <w:t>-67%</w:t>
            </w:r>
          </w:p>
        </w:tc>
      </w:tr>
      <w:tr>
        <w:tc>
          <w:tcPr>
            <w:tcW w:type="dxa" w:w="3096"/>
          </w:tcPr>
          <w:p>
            <w:pPr>
              <w:spacing w:after="20"/>
            </w:pPr>
            <w:r>
              <w:rPr>
                <w:color w:val="1C3A36"/>
                <w:sz w:val="17"/>
              </w:rPr>
              <w:t>Book / replacement</w:t>
            </w:r>
          </w:p>
        </w:tc>
        <w:tc>
          <w:tcPr>
            <w:tcW w:type="dxa" w:w="3384"/>
          </w:tcPr>
          <w:p>
            <w:pPr>
              <w:spacing w:after="20"/>
              <w:jc w:val="right"/>
            </w:pPr>
            <w:r>
              <w:rPr>
                <w:color w:val="1C3A36"/>
                <w:sz w:val="17"/>
              </w:rPr>
              <w:t>Justified P/B on sustainable ROE</w:t>
            </w:r>
          </w:p>
        </w:tc>
        <w:tc>
          <w:tcPr>
            <w:tcW w:type="dxa" w:w="2088"/>
          </w:tcPr>
          <w:p>
            <w:pPr>
              <w:spacing w:after="20"/>
              <w:jc w:val="right"/>
            </w:pPr>
            <w:r>
              <w:rPr>
                <w:color w:val="1C3A36"/>
                <w:sz w:val="17"/>
              </w:rPr>
              <w:t>EGP 0.91</w:t>
            </w:r>
          </w:p>
        </w:tc>
        <w:tc>
          <w:tcPr>
            <w:tcW w:type="dxa" w:w="1656"/>
          </w:tcPr>
          <w:p>
            <w:pPr>
              <w:spacing w:after="20"/>
              <w:jc w:val="right"/>
            </w:pPr>
            <w:r>
              <w:rPr>
                <w:color w:val="1C3A36"/>
                <w:sz w:val="17"/>
              </w:rPr>
              <w:t>-58%</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20 / 20 / 20</w:t>
            </w:r>
          </w:p>
        </w:tc>
        <w:tc>
          <w:tcPr>
            <w:tcW w:type="dxa" w:w="2088"/>
          </w:tcPr>
          <w:p>
            <w:pPr>
              <w:spacing w:after="20"/>
              <w:jc w:val="right"/>
            </w:pPr>
            <w:r>
              <w:rPr>
                <w:color w:val="1C3A36"/>
                <w:sz w:val="17"/>
              </w:rPr>
              <w:t>EGP 0.34</w:t>
            </w:r>
          </w:p>
        </w:tc>
        <w:tc>
          <w:tcPr>
            <w:tcW w:type="dxa" w:w="1656"/>
          </w:tcPr>
          <w:p>
            <w:pPr>
              <w:spacing w:after="20"/>
              <w:jc w:val="right"/>
            </w:pPr>
            <w:r>
              <w:rPr>
                <w:color w:val="1C3A36"/>
                <w:sz w:val="17"/>
              </w:rPr>
              <w:t>-84% vs EGP 2.19</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20/50/100 · below 200</w:t>
            </w:r>
          </w:p>
        </w:tc>
        <w:tc>
          <w:tcPr>
            <w:tcW w:type="dxa" w:w="1656"/>
          </w:tcPr>
          <w:p>
            <w:pPr>
              <w:spacing w:after="20"/>
              <w:jc w:val="right"/>
            </w:pPr>
            <w:r>
              <w:rPr>
                <w:color w:val="1C3A36"/>
                <w:sz w:val="17"/>
              </w:rPr>
              <w:t>Neutral, basing</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54 · MACD flat · 1.90–3.36</w:t>
            </w:r>
          </w:p>
        </w:tc>
        <w:tc>
          <w:tcPr>
            <w:tcW w:type="dxa" w:w="1656"/>
          </w:tcPr>
          <w:p>
            <w:pPr>
              <w:spacing w:after="20"/>
              <w:jc w:val="right"/>
            </w:pPr>
            <w:r>
              <w:rPr>
                <w:color w:val="1C3A36"/>
                <w:sz w:val="17"/>
              </w:rPr>
              <w:t>No strong signal</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calibrated paths</w:t>
            </w:r>
          </w:p>
        </w:tc>
        <w:tc>
          <w:tcPr>
            <w:tcW w:type="dxa" w:w="2088"/>
          </w:tcPr>
          <w:p>
            <w:pPr>
              <w:spacing w:after="20"/>
              <w:jc w:val="right"/>
            </w:pPr>
            <w:r>
              <w:rPr>
                <w:color w:val="1C3A36"/>
                <w:sz w:val="17"/>
              </w:rPr>
              <w:t>p5 1.91 · p50 2.22 · p95 2.59</w:t>
            </w:r>
          </w:p>
        </w:tc>
        <w:tc>
          <w:tcPr>
            <w:tcW w:type="dxa" w:w="1656"/>
          </w:tcPr>
          <w:p>
            <w:pPr>
              <w:spacing w:after="20"/>
              <w:jc w:val="right"/>
            </w:pPr>
            <w:r>
              <w:rPr>
                <w:color w:val="1C3A36"/>
                <w:sz w:val="17"/>
              </w:rPr>
              <w:t>Carry-tilted drift</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1.71 · p50 2.29 · p95 3.07</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earnings power</w:t>
            </w:r>
          </w:p>
        </w:tc>
        <w:tc>
          <w:tcPr>
            <w:tcW w:type="dxa" w:w="3384"/>
          </w:tcPr>
          <w:p>
            <w:pPr>
              <w:spacing w:after="20"/>
              <w:jc w:val="right"/>
            </w:pPr>
            <w:r>
              <w:rPr>
                <w:color w:val="1C3A36"/>
                <w:sz w:val="17"/>
              </w:rPr>
              <w:t>Normalized EPS × justified multiple</w:t>
            </w:r>
          </w:p>
        </w:tc>
        <w:tc>
          <w:tcPr>
            <w:tcW w:type="dxa" w:w="2088"/>
          </w:tcPr>
          <w:p>
            <w:pPr>
              <w:spacing w:after="20"/>
              <w:jc w:val="right"/>
            </w:pPr>
            <w:r>
              <w:rPr>
                <w:color w:val="1C3A36"/>
                <w:sz w:val="17"/>
              </w:rPr>
              <w:t>EGP 0.73</w:t>
            </w:r>
          </w:p>
        </w:tc>
        <w:tc>
          <w:tcPr>
            <w:tcW w:type="dxa" w:w="1656"/>
          </w:tcPr>
          <w:p>
            <w:pPr>
              <w:spacing w:after="20"/>
              <w:jc w:val="right"/>
            </w:pPr>
            <w:r>
              <w:rPr>
                <w:color w:val="1C3A36"/>
                <w:sz w:val="17"/>
              </w:rPr>
              <w:t>Most generous</w:t>
            </w:r>
          </w:p>
        </w:tc>
      </w:tr>
      <w:tr>
        <w:tc>
          <w:tcPr>
            <w:tcW w:type="dxa" w:w="3096"/>
          </w:tcPr>
          <w:p>
            <w:pPr>
              <w:spacing w:after="20"/>
            </w:pPr>
            <w:r>
              <w:rPr>
                <w:color w:val="1C3A36"/>
                <w:sz w:val="17"/>
              </w:rPr>
              <w:t>Expert 2 — owner cash earnings</w:t>
            </w:r>
          </w:p>
        </w:tc>
        <w:tc>
          <w:tcPr>
            <w:tcW w:type="dxa" w:w="3384"/>
          </w:tcPr>
          <w:p>
            <w:pPr>
              <w:spacing w:after="20"/>
              <w:jc w:val="right"/>
            </w:pPr>
            <w:r>
              <w:rPr>
                <w:color w:val="1C3A36"/>
                <w:sz w:val="17"/>
              </w:rPr>
              <w:t>What the statements actually convert to cash</w:t>
            </w:r>
          </w:p>
        </w:tc>
        <w:tc>
          <w:tcPr>
            <w:tcW w:type="dxa" w:w="2088"/>
          </w:tcPr>
          <w:p>
            <w:pPr>
              <w:spacing w:after="20"/>
              <w:jc w:val="right"/>
            </w:pPr>
            <w:r>
              <w:rPr>
                <w:color w:val="1C3A36"/>
                <w:sz w:val="17"/>
              </w:rPr>
              <w:t>EGP 0.11</w:t>
            </w:r>
          </w:p>
        </w:tc>
        <w:tc>
          <w:tcPr>
            <w:tcW w:type="dxa" w:w="1656"/>
          </w:tcPr>
          <w:p>
            <w:pPr>
              <w:spacing w:after="20"/>
              <w:jc w:val="right"/>
            </w:pPr>
            <w:r>
              <w:rPr>
                <w:color w:val="1C3A36"/>
                <w:sz w:val="17"/>
              </w:rPr>
              <w:t>Most severe</w:t>
            </w:r>
          </w:p>
        </w:tc>
      </w:tr>
      <w:tr>
        <w:tc>
          <w:tcPr>
            <w:tcW w:type="dxa" w:w="3096"/>
          </w:tcPr>
          <w:p>
            <w:pPr>
              <w:spacing w:after="20"/>
            </w:pPr>
            <w:r>
              <w:rPr>
                <w:color w:val="1C3A36"/>
                <w:sz w:val="17"/>
              </w:rPr>
              <w:t>Expert 3 — cash returns vs capital cost</w:t>
            </w:r>
          </w:p>
        </w:tc>
        <w:tc>
          <w:tcPr>
            <w:tcW w:type="dxa" w:w="3384"/>
          </w:tcPr>
          <w:p>
            <w:pPr>
              <w:spacing w:after="20"/>
              <w:jc w:val="right"/>
            </w:pPr>
            <w:r>
              <w:rPr>
                <w:color w:val="1C3A36"/>
                <w:sz w:val="17"/>
              </w:rPr>
              <w:t>Economic profit through the rate cycle</w:t>
            </w:r>
          </w:p>
        </w:tc>
        <w:tc>
          <w:tcPr>
            <w:tcW w:type="dxa" w:w="2088"/>
          </w:tcPr>
          <w:p>
            <w:pPr>
              <w:spacing w:after="20"/>
              <w:jc w:val="right"/>
            </w:pPr>
            <w:r>
              <w:rPr>
                <w:color w:val="1C3A36"/>
                <w:sz w:val="17"/>
              </w:rPr>
              <w:t>EGP 0.10</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collection-and-margin question</w:t>
            </w:r>
          </w:p>
        </w:tc>
        <w:tc>
          <w:tcPr>
            <w:tcW w:type="dxa" w:w="2088"/>
          </w:tcPr>
          <w:p>
            <w:pPr>
              <w:spacing w:after="20"/>
              <w:jc w:val="right"/>
            </w:pPr>
            <w:r>
              <w:rPr>
                <w:color w:val="1C3A36"/>
                <w:sz w:val="17"/>
              </w:rPr>
              <w:t>EGP 0.10–0.73</w:t>
            </w:r>
          </w:p>
        </w:tc>
        <w:tc>
          <w:tcPr>
            <w:tcW w:type="dxa" w:w="1656"/>
          </w:tcPr>
          <w:p>
            <w:pPr>
              <w:spacing w:after="20"/>
              <w:jc w:val="right"/>
            </w:pPr>
            <w:r>
              <w:rPr>
                <w:color w:val="1C3A36"/>
                <w:sz w:val="17"/>
              </w:rPr>
              <w:t>All below spot</w:t>
            </w:r>
          </w:p>
        </w:tc>
      </w:tr>
    </w:tbl>
    <w:p>
      <w:pPr>
        <w:spacing w:after="40"/>
      </w:pPr>
    </w:p>
    <w:p>
      <w:pPr>
        <w:spacing w:after="160" w:before="0"/>
      </w:pPr>
      <w:r>
        <w:rPr>
          <w:b/>
          <w:i w:val="0"/>
          <w:color w:val="1C3A36"/>
          <w:sz w:val="19"/>
        </w:rPr>
        <w:t xml:space="preserve">Bottom line. </w:t>
      </w:r>
      <w:r>
        <w:rPr>
          <w:b w:val="0"/>
          <w:i w:val="0"/>
          <w:color w:val="1C3A36"/>
          <w:sz w:val="19"/>
        </w:rPr>
        <w:t>Every fundamental lens, and every one of the three expert methods, lands below the market price — the most generous read (0.73, normalized earnings power) still sits 67% under spot, and the cash-flow-based reads sit far lower. On the bottom-up tonnage build there is NO fundamental path to EGP 2.19 inside the modelled scenario space: even the bull case — conversion economics recovering to ~175,000 EGP/tonne, volumes near 70% utilization, full collection, an easing overshoot — centres at 1.19, still 46% below the market. Reaching spot requires the devaluation windfall itself to return. The market may also simply be pricing ELEC as a small-cap trading vehicle — the stock trades actively on the EGX70 rotation, and the controlling group has been a steady seller into that liquidity (block sales at EGP 2.00–2.21 through 2026). The probabilistic map's median (2.29) is above spot only because it prices the stock's own path — the carry on Egyptian money is 19.5% a year and the simulation is anchored on it; it is not a statement about value.</w:t>
      </w:r>
    </w:p>
    <w:p>
      <w:pPr>
        <w:spacing w:after="80" w:before="200"/>
      </w:pPr>
      <w:r>
        <w:rPr>
          <w:b/>
          <w:i w:val="0"/>
          <w:color w:val="1C3A36"/>
          <w:sz w:val="24"/>
        </w:rPr>
        <w:t>Company overview — Electro Cable Egypt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Electro Cable Egypt Co. S.A.E. (EGX: ELEC; ISIN EGS3G231C011)</w:t>
            </w:r>
          </w:p>
        </w:tc>
      </w:tr>
      <w:tr>
        <w:tc>
          <w:tcPr>
            <w:tcW w:type="dxa" w:w="2448"/>
          </w:tcPr>
          <w:p>
            <w:pPr>
              <w:spacing w:after="20"/>
            </w:pPr>
            <w:r>
              <w:rPr>
                <w:b/>
                <w:color w:val="1C3A36"/>
                <w:sz w:val="18"/>
              </w:rPr>
              <w:t>What it does</w:t>
            </w:r>
          </w:p>
        </w:tc>
        <w:tc>
          <w:tcPr>
            <w:tcW w:type="dxa" w:w="7776"/>
          </w:tcPr>
          <w:p>
            <w:pPr>
              <w:spacing w:after="20"/>
              <w:jc w:val="right"/>
            </w:pPr>
            <w:r>
              <w:rPr>
                <w:color w:val="1C3A36"/>
                <w:sz w:val="18"/>
              </w:rPr>
              <w:t>Egypt’s oldest diversified cable maker (est. 1954, nationalised 1960s, Pioneers group since 2013): LV/MV/HV power cables, enameled copper wire, overhead conductors, telephone cables; Mostorod (Shubra El-Kheima) plant, ~25,000 t/yr; consolidates Giza Power Industry + 2 smaller units</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2.19 · 5 Aug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3,313.5 mn (par EGP 0.20) · ~EGP 7.3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10,819 mn (−21.5% YoY) · EGP 500.3 mn (−62%; 4.6%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2,094 mn (−43.8%) · gross margin 5.7% (vs 33.1%) · net LOSS EGP 241.7 mn (vs +451.4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FY25: assets EGP 16.5 bn · bank debt ~EGP 10.5 bn triangulated (facilities disclosed 10.9 bn; 8.96 bn FY24) · equity ~EGP 4.1 bn · ND/E ~240%</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1.90 – 3.36 (all-time high 4.84, 31-Jan-2024)</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Gadwa for Industrial Development + Pioneers-group related parties ~78–81%, distributing down via 2026 block sales; free float ~20% ±3pp</w:t>
            </w:r>
          </w:p>
        </w:tc>
      </w:tr>
      <w:tr>
        <w:tc>
          <w:tcPr>
            <w:tcW w:type="dxa" w:w="2448"/>
          </w:tcPr>
          <w:p>
            <w:pPr>
              <w:spacing w:after="20"/>
            </w:pPr>
            <w:r>
              <w:rPr>
                <w:b/>
                <w:color w:val="1C3A36"/>
                <w:sz w:val="18"/>
              </w:rPr>
              <w:t>Dividends</w:t>
            </w:r>
          </w:p>
        </w:tc>
        <w:tc>
          <w:tcPr>
            <w:tcW w:type="dxa" w:w="7776"/>
          </w:tcPr>
          <w:p>
            <w:pPr>
              <w:spacing w:after="20"/>
              <w:jc w:val="right"/>
            </w:pPr>
            <w:r>
              <w:rPr>
                <w:color w:val="1C3A36"/>
                <w:sz w:val="18"/>
              </w:rPr>
              <w:t>None — the company has never paid a dividend</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Alhsn block sale 88 mn sh @ EGP 2.00 (1-Jul-26) · Mashareq exit @ 2.21 (Feb-26) · H1-2026 results due ~mid-Aug-2026</w:t>
            </w:r>
          </w:p>
        </w:tc>
      </w:tr>
    </w:tbl>
    <w:p>
      <w:pPr>
        <w:spacing w:after="40"/>
      </w:pPr>
    </w:p>
    <w:p>
      <w:pPr>
        <w:spacing w:after="200" w:before="0"/>
      </w:pPr>
      <w:r>
        <w:rPr>
          <w:b w:val="0"/>
          <w:i/>
          <w:color w:val="6E7B77"/>
          <w:sz w:val="17"/>
        </w:rPr>
        <w:t>Source: bourse-disclosure reporting of the company’s EGX filings (FY23/FY24/FY25 and 1Q26), Mubasher company profile, ownership disclosures. Values rounded. Full sourcing in the companion Source Register.</w:t>
      </w:r>
    </w:p>
    <w:p>
      <w:pPr>
        <w:spacing w:after="120" w:before="280"/>
      </w:pPr>
      <w:r>
        <w:rPr>
          <w:b/>
          <w:i w:val="0"/>
          <w:color w:val="1C3A36"/>
          <w:sz w:val="30"/>
        </w:rPr>
        <w:t>1  Fundamental valuation</w:t>
      </w:r>
    </w:p>
    <w:p>
      <w:pPr>
        <w:spacing w:after="120" w:before="0"/>
      </w:pPr>
      <w:r>
        <w:rPr>
          <w:b w:val="0"/>
          <w:i w:val="0"/>
          <w:color w:val="1C3A36"/>
          <w:sz w:val="21"/>
        </w:rPr>
        <w:t>We value ELEC as a single operating company — a working-capital-intensive cable assembler whose economics are set by three things it does not control (copper, the pound, the interest-rate cycle) and two it partly does (collection of its receivables, and the margin it can defend once devaluation windfalls wash out). The primary lens is a free-cash-flow DCF built on a forward discount-rate schedule that follows the Egyptian easing cycle down — discounting every year at one flat crisis-era rate would assert that Egypt never normalises, which the central bank’s own published path contradicts. A relative read, a normalized mid-cycle read and a book-value read complete the set; the synthesis and football field are in §1.5, the drivers in §1.6, the crux in §1.7 and the sensitivity grids in §1.9.</w:t>
      </w:r>
    </w:p>
    <w:p>
      <w:pPr>
        <w:spacing w:after="80" w:before="200"/>
      </w:pPr>
      <w:r>
        <w:rPr>
          <w:b/>
          <w:i w:val="0"/>
          <w:color w:val="1C3A36"/>
          <w:sz w:val="24"/>
        </w:rPr>
        <w:t>1.1  The FCFF DCF — the primary lens, with the full waterfall</w:t>
      </w:r>
    </w:p>
    <w:p>
      <w:pPr>
        <w:spacing w:after="120" w:before="0"/>
      </w:pPr>
      <w:r>
        <w:rPr>
          <w:b w:val="0"/>
          <w:i w:val="0"/>
          <w:color w:val="1C3A36"/>
          <w:sz w:val="19"/>
        </w:rPr>
        <w:t>The build below shows every step from revenue to present value: EBITDA → D&amp;A → EBIT → NOPAT (EBIT × (1 − 22.5%)) → + D&amp;A → − capex → − Δ working capital → free cash flow to firm → that year’s own forward discount rate → PV. Note the discount-factor row: each year is discounted at its own forward WACC, gliding from 22.6% (this year’s money) to 14.1% (terminal money), with the glide shape taken from the same forward cost-of-debt path used in the interest forecast — one assumed easing calendar, used everywhere, never two. The terminal value is capitalised at the terminal WACC and discounted at the same year-5 cumulative factor as the year-5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Revenue</w:t>
            </w:r>
          </w:p>
        </w:tc>
        <w:tc>
          <w:tcPr>
            <w:tcW w:type="dxa" w:w="1440"/>
          </w:tcPr>
          <w:p>
            <w:pPr>
              <w:spacing w:after="20"/>
              <w:jc w:val="right"/>
            </w:pPr>
            <w:r>
              <w:rPr>
                <w:color w:val="1C3A36"/>
                <w:sz w:val="17"/>
              </w:rPr>
              <w:t>9,160</w:t>
            </w:r>
          </w:p>
        </w:tc>
        <w:tc>
          <w:tcPr>
            <w:tcW w:type="dxa" w:w="1440"/>
          </w:tcPr>
          <w:p>
            <w:pPr>
              <w:spacing w:after="20"/>
              <w:jc w:val="right"/>
            </w:pPr>
            <w:r>
              <w:rPr>
                <w:color w:val="1C3A36"/>
                <w:sz w:val="17"/>
              </w:rPr>
              <w:t>10,814</w:t>
            </w:r>
          </w:p>
        </w:tc>
        <w:tc>
          <w:tcPr>
            <w:tcW w:type="dxa" w:w="1440"/>
          </w:tcPr>
          <w:p>
            <w:pPr>
              <w:spacing w:after="20"/>
              <w:jc w:val="right"/>
            </w:pPr>
            <w:r>
              <w:rPr>
                <w:color w:val="1C3A36"/>
                <w:sz w:val="17"/>
              </w:rPr>
              <w:t>12,529</w:t>
            </w:r>
          </w:p>
        </w:tc>
        <w:tc>
          <w:tcPr>
            <w:tcW w:type="dxa" w:w="1440"/>
          </w:tcPr>
          <w:p>
            <w:pPr>
              <w:spacing w:after="20"/>
              <w:jc w:val="right"/>
            </w:pPr>
            <w:r>
              <w:rPr>
                <w:color w:val="1C3A36"/>
                <w:sz w:val="17"/>
              </w:rPr>
              <w:t>14,226</w:t>
            </w:r>
          </w:p>
        </w:tc>
        <w:tc>
          <w:tcPr>
            <w:tcW w:type="dxa" w:w="1440"/>
          </w:tcPr>
          <w:p>
            <w:pPr>
              <w:spacing w:after="20"/>
              <w:jc w:val="right"/>
            </w:pPr>
            <w:r>
              <w:rPr>
                <w:color w:val="1C3A36"/>
                <w:sz w:val="17"/>
              </w:rPr>
              <w:t>15,798</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416</w:t>
            </w:r>
          </w:p>
        </w:tc>
        <w:tc>
          <w:tcPr>
            <w:tcW w:type="dxa" w:w="1440"/>
          </w:tcPr>
          <w:p>
            <w:pPr>
              <w:spacing w:after="20"/>
              <w:jc w:val="right"/>
            </w:pPr>
            <w:r>
              <w:rPr>
                <w:color w:val="1C3A36"/>
                <w:sz w:val="17"/>
              </w:rPr>
              <w:t>1,071</w:t>
            </w:r>
          </w:p>
        </w:tc>
        <w:tc>
          <w:tcPr>
            <w:tcW w:type="dxa" w:w="1440"/>
          </w:tcPr>
          <w:p>
            <w:pPr>
              <w:spacing w:after="20"/>
              <w:jc w:val="right"/>
            </w:pPr>
            <w:r>
              <w:rPr>
                <w:color w:val="1C3A36"/>
                <w:sz w:val="17"/>
              </w:rPr>
              <w:t>1,541</w:t>
            </w:r>
          </w:p>
        </w:tc>
        <w:tc>
          <w:tcPr>
            <w:tcW w:type="dxa" w:w="1440"/>
          </w:tcPr>
          <w:p>
            <w:pPr>
              <w:spacing w:after="20"/>
              <w:jc w:val="right"/>
            </w:pPr>
            <w:r>
              <w:rPr>
                <w:color w:val="1C3A36"/>
                <w:sz w:val="17"/>
              </w:rPr>
              <w:t>1,894</w:t>
            </w:r>
          </w:p>
        </w:tc>
        <w:tc>
          <w:tcPr>
            <w:tcW w:type="dxa" w:w="1440"/>
          </w:tcPr>
          <w:p>
            <w:pPr>
              <w:spacing w:after="20"/>
              <w:jc w:val="right"/>
            </w:pPr>
            <w:r>
              <w:rPr>
                <w:color w:val="1C3A36"/>
                <w:sz w:val="17"/>
              </w:rPr>
              <w:t>2,160</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(119)</w:t>
            </w:r>
          </w:p>
        </w:tc>
        <w:tc>
          <w:tcPr>
            <w:tcW w:type="dxa" w:w="1440"/>
          </w:tcPr>
          <w:p>
            <w:pPr>
              <w:spacing w:after="20"/>
              <w:jc w:val="right"/>
            </w:pPr>
            <w:r>
              <w:rPr>
                <w:color w:val="1C3A36"/>
                <w:sz w:val="17"/>
              </w:rPr>
              <w:t>(141)</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(205)</w:t>
            </w:r>
          </w:p>
        </w:tc>
      </w:tr>
      <w:tr>
        <w:tc>
          <w:tcPr>
            <w:tcW w:type="dxa" w:w="3024"/>
          </w:tcPr>
          <w:p>
            <w:pPr>
              <w:spacing w:after="20"/>
            </w:pPr>
            <w:r>
              <w:rPr>
                <w:b/>
                <w:color w:val="1C3A36"/>
                <w:sz w:val="17"/>
              </w:rPr>
              <w:t>EBIT</w:t>
            </w:r>
          </w:p>
        </w:tc>
        <w:tc>
          <w:tcPr>
            <w:tcW w:type="dxa" w:w="1440"/>
          </w:tcPr>
          <w:p>
            <w:pPr>
              <w:spacing w:after="20"/>
              <w:jc w:val="right"/>
            </w:pPr>
            <w:r>
              <w:rPr>
                <w:color w:val="1C3A36"/>
                <w:sz w:val="17"/>
              </w:rPr>
              <w:t>297</w:t>
            </w:r>
          </w:p>
        </w:tc>
        <w:tc>
          <w:tcPr>
            <w:tcW w:type="dxa" w:w="1440"/>
          </w:tcPr>
          <w:p>
            <w:pPr>
              <w:spacing w:after="20"/>
              <w:jc w:val="right"/>
            </w:pPr>
            <w:r>
              <w:rPr>
                <w:color w:val="1C3A36"/>
                <w:sz w:val="17"/>
              </w:rPr>
              <w:t>930</w:t>
            </w:r>
          </w:p>
        </w:tc>
        <w:tc>
          <w:tcPr>
            <w:tcW w:type="dxa" w:w="1440"/>
          </w:tcPr>
          <w:p>
            <w:pPr>
              <w:spacing w:after="20"/>
              <w:jc w:val="right"/>
            </w:pPr>
            <w:r>
              <w:rPr>
                <w:color w:val="1C3A36"/>
                <w:sz w:val="17"/>
              </w:rPr>
              <w:t>1,378</w:t>
            </w:r>
          </w:p>
        </w:tc>
        <w:tc>
          <w:tcPr>
            <w:tcW w:type="dxa" w:w="1440"/>
          </w:tcPr>
          <w:p>
            <w:pPr>
              <w:spacing w:after="20"/>
              <w:jc w:val="right"/>
            </w:pPr>
            <w:r>
              <w:rPr>
                <w:color w:val="1C3A36"/>
                <w:sz w:val="17"/>
              </w:rPr>
              <w:t>1,709</w:t>
            </w:r>
          </w:p>
        </w:tc>
        <w:tc>
          <w:tcPr>
            <w:tcW w:type="dxa" w:w="1440"/>
          </w:tcPr>
          <w:p>
            <w:pPr>
              <w:spacing w:after="20"/>
              <w:jc w:val="right"/>
            </w:pPr>
            <w:r>
              <w:rPr>
                <w:color w:val="1C3A36"/>
                <w:sz w:val="17"/>
              </w:rPr>
              <w:t>1,955</w:t>
            </w:r>
          </w:p>
        </w:tc>
      </w:tr>
      <w:tr>
        <w:tc>
          <w:tcPr>
            <w:tcW w:type="dxa" w:w="3024"/>
          </w:tcPr>
          <w:p>
            <w:pPr>
              <w:spacing w:after="20"/>
            </w:pPr>
            <w:r>
              <w:rPr>
                <w:b/>
                <w:color w:val="1C3A36"/>
                <w:sz w:val="17"/>
              </w:rPr>
              <w:t>NOPAT (EBIT × (1−t 22.5%))</w:t>
            </w:r>
          </w:p>
        </w:tc>
        <w:tc>
          <w:tcPr>
            <w:tcW w:type="dxa" w:w="1440"/>
          </w:tcPr>
          <w:p>
            <w:pPr>
              <w:spacing w:after="20"/>
              <w:jc w:val="right"/>
            </w:pPr>
            <w:r>
              <w:rPr>
                <w:color w:val="1C3A36"/>
                <w:sz w:val="17"/>
              </w:rPr>
              <w:t>230</w:t>
            </w:r>
          </w:p>
        </w:tc>
        <w:tc>
          <w:tcPr>
            <w:tcW w:type="dxa" w:w="1440"/>
          </w:tcPr>
          <w:p>
            <w:pPr>
              <w:spacing w:after="20"/>
              <w:jc w:val="right"/>
            </w:pPr>
            <w:r>
              <w:rPr>
                <w:color w:val="1C3A36"/>
                <w:sz w:val="17"/>
              </w:rPr>
              <w:t>721</w:t>
            </w:r>
          </w:p>
        </w:tc>
        <w:tc>
          <w:tcPr>
            <w:tcW w:type="dxa" w:w="1440"/>
          </w:tcPr>
          <w:p>
            <w:pPr>
              <w:spacing w:after="20"/>
              <w:jc w:val="right"/>
            </w:pPr>
            <w:r>
              <w:rPr>
                <w:color w:val="1C3A36"/>
                <w:sz w:val="17"/>
              </w:rPr>
              <w:t>1,068</w:t>
            </w:r>
          </w:p>
        </w:tc>
        <w:tc>
          <w:tcPr>
            <w:tcW w:type="dxa" w:w="1440"/>
          </w:tcPr>
          <w:p>
            <w:pPr>
              <w:spacing w:after="20"/>
              <w:jc w:val="right"/>
            </w:pPr>
            <w:r>
              <w:rPr>
                <w:color w:val="1C3A36"/>
                <w:sz w:val="17"/>
              </w:rPr>
              <w:t>1,325</w:t>
            </w:r>
          </w:p>
        </w:tc>
        <w:tc>
          <w:tcPr>
            <w:tcW w:type="dxa" w:w="1440"/>
          </w:tcPr>
          <w:p>
            <w:pPr>
              <w:spacing w:after="20"/>
              <w:jc w:val="right"/>
            </w:pPr>
            <w:r>
              <w:rPr>
                <w:color w:val="1C3A36"/>
                <w:sz w:val="17"/>
              </w:rPr>
              <w:t>1,515</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119</w:t>
            </w:r>
          </w:p>
        </w:tc>
        <w:tc>
          <w:tcPr>
            <w:tcW w:type="dxa" w:w="1440"/>
          </w:tcPr>
          <w:p>
            <w:pPr>
              <w:spacing w:after="20"/>
              <w:jc w:val="right"/>
            </w:pPr>
            <w:r>
              <w:rPr>
                <w:color w:val="1C3A36"/>
                <w:sz w:val="17"/>
              </w:rPr>
              <w:t>141</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205</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(225)</w:t>
            </w:r>
          </w:p>
        </w:tc>
        <w:tc>
          <w:tcPr>
            <w:tcW w:type="dxa" w:w="1440"/>
          </w:tcPr>
          <w:p>
            <w:pPr>
              <w:spacing w:after="20"/>
              <w:jc w:val="right"/>
            </w:pPr>
            <w:r>
              <w:rPr>
                <w:color w:val="1C3A36"/>
                <w:sz w:val="17"/>
              </w:rPr>
              <w:t>(243)</w:t>
            </w:r>
          </w:p>
        </w:tc>
        <w:tc>
          <w:tcPr>
            <w:tcW w:type="dxa" w:w="1440"/>
          </w:tcPr>
          <w:p>
            <w:pPr>
              <w:spacing w:after="20"/>
              <w:jc w:val="right"/>
            </w:pPr>
            <w:r>
              <w:rPr>
                <w:color w:val="1C3A36"/>
                <w:sz w:val="17"/>
              </w:rPr>
              <w:t>(262)</w:t>
            </w:r>
          </w:p>
        </w:tc>
        <w:tc>
          <w:tcPr>
            <w:tcW w:type="dxa" w:w="1440"/>
          </w:tcPr>
          <w:p>
            <w:pPr>
              <w:spacing w:after="20"/>
              <w:jc w:val="right"/>
            </w:pPr>
            <w:r>
              <w:rPr>
                <w:color w:val="1C3A36"/>
                <w:sz w:val="17"/>
              </w:rPr>
              <w:t>(283)</w:t>
            </w:r>
          </w:p>
        </w:tc>
        <w:tc>
          <w:tcPr>
            <w:tcW w:type="dxa" w:w="1440"/>
          </w:tcPr>
          <w:p>
            <w:pPr>
              <w:spacing w:after="20"/>
              <w:jc w:val="right"/>
            </w:pPr>
            <w:r>
              <w:rPr>
                <w:color w:val="1C3A36"/>
                <w:sz w:val="17"/>
              </w:rPr>
              <w:t>(306)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1,985</w:t>
            </w:r>
          </w:p>
        </w:tc>
        <w:tc>
          <w:tcPr>
            <w:tcW w:type="dxa" w:w="1440"/>
          </w:tcPr>
          <w:p>
            <w:pPr>
              <w:spacing w:after="20"/>
              <w:jc w:val="right"/>
            </w:pPr>
            <w:r>
              <w:rPr>
                <w:color w:val="1C3A36"/>
                <w:sz w:val="17"/>
              </w:rPr>
              <w:t>(1,204)</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(843)</w:t>
            </w:r>
          </w:p>
        </w:tc>
        <w:tc>
          <w:tcPr>
            <w:tcW w:type="dxa" w:w="1440"/>
          </w:tcPr>
          <w:p>
            <w:pPr>
              <w:spacing w:after="20"/>
              <w:jc w:val="right"/>
            </w:pPr>
            <w:r>
              <w:rPr>
                <w:color w:val="1C3A36"/>
                <w:sz w:val="17"/>
              </w:rPr>
              <w:t>(531)</w:t>
            </w:r>
          </w:p>
        </w:tc>
      </w:tr>
      <w:tr>
        <w:tc>
          <w:tcPr>
            <w:tcW w:type="dxa" w:w="3024"/>
          </w:tcPr>
          <w:p>
            <w:pPr>
              <w:spacing w:after="20"/>
            </w:pPr>
            <w:r>
              <w:rPr>
                <w:b/>
                <w:color w:val="1C3A36"/>
                <w:sz w:val="17"/>
              </w:rPr>
              <w:t>Free cash flow to firm</w:t>
            </w:r>
          </w:p>
        </w:tc>
        <w:tc>
          <w:tcPr>
            <w:tcW w:type="dxa" w:w="1440"/>
          </w:tcPr>
          <w:p>
            <w:pPr>
              <w:spacing w:after="20"/>
              <w:jc w:val="right"/>
            </w:pPr>
            <w:r>
              <w:rPr>
                <w:color w:val="1C3A36"/>
                <w:sz w:val="17"/>
              </w:rPr>
              <w:t>2,110</w:t>
            </w:r>
          </w:p>
        </w:tc>
        <w:tc>
          <w:tcPr>
            <w:tcW w:type="dxa" w:w="1440"/>
          </w:tcPr>
          <w:p>
            <w:pPr>
              <w:spacing w:after="20"/>
              <w:jc w:val="right"/>
            </w:pPr>
            <w:r>
              <w:rPr>
                <w:color w:val="1C3A36"/>
                <w:sz w:val="17"/>
              </w:rPr>
              <w:t>-585</w:t>
            </w:r>
          </w:p>
        </w:tc>
        <w:tc>
          <w:tcPr>
            <w:tcW w:type="dxa" w:w="1440"/>
          </w:tcPr>
          <w:p>
            <w:pPr>
              <w:spacing w:after="20"/>
              <w:jc w:val="right"/>
            </w:pPr>
            <w:r>
              <w:rPr>
                <w:color w:val="1C3A36"/>
                <w:sz w:val="17"/>
              </w:rPr>
              <w:t>-97</w:t>
            </w:r>
          </w:p>
        </w:tc>
        <w:tc>
          <w:tcPr>
            <w:tcW w:type="dxa" w:w="1440"/>
          </w:tcPr>
          <w:p>
            <w:pPr>
              <w:spacing w:after="20"/>
              <w:jc w:val="right"/>
            </w:pPr>
            <w:r>
              <w:rPr>
                <w:color w:val="1C3A36"/>
                <w:sz w:val="17"/>
              </w:rPr>
              <w:t>383</w:t>
            </w:r>
          </w:p>
        </w:tc>
        <w:tc>
          <w:tcPr>
            <w:tcW w:type="dxa" w:w="1440"/>
          </w:tcPr>
          <w:p>
            <w:pPr>
              <w:spacing w:after="20"/>
              <w:jc w:val="right"/>
            </w:pPr>
            <w:r>
              <w:rPr>
                <w:color w:val="1C3A36"/>
                <w:sz w:val="17"/>
              </w:rPr>
              <w:t>884</w:t>
            </w:r>
          </w:p>
        </w:tc>
      </w:tr>
      <w:tr>
        <w:tc>
          <w:tcPr>
            <w:tcW w:type="dxa" w:w="3024"/>
          </w:tcPr>
          <w:p>
            <w:pPr>
              <w:spacing w:after="20"/>
            </w:pPr>
            <w:r>
              <w:rPr>
                <w:b/>
                <w:color w:val="1C3A36"/>
                <w:sz w:val="17"/>
              </w:rPr>
              <w:t>Forward WACC (that year)</w:t>
            </w:r>
          </w:p>
        </w:tc>
        <w:tc>
          <w:tcPr>
            <w:tcW w:type="dxa" w:w="1440"/>
          </w:tcPr>
          <w:p>
            <w:pPr>
              <w:spacing w:after="20"/>
              <w:jc w:val="right"/>
            </w:pPr>
            <w:r>
              <w:rPr>
                <w:color w:val="1C3A36"/>
                <w:sz w:val="17"/>
              </w:rPr>
              <w:t>21.5%</w:t>
            </w:r>
          </w:p>
        </w:tc>
        <w:tc>
          <w:tcPr>
            <w:tcW w:type="dxa" w:w="1440"/>
          </w:tcPr>
          <w:p>
            <w:pPr>
              <w:spacing w:after="20"/>
              <w:jc w:val="right"/>
            </w:pPr>
            <w:r>
              <w:rPr>
                <w:color w:val="1C3A36"/>
                <w:sz w:val="17"/>
              </w:rPr>
              <w:t>19.5%</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Discount factor (cumulative)</w:t>
            </w:r>
          </w:p>
        </w:tc>
        <w:tc>
          <w:tcPr>
            <w:tcW w:type="dxa" w:w="1440"/>
          </w:tcPr>
          <w:p>
            <w:pPr>
              <w:spacing w:after="20"/>
              <w:jc w:val="right"/>
            </w:pPr>
            <w:r>
              <w:rPr>
                <w:color w:val="1C3A36"/>
                <w:sz w:val="17"/>
              </w:rPr>
              <w:t>0.823</w:t>
            </w:r>
          </w:p>
        </w:tc>
        <w:tc>
          <w:tcPr>
            <w:tcW w:type="dxa" w:w="1440"/>
          </w:tcPr>
          <w:p>
            <w:pPr>
              <w:spacing w:after="20"/>
              <w:jc w:val="right"/>
            </w:pPr>
            <w:r>
              <w:rPr>
                <w:color w:val="1C3A36"/>
                <w:sz w:val="17"/>
              </w:rPr>
              <w:t>0.688</w:t>
            </w:r>
          </w:p>
        </w:tc>
        <w:tc>
          <w:tcPr>
            <w:tcW w:type="dxa" w:w="1440"/>
          </w:tcPr>
          <w:p>
            <w:pPr>
              <w:spacing w:after="20"/>
              <w:jc w:val="right"/>
            </w:pPr>
            <w:r>
              <w:rPr>
                <w:color w:val="1C3A36"/>
                <w:sz w:val="17"/>
              </w:rPr>
              <w:t>0.583</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0.436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1,736</w:t>
            </w:r>
          </w:p>
        </w:tc>
        <w:tc>
          <w:tcPr>
            <w:tcW w:type="dxa" w:w="1440"/>
          </w:tcPr>
          <w:p>
            <w:pPr>
              <w:spacing w:after="20"/>
              <w:jc w:val="right"/>
            </w:pPr>
            <w:r>
              <w:rPr>
                <w:color w:val="1C3A36"/>
                <w:sz w:val="17"/>
              </w:rPr>
              <w:t>-403</w:t>
            </w:r>
          </w:p>
        </w:tc>
        <w:tc>
          <w:tcPr>
            <w:tcW w:type="dxa" w:w="1440"/>
          </w:tcPr>
          <w:p>
            <w:pPr>
              <w:spacing w:after="20"/>
              <w:jc w:val="right"/>
            </w:pPr>
            <w:r>
              <w:rPr>
                <w:color w:val="1C3A36"/>
                <w:sz w:val="17"/>
              </w:rPr>
              <w:t>-56</w:t>
            </w:r>
          </w:p>
        </w:tc>
        <w:tc>
          <w:tcPr>
            <w:tcW w:type="dxa" w:w="1440"/>
          </w:tcPr>
          <w:p>
            <w:pPr>
              <w:spacing w:after="20"/>
              <w:jc w:val="right"/>
            </w:pPr>
            <w:r>
              <w:rPr>
                <w:color w:val="1C3A36"/>
                <w:sz w:val="17"/>
              </w:rPr>
              <w:t>192</w:t>
            </w:r>
          </w:p>
        </w:tc>
        <w:tc>
          <w:tcPr>
            <w:tcW w:type="dxa" w:w="1440"/>
          </w:tcPr>
          <w:p>
            <w:pPr>
              <w:spacing w:after="20"/>
              <w:jc w:val="right"/>
            </w:pPr>
            <w:r>
              <w:rPr>
                <w:color w:val="1C3A36"/>
                <w:sz w:val="17"/>
              </w:rPr>
              <w:t>385</w:t>
            </w:r>
          </w:p>
        </w:tc>
      </w:tr>
    </w:tbl>
    <w:p>
      <w:pPr>
        <w:spacing w:after="40"/>
      </w:pPr>
    </w:p>
    <w:p>
      <w:pPr>
        <w:spacing w:after="200" w:before="0"/>
      </w:pPr>
      <w:r>
        <w:rPr>
          <w:b w:val="0"/>
          <w:i/>
          <w:color w:val="6E7B77"/>
          <w:sz w:val="17"/>
        </w:rPr>
        <w:t>Δ working capital shown as (build) / release. FY26E’s large positive cash flow is a one-off working-capital release as revenue contracts — it is collection of the past, not earning power.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1,855</w:t>
            </w:r>
          </w:p>
        </w:tc>
      </w:tr>
      <w:tr>
        <w:tc>
          <w:tcPr>
            <w:tcW w:type="dxa" w:w="5760"/>
          </w:tcPr>
          <w:p>
            <w:pPr>
              <w:spacing w:after="20"/>
            </w:pPr>
            <w:r>
              <w:rPr>
                <w:b/>
                <w:color w:val="1C3A36"/>
                <w:sz w:val="18"/>
              </w:rPr>
              <w:t>Terminal value (g = 5.0%, ROIC-consistent: 10.3% ROIC × 48% reinvestment)</w:t>
            </w:r>
          </w:p>
        </w:tc>
        <w:tc>
          <w:tcPr>
            <w:tcW w:type="dxa" w:w="2304"/>
          </w:tcPr>
          <w:p>
            <w:pPr>
              <w:spacing w:after="20"/>
              <w:jc w:val="right"/>
            </w:pPr>
            <w:r>
              <w:rPr>
                <w:color w:val="1C3A36"/>
                <w:sz w:val="18"/>
              </w:rPr>
              <w:t>8,193</w:t>
            </w:r>
          </w:p>
        </w:tc>
      </w:tr>
      <w:tr>
        <w:tc>
          <w:tcPr>
            <w:tcW w:type="dxa" w:w="5760"/>
          </w:tcPr>
          <w:p>
            <w:pPr>
              <w:spacing w:after="20"/>
            </w:pPr>
            <w:r>
              <w:rPr>
                <w:b/>
                <w:color w:val="1C3A36"/>
                <w:sz w:val="18"/>
              </w:rPr>
              <w:t>PV of terminal value (at the year-5 factor)</w:t>
            </w:r>
          </w:p>
        </w:tc>
        <w:tc>
          <w:tcPr>
            <w:tcW w:type="dxa" w:w="2304"/>
          </w:tcPr>
          <w:p>
            <w:pPr>
              <w:spacing w:after="20"/>
              <w:jc w:val="right"/>
            </w:pPr>
            <w:r>
              <w:rPr>
                <w:color w:val="1C3A36"/>
                <w:sz w:val="18"/>
              </w:rPr>
              <w:t>3,574</w:t>
            </w:r>
          </w:p>
        </w:tc>
      </w:tr>
      <w:tr>
        <w:tc>
          <w:tcPr>
            <w:tcW w:type="dxa" w:w="5760"/>
          </w:tcPr>
          <w:p>
            <w:pPr>
              <w:spacing w:after="20"/>
            </w:pPr>
            <w:r>
              <w:rPr>
                <w:b/>
                <w:color w:val="1C3A36"/>
                <w:sz w:val="18"/>
              </w:rPr>
              <w:t>Enterprise value</w:t>
            </w:r>
          </w:p>
        </w:tc>
        <w:tc>
          <w:tcPr>
            <w:tcW w:type="dxa" w:w="2304"/>
          </w:tcPr>
          <w:p>
            <w:pPr>
              <w:spacing w:after="20"/>
              <w:jc w:val="right"/>
            </w:pPr>
            <w:r>
              <w:rPr>
                <w:color w:val="1C3A36"/>
                <w:sz w:val="18"/>
              </w:rPr>
              <w:t>5,428</w:t>
            </w:r>
          </w:p>
        </w:tc>
      </w:tr>
      <w:tr>
        <w:tc>
          <w:tcPr>
            <w:tcW w:type="dxa" w:w="5760"/>
          </w:tcPr>
          <w:p>
            <w:pPr>
              <w:spacing w:after="20"/>
            </w:pPr>
            <w:r>
              <w:rPr>
                <w:b/>
                <w:color w:val="1C3A36"/>
                <w:sz w:val="18"/>
              </w:rPr>
              <w:t>Terminal value as % of EV</w:t>
            </w:r>
          </w:p>
        </w:tc>
        <w:tc>
          <w:tcPr>
            <w:tcW w:type="dxa" w:w="2304"/>
          </w:tcPr>
          <w:p>
            <w:pPr>
              <w:spacing w:after="20"/>
              <w:jc w:val="right"/>
            </w:pPr>
            <w:r>
              <w:rPr>
                <w:color w:val="1C3A36"/>
                <w:sz w:val="18"/>
              </w:rPr>
              <w:t>66%</w:t>
            </w:r>
          </w:p>
        </w:tc>
      </w:tr>
      <w:tr>
        <w:tc>
          <w:tcPr>
            <w:tcW w:type="dxa" w:w="5760"/>
          </w:tcPr>
          <w:p>
            <w:pPr>
              <w:spacing w:after="20"/>
            </w:pPr>
            <w:r>
              <w:rPr>
                <w:b/>
                <w:color w:val="1C3A36"/>
                <w:sz w:val="18"/>
              </w:rPr>
              <w:t>less: net debt (FY25: triangulated — see §1.6 roll-forward)</w:t>
            </w:r>
          </w:p>
        </w:tc>
        <w:tc>
          <w:tcPr>
            <w:tcW w:type="dxa" w:w="2304"/>
          </w:tcPr>
          <w:p>
            <w:pPr>
              <w:spacing w:after="20"/>
              <w:jc w:val="right"/>
            </w:pPr>
            <w:r>
              <w:rPr>
                <w:color w:val="1C3A36"/>
                <w:sz w:val="18"/>
              </w:rPr>
              <w:t>(9,805)</w:t>
            </w:r>
          </w:p>
        </w:tc>
      </w:tr>
      <w:tr>
        <w:tc>
          <w:tcPr>
            <w:tcW w:type="dxa" w:w="5760"/>
          </w:tcPr>
          <w:p>
            <w:pPr>
              <w:spacing w:after="20"/>
            </w:pPr>
            <w:r>
              <w:rPr>
                <w:b/>
                <w:color w:val="1C3A36"/>
                <w:sz w:val="18"/>
              </w:rPr>
              <w:t>less: non-controlling interests</w:t>
            </w:r>
          </w:p>
        </w:tc>
        <w:tc>
          <w:tcPr>
            <w:tcW w:type="dxa" w:w="2304"/>
          </w:tcPr>
          <w:p>
            <w:pPr>
              <w:spacing w:after="20"/>
              <w:jc w:val="right"/>
            </w:pPr>
            <w:r>
              <w:rPr>
                <w:color w:val="1C3A36"/>
                <w:sz w:val="18"/>
              </w:rPr>
              <w:t>(0)</w:t>
            </w:r>
          </w:p>
        </w:tc>
      </w:tr>
      <w:tr>
        <w:tc>
          <w:tcPr>
            <w:tcW w:type="dxa" w:w="5760"/>
          </w:tcPr>
          <w:p>
            <w:pPr>
              <w:spacing w:after="20"/>
            </w:pPr>
            <w:r>
              <w:rPr>
                <w:b/>
                <w:color w:val="1C3A36"/>
                <w:sz w:val="18"/>
              </w:rPr>
              <w:t>Equity value — INTRINSIC (EV does not cover the debt)</w:t>
            </w:r>
          </w:p>
        </w:tc>
        <w:tc>
          <w:tcPr>
            <w:tcW w:type="dxa" w:w="2304"/>
          </w:tcPr>
          <w:p>
            <w:pPr>
              <w:spacing w:after="20"/>
              <w:jc w:val="right"/>
            </w:pPr>
            <w:r>
              <w:rPr>
                <w:color w:val="1C3A36"/>
                <w:sz w:val="18"/>
              </w:rPr>
              <w:t>(4,377)</w:t>
            </w:r>
          </w:p>
        </w:tc>
      </w:tr>
      <w:tr>
        <w:tc>
          <w:tcPr>
            <w:tcW w:type="dxa" w:w="5760"/>
          </w:tcPr>
          <w:p>
            <w:pPr>
              <w:spacing w:after="20"/>
            </w:pPr>
            <w:r>
              <w:rPr>
                <w:b/>
                <w:color w:val="1C3A36"/>
                <w:sz w:val="18"/>
              </w:rPr>
              <w:t>Equity value — floored at zero (limited liability)</w:t>
            </w:r>
          </w:p>
        </w:tc>
        <w:tc>
          <w:tcPr>
            <w:tcW w:type="dxa" w:w="2304"/>
          </w:tcPr>
          <w:p>
            <w:pPr>
              <w:spacing w:after="20"/>
              <w:jc w:val="right"/>
            </w:pPr>
            <w:r>
              <w:rPr>
                <w:color w:val="1C3A36"/>
                <w:sz w:val="18"/>
              </w:rPr>
              <w:t>0</w:t>
            </w:r>
          </w:p>
        </w:tc>
      </w:tr>
      <w:tr>
        <w:tc>
          <w:tcPr>
            <w:tcW w:type="dxa" w:w="5760"/>
          </w:tcPr>
          <w:p>
            <w:pPr>
              <w:spacing w:after="20"/>
            </w:pPr>
            <w:r>
              <w:rPr>
                <w:b/>
                <w:color w:val="1C3A36"/>
                <w:sz w:val="18"/>
              </w:rPr>
              <w:t>per share (3,313.5 mn shares) — nominal option-value placeholder</w:t>
            </w:r>
          </w:p>
        </w:tc>
        <w:tc>
          <w:tcPr>
            <w:tcW w:type="dxa" w:w="2304"/>
          </w:tcPr>
          <w:p>
            <w:pPr>
              <w:spacing w:after="20"/>
              <w:jc w:val="right"/>
            </w:pPr>
            <w:r>
              <w:rPr>
                <w:color w:val="1C3A36"/>
                <w:sz w:val="18"/>
              </w:rPr>
              <w:t>EGP 0.01</w:t>
            </w:r>
          </w:p>
        </w:tc>
      </w:tr>
    </w:tbl>
    <w:p>
      <w:pPr>
        <w:spacing w:after="40"/>
      </w:pPr>
    </w:p>
    <w:p>
      <w:pPr>
        <w:spacing w:after="120" w:before="0"/>
      </w:pPr>
      <w:r>
        <w:rPr>
          <w:b w:val="0"/>
          <w:i w:val="0"/>
          <w:color w:val="1C3A36"/>
          <w:sz w:val="19"/>
        </w:rPr>
        <w:t>Four honesty notes, and they carry the study. First, the base-case DCF says the enterprise is worth EGP 4.4 bn LESS than its net debt: at record copper (which inflates the working capital the business must carry) and pre-windfall conversion economics, the discounted cash flows do not cover the ~EGP 9.8 bn triangulated net debt. A share cannot be worth less than zero — limited liability floors the equity — so what a holder owns at the base case is an option on the bull scenario, not a claim on current cash flows. Second, 66% of the EV sits in the terminal value, which is why §1.9 grids the terminal rate and the this-year rate independently. Third, the terminal is ROIC-consistent and the arithmetic cuts AGAINST the company: at a terminal return on capital of 10.3% versus a 15.0% terminal cost of capital, growth SUBTRACTS value — funding 5% growth absorbs 48% of NOPAT to earn less than the capital costs, so the g-sensitivity gradient runs the unusual way (more growth, less value) by construction, not by error. Fourth, every 1 bn of EV is worth ~EGP 0.30/share, which is why the bear–bull span (0.01–1.54) is so wide: the bull case is not a tweak — it requires windfall conversion economics to partially return.</w:t>
      </w:r>
    </w:p>
    <w:p>
      <w:pPr>
        <w:spacing w:after="80" w:before="200"/>
      </w:pPr>
      <w:r>
        <w:rPr>
          <w:b/>
          <w:i w:val="0"/>
          <w:color w:val="1C3A36"/>
          <w:sz w:val="24"/>
        </w:rPr>
        <w:t>1.2  Book value and replacement — the asset lens</w:t>
      </w:r>
    </w:p>
    <w:p>
      <w:pPr>
        <w:spacing w:after="120" w:before="0"/>
      </w:pPr>
      <w:r>
        <w:rPr>
          <w:b w:val="0"/>
          <w:i w:val="0"/>
          <w:color w:val="1C3A36"/>
          <w:sz w:val="21"/>
        </w:rPr>
        <w:t>ELEC has never paid a dividend, so a dividend lens is unavailable; the asset lens takes its place. Book equity is ~EGP 4.1 bn (FY24 disclosed ~3.6 bn plus FY25 profit, nothing paid out), i.e. book value per share ≈ EGP 1.24. What justifies a premium or discount to book is the return the book earns: at a sustainable ~14% ROE (normalized profit ~EGP 600–750 mn on a growing book — well below the 35%+ devaluation-era prints) against a ~17.3% normalised cost of equity and 5% growth, the justified multiple is (ROE−g)/(Ke−g) ≈ 0.73× book → EGP 0.91/share. The market pays ~1.8× book today — a multiple that needs ROE near 27% to justify, a level the company only ever reached with devaluation at its back.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Book-lens build</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Sustainable ROE</w:t>
            </w:r>
          </w:p>
        </w:tc>
        <w:tc>
          <w:tcPr>
            <w:tcW w:type="dxa" w:w="1872"/>
          </w:tcPr>
          <w:p>
            <w:pPr>
              <w:spacing w:after="20"/>
              <w:jc w:val="right"/>
            </w:pPr>
            <w:r>
              <w:rPr>
                <w:color w:val="1C3A36"/>
                <w:sz w:val="18"/>
              </w:rPr>
              <w:t>11%</w:t>
            </w:r>
          </w:p>
        </w:tc>
        <w:tc>
          <w:tcPr>
            <w:tcW w:type="dxa" w:w="1872"/>
          </w:tcPr>
          <w:p>
            <w:pPr>
              <w:spacing w:after="20"/>
              <w:jc w:val="right"/>
            </w:pPr>
            <w:r>
              <w:rPr>
                <w:color w:val="1C3A36"/>
                <w:sz w:val="18"/>
              </w:rPr>
              <w:t>14%</w:t>
            </w:r>
          </w:p>
        </w:tc>
        <w:tc>
          <w:tcPr>
            <w:tcW w:type="dxa" w:w="1872"/>
          </w:tcPr>
          <w:p>
            <w:pPr>
              <w:spacing w:after="20"/>
              <w:jc w:val="right"/>
            </w:pPr>
            <w:r>
              <w:rPr>
                <w:color w:val="1C3A36"/>
                <w:sz w:val="18"/>
              </w:rPr>
              <w:t>18%</w:t>
            </w:r>
          </w:p>
        </w:tc>
      </w:tr>
      <w:tr>
        <w:tc>
          <w:tcPr>
            <w:tcW w:type="dxa" w:w="3744"/>
          </w:tcPr>
          <w:p>
            <w:pPr>
              <w:spacing w:after="20"/>
            </w:pPr>
            <w:r>
              <w:rPr>
                <w:b/>
                <w:color w:val="1C3A36"/>
                <w:sz w:val="18"/>
              </w:rPr>
              <w:t>Justified P/B = (ROE−g)/(Ke−g)</w:t>
            </w:r>
          </w:p>
        </w:tc>
        <w:tc>
          <w:tcPr>
            <w:tcW w:type="dxa" w:w="1872"/>
          </w:tcPr>
          <w:p>
            <w:pPr>
              <w:spacing w:after="20"/>
              <w:jc w:val="right"/>
            </w:pPr>
            <w:r>
              <w:rPr>
                <w:color w:val="1C3A36"/>
                <w:sz w:val="18"/>
              </w:rPr>
              <w:t>0.49×</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1.16×</w:t>
            </w:r>
          </w:p>
        </w:tc>
      </w:tr>
      <w:tr>
        <w:tc>
          <w:tcPr>
            <w:tcW w:type="dxa" w:w="3744"/>
          </w:tcPr>
          <w:p>
            <w:pPr>
              <w:spacing w:after="20"/>
            </w:pPr>
            <w:r>
              <w:rPr>
                <w:b/>
                <w:color w:val="1C3A36"/>
                <w:sz w:val="18"/>
              </w:rPr>
              <w:t>Fair value (× BVPS 1.24)</w:t>
            </w:r>
          </w:p>
        </w:tc>
        <w:tc>
          <w:tcPr>
            <w:tcW w:type="dxa" w:w="1872"/>
          </w:tcPr>
          <w:p>
            <w:pPr>
              <w:spacing w:after="20"/>
              <w:jc w:val="right"/>
            </w:pPr>
            <w:r>
              <w:rPr>
                <w:color w:val="1C3A36"/>
                <w:sz w:val="18"/>
              </w:rPr>
              <w:t>0.61</w:t>
            </w:r>
          </w:p>
        </w:tc>
        <w:tc>
          <w:tcPr>
            <w:tcW w:type="dxa" w:w="1872"/>
          </w:tcPr>
          <w:p>
            <w:pPr>
              <w:spacing w:after="20"/>
              <w:jc w:val="right"/>
            </w:pPr>
            <w:r>
              <w:rPr>
                <w:color w:val="1C3A36"/>
                <w:sz w:val="18"/>
              </w:rPr>
              <w:t>0.91</w:t>
            </w:r>
          </w:p>
        </w:tc>
        <w:tc>
          <w:tcPr>
            <w:tcW w:type="dxa" w:w="1872"/>
          </w:tcPr>
          <w:p>
            <w:pPr>
              <w:spacing w:after="20"/>
              <w:jc w:val="right"/>
            </w:pPr>
            <w:r>
              <w:rPr>
                <w:color w:val="1C3A36"/>
                <w:sz w:val="18"/>
              </w:rPr>
              <w:t>1.43</w:t>
            </w:r>
          </w:p>
        </w:tc>
      </w:tr>
    </w:tbl>
    <w:p>
      <w:pPr>
        <w:spacing w:after="40"/>
      </w:pPr>
    </w:p>
    <w:p>
      <w:pPr>
        <w:spacing w:after="80" w:before="200"/>
      </w:pPr>
      <w:r>
        <w:rPr>
          <w:b/>
          <w:i w:val="0"/>
          <w:color w:val="1C3A36"/>
          <w:sz w:val="24"/>
        </w:rPr>
        <w:t>1.3  Relative multiples</w:t>
      </w:r>
    </w:p>
    <w:p>
      <w:pPr>
        <w:spacing w:after="120" w:before="0"/>
      </w:pPr>
      <w:r>
        <w:rPr>
          <w:b w:val="0"/>
          <w:i w:val="0"/>
          <w:color w:val="1C3A36"/>
          <w:sz w:val="21"/>
        </w:rPr>
        <w:t>The only listed pure-play comparable in the market is El Sewedy Electric — forty times ELEC’s revenue, export-hedged, moderately levered — trading at ~10.4× trailing earnings and ~6× EV/EBITDA. Riyadh Cables (Tadawul) trades far richer (18× / 15×) in a different market with 0.27× D/E and 39% ROE. ELEC merits a clear discount to Elsewedy’s multiple: 2.5× levered, domestically concentrated, no dividend record, and currently loss-making. We mark the lens on mid-cycle FY27E EBITDA at 4.5–6.5× EV/EBITDA, net of the debt remaining after the FY26E working-capital release.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FY27E EBITDA (EGP mn)</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r>
      <w:tr>
        <w:tc>
          <w:tcPr>
            <w:tcW w:type="dxa" w:w="3744"/>
          </w:tcPr>
          <w:p>
            <w:pPr>
              <w:spacing w:after="20"/>
            </w:pPr>
            <w:r>
              <w:rPr>
                <w:b/>
                <w:color w:val="1C3A36"/>
                <w:sz w:val="18"/>
              </w:rPr>
              <w:t>EV/EBITDA multiple</w:t>
            </w:r>
          </w:p>
        </w:tc>
        <w:tc>
          <w:tcPr>
            <w:tcW w:type="dxa" w:w="1872"/>
          </w:tcPr>
          <w:p>
            <w:pPr>
              <w:spacing w:after="20"/>
              <w:jc w:val="right"/>
            </w:pPr>
            <w:r>
              <w:rPr>
                <w:color w:val="1C3A36"/>
                <w:sz w:val="18"/>
              </w:rPr>
              <w:t>4.5×</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r>
      <w:tr>
        <w:tc>
          <w:tcPr>
            <w:tcW w:type="dxa" w:w="3744"/>
          </w:tcPr>
          <w:p>
            <w:pPr>
              <w:spacing w:after="20"/>
            </w:pPr>
            <w:r>
              <w:rPr>
                <w:b/>
                <w:color w:val="1C3A36"/>
                <w:sz w:val="18"/>
              </w:rPr>
              <w:t>less net debt (end-FY26E)</w:t>
            </w:r>
          </w:p>
        </w:tc>
        <w:tc>
          <w:tcPr>
            <w:tcW w:type="dxa" w:w="1872"/>
          </w:tcPr>
          <w:p>
            <w:pPr>
              <w:spacing w:after="20"/>
              <w:jc w:val="right"/>
            </w:pPr>
            <w:r>
              <w:rPr>
                <w:color w:val="1C3A36"/>
                <w:sz w:val="18"/>
              </w:rPr>
              <w:t>(9,786)</w:t>
            </w:r>
          </w:p>
        </w:tc>
        <w:tc>
          <w:tcPr>
            <w:tcW w:type="dxa" w:w="1872"/>
          </w:tcPr>
          <w:p>
            <w:pPr>
              <w:spacing w:after="20"/>
              <w:jc w:val="right"/>
            </w:pPr>
            <w:r>
              <w:rPr>
                <w:color w:val="1C3A36"/>
                <w:sz w:val="18"/>
              </w:rPr>
              <w:t>(9,786)</w:t>
            </w:r>
          </w:p>
        </w:tc>
        <w:tc>
          <w:tcPr>
            <w:tcW w:type="dxa" w:w="1872"/>
          </w:tcPr>
          <w:p>
            <w:pPr>
              <w:spacing w:after="20"/>
              <w:jc w:val="right"/>
            </w:pPr>
            <w:r>
              <w:rPr>
                <w:color w:val="1C3A36"/>
                <w:sz w:val="18"/>
              </w:rPr>
              <w:t>(9,786)</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r>
    </w:tbl>
    <w:p>
      <w:pPr>
        <w:spacing w:after="40"/>
      </w:pPr>
    </w:p>
    <w:p>
      <w:pPr>
        <w:spacing w:after="120" w:before="0"/>
      </w:pPr>
      <w:r>
        <w:rPr>
          <w:b/>
          <w:i w:val="0"/>
          <w:color w:val="1C3A36"/>
          <w:sz w:val="21"/>
        </w:rPr>
        <w:t>Relative base ≈ EGP 0.05</w:t>
      </w:r>
      <w:r>
        <w:rPr>
          <w:b w:val="0"/>
          <w:i w:val="0"/>
          <w:color w:val="1C3A36"/>
          <w:sz w:val="21"/>
        </w:rPr>
        <w:t xml:space="preserve"> — the bluntest lens in the study: at ANY peer-anchored multiple (4.5–6.5×) on realistic mid-cycle EBITDA, the disclosed debt exceeds the entire enterprise value and the equity is worth nothing; the lens is shown floored at EGP 0.05. For the equity to be worth spot on this lens, the market must apply Elsewedy’s own multiple to EBITDA that has not been printed since the windfall years.</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FY2023–24 were the top — devaluation repriced the finished-goods book faster than the cost base, and net margin hit 14.4% then 9.6%. FY2025–26 is the washout: revenue −21.5% then −44% in 1Q26, a net loss, and margin compression as stable-pound competition returned. Mid-cycle is neither: we take FY28E-scale operations from the tonnage build (13.4 kt at 54% utilization, revenue ~EGP 12.5 bn, EBITDA ~12%) with a normalised funding cost (15% on net debt CONDITIONALLY reduced to ~EGP 6 bn — i.e. this lens assumes the balance sheet has already been fixed, which the base-case cash flows do not achieve) → normalized net profit ≈ EGP 371 mn, EPS ≈ 0.11. At a justified through-cycle 6.5× (a deep discount to Elsewedy’s 10.4× for leverage, concentration and float), the lens lands at EGP 0.73.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net profit (EGP mn)</w:t>
            </w:r>
          </w:p>
        </w:tc>
        <w:tc>
          <w:tcPr>
            <w:tcW w:type="dxa" w:w="1872"/>
          </w:tcPr>
          <w:p>
            <w:pPr>
              <w:spacing w:after="20"/>
              <w:jc w:val="right"/>
            </w:pPr>
            <w:r>
              <w:rPr>
                <w:color w:val="1C3A36"/>
                <w:sz w:val="18"/>
              </w:rPr>
              <w:t>155</w:t>
            </w:r>
          </w:p>
        </w:tc>
        <w:tc>
          <w:tcPr>
            <w:tcW w:type="dxa" w:w="1872"/>
          </w:tcPr>
          <w:p>
            <w:pPr>
              <w:spacing w:after="20"/>
              <w:jc w:val="right"/>
            </w:pPr>
            <w:r>
              <w:rPr>
                <w:color w:val="1C3A36"/>
                <w:sz w:val="18"/>
              </w:rPr>
              <w:t>371</w:t>
            </w:r>
          </w:p>
        </w:tc>
        <w:tc>
          <w:tcPr>
            <w:tcW w:type="dxa" w:w="1872"/>
          </w:tcPr>
          <w:p>
            <w:pPr>
              <w:spacing w:after="20"/>
              <w:jc w:val="right"/>
            </w:pPr>
            <w:r>
              <w:rPr>
                <w:color w:val="1C3A36"/>
                <w:sz w:val="18"/>
              </w:rPr>
              <w:t>578</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c>
          <w:tcPr>
            <w:tcW w:type="dxa" w:w="1872"/>
          </w:tcPr>
          <w:p>
            <w:pPr>
              <w:spacing w:after="20"/>
              <w:jc w:val="right"/>
            </w:pPr>
            <w:r>
              <w:rPr>
                <w:color w:val="1C3A36"/>
                <w:sz w:val="18"/>
              </w:rPr>
              <w:t>8.0×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0.26</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1.40</w:t>
            </w:r>
          </w:p>
        </w:tc>
      </w:tr>
    </w:tbl>
    <w:p>
      <w:pPr>
        <w:spacing w:after="40"/>
      </w:pPr>
    </w:p>
    <w:p>
      <w:pPr>
        <w:spacing w:after="80" w:before="200"/>
      </w:pPr>
      <w:r>
        <w:rPr>
          <w:b/>
          <w:i w:val="0"/>
          <w:color w:val="1C3A36"/>
          <w:sz w:val="24"/>
        </w:rPr>
        <w:t>1.5  Synthesis — four lenses, one field</w:t>
      </w:r>
    </w:p>
    <w:p>
      <w:pPr>
        <w:spacing w:after="120" w:before="0"/>
      </w:pPr>
      <w:r>
        <w:rPr>
          <w:b w:val="0"/>
          <w:i w:val="0"/>
          <w:color w:val="1C3A36"/>
          <w:sz w:val="21"/>
        </w:rPr>
        <w:t>The DCF carries the heaviest weight because it is the only lens that prices the working-capital problem explicitly; the relative lens anchors what a buyer pays for comparable cash flow; normalized earnings carries the recovery thesis; the book lens anchors the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(glide schedule)</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1.54</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0.26</w:t>
            </w:r>
          </w:p>
        </w:tc>
        <w:tc>
          <w:tcPr>
            <w:tcW w:type="dxa" w:w="1584"/>
          </w:tcPr>
          <w:p>
            <w:pPr>
              <w:spacing w:after="20"/>
              <w:jc w:val="right"/>
            </w:pPr>
            <w:r>
              <w:rPr>
                <w:color w:val="1C3A36"/>
                <w:sz w:val="18"/>
              </w:rPr>
              <w:t>0.73</w:t>
            </w:r>
          </w:p>
        </w:tc>
        <w:tc>
          <w:tcPr>
            <w:tcW w:type="dxa" w:w="1584"/>
          </w:tcPr>
          <w:p>
            <w:pPr>
              <w:spacing w:after="20"/>
              <w:jc w:val="right"/>
            </w:pPr>
            <w:r>
              <w:rPr>
                <w:color w:val="1C3A36"/>
                <w:sz w:val="18"/>
              </w:rPr>
              <w:t>1.40</w:t>
            </w:r>
          </w:p>
        </w:tc>
      </w:tr>
      <w:tr>
        <w:tc>
          <w:tcPr>
            <w:tcW w:type="dxa" w:w="3456"/>
          </w:tcPr>
          <w:p>
            <w:pPr>
              <w:spacing w:after="20"/>
            </w:pPr>
            <w:r>
              <w:rPr>
                <w:b/>
                <w:color w:val="1C3A36"/>
                <w:sz w:val="18"/>
              </w:rPr>
              <w:t>Book / replacement</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0.61</w:t>
            </w:r>
          </w:p>
        </w:tc>
        <w:tc>
          <w:tcPr>
            <w:tcW w:type="dxa" w:w="1584"/>
          </w:tcPr>
          <w:p>
            <w:pPr>
              <w:spacing w:after="20"/>
              <w:jc w:val="right"/>
            </w:pPr>
            <w:r>
              <w:rPr>
                <w:color w:val="1C3A36"/>
                <w:sz w:val="18"/>
              </w:rPr>
              <w:t>0.91</w:t>
            </w:r>
          </w:p>
        </w:tc>
        <w:tc>
          <w:tcPr>
            <w:tcW w:type="dxa" w:w="1584"/>
          </w:tcPr>
          <w:p>
            <w:pPr>
              <w:spacing w:after="20"/>
              <w:jc w:val="right"/>
            </w:pPr>
            <w:r>
              <w:rPr>
                <w:color w:val="1C3A36"/>
                <w:sz w:val="18"/>
              </w:rPr>
              <w:t>1.43</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0.19</w:t>
            </w:r>
          </w:p>
        </w:tc>
        <w:tc>
          <w:tcPr>
            <w:tcW w:type="dxa" w:w="1584"/>
            <w:shd w:val="clear" w:color="auto" w:fill="F6F1E6"/>
          </w:tcPr>
          <w:p>
            <w:pPr>
              <w:spacing w:after="20"/>
              <w:jc w:val="right"/>
            </w:pPr>
            <w:r>
              <w:rPr>
                <w:b/>
                <w:color w:val="1C3A36"/>
                <w:sz w:val="18"/>
              </w:rPr>
              <w:t>0.34</w:t>
            </w:r>
          </w:p>
        </w:tc>
        <w:tc>
          <w:tcPr>
            <w:tcW w:type="dxa" w:w="1584"/>
            <w:shd w:val="clear" w:color="auto" w:fill="F6F1E6"/>
          </w:tcPr>
          <w:p>
            <w:pPr>
              <w:spacing w:after="20"/>
              <w:jc w:val="right"/>
            </w:pPr>
            <w:r>
              <w:rPr>
                <w:b/>
                <w:color w:val="1C3A36"/>
                <w:sz w:val="18"/>
              </w:rPr>
              <w:t>1.19</w:t>
            </w:r>
          </w:p>
        </w:tc>
      </w:tr>
    </w:tbl>
    <w:p>
      <w:pPr>
        <w:spacing w:after="40"/>
      </w:pPr>
    </w:p>
    <w:p>
      <w:pPr>
        <w:spacing w:after="40"/>
        <w:jc w:val="center"/>
      </w:pPr>
      <w:r>
        <w:drawing>
          <wp:inline xmlns:a="http://schemas.openxmlformats.org/drawingml/2006/main" xmlns:pic="http://schemas.openxmlformats.org/drawingml/2006/picture">
            <wp:extent cx="5760720" cy="249433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94332"/>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dark line is spot.</w:t>
      </w:r>
    </w:p>
    <w:p>
      <w:pPr>
        <w:spacing w:after="120" w:before="0"/>
      </w:pPr>
      <w:r>
        <w:rPr>
          <w:b/>
          <w:i w:val="0"/>
          <w:color w:val="1C3A36"/>
          <w:sz w:val="21"/>
        </w:rPr>
        <w:t>Central fair value ≈ EGP 0.34/share</w:t>
      </w:r>
      <w:r>
        <w:rPr>
          <w:b w:val="0"/>
          <w:i w:val="0"/>
          <w:color w:val="1C3A36"/>
          <w:sz w:val="21"/>
        </w:rPr>
        <w:t>, 84% below spot. Note what the field is saying: the four lenses AGREE — 0.05 to 0.73 at base — and spot sits outside the whole cluster, at the far edge of the bull span. The disagreement in this study is not between the lenses; it is between all of them and the price.</w:t>
      </w:r>
    </w:p>
    <w:p>
      <w:pPr>
        <w:spacing w:after="80" w:before="200"/>
      </w:pPr>
      <w:r>
        <w:rPr>
          <w:b/>
          <w:i w:val="0"/>
          <w:color w:val="1C3A36"/>
          <w:sz w:val="24"/>
        </w:rPr>
        <w:t>1.6  The drivers — a bottom-up tonnage build, calibrated on disclosed anchors</w:t>
      </w:r>
    </w:p>
    <w:p>
      <w:pPr>
        <w:spacing w:after="120" w:before="0"/>
      </w:pPr>
      <w:r>
        <w:rPr>
          <w:b w:val="0"/>
          <w:i w:val="0"/>
          <w:color w:val="1C3A36"/>
          <w:sz w:val="19"/>
        </w:rPr>
        <w:t>The forecast is built from physical volumes and unit economics, not top-line growth rates. Revenue = tonnes shipped × price per tonne, where price per tonne = LME copper × EGP/USD × a fabrication uplift of 1.387× (copper is ~72% of a power-cable price — industry norm, LME moves passed through quotations). EBITDA = tonnes × conversion EBITDA per tonne. Margins are OUTPUTS of this build, not assumptions. The company discloses no volumes, so the build is calibrated on what IS disclosed — revenue, copper, the currency — and validated against the stated ~25,000 t/yr capacity: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008"/>
        <w:gridCol w:w="1512"/>
        <w:gridCol w:w="1656"/>
        <w:gridCol w:w="1224"/>
        <w:gridCol w:w="1440"/>
      </w:tblGrid>
      <w:tr>
        <w:tc>
          <w:tcPr>
            <w:tcW w:type="dxa" w:w="2808"/>
            <w:shd w:val="clear" w:color="auto" w:fill="EAF0EE"/>
          </w:tcPr>
          <w:p>
            <w:pPr>
              <w:spacing w:after="20"/>
            </w:pPr>
            <w:r>
              <w:rPr>
                <w:b/>
                <w:color w:val="1C3A36"/>
                <w:sz w:val="16"/>
              </w:rPr>
              <w:t>Implied history</w:t>
            </w:r>
          </w:p>
        </w:tc>
        <w:tc>
          <w:tcPr>
            <w:tcW w:type="dxa" w:w="1368"/>
            <w:shd w:val="clear" w:color="auto" w:fill="EAF0EE"/>
          </w:tcPr>
          <w:p>
            <w:pPr>
              <w:spacing w:after="20"/>
            </w:pPr>
            <w:r>
              <w:rPr>
                <w:b/>
                <w:color w:val="1C3A36"/>
                <w:sz w:val="16"/>
              </w:rPr>
              <w:t>LME avg ($/t)</w:t>
            </w:r>
          </w:p>
        </w:tc>
        <w:tc>
          <w:tcPr>
            <w:tcW w:type="dxa" w:w="1008"/>
            <w:shd w:val="clear" w:color="auto" w:fill="EAF0EE"/>
          </w:tcPr>
          <w:p>
            <w:pPr>
              <w:spacing w:after="20"/>
            </w:pPr>
            <w:r>
              <w:rPr>
                <w:b/>
                <w:color w:val="1C3A36"/>
                <w:sz w:val="16"/>
              </w:rPr>
              <w:t>EGP avg</w:t>
            </w:r>
          </w:p>
        </w:tc>
        <w:tc>
          <w:tcPr>
            <w:tcW w:type="dxa" w:w="1512"/>
            <w:shd w:val="clear" w:color="auto" w:fill="EAF0EE"/>
          </w:tcPr>
          <w:p>
            <w:pPr>
              <w:spacing w:after="20"/>
            </w:pPr>
            <w:r>
              <w:rPr>
                <w:b/>
                <w:color w:val="1C3A36"/>
                <w:sz w:val="16"/>
              </w:rPr>
              <w:t>Price/t (k EGP)</w:t>
            </w:r>
          </w:p>
        </w:tc>
        <w:tc>
          <w:tcPr>
            <w:tcW w:type="dxa" w:w="1656"/>
            <w:shd w:val="clear" w:color="auto" w:fill="EAF0EE"/>
          </w:tcPr>
          <w:p>
            <w:pPr>
              <w:spacing w:after="20"/>
            </w:pPr>
            <w:r>
              <w:rPr>
                <w:b/>
                <w:color w:val="1C3A36"/>
                <w:sz w:val="16"/>
              </w:rPr>
              <w:t>Implied volume (kt)</w:t>
            </w:r>
          </w:p>
        </w:tc>
        <w:tc>
          <w:tcPr>
            <w:tcW w:type="dxa" w:w="1224"/>
            <w:shd w:val="clear" w:color="auto" w:fill="EAF0EE"/>
          </w:tcPr>
          <w:p>
            <w:pPr>
              <w:spacing w:after="20"/>
            </w:pPr>
            <w:r>
              <w:rPr>
                <w:b/>
                <w:color w:val="1C3A36"/>
                <w:sz w:val="16"/>
              </w:rPr>
              <w:t>Utilization</w:t>
            </w:r>
          </w:p>
        </w:tc>
        <w:tc>
          <w:tcPr>
            <w:tcW w:type="dxa" w:w="1440"/>
            <w:shd w:val="clear" w:color="auto" w:fill="EAF0EE"/>
          </w:tcPr>
          <w:p>
            <w:pPr>
              <w:spacing w:after="20"/>
            </w:pPr>
            <w:r>
              <w:rPr>
                <w:b/>
                <w:color w:val="1C3A36"/>
                <w:sz w:val="16"/>
              </w:rPr>
              <w:t>Conv. EBITDA/t (k)</w:t>
            </w:r>
          </w:p>
        </w:tc>
      </w:tr>
      <w:tr>
        <w:tc>
          <w:tcPr>
            <w:tcW w:type="dxa" w:w="2808"/>
          </w:tcPr>
          <w:p>
            <w:pPr>
              <w:spacing w:after="20"/>
            </w:pPr>
            <w:r>
              <w:rPr>
                <w:b/>
                <w:color w:val="1C3A36"/>
                <w:sz w:val="16"/>
              </w:rPr>
              <w:t>FY23</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30.7</w:t>
            </w:r>
          </w:p>
        </w:tc>
        <w:tc>
          <w:tcPr>
            <w:tcW w:type="dxa" w:w="1512"/>
          </w:tcPr>
          <w:p>
            <w:pPr>
              <w:spacing w:after="20"/>
              <w:jc w:val="right"/>
            </w:pPr>
            <w:r>
              <w:rPr>
                <w:color w:val="1C3A36"/>
                <w:sz w:val="16"/>
              </w:rPr>
              <w:t>361</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111</w:t>
            </w:r>
          </w:p>
        </w:tc>
      </w:tr>
      <w:tr>
        <w:tc>
          <w:tcPr>
            <w:tcW w:type="dxa" w:w="2808"/>
          </w:tcPr>
          <w:p>
            <w:pPr>
              <w:spacing w:after="20"/>
            </w:pPr>
            <w:r>
              <w:rPr>
                <w:b/>
                <w:color w:val="1C3A36"/>
                <w:sz w:val="16"/>
              </w:rPr>
              <w:t xml:space="preserve">  FY23 at the parallel rate (~38)</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38.0</w:t>
            </w:r>
          </w:p>
        </w:tc>
        <w:tc>
          <w:tcPr>
            <w:tcW w:type="dxa" w:w="1512"/>
          </w:tcPr>
          <w:p>
            <w:pPr>
              <w:spacing w:after="20"/>
              <w:jc w:val="right"/>
            </w:pPr>
            <w:r>
              <w:rPr>
                <w:color w:val="1C3A36"/>
                <w:sz w:val="16"/>
              </w:rPr>
              <w:t>447</w:t>
            </w:r>
          </w:p>
        </w:tc>
        <w:tc>
          <w:tcPr>
            <w:tcW w:type="dxa" w:w="1656"/>
          </w:tcPr>
          <w:p>
            <w:pPr>
              <w:spacing w:after="20"/>
              <w:jc w:val="right"/>
            </w:pPr>
            <w:r>
              <w:rPr>
                <w:color w:val="1C3A36"/>
                <w:sz w:val="16"/>
              </w:rPr>
              <w:t>19.4</w:t>
            </w:r>
          </w:p>
        </w:tc>
        <w:tc>
          <w:tcPr>
            <w:tcW w:type="dxa" w:w="1224"/>
          </w:tcPr>
          <w:p>
            <w:pPr>
              <w:spacing w:after="20"/>
              <w:jc w:val="right"/>
            </w:pPr>
            <w:r>
              <w:rPr>
                <w:color w:val="1C3A36"/>
                <w:sz w:val="16"/>
              </w:rPr>
              <w:t>78%</w:t>
            </w:r>
          </w:p>
        </w:tc>
        <w:tc>
          <w:tcPr>
            <w:tcW w:type="dxa" w:w="1440"/>
          </w:tcPr>
          <w:p>
            <w:pPr>
              <w:spacing w:after="20"/>
              <w:jc w:val="right"/>
            </w:pPr>
            <w:r>
              <w:rPr>
                <w:color w:val="1C3A36"/>
                <w:sz w:val="16"/>
              </w:rPr>
              <w:t>—</w:t>
            </w:r>
          </w:p>
        </w:tc>
      </w:tr>
      <w:tr>
        <w:tc>
          <w:tcPr>
            <w:tcW w:type="dxa" w:w="2808"/>
          </w:tcPr>
          <w:p>
            <w:pPr>
              <w:spacing w:after="20"/>
            </w:pPr>
            <w:r>
              <w:rPr>
                <w:b/>
                <w:color w:val="1C3A36"/>
                <w:sz w:val="16"/>
              </w:rPr>
              <w:t>FY24 (the validation year)</w:t>
            </w:r>
          </w:p>
        </w:tc>
        <w:tc>
          <w:tcPr>
            <w:tcW w:type="dxa" w:w="1368"/>
          </w:tcPr>
          <w:p>
            <w:pPr>
              <w:spacing w:after="20"/>
              <w:jc w:val="right"/>
            </w:pPr>
            <w:r>
              <w:rPr>
                <w:color w:val="1C3A36"/>
                <w:sz w:val="16"/>
              </w:rPr>
              <w:t>9,147</w:t>
            </w:r>
          </w:p>
        </w:tc>
        <w:tc>
          <w:tcPr>
            <w:tcW w:type="dxa" w:w="1008"/>
          </w:tcPr>
          <w:p>
            <w:pPr>
              <w:spacing w:after="20"/>
              <w:jc w:val="right"/>
            </w:pPr>
            <w:r>
              <w:rPr>
                <w:color w:val="1C3A36"/>
                <w:sz w:val="16"/>
              </w:rPr>
              <w:t>45.3</w:t>
            </w:r>
          </w:p>
        </w:tc>
        <w:tc>
          <w:tcPr>
            <w:tcW w:type="dxa" w:w="1512"/>
          </w:tcPr>
          <w:p>
            <w:pPr>
              <w:spacing w:after="20"/>
              <w:jc w:val="right"/>
            </w:pPr>
            <w:r>
              <w:rPr>
                <w:color w:val="1C3A36"/>
                <w:sz w:val="16"/>
              </w:rPr>
              <w:t>575</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146</w:t>
            </w:r>
          </w:p>
        </w:tc>
      </w:tr>
      <w:tr>
        <w:tc>
          <w:tcPr>
            <w:tcW w:type="dxa" w:w="2808"/>
          </w:tcPr>
          <w:p>
            <w:pPr>
              <w:spacing w:after="20"/>
            </w:pPr>
            <w:r>
              <w:rPr>
                <w:b/>
                <w:color w:val="1C3A36"/>
                <w:sz w:val="16"/>
              </w:rPr>
              <w:t>FY25</w:t>
            </w:r>
          </w:p>
        </w:tc>
        <w:tc>
          <w:tcPr>
            <w:tcW w:type="dxa" w:w="1368"/>
          </w:tcPr>
          <w:p>
            <w:pPr>
              <w:spacing w:after="20"/>
              <w:jc w:val="right"/>
            </w:pPr>
            <w:r>
              <w:rPr>
                <w:color w:val="1C3A36"/>
                <w:sz w:val="16"/>
              </w:rPr>
              <w:t>10,000</w:t>
            </w:r>
          </w:p>
        </w:tc>
        <w:tc>
          <w:tcPr>
            <w:tcW w:type="dxa" w:w="1008"/>
          </w:tcPr>
          <w:p>
            <w:pPr>
              <w:spacing w:after="20"/>
              <w:jc w:val="right"/>
            </w:pPr>
            <w:r>
              <w:rPr>
                <w:color w:val="1C3A36"/>
                <w:sz w:val="16"/>
              </w:rPr>
              <w:t>49.5</w:t>
            </w:r>
          </w:p>
        </w:tc>
        <w:tc>
          <w:tcPr>
            <w:tcW w:type="dxa" w:w="1512"/>
          </w:tcPr>
          <w:p>
            <w:pPr>
              <w:spacing w:after="20"/>
              <w:jc w:val="right"/>
            </w:pPr>
            <w:r>
              <w:rPr>
                <w:color w:val="1C3A36"/>
                <w:sz w:val="16"/>
              </w:rPr>
              <w:t>687</w:t>
            </w:r>
          </w:p>
        </w:tc>
        <w:tc>
          <w:tcPr>
            <w:tcW w:type="dxa" w:w="1656"/>
          </w:tcPr>
          <w:p>
            <w:pPr>
              <w:spacing w:after="20"/>
              <w:jc w:val="right"/>
            </w:pPr>
            <w:r>
              <w:rPr>
                <w:color w:val="1C3A36"/>
                <w:sz w:val="16"/>
              </w:rPr>
              <w:t>15.8</w:t>
            </w:r>
          </w:p>
        </w:tc>
        <w:tc>
          <w:tcPr>
            <w:tcW w:type="dxa" w:w="1224"/>
          </w:tcPr>
          <w:p>
            <w:pPr>
              <w:spacing w:after="20"/>
              <w:jc w:val="right"/>
            </w:pPr>
            <w:r>
              <w:rPr>
                <w:color w:val="1C3A36"/>
                <w:sz w:val="16"/>
              </w:rPr>
              <w:t>63%</w:t>
            </w:r>
          </w:p>
        </w:tc>
        <w:tc>
          <w:tcPr>
            <w:tcW w:type="dxa" w:w="1440"/>
          </w:tcPr>
          <w:p>
            <w:pPr>
              <w:spacing w:after="20"/>
              <w:jc w:val="right"/>
            </w:pPr>
            <w:r>
              <w:rPr>
                <w:color w:val="1C3A36"/>
                <w:sz w:val="16"/>
              </w:rPr>
              <w:t>182</w:t>
            </w:r>
          </w:p>
        </w:tc>
      </w:tr>
      <w:tr>
        <w:tc>
          <w:tcPr>
            <w:tcW w:type="dxa" w:w="2808"/>
          </w:tcPr>
          <w:p>
            <w:pPr>
              <w:spacing w:after="20"/>
            </w:pPr>
            <w:r>
              <w:rPr>
                <w:b/>
                <w:color w:val="1C3A36"/>
                <w:sz w:val="16"/>
              </w:rPr>
              <w:t>Q1-2026, annualized</w:t>
            </w:r>
          </w:p>
        </w:tc>
        <w:tc>
          <w:tcPr>
            <w:tcW w:type="dxa" w:w="1368"/>
          </w:tcPr>
          <w:p>
            <w:pPr>
              <w:spacing w:after="20"/>
              <w:jc w:val="right"/>
            </w:pPr>
            <w:r>
              <w:rPr>
                <w:color w:val="1C3A36"/>
                <w:sz w:val="16"/>
              </w:rPr>
              <w:t>12,600</w:t>
            </w:r>
          </w:p>
        </w:tc>
        <w:tc>
          <w:tcPr>
            <w:tcW w:type="dxa" w:w="1008"/>
          </w:tcPr>
          <w:p>
            <w:pPr>
              <w:spacing w:after="20"/>
              <w:jc w:val="right"/>
            </w:pPr>
            <w:r>
              <w:rPr>
                <w:color w:val="1C3A36"/>
                <w:sz w:val="16"/>
              </w:rPr>
              <w:t>50.4</w:t>
            </w:r>
          </w:p>
        </w:tc>
        <w:tc>
          <w:tcPr>
            <w:tcW w:type="dxa" w:w="1512"/>
          </w:tcPr>
          <w:p>
            <w:pPr>
              <w:spacing w:after="20"/>
              <w:jc w:val="right"/>
            </w:pPr>
            <w:r>
              <w:rPr>
                <w:color w:val="1C3A36"/>
                <w:sz w:val="16"/>
              </w:rPr>
              <w:t>881</w:t>
            </w:r>
          </w:p>
        </w:tc>
        <w:tc>
          <w:tcPr>
            <w:tcW w:type="dxa" w:w="1656"/>
          </w:tcPr>
          <w:p>
            <w:pPr>
              <w:spacing w:after="20"/>
              <w:jc w:val="right"/>
            </w:pPr>
            <w:r>
              <w:rPr>
                <w:color w:val="1C3A36"/>
                <w:sz w:val="16"/>
              </w:rPr>
              <w:t>9.5</w:t>
            </w:r>
          </w:p>
        </w:tc>
        <w:tc>
          <w:tcPr>
            <w:tcW w:type="dxa" w:w="1224"/>
          </w:tcPr>
          <w:p>
            <w:pPr>
              <w:spacing w:after="20"/>
              <w:jc w:val="right"/>
            </w:pPr>
            <w:r>
              <w:rPr>
                <w:color w:val="1C3A36"/>
                <w:sz w:val="16"/>
              </w:rPr>
              <w:t>38%</w:t>
            </w:r>
          </w:p>
        </w:tc>
        <w:tc>
          <w:tcPr>
            <w:tcW w:type="dxa" w:w="1440"/>
          </w:tcPr>
          <w:p>
            <w:pPr>
              <w:spacing w:after="20"/>
              <w:jc w:val="right"/>
            </w:pPr>
            <w:r>
              <w:rPr>
                <w:color w:val="1C3A36"/>
                <w:sz w:val="16"/>
              </w:rPr>
              <w:t>11</w:t>
            </w:r>
          </w:p>
        </w:tc>
      </w:tr>
    </w:tbl>
    <w:p>
      <w:pPr>
        <w:spacing w:after="40"/>
      </w:pPr>
    </w:p>
    <w:p>
      <w:pPr>
        <w:spacing w:after="200" w:before="0"/>
      </w:pPr>
      <w:r>
        <w:rPr>
          <w:b w:val="0"/>
          <w:i/>
          <w:color w:val="6E7B77"/>
          <w:sz w:val="17"/>
        </w:rPr>
        <w:t>The fabrication uplift (1.387×) is set from the industry copper-share norm, NOT fitted to this table — that FY24 then back-solves to 24.0 kt, 96% of the stated capacity in the boom year, is the validation. The decomposition’s central finding: the revenue collapse is a VOLUME collapse (utilization ~96% → ~38%), partly masked by record copper; and conversion EBITDA per tonne collapsed with it (146 → 11 k EGP/t) as fixed costs lost their absorption. FY25’s 182 k/t is inflated by copper inventory gains. Capacity figure is single-sourced and possibly parent-only — utilization is indicative.</w:t>
      </w:r>
    </w:p>
    <w:p>
      <w:pPr>
        <w:spacing w:after="80" w:before="0"/>
      </w:pPr>
      <w:r>
        <w:rPr>
          <w:b w:val="0"/>
          <w:i w:val="0"/>
          <w:color w:val="1C3A36"/>
          <w:sz w:val="19"/>
        </w:rPr>
        <w:t>The forecast drivers, on the same axes: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FY26E</w:t>
            </w:r>
          </w:p>
        </w:tc>
        <w:tc>
          <w:tcPr>
            <w:tcW w:type="dxa" w:w="1368"/>
            <w:shd w:val="clear" w:color="auto" w:fill="EAF0EE"/>
          </w:tcPr>
          <w:p>
            <w:pPr>
              <w:spacing w:after="20"/>
            </w:pPr>
            <w:r>
              <w:rPr>
                <w:b/>
                <w:color w:val="1C3A36"/>
                <w:sz w:val="17"/>
              </w:rPr>
              <w:t>FY27E</w:t>
            </w:r>
          </w:p>
        </w:tc>
        <w:tc>
          <w:tcPr>
            <w:tcW w:type="dxa" w:w="1368"/>
            <w:shd w:val="clear" w:color="auto" w:fill="EAF0EE"/>
          </w:tcPr>
          <w:p>
            <w:pPr>
              <w:spacing w:after="20"/>
            </w:pPr>
            <w:r>
              <w:rPr>
                <w:b/>
                <w:color w:val="1C3A36"/>
                <w:sz w:val="17"/>
              </w:rPr>
              <w:t>FY28E</w:t>
            </w:r>
          </w:p>
        </w:tc>
        <w:tc>
          <w:tcPr>
            <w:tcW w:type="dxa" w:w="1368"/>
            <w:shd w:val="clear" w:color="auto" w:fill="EAF0EE"/>
          </w:tcPr>
          <w:p>
            <w:pPr>
              <w:spacing w:after="20"/>
            </w:pPr>
            <w:r>
              <w:rPr>
                <w:b/>
                <w:color w:val="1C3A36"/>
                <w:sz w:val="17"/>
              </w:rPr>
              <w:t>FY29E</w:t>
            </w:r>
          </w:p>
        </w:tc>
        <w:tc>
          <w:tcPr>
            <w:tcW w:type="dxa" w:w="1368"/>
            <w:shd w:val="clear" w:color="auto" w:fill="EAF0EE"/>
          </w:tcPr>
          <w:p>
            <w:pPr>
              <w:spacing w:after="20"/>
            </w:pPr>
            <w:r>
              <w:rPr>
                <w:b/>
                <w:color w:val="1C3A36"/>
                <w:sz w:val="17"/>
              </w:rPr>
              <w:t>FY30E</w:t>
            </w:r>
          </w:p>
        </w:tc>
      </w:tr>
      <w:tr>
        <w:tc>
          <w:tcPr>
            <w:tcW w:type="dxa" w:w="3096"/>
          </w:tcPr>
          <w:p>
            <w:pPr>
              <w:spacing w:after="20"/>
            </w:pPr>
            <w:r>
              <w:rPr>
                <w:b/>
                <w:color w:val="1C3A36"/>
                <w:sz w:val="17"/>
              </w:rPr>
              <w:t>Volume (kt)</w:t>
            </w:r>
          </w:p>
        </w:tc>
        <w:tc>
          <w:tcPr>
            <w:tcW w:type="dxa" w:w="1368"/>
          </w:tcPr>
          <w:p>
            <w:pPr>
              <w:spacing w:after="20"/>
              <w:jc w:val="right"/>
            </w:pPr>
            <w:r>
              <w:rPr>
                <w:color w:val="1C3A36"/>
                <w:sz w:val="17"/>
              </w:rPr>
              <w:t>10.4</w:t>
            </w:r>
          </w:p>
        </w:tc>
        <w:tc>
          <w:tcPr>
            <w:tcW w:type="dxa" w:w="1368"/>
          </w:tcPr>
          <w:p>
            <w:pPr>
              <w:spacing w:after="20"/>
              <w:jc w:val="right"/>
            </w:pPr>
            <w:r>
              <w:rPr>
                <w:color w:val="1C3A36"/>
                <w:sz w:val="17"/>
              </w:rPr>
              <w:t>11.9</w:t>
            </w:r>
          </w:p>
        </w:tc>
        <w:tc>
          <w:tcPr>
            <w:tcW w:type="dxa" w:w="1368"/>
          </w:tcPr>
          <w:p>
            <w:pPr>
              <w:spacing w:after="20"/>
              <w:jc w:val="right"/>
            </w:pPr>
            <w:r>
              <w:rPr>
                <w:color w:val="1C3A36"/>
                <w:sz w:val="17"/>
              </w:rPr>
              <w:t>13.4</w:t>
            </w:r>
          </w:p>
        </w:tc>
        <w:tc>
          <w:tcPr>
            <w:tcW w:type="dxa" w:w="1368"/>
          </w:tcPr>
          <w:p>
            <w:pPr>
              <w:spacing w:after="20"/>
              <w:jc w:val="right"/>
            </w:pPr>
            <w:r>
              <w:rPr>
                <w:color w:val="1C3A36"/>
                <w:sz w:val="17"/>
              </w:rPr>
              <w:t>14.8</w:t>
            </w:r>
          </w:p>
        </w:tc>
        <w:tc>
          <w:tcPr>
            <w:tcW w:type="dxa" w:w="1368"/>
          </w:tcPr>
          <w:p>
            <w:pPr>
              <w:spacing w:after="20"/>
              <w:jc w:val="right"/>
            </w:pPr>
            <w:r>
              <w:rPr>
                <w:color w:val="1C3A36"/>
                <w:sz w:val="17"/>
              </w:rPr>
              <w:t>16.0</w:t>
            </w:r>
          </w:p>
        </w:tc>
      </w:tr>
      <w:tr>
        <w:tc>
          <w:tcPr>
            <w:tcW w:type="dxa" w:w="3096"/>
          </w:tcPr>
          <w:p>
            <w:pPr>
              <w:spacing w:after="20"/>
            </w:pPr>
            <w:r>
              <w:rPr>
                <w:b/>
                <w:color w:val="1C3A36"/>
                <w:sz w:val="17"/>
              </w:rPr>
              <w:t>Utilization</w:t>
            </w:r>
          </w:p>
        </w:tc>
        <w:tc>
          <w:tcPr>
            <w:tcW w:type="dxa" w:w="1368"/>
          </w:tcPr>
          <w:p>
            <w:pPr>
              <w:spacing w:after="20"/>
              <w:jc w:val="right"/>
            </w:pPr>
            <w:r>
              <w:rPr>
                <w:color w:val="1C3A36"/>
                <w:sz w:val="17"/>
              </w:rPr>
              <w:t>42%</w:t>
            </w:r>
          </w:p>
        </w:tc>
        <w:tc>
          <w:tcPr>
            <w:tcW w:type="dxa" w:w="1368"/>
          </w:tcPr>
          <w:p>
            <w:pPr>
              <w:spacing w:after="20"/>
              <w:jc w:val="right"/>
            </w:pPr>
            <w:r>
              <w:rPr>
                <w:color w:val="1C3A36"/>
                <w:sz w:val="17"/>
              </w:rPr>
              <w:t>48%</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59%</w:t>
            </w:r>
          </w:p>
        </w:tc>
        <w:tc>
          <w:tcPr>
            <w:tcW w:type="dxa" w:w="1368"/>
          </w:tcPr>
          <w:p>
            <w:pPr>
              <w:spacing w:after="20"/>
              <w:jc w:val="right"/>
            </w:pPr>
            <w:r>
              <w:rPr>
                <w:color w:val="1C3A36"/>
                <w:sz w:val="17"/>
              </w:rPr>
              <w:t>64%</w:t>
            </w:r>
          </w:p>
        </w:tc>
      </w:tr>
      <w:tr>
        <w:tc>
          <w:tcPr>
            <w:tcW w:type="dxa" w:w="3096"/>
          </w:tcPr>
          <w:p>
            <w:pPr>
              <w:spacing w:after="20"/>
            </w:pPr>
            <w:r>
              <w:rPr>
                <w:b/>
                <w:color w:val="1C3A36"/>
                <w:sz w:val="17"/>
              </w:rPr>
              <w:t>LME copper ($/t) — flat, no house view</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r>
      <w:tr>
        <w:tc>
          <w:tcPr>
            <w:tcW w:type="dxa" w:w="3096"/>
          </w:tcPr>
          <w:p>
            <w:pPr>
              <w:spacing w:after="20"/>
            </w:pPr>
            <w:r>
              <w:rPr>
                <w:b/>
                <w:color w:val="1C3A36"/>
                <w:sz w:val="17"/>
              </w:rPr>
              <w:t>EGP/USD (~3%/yr crawl)</w:t>
            </w:r>
          </w:p>
        </w:tc>
        <w:tc>
          <w:tcPr>
            <w:tcW w:type="dxa" w:w="1368"/>
          </w:tcPr>
          <w:p>
            <w:pPr>
              <w:spacing w:after="20"/>
              <w:jc w:val="right"/>
            </w:pPr>
            <w:r>
              <w:rPr>
                <w:color w:val="1C3A36"/>
                <w:sz w:val="17"/>
              </w:rPr>
              <w:t>50.4</w:t>
            </w:r>
          </w:p>
        </w:tc>
        <w:tc>
          <w:tcPr>
            <w:tcW w:type="dxa" w:w="1368"/>
          </w:tcPr>
          <w:p>
            <w:pPr>
              <w:spacing w:after="20"/>
              <w:jc w:val="right"/>
            </w:pPr>
            <w:r>
              <w:rPr>
                <w:color w:val="1C3A36"/>
                <w:sz w:val="17"/>
              </w:rPr>
              <w:t>52.0</w:t>
            </w:r>
          </w:p>
        </w:tc>
        <w:tc>
          <w:tcPr>
            <w:tcW w:type="dxa" w:w="1368"/>
          </w:tcPr>
          <w:p>
            <w:pPr>
              <w:spacing w:after="20"/>
              <w:jc w:val="right"/>
            </w:pPr>
            <w:r>
              <w:rPr>
                <w:color w:val="1C3A36"/>
                <w:sz w:val="17"/>
              </w:rPr>
              <w:t>53.5</w:t>
            </w:r>
          </w:p>
        </w:tc>
        <w:tc>
          <w:tcPr>
            <w:tcW w:type="dxa" w:w="1368"/>
          </w:tcPr>
          <w:p>
            <w:pPr>
              <w:spacing w:after="20"/>
              <w:jc w:val="right"/>
            </w:pPr>
            <w:r>
              <w:rPr>
                <w:color w:val="1C3A36"/>
                <w:sz w:val="17"/>
              </w:rPr>
              <w:t>55.0</w:t>
            </w:r>
          </w:p>
        </w:tc>
        <w:tc>
          <w:tcPr>
            <w:tcW w:type="dxa" w:w="1368"/>
          </w:tcPr>
          <w:p>
            <w:pPr>
              <w:spacing w:after="20"/>
              <w:jc w:val="right"/>
            </w:pPr>
            <w:r>
              <w:rPr>
                <w:color w:val="1C3A36"/>
                <w:sz w:val="17"/>
              </w:rPr>
              <w:t>56.5</w:t>
            </w:r>
          </w:p>
        </w:tc>
      </w:tr>
      <w:tr>
        <w:tc>
          <w:tcPr>
            <w:tcW w:type="dxa" w:w="3096"/>
          </w:tcPr>
          <w:p>
            <w:pPr>
              <w:spacing w:after="20"/>
            </w:pPr>
            <w:r>
              <w:rPr>
                <w:b/>
                <w:color w:val="1C3A36"/>
                <w:sz w:val="17"/>
              </w:rPr>
              <w:t>Price per tonne (k EGP)</w:t>
            </w:r>
          </w:p>
        </w:tc>
        <w:tc>
          <w:tcPr>
            <w:tcW w:type="dxa" w:w="1368"/>
          </w:tcPr>
          <w:p>
            <w:pPr>
              <w:spacing w:after="20"/>
              <w:jc w:val="right"/>
            </w:pPr>
            <w:r>
              <w:rPr>
                <w:color w:val="1C3A36"/>
                <w:sz w:val="17"/>
              </w:rPr>
              <w:t>881</w:t>
            </w:r>
          </w:p>
        </w:tc>
        <w:tc>
          <w:tcPr>
            <w:tcW w:type="dxa" w:w="1368"/>
          </w:tcPr>
          <w:p>
            <w:pPr>
              <w:spacing w:after="20"/>
              <w:jc w:val="right"/>
            </w:pPr>
            <w:r>
              <w:rPr>
                <w:color w:val="1C3A36"/>
                <w:sz w:val="17"/>
              </w:rPr>
              <w:t>909</w:t>
            </w:r>
          </w:p>
        </w:tc>
        <w:tc>
          <w:tcPr>
            <w:tcW w:type="dxa" w:w="1368"/>
          </w:tcPr>
          <w:p>
            <w:pPr>
              <w:spacing w:after="20"/>
              <w:jc w:val="right"/>
            </w:pPr>
            <w:r>
              <w:rPr>
                <w:color w:val="1C3A36"/>
                <w:sz w:val="17"/>
              </w:rPr>
              <w:t>935</w:t>
            </w:r>
          </w:p>
        </w:tc>
        <w:tc>
          <w:tcPr>
            <w:tcW w:type="dxa" w:w="1368"/>
          </w:tcPr>
          <w:p>
            <w:pPr>
              <w:spacing w:after="20"/>
              <w:jc w:val="right"/>
            </w:pPr>
            <w:r>
              <w:rPr>
                <w:color w:val="1C3A36"/>
                <w:sz w:val="17"/>
              </w:rPr>
              <w:t>961</w:t>
            </w:r>
          </w:p>
        </w:tc>
        <w:tc>
          <w:tcPr>
            <w:tcW w:type="dxa" w:w="1368"/>
          </w:tcPr>
          <w:p>
            <w:pPr>
              <w:spacing w:after="20"/>
              <w:jc w:val="right"/>
            </w:pPr>
            <w:r>
              <w:rPr>
                <w:color w:val="1C3A36"/>
                <w:sz w:val="17"/>
              </w:rPr>
              <w:t>987</w:t>
            </w:r>
          </w:p>
        </w:tc>
      </w:tr>
      <w:tr>
        <w:tc>
          <w:tcPr>
            <w:tcW w:type="dxa" w:w="3096"/>
          </w:tcPr>
          <w:p>
            <w:pPr>
              <w:spacing w:after="20"/>
            </w:pPr>
            <w:r>
              <w:rPr>
                <w:b/>
                <w:color w:val="1C3A36"/>
                <w:sz w:val="17"/>
              </w:rPr>
              <w:t>Revenue (EGP mn)</w:t>
            </w:r>
          </w:p>
        </w:tc>
        <w:tc>
          <w:tcPr>
            <w:tcW w:type="dxa" w:w="1368"/>
          </w:tcPr>
          <w:p>
            <w:pPr>
              <w:spacing w:after="20"/>
              <w:jc w:val="right"/>
            </w:pPr>
            <w:r>
              <w:rPr>
                <w:color w:val="1C3A36"/>
                <w:sz w:val="17"/>
              </w:rPr>
              <w:t>9,160</w:t>
            </w:r>
          </w:p>
        </w:tc>
        <w:tc>
          <w:tcPr>
            <w:tcW w:type="dxa" w:w="1368"/>
          </w:tcPr>
          <w:p>
            <w:pPr>
              <w:spacing w:after="20"/>
              <w:jc w:val="right"/>
            </w:pPr>
            <w:r>
              <w:rPr>
                <w:color w:val="1C3A36"/>
                <w:sz w:val="17"/>
              </w:rPr>
              <w:t>10,814</w:t>
            </w:r>
          </w:p>
        </w:tc>
        <w:tc>
          <w:tcPr>
            <w:tcW w:type="dxa" w:w="1368"/>
          </w:tcPr>
          <w:p>
            <w:pPr>
              <w:spacing w:after="20"/>
              <w:jc w:val="right"/>
            </w:pPr>
            <w:r>
              <w:rPr>
                <w:color w:val="1C3A36"/>
                <w:sz w:val="17"/>
              </w:rPr>
              <w:t>12,529</w:t>
            </w:r>
          </w:p>
        </w:tc>
        <w:tc>
          <w:tcPr>
            <w:tcW w:type="dxa" w:w="1368"/>
          </w:tcPr>
          <w:p>
            <w:pPr>
              <w:spacing w:after="20"/>
              <w:jc w:val="right"/>
            </w:pPr>
            <w:r>
              <w:rPr>
                <w:color w:val="1C3A36"/>
                <w:sz w:val="17"/>
              </w:rPr>
              <w:t>14,226</w:t>
            </w:r>
          </w:p>
        </w:tc>
        <w:tc>
          <w:tcPr>
            <w:tcW w:type="dxa" w:w="1368"/>
          </w:tcPr>
          <w:p>
            <w:pPr>
              <w:spacing w:after="20"/>
              <w:jc w:val="right"/>
            </w:pPr>
            <w:r>
              <w:rPr>
                <w:color w:val="1C3A36"/>
                <w:sz w:val="17"/>
              </w:rPr>
              <w:t>15,798</w:t>
            </w:r>
          </w:p>
        </w:tc>
      </w:tr>
      <w:tr>
        <w:tc>
          <w:tcPr>
            <w:tcW w:type="dxa" w:w="3096"/>
          </w:tcPr>
          <w:p>
            <w:pPr>
              <w:spacing w:after="20"/>
            </w:pPr>
            <w:r>
              <w:rPr>
                <w:b/>
                <w:color w:val="1C3A36"/>
                <w:sz w:val="17"/>
              </w:rPr>
              <w:t>Conversion EBITDA/t (k EGP)</w:t>
            </w:r>
          </w:p>
        </w:tc>
        <w:tc>
          <w:tcPr>
            <w:tcW w:type="dxa" w:w="1368"/>
          </w:tcPr>
          <w:p>
            <w:pPr>
              <w:spacing w:after="20"/>
              <w:jc w:val="right"/>
            </w:pPr>
            <w:r>
              <w:rPr>
                <w:color w:val="1C3A36"/>
                <w:sz w:val="17"/>
              </w:rPr>
              <w:t>40</w:t>
            </w:r>
          </w:p>
        </w:tc>
        <w:tc>
          <w:tcPr>
            <w:tcW w:type="dxa" w:w="1368"/>
          </w:tcPr>
          <w:p>
            <w:pPr>
              <w:spacing w:after="20"/>
              <w:jc w:val="right"/>
            </w:pPr>
            <w:r>
              <w:rPr>
                <w:color w:val="1C3A36"/>
                <w:sz w:val="17"/>
              </w:rPr>
              <w:t>90</w:t>
            </w:r>
          </w:p>
        </w:tc>
        <w:tc>
          <w:tcPr>
            <w:tcW w:type="dxa" w:w="1368"/>
          </w:tcPr>
          <w:p>
            <w:pPr>
              <w:spacing w:after="20"/>
              <w:jc w:val="right"/>
            </w:pPr>
            <w:r>
              <w:rPr>
                <w:color w:val="1C3A36"/>
                <w:sz w:val="17"/>
              </w:rPr>
              <w:t>115</w:t>
            </w:r>
          </w:p>
        </w:tc>
        <w:tc>
          <w:tcPr>
            <w:tcW w:type="dxa" w:w="1368"/>
          </w:tcPr>
          <w:p>
            <w:pPr>
              <w:spacing w:after="20"/>
              <w:jc w:val="right"/>
            </w:pPr>
            <w:r>
              <w:rPr>
                <w:color w:val="1C3A36"/>
                <w:sz w:val="17"/>
              </w:rPr>
              <w:t>128</w:t>
            </w:r>
          </w:p>
        </w:tc>
        <w:tc>
          <w:tcPr>
            <w:tcW w:type="dxa" w:w="1368"/>
          </w:tcPr>
          <w:p>
            <w:pPr>
              <w:spacing w:after="20"/>
              <w:jc w:val="right"/>
            </w:pPr>
            <w:r>
              <w:rPr>
                <w:color w:val="1C3A36"/>
                <w:sz w:val="17"/>
              </w:rPr>
              <w:t>135</w:t>
            </w:r>
          </w:p>
        </w:tc>
      </w:tr>
      <w:tr>
        <w:tc>
          <w:tcPr>
            <w:tcW w:type="dxa" w:w="3096"/>
          </w:tcPr>
          <w:p>
            <w:pPr>
              <w:spacing w:after="20"/>
            </w:pPr>
            <w:r>
              <w:rPr>
                <w:b/>
                <w:color w:val="1C3A36"/>
                <w:sz w:val="17"/>
              </w:rPr>
              <w:t>EBITDA (EGP mn) — output</w:t>
            </w:r>
          </w:p>
        </w:tc>
        <w:tc>
          <w:tcPr>
            <w:tcW w:type="dxa" w:w="1368"/>
          </w:tcPr>
          <w:p>
            <w:pPr>
              <w:spacing w:after="20"/>
              <w:jc w:val="right"/>
            </w:pPr>
            <w:r>
              <w:rPr>
                <w:color w:val="1C3A36"/>
                <w:sz w:val="17"/>
              </w:rPr>
              <w:t>416</w:t>
            </w:r>
          </w:p>
        </w:tc>
        <w:tc>
          <w:tcPr>
            <w:tcW w:type="dxa" w:w="1368"/>
          </w:tcPr>
          <w:p>
            <w:pPr>
              <w:spacing w:after="20"/>
              <w:jc w:val="right"/>
            </w:pPr>
            <w:r>
              <w:rPr>
                <w:color w:val="1C3A36"/>
                <w:sz w:val="17"/>
              </w:rPr>
              <w:t>1,071</w:t>
            </w:r>
          </w:p>
        </w:tc>
        <w:tc>
          <w:tcPr>
            <w:tcW w:type="dxa" w:w="1368"/>
          </w:tcPr>
          <w:p>
            <w:pPr>
              <w:spacing w:after="20"/>
              <w:jc w:val="right"/>
            </w:pPr>
            <w:r>
              <w:rPr>
                <w:color w:val="1C3A36"/>
                <w:sz w:val="17"/>
              </w:rPr>
              <w:t>1,541</w:t>
            </w:r>
          </w:p>
        </w:tc>
        <w:tc>
          <w:tcPr>
            <w:tcW w:type="dxa" w:w="1368"/>
          </w:tcPr>
          <w:p>
            <w:pPr>
              <w:spacing w:after="20"/>
              <w:jc w:val="right"/>
            </w:pPr>
            <w:r>
              <w:rPr>
                <w:color w:val="1C3A36"/>
                <w:sz w:val="17"/>
              </w:rPr>
              <w:t>1,894</w:t>
            </w:r>
          </w:p>
        </w:tc>
        <w:tc>
          <w:tcPr>
            <w:tcW w:type="dxa" w:w="1368"/>
          </w:tcPr>
          <w:p>
            <w:pPr>
              <w:spacing w:after="20"/>
              <w:jc w:val="right"/>
            </w:pPr>
            <w:r>
              <w:rPr>
                <w:color w:val="1C3A36"/>
                <w:sz w:val="17"/>
              </w:rPr>
              <w:t>2,160</w:t>
            </w:r>
          </w:p>
        </w:tc>
      </w:tr>
      <w:tr>
        <w:tc>
          <w:tcPr>
            <w:tcW w:type="dxa" w:w="3096"/>
          </w:tcPr>
          <w:p>
            <w:pPr>
              <w:spacing w:after="20"/>
            </w:pPr>
            <w:r>
              <w:rPr>
                <w:b/>
                <w:color w:val="1C3A36"/>
                <w:sz w:val="17"/>
              </w:rPr>
              <w:t>EBITDA margin — output</w:t>
            </w:r>
          </w:p>
        </w:tc>
        <w:tc>
          <w:tcPr>
            <w:tcW w:type="dxa" w:w="1368"/>
          </w:tcPr>
          <w:p>
            <w:pPr>
              <w:spacing w:after="20"/>
              <w:jc w:val="right"/>
            </w:pPr>
            <w:r>
              <w:rPr>
                <w:color w:val="1C3A36"/>
                <w:sz w:val="17"/>
              </w:rPr>
              <w:t>4.5%</w:t>
            </w:r>
          </w:p>
        </w:tc>
        <w:tc>
          <w:tcPr>
            <w:tcW w:type="dxa" w:w="1368"/>
          </w:tcPr>
          <w:p>
            <w:pPr>
              <w:spacing w:after="20"/>
              <w:jc w:val="right"/>
            </w:pPr>
            <w:r>
              <w:rPr>
                <w:color w:val="1C3A36"/>
                <w:sz w:val="17"/>
              </w:rPr>
              <w:t>9.9%</w:t>
            </w:r>
          </w:p>
        </w:tc>
        <w:tc>
          <w:tcPr>
            <w:tcW w:type="dxa" w:w="1368"/>
          </w:tcPr>
          <w:p>
            <w:pPr>
              <w:spacing w:after="20"/>
              <w:jc w:val="right"/>
            </w:pPr>
            <w:r>
              <w:rPr>
                <w:color w:val="1C3A36"/>
                <w:sz w:val="17"/>
              </w:rPr>
              <w:t>12.3%</w:t>
            </w:r>
          </w:p>
        </w:tc>
        <w:tc>
          <w:tcPr>
            <w:tcW w:type="dxa" w:w="1368"/>
          </w:tcPr>
          <w:p>
            <w:pPr>
              <w:spacing w:after="20"/>
              <w:jc w:val="right"/>
            </w:pPr>
            <w:r>
              <w:rPr>
                <w:color w:val="1C3A36"/>
                <w:sz w:val="17"/>
              </w:rPr>
              <w:t>13.3%</w:t>
            </w:r>
          </w:p>
        </w:tc>
        <w:tc>
          <w:tcPr>
            <w:tcW w:type="dxa" w:w="1368"/>
          </w:tcPr>
          <w:p>
            <w:pPr>
              <w:spacing w:after="20"/>
              <w:jc w:val="right"/>
            </w:pPr>
            <w:r>
              <w:rPr>
                <w:color w:val="1C3A36"/>
                <w:sz w:val="17"/>
              </w:rPr>
              <w:t>13.7%</w:t>
            </w:r>
          </w:p>
        </w:tc>
      </w:tr>
    </w:tbl>
    <w:p>
      <w:pPr>
        <w:spacing w:after="40"/>
      </w:pPr>
    </w:p>
    <w:p>
      <w:pPr>
        <w:spacing w:after="200" w:before="0"/>
      </w:pPr>
      <w:r>
        <w:rPr>
          <w:b w:val="0"/>
          <w:i/>
          <w:color w:val="6E7B77"/>
          <w:sz w:val="17"/>
        </w:rPr>
        <w:t>Volume recovery to 64% utilization by FY30E (EETC’s EGP 45 bn plan, the EU €690 mn package, interconnector follow-on) — still below the FY23–24 near-full prints. Conversion EBITDA/t recovers to 135 k by FY30E: nominally below FY24’s 146 k despite five years of EGP inflation, and, as a share of realized price (13.7%), matching the PRE-windfall 2022 norm (~12%) rather than the devaluation-era 25%. Working capital stays on its intensity glide (112% → 88% of revenue) — copper strength therefore inflates the working capital the model must fund, which is exactly the mechanism the tonnage build exists to price. Every driver above is a stated, sensitized house judgment (§1.9).</w:t>
      </w:r>
    </w:p>
    <w:p>
      <w:pPr>
        <w:spacing w:after="120" w:before="0"/>
      </w:pPr>
      <w:r>
        <w:rPr>
          <w:b w:val="0"/>
          <w:i w:val="0"/>
          <w:color w:val="1C3A36"/>
          <w:sz w:val="21"/>
        </w:rPr>
        <w:t>The net-debt anchor — triangulated, not read off one sentence. The FY25 filing coverage says the company “obtained credit facilities of EGP 10.9 bn during 2025” — ambiguous between the drawn balance and limits granted. Rather than lean on that sentence, the anchor is rolled forward from the FY24 audited comparatives (assets 14,970 · debt 8,960 · cash 828 · equity 3,600) through the four hard disclosed FY25 points: total assets 16,460, net profit 500.3, revenue 10,819, and no dividend.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0"/>
        <w:gridCol w:w="2016"/>
      </w:tblGrid>
      <w:tr>
        <w:tc>
          <w:tcPr>
            <w:tcW w:type="dxa" w:w="7200"/>
            <w:shd w:val="clear" w:color="auto" w:fill="EAF0EE"/>
          </w:tcPr>
          <w:p>
            <w:pPr>
              <w:spacing w:after="20"/>
            </w:pPr>
            <w:r>
              <w:rPr>
                <w:b/>
                <w:color w:val="1C3A36"/>
                <w:sz w:val="17"/>
              </w:rPr>
              <w:t>Step</w:t>
            </w:r>
          </w:p>
        </w:tc>
        <w:tc>
          <w:tcPr>
            <w:tcW w:type="dxa" w:w="2016"/>
            <w:shd w:val="clear" w:color="auto" w:fill="EAF0EE"/>
          </w:tcPr>
          <w:p>
            <w:pPr>
              <w:spacing w:after="20"/>
            </w:pPr>
            <w:r>
              <w:rPr>
                <w:b/>
                <w:color w:val="1C3A36"/>
                <w:sz w:val="17"/>
              </w:rPr>
              <w:t>EGP mn</w:t>
            </w:r>
          </w:p>
        </w:tc>
      </w:tr>
      <w:tr>
        <w:tc>
          <w:tcPr>
            <w:tcW w:type="dxa" w:w="7200"/>
          </w:tcPr>
          <w:p>
            <w:pPr>
              <w:spacing w:after="20"/>
            </w:pPr>
            <w:r>
              <w:rPr>
                <w:color w:val="1C3A36"/>
                <w:sz w:val="17"/>
              </w:rPr>
              <w:t>FY25 equity, rolled (3,600 + 500.3, no dividend, no revaluation history)</w:t>
            </w:r>
          </w:p>
        </w:tc>
        <w:tc>
          <w:tcPr>
            <w:tcW w:type="dxa" w:w="2016"/>
          </w:tcPr>
          <w:p>
            <w:pPr>
              <w:spacing w:after="20"/>
              <w:jc w:val="right"/>
            </w:pPr>
            <w:r>
              <w:rPr>
                <w:color w:val="1C3A36"/>
                <w:sz w:val="17"/>
              </w:rPr>
              <w:t>≈ 4,100</w:t>
            </w:r>
          </w:p>
        </w:tc>
      </w:tr>
      <w:tr>
        <w:tc>
          <w:tcPr>
            <w:tcW w:type="dxa" w:w="7200"/>
          </w:tcPr>
          <w:p>
            <w:pPr>
              <w:spacing w:after="20"/>
            </w:pPr>
            <w:r>
              <w:rPr>
                <w:color w:val="1C3A36"/>
                <w:sz w:val="17"/>
              </w:rPr>
              <w:t>FY25 total liabilities (disclosed assets 16,460 − equity)</w:t>
            </w:r>
          </w:p>
        </w:tc>
        <w:tc>
          <w:tcPr>
            <w:tcW w:type="dxa" w:w="2016"/>
          </w:tcPr>
          <w:p>
            <w:pPr>
              <w:spacing w:after="20"/>
              <w:jc w:val="right"/>
            </w:pPr>
            <w:r>
              <w:rPr>
                <w:color w:val="1C3A36"/>
                <w:sz w:val="17"/>
              </w:rPr>
              <w:t>12,360</w:t>
            </w:r>
          </w:p>
        </w:tc>
      </w:tr>
      <w:tr>
        <w:tc>
          <w:tcPr>
            <w:tcW w:type="dxa" w:w="7200"/>
          </w:tcPr>
          <w:p>
            <w:pPr>
              <w:spacing w:after="20"/>
            </w:pPr>
            <w:r>
              <w:rPr>
                <w:color w:val="1C3A36"/>
                <w:sz w:val="17"/>
              </w:rPr>
              <w:t>less non-debt liabilities (FY24’s 2,410 scaled with purchase value, −21.5%)</w:t>
            </w:r>
          </w:p>
        </w:tc>
        <w:tc>
          <w:tcPr>
            <w:tcW w:type="dxa" w:w="2016"/>
          </w:tcPr>
          <w:p>
            <w:pPr>
              <w:spacing w:after="20"/>
              <w:jc w:val="right"/>
            </w:pPr>
            <w:r>
              <w:rPr>
                <w:color w:val="1C3A36"/>
                <w:sz w:val="17"/>
              </w:rPr>
              <w:t>(≈ 1,890)</w:t>
            </w:r>
          </w:p>
        </w:tc>
      </w:tr>
      <w:tr>
        <w:tc>
          <w:tcPr>
            <w:tcW w:type="dxa" w:w="7200"/>
          </w:tcPr>
          <w:p>
            <w:pPr>
              <w:spacing w:after="20"/>
            </w:pPr>
            <w:r>
              <w:rPr>
                <w:color w:val="1C3A36"/>
                <w:sz w:val="17"/>
              </w:rPr>
              <w:t>= drawn debt, balance-sheet residual</w:t>
            </w:r>
          </w:p>
        </w:tc>
        <w:tc>
          <w:tcPr>
            <w:tcW w:type="dxa" w:w="2016"/>
          </w:tcPr>
          <w:p>
            <w:pPr>
              <w:spacing w:after="20"/>
              <w:jc w:val="right"/>
            </w:pPr>
            <w:r>
              <w:rPr>
                <w:color w:val="1C3A36"/>
                <w:sz w:val="17"/>
              </w:rPr>
              <w:t>≈ 10,465</w:t>
            </w:r>
          </w:p>
        </w:tc>
      </w:tr>
      <w:tr>
        <w:tc>
          <w:tcPr>
            <w:tcW w:type="dxa" w:w="7200"/>
          </w:tcPr>
          <w:p>
            <w:pPr>
              <w:spacing w:after="20"/>
            </w:pPr>
            <w:r>
              <w:rPr>
                <w:color w:val="1C3A36"/>
                <w:sz w:val="17"/>
              </w:rPr>
              <w:t>less cash (estimated: 500 stress floor – 830 FY24-flat, midpoint)</w:t>
            </w:r>
          </w:p>
        </w:tc>
        <w:tc>
          <w:tcPr>
            <w:tcW w:type="dxa" w:w="2016"/>
          </w:tcPr>
          <w:p>
            <w:pPr>
              <w:spacing w:after="20"/>
              <w:jc w:val="right"/>
            </w:pPr>
            <w:r>
              <w:rPr>
                <w:color w:val="1C3A36"/>
                <w:sz w:val="17"/>
              </w:rPr>
              <w:t>(≈ 665)</w:t>
            </w:r>
          </w:p>
        </w:tc>
      </w:tr>
      <w:tr>
        <w:tc>
          <w:tcPr>
            <w:tcW w:type="dxa" w:w="7200"/>
          </w:tcPr>
          <w:p>
            <w:pPr>
              <w:spacing w:after="20"/>
            </w:pPr>
            <w:r>
              <w:rPr>
                <w:color w:val="1C3A36"/>
                <w:sz w:val="17"/>
              </w:rPr>
              <w:t>= net debt, method A</w:t>
            </w:r>
          </w:p>
        </w:tc>
        <w:tc>
          <w:tcPr>
            <w:tcW w:type="dxa" w:w="2016"/>
          </w:tcPr>
          <w:p>
            <w:pPr>
              <w:spacing w:after="20"/>
              <w:jc w:val="right"/>
            </w:pPr>
            <w:r>
              <w:rPr>
                <w:color w:val="1C3A36"/>
                <w:sz w:val="17"/>
              </w:rPr>
              <w:t>≈ 9,800</w:t>
            </w:r>
          </w:p>
        </w:tc>
      </w:tr>
      <w:tr>
        <w:tc>
          <w:tcPr>
            <w:tcW w:type="dxa" w:w="7200"/>
          </w:tcPr>
          <w:p>
            <w:pPr>
              <w:spacing w:after="20"/>
            </w:pPr>
            <w:r>
              <w:rPr>
                <w:color w:val="1C3A36"/>
                <w:sz w:val="17"/>
              </w:rPr>
              <w:t>Cross-check B — cash-flow roll-forward: FY24 net debt 8,132 + interest 2,150 + tax 145 + capex 210 + working-capital build ~2,036 − EBITDA 2,871</w:t>
            </w:r>
          </w:p>
        </w:tc>
        <w:tc>
          <w:tcPr>
            <w:tcW w:type="dxa" w:w="2016"/>
          </w:tcPr>
          <w:p>
            <w:pPr>
              <w:spacing w:after="20"/>
              <w:jc w:val="right"/>
            </w:pPr>
            <w:r>
              <w:rPr>
                <w:color w:val="1C3A36"/>
                <w:sz w:val="17"/>
              </w:rPr>
              <w:t>≈ 9,800</w:t>
            </w:r>
          </w:p>
        </w:tc>
      </w:tr>
      <w:tr>
        <w:tc>
          <w:tcPr>
            <w:tcW w:type="dxa" w:w="7200"/>
          </w:tcPr>
          <w:p>
            <w:pPr>
              <w:spacing w:after="20"/>
            </w:pPr>
            <w:r>
              <w:rPr>
                <w:color w:val="1C3A36"/>
                <w:sz w:val="17"/>
              </w:rPr>
              <w:t>Cross-check C — the facilities sentence read as fully drawn, less cash</w:t>
            </w:r>
          </w:p>
        </w:tc>
        <w:tc>
          <w:tcPr>
            <w:tcW w:type="dxa" w:w="2016"/>
          </w:tcPr>
          <w:p>
            <w:pPr>
              <w:spacing w:after="20"/>
              <w:jc w:val="right"/>
            </w:pPr>
            <w:r>
              <w:rPr>
                <w:color w:val="1C3A36"/>
                <w:sz w:val="17"/>
              </w:rPr>
              <w:t>≈ 10,235</w:t>
            </w:r>
          </w:p>
        </w:tc>
      </w:tr>
      <w:tr>
        <w:tc>
          <w:tcPr>
            <w:tcW w:type="dxa" w:w="7200"/>
          </w:tcPr>
          <w:p>
            <w:pPr>
              <w:spacing w:after="20"/>
            </w:pPr>
            <w:r>
              <w:rPr>
                <w:color w:val="1C3A36"/>
                <w:sz w:val="17"/>
              </w:rPr>
              <w:t>Anchor carried in the model (A/B central; range 9,120–10,360 in sensitivity)</w:t>
            </w:r>
          </w:p>
        </w:tc>
        <w:tc>
          <w:tcPr>
            <w:tcW w:type="dxa" w:w="2016"/>
          </w:tcPr>
          <w:p>
            <w:pPr>
              <w:spacing w:after="20"/>
              <w:jc w:val="right"/>
            </w:pPr>
            <w:r>
              <w:rPr>
                <w:color w:val="1C3A36"/>
                <w:sz w:val="17"/>
              </w:rPr>
              <w:t>9,805</w:t>
            </w:r>
          </w:p>
        </w:tc>
      </w:tr>
    </w:tbl>
    <w:p>
      <w:pPr>
        <w:spacing w:after="40"/>
      </w:pPr>
    </w:p>
    <w:p>
      <w:pPr>
        <w:spacing w:after="200" w:before="0"/>
      </w:pPr>
      <w:r>
        <w:rPr>
          <w:b w:val="0"/>
          <w:i/>
          <w:color w:val="6E7B77"/>
          <w:sz w:val="17"/>
        </w:rPr>
        <w:t>Methods A and B share the balance-sheet decomposition of the working-capital build, so their agreement is consistency, not full independence; C is the upper cross-check — the triangulated drawn debt sits at 96% of the disclosed facilities, consistent with the 10.9 bn being near-fully-drawn limits. The reverse test rejects holding debt at the FY24 level (net debt ~8.2 bn): that would force non-debt liabilities up 41% in a year when purchase value fell 21%. The range is worth ~±EGP 0.19/share; the audited FY2025 borrowings note is the named falsifier.</w:t>
      </w:r>
    </w:p>
    <w:p>
      <w:pPr>
        <w:spacing w:after="80" w:before="200"/>
      </w:pPr>
      <w:r>
        <w:rPr>
          <w:b/>
          <w:i w:val="0"/>
          <w:color w:val="1C3A36"/>
          <w:sz w:val="24"/>
        </w:rPr>
        <w:t>1.7  The crux — working capital first, margins second, rates third</w:t>
      </w:r>
    </w:p>
    <w:p>
      <w:pPr>
        <w:spacing w:after="120" w:before="0"/>
      </w:pPr>
      <w:r>
        <w:rPr>
          <w:b w:val="0"/>
          <w:i w:val="0"/>
          <w:color w:val="1C3A36"/>
          <w:sz w:val="21"/>
        </w:rPr>
        <w:t>Three judgments drive this valuation, in order of size. FIRST, collection. Working capital stands near ~EGP 12.2 bn — 113% of a full year’s revenue — against ~76% a year earlier: copper-inflated inventory plus receivables that grew as revenue shrank, funded by ~EGP 10.5 bn of bank debt (facilities disclosed at 10.9 bn). The DCF’s FY26E cash flow is dominated by a ~EGP 2.9 bn assumed release as sales contract; if those receivables do not collect (state-linked customers, dealer credit), the release never happens, debt stays ~EGP 11 bn at 22% money, and the equity rounds to nothing — that is the bear case’s mechanism, not rhetoric. Each 5 points of terminal working-capital intensity is worth roughly EGP 0.15–0.20/share. SECOND, the margin. FY24–25 EBITDA margins near 25% carried devaluation inventory gains; the DISCLOSED 1Q26 lines put the trough on the table — gross margin 5.7%, operating profit zero. The model’s 16–18% mid-cycle is a judgment between the proven trough and the windfall ceiling — each 15% on conversion EBITDA/t is worth roughly EGP 0.25–0.35/share (§1.9 grid). THIRD, the rate path: at 22% money, finance expense consumes the operating line; at the terminal 15%, the same business supports a meaningful EPS again. The easing calendar is therefore load-bearing — which is exactly why it is built into the discount schedule rather than averaged away.</w:t>
      </w:r>
    </w:p>
    <w:p>
      <w:pPr>
        <w:spacing w:after="80" w:before="200"/>
      </w:pPr>
      <w:r>
        <w:rPr>
          <w:b/>
          <w:i w:val="0"/>
          <w:color w:val="1C3A36"/>
          <w:sz w:val="24"/>
        </w:rPr>
        <w:t>1.8  Macro and country — rates, the pound, copper, and the sourced cost of capital</w:t>
      </w:r>
    </w:p>
    <w:p>
      <w:pPr>
        <w:spacing w:after="120" w:before="0"/>
      </w:pPr>
      <w:r>
        <w:rPr>
          <w:b w:val="0"/>
          <w:i w:val="0"/>
          <w:color w:val="1C3A36"/>
          <w:sz w:val="21"/>
        </w:rPr>
        <w:t>Egypt held its policy corridor at 19.00/20.00% in July 2026 (third consecutive hold, after 825bp of cuts Apr-25→Feb-26) with inflation at 14.3% and a 7%±2pp target for late-2026, 5%±2pp for 2028. The pound has been range-bound (47–52/USD) since the March-2024 float — two years of nominal stability against 14–28% inflation is a large REAL appreciation, which is precisely what un-winds windfall cable margins: copper is fully imported and USD-priced (up ~51% y/y), sales are domestic and EGP-priced. The demand side is genuinely strong — EETC’s EGP 45 bn transmission plan, the EU’s €690 mn grid package, the 95%-complete Egypt–Saudi interconnector — but pass-through pricing means volume recovers before margin does. Every cost-of-capital input below is sourced (full provenance in the Source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4320"/>
      </w:tblGrid>
      <w:tr>
        <w:tc>
          <w:tcPr>
            <w:tcW w:type="dxa" w:w="3744"/>
            <w:shd w:val="clear" w:color="auto" w:fill="EAF0EE"/>
          </w:tcPr>
          <w:p>
            <w:pPr>
              <w:spacing w:after="20"/>
            </w:pPr>
            <w:r>
              <w:rPr>
                <w:b/>
                <w:color w:val="1C3A36"/>
                <w:sz w:val="17"/>
              </w:rPr>
              <w:t>Component</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 / note</w:t>
            </w:r>
          </w:p>
        </w:tc>
      </w:tr>
      <w:tr>
        <w:tc>
          <w:tcPr>
            <w:tcW w:type="dxa" w:w="3744"/>
          </w:tcPr>
          <w:p>
            <w:pPr>
              <w:spacing w:after="20"/>
            </w:pPr>
            <w:r>
              <w:rPr>
                <w:b/>
                <w:color w:val="1C3A36"/>
                <w:sz w:val="17"/>
              </w:rPr>
              <w:t>Egypt 10Y local yield (observed)</w:t>
            </w:r>
          </w:p>
        </w:tc>
        <w:tc>
          <w:tcPr>
            <w:tcW w:type="dxa" w:w="1872"/>
          </w:tcPr>
          <w:p>
            <w:pPr>
              <w:spacing w:after="20"/>
              <w:jc w:val="right"/>
            </w:pPr>
            <w:r>
              <w:rPr>
                <w:color w:val="1C3A36"/>
                <w:sz w:val="17"/>
              </w:rPr>
              <w:t>22.31%</w:t>
            </w:r>
          </w:p>
        </w:tc>
        <w:tc>
          <w:tcPr>
            <w:tcW w:type="dxa" w:w="4320"/>
          </w:tcPr>
          <w:p>
            <w:pPr>
              <w:spacing w:after="20"/>
              <w:jc w:val="right"/>
            </w:pPr>
            <w:r>
              <w:rPr>
                <w:color w:val="1C3A36"/>
                <w:sz w:val="17"/>
              </w:rPr>
              <w:t>investing.com print, 21-Jul-2026; May-26 window avg 21.3% corroborates</w:t>
            </w:r>
          </w:p>
        </w:tc>
      </w:tr>
      <w:tr>
        <w:tc>
          <w:tcPr>
            <w:tcW w:type="dxa" w:w="3744"/>
          </w:tcPr>
          <w:p>
            <w:pPr>
              <w:spacing w:after="20"/>
            </w:pPr>
            <w:r>
              <w:rPr>
                <w:b/>
                <w:color w:val="1C3A36"/>
                <w:sz w:val="17"/>
              </w:rPr>
              <w:t>less sovereign default spread (CDS)</w:t>
            </w:r>
          </w:p>
        </w:tc>
        <w:tc>
          <w:tcPr>
            <w:tcW w:type="dxa" w:w="1872"/>
          </w:tcPr>
          <w:p>
            <w:pPr>
              <w:spacing w:after="20"/>
              <w:jc w:val="right"/>
            </w:pPr>
            <w:r>
              <w:rPr>
                <w:color w:val="1C3A36"/>
                <w:sz w:val="17"/>
              </w:rPr>
              <w:t>−3.40%</w:t>
            </w:r>
          </w:p>
        </w:tc>
        <w:tc>
          <w:tcPr>
            <w:tcW w:type="dxa" w:w="4320"/>
          </w:tcPr>
          <w:p>
            <w:pPr>
              <w:spacing w:after="20"/>
              <w:jc w:val="right"/>
            </w:pPr>
            <w:r>
              <w:rPr>
                <w:color w:val="1C3A36"/>
                <w:sz w:val="17"/>
              </w:rPr>
              <w:t>The local yield already prices default risk; charging it again in the ERP would double-count</w:t>
            </w:r>
          </w:p>
        </w:tc>
      </w:tr>
      <w:tr>
        <w:tc>
          <w:tcPr>
            <w:tcW w:type="dxa" w:w="3744"/>
          </w:tcPr>
          <w:p>
            <w:pPr>
              <w:spacing w:after="20"/>
            </w:pPr>
            <w:r>
              <w:rPr>
                <w:b/>
                <w:color w:val="1C3A36"/>
                <w:sz w:val="17"/>
              </w:rPr>
              <w:t>= risk-free for the equity build</w:t>
            </w:r>
          </w:p>
        </w:tc>
        <w:tc>
          <w:tcPr>
            <w:tcW w:type="dxa" w:w="1872"/>
          </w:tcPr>
          <w:p>
            <w:pPr>
              <w:spacing w:after="20"/>
              <w:jc w:val="right"/>
            </w:pPr>
            <w:r>
              <w:rPr>
                <w:color w:val="1C3A36"/>
                <w:sz w:val="17"/>
              </w:rPr>
              <w:t>18.91%</w:t>
            </w:r>
          </w:p>
        </w:tc>
        <w:tc>
          <w:tcPr>
            <w:tcW w:type="dxa" w:w="4320"/>
          </w:tcPr>
          <w:p>
            <w:pPr>
              <w:spacing w:after="20"/>
              <w:jc w:val="right"/>
            </w:pPr>
            <w:r>
              <w:rPr>
                <w:color w:val="1C3A36"/>
                <w:sz w:val="17"/>
              </w:rPr>
              <w:t>CDS basis (rating basis: 22.31 − 6.37 = 15.94%)</w:t>
            </w:r>
          </w:p>
        </w:tc>
      </w:tr>
      <w:tr>
        <w:tc>
          <w:tcPr>
            <w:tcW w:type="dxa" w:w="3744"/>
          </w:tcPr>
          <w:p>
            <w:pPr>
              <w:spacing w:after="20"/>
            </w:pPr>
            <w:r>
              <w:rPr>
                <w:b/>
                <w:color w:val="1C3A36"/>
                <w:sz w:val="17"/>
              </w:rPr>
              <w:t>Equity risk premium — Egypt (CDS-based, primary)</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Damodaran original country-risk file, Jan-2026 (rating-based 13.94% shown in sensitivity)</w:t>
            </w:r>
          </w:p>
        </w:tc>
      </w:tr>
      <w:tr>
        <w:tc>
          <w:tcPr>
            <w:tcW w:type="dxa" w:w="3744"/>
          </w:tcPr>
          <w:p>
            <w:pPr>
              <w:spacing w:after="20"/>
            </w:pPr>
            <w:r>
              <w:rPr>
                <w:b/>
                <w:color w:val="1C3A36"/>
                <w:sz w:val="17"/>
              </w:rPr>
              <w:t>Beta (own regression, weekly, 5yr)</w:t>
            </w:r>
          </w:p>
        </w:tc>
        <w:tc>
          <w:tcPr>
            <w:tcW w:type="dxa" w:w="1872"/>
          </w:tcPr>
          <w:p>
            <w:pPr>
              <w:spacing w:after="20"/>
              <w:jc w:val="right"/>
            </w:pPr>
            <w:r>
              <w:rPr>
                <w:color w:val="1C3A36"/>
                <w:sz w:val="17"/>
              </w:rPr>
              <w:t>0.964</w:t>
            </w:r>
          </w:p>
        </w:tc>
        <w:tc>
          <w:tcPr>
            <w:tcW w:type="dxa" w:w="4320"/>
          </w:tcPr>
          <w:p>
            <w:pPr>
              <w:spacing w:after="20"/>
              <w:jc w:val="right"/>
            </w:pPr>
            <w:r>
              <w:rPr>
                <w:color w:val="1C3A36"/>
                <w:sz w:val="17"/>
              </w:rPr>
              <w:t>vs 30-name equal-weight EGX composite: R² 0.222, n=257, SE 0.113, CI90 [0.78, 1.15] — passes the usability gate; not weak-flagged</w:t>
            </w:r>
          </w:p>
        </w:tc>
      </w:tr>
      <w:tr>
        <w:tc>
          <w:tcPr>
            <w:tcW w:type="dxa" w:w="3744"/>
          </w:tcPr>
          <w:p>
            <w:pPr>
              <w:spacing w:after="20"/>
            </w:pPr>
            <w:r>
              <w:rPr>
                <w:b/>
                <w:color w:val="1C3A36"/>
                <w:sz w:val="17"/>
              </w:rPr>
              <w:t>Cost of equity Ke</w:t>
            </w:r>
          </w:p>
        </w:tc>
        <w:tc>
          <w:tcPr>
            <w:tcW w:type="dxa" w:w="1872"/>
          </w:tcPr>
          <w:p>
            <w:pPr>
              <w:spacing w:after="20"/>
              <w:jc w:val="right"/>
            </w:pPr>
            <w:r>
              <w:rPr>
                <w:color w:val="1C3A36"/>
                <w:sz w:val="17"/>
              </w:rPr>
              <w:t>27.98%</w:t>
            </w:r>
          </w:p>
        </w:tc>
        <w:tc>
          <w:tcPr>
            <w:tcW w:type="dxa" w:w="4320"/>
          </w:tcPr>
          <w:p>
            <w:pPr>
              <w:spacing w:after="20"/>
              <w:jc w:val="right"/>
            </w:pPr>
            <w:r>
              <w:rPr>
                <w:color w:val="1C3A36"/>
                <w:sz w:val="17"/>
              </w:rPr>
              <w:t>= 18.91 + 0.964 × 9.41</w:t>
            </w:r>
          </w:p>
        </w:tc>
      </w:tr>
      <w:tr>
        <w:tc>
          <w:tcPr>
            <w:tcW w:type="dxa" w:w="3744"/>
          </w:tcPr>
          <w:p>
            <w:pPr>
              <w:spacing w:after="20"/>
            </w:pPr>
            <w:r>
              <w:rPr>
                <w:b/>
                <w:color w:val="1C3A36"/>
                <w:sz w:val="17"/>
              </w:rPr>
              <w:t>Cost of debt Kd (pre-tax, marginal EGP)</w:t>
            </w:r>
          </w:p>
        </w:tc>
        <w:tc>
          <w:tcPr>
            <w:tcW w:type="dxa" w:w="1872"/>
          </w:tcPr>
          <w:p>
            <w:pPr>
              <w:spacing w:after="20"/>
              <w:jc w:val="right"/>
            </w:pPr>
            <w:r>
              <w:rPr>
                <w:color w:val="1C3A36"/>
                <w:sz w:val="17"/>
              </w:rPr>
              <w:t>22.0%</w:t>
            </w:r>
          </w:p>
        </w:tc>
        <w:tc>
          <w:tcPr>
            <w:tcW w:type="dxa" w:w="4320"/>
          </w:tcPr>
          <w:p>
            <w:pPr>
              <w:spacing w:after="20"/>
              <w:jc w:val="right"/>
            </w:pPr>
            <w:r>
              <w:rPr>
                <w:color w:val="1C3A36"/>
                <w:sz w:val="17"/>
              </w:rPr>
              <w:t>Corridor + credit margin; checked against effective rates 23.5% (FY24) and 22.1% (FY25, on the triangulated debt path) — inside 150bp</w:t>
            </w:r>
          </w:p>
        </w:tc>
      </w:tr>
      <w:tr>
        <w:tc>
          <w:tcPr>
            <w:tcW w:type="dxa" w:w="3744"/>
          </w:tcPr>
          <w:p>
            <w:pPr>
              <w:spacing w:after="20"/>
            </w:pPr>
            <w:r>
              <w:rPr>
                <w:b/>
                <w:color w:val="1C3A36"/>
                <w:sz w:val="17"/>
              </w:rPr>
              <w:t>Debt currency</w:t>
            </w:r>
          </w:p>
        </w:tc>
        <w:tc>
          <w:tcPr>
            <w:tcW w:type="dxa" w:w="1872"/>
          </w:tcPr>
          <w:p>
            <w:pPr>
              <w:spacing w:after="20"/>
              <w:jc w:val="right"/>
            </w:pPr>
            <w:r>
              <w:rPr>
                <w:color w:val="1C3A36"/>
                <w:sz w:val="17"/>
              </w:rPr>
              <w:t>~100% EGP (presumption, flagged)</w:t>
            </w:r>
          </w:p>
        </w:tc>
        <w:tc>
          <w:tcPr>
            <w:tcW w:type="dxa" w:w="4320"/>
          </w:tcPr>
          <w:p>
            <w:pPr>
              <w:spacing w:after="20"/>
              <w:jc w:val="right"/>
            </w:pPr>
            <w:r>
              <w:rPr>
                <w:color w:val="1C3A36"/>
                <w:sz w:val="17"/>
              </w:rPr>
              <w:t>No facility disclosure reachable; no USD facility found in any search — the gap is stated, not assumed away</w:t>
            </w:r>
          </w:p>
        </w:tc>
      </w:tr>
      <w:tr>
        <w:tc>
          <w:tcPr>
            <w:tcW w:type="dxa" w:w="3744"/>
          </w:tcPr>
          <w:p>
            <w:pPr>
              <w:spacing w:after="20"/>
            </w:pPr>
            <w:r>
              <w:rPr>
                <w:b/>
                <w:color w:val="1C3A36"/>
                <w:sz w:val="17"/>
              </w:rPr>
              <w:t>Weights E / D — explicit window</w:t>
            </w:r>
          </w:p>
        </w:tc>
        <w:tc>
          <w:tcPr>
            <w:tcW w:type="dxa" w:w="1872"/>
          </w:tcPr>
          <w:p>
            <w:pPr>
              <w:spacing w:after="20"/>
              <w:jc w:val="right"/>
            </w:pPr>
            <w:r>
              <w:rPr>
                <w:color w:val="1C3A36"/>
                <w:sz w:val="17"/>
              </w:rPr>
              <w:t>41% / 59%</w:t>
            </w:r>
          </w:p>
        </w:tc>
        <w:tc>
          <w:tcPr>
            <w:tcW w:type="dxa" w:w="4320"/>
          </w:tcPr>
          <w:p>
            <w:pPr>
              <w:spacing w:after="20"/>
              <w:jc w:val="right"/>
            </w:pPr>
            <w:r>
              <w:rPr>
                <w:color w:val="1C3A36"/>
                <w:sz w:val="17"/>
              </w:rPr>
              <w:t>Market cap 7.26 bn vs triangulated FY25 drawn debt 10.5 bn</w:t>
            </w:r>
          </w:p>
        </w:tc>
      </w:tr>
      <w:tr>
        <w:tc>
          <w:tcPr>
            <w:tcW w:type="dxa" w:w="3744"/>
          </w:tcPr>
          <w:p>
            <w:pPr>
              <w:spacing w:after="20"/>
            </w:pPr>
            <w:r>
              <w:rPr>
                <w:b/>
                <w:color w:val="1C3A36"/>
                <w:sz w:val="17"/>
              </w:rPr>
              <w:t>WACC — explicit window (this year)</w:t>
            </w:r>
          </w:p>
        </w:tc>
        <w:tc>
          <w:tcPr>
            <w:tcW w:type="dxa" w:w="1872"/>
          </w:tcPr>
          <w:p>
            <w:pPr>
              <w:spacing w:after="20"/>
              <w:jc w:val="right"/>
            </w:pPr>
            <w:r>
              <w:rPr>
                <w:color w:val="1C3A36"/>
                <w:sz w:val="17"/>
              </w:rPr>
              <w:t>21.53%</w:t>
            </w:r>
          </w:p>
        </w:tc>
        <w:tc>
          <w:tcPr>
            <w:tcW w:type="dxa" w:w="4320"/>
          </w:tcPr>
          <w:p>
            <w:pPr>
              <w:spacing w:after="20"/>
              <w:jc w:val="right"/>
            </w:pPr>
            <w:r>
              <w:rPr>
                <w:color w:val="1C3A36"/>
                <w:sz w:val="17"/>
              </w:rPr>
              <w:t>CDS-primary (rating alternative 23.20%)</w:t>
            </w:r>
          </w:p>
        </w:tc>
      </w:tr>
      <w:tr>
        <w:tc>
          <w:tcPr>
            <w:tcW w:type="dxa" w:w="3744"/>
          </w:tcPr>
          <w:p>
            <w:pPr>
              <w:spacing w:after="20"/>
            </w:pPr>
            <w:r>
              <w:rPr>
                <w:b/>
                <w:color w:val="1C3A36"/>
                <w:sz w:val="17"/>
              </w:rPr>
              <w:t>Terminal rf (norm-built)</w:t>
            </w:r>
          </w:p>
        </w:tc>
        <w:tc>
          <w:tcPr>
            <w:tcW w:type="dxa" w:w="1872"/>
          </w:tcPr>
          <w:p>
            <w:pPr>
              <w:spacing w:after="20"/>
              <w:jc w:val="right"/>
            </w:pPr>
            <w:r>
              <w:rPr>
                <w:color w:val="1C3A36"/>
                <w:sz w:val="17"/>
              </w:rPr>
              <w:t>10.5%</w:t>
            </w:r>
          </w:p>
        </w:tc>
        <w:tc>
          <w:tcPr>
            <w:tcW w:type="dxa" w:w="4320"/>
          </w:tcPr>
          <w:p>
            <w:pPr>
              <w:spacing w:after="20"/>
              <w:jc w:val="right"/>
            </w:pPr>
            <w:r>
              <w:rPr>
                <w:color w:val="1C3A36"/>
                <w:sz w:val="17"/>
              </w:rPr>
              <w:t>CBE’s own Q4-2028 inflation target 5% + 5.5pp real-rate convention</w:t>
            </w:r>
          </w:p>
        </w:tc>
      </w:tr>
      <w:tr>
        <w:tc>
          <w:tcPr>
            <w:tcW w:type="dxa" w:w="3744"/>
          </w:tcPr>
          <w:p>
            <w:pPr>
              <w:spacing w:after="20"/>
            </w:pPr>
            <w:r>
              <w:rPr>
                <w:b/>
                <w:color w:val="1C3A36"/>
                <w:sz w:val="17"/>
              </w:rPr>
              <w:t>Terminal ERP · terminal Kd</w:t>
            </w:r>
          </w:p>
        </w:tc>
        <w:tc>
          <w:tcPr>
            <w:tcW w:type="dxa" w:w="1872"/>
          </w:tcPr>
          <w:p>
            <w:pPr>
              <w:spacing w:after="20"/>
              <w:jc w:val="right"/>
            </w:pPr>
            <w:r>
              <w:rPr>
                <w:color w:val="1C3A36"/>
                <w:sz w:val="17"/>
              </w:rPr>
              <w:t>7.0% · 15.0%</w:t>
            </w:r>
          </w:p>
        </w:tc>
        <w:tc>
          <w:tcPr>
            <w:tcW w:type="dxa" w:w="4320"/>
          </w:tcPr>
          <w:p>
            <w:pPr>
              <w:spacing w:after="20"/>
              <w:jc w:val="right"/>
            </w:pPr>
            <w:r>
              <w:rPr>
                <w:color w:val="1C3A36"/>
                <w:sz w:val="17"/>
              </w:rPr>
              <w:t>Normalised below crisis level · Egyptian long-run corporate norm 14–16%</w:t>
            </w:r>
          </w:p>
        </w:tc>
      </w:tr>
      <w:tr>
        <w:tc>
          <w:tcPr>
            <w:tcW w:type="dxa" w:w="3744"/>
          </w:tcPr>
          <w:p>
            <w:pPr>
              <w:spacing w:after="20"/>
            </w:pPr>
            <w:r>
              <w:rPr>
                <w:b/>
                <w:color w:val="1C3A36"/>
                <w:sz w:val="17"/>
              </w:rPr>
              <w:t>Weights E / D — terminal (normalized)</w:t>
            </w:r>
          </w:p>
        </w:tc>
        <w:tc>
          <w:tcPr>
            <w:tcW w:type="dxa" w:w="1872"/>
          </w:tcPr>
          <w:p>
            <w:pPr>
              <w:spacing w:after="20"/>
              <w:jc w:val="right"/>
            </w:pPr>
            <w:r>
              <w:rPr>
                <w:color w:val="1C3A36"/>
                <w:sz w:val="17"/>
              </w:rPr>
              <w:t>60% / 40%</w:t>
            </w:r>
          </w:p>
        </w:tc>
        <w:tc>
          <w:tcPr>
            <w:tcW w:type="dxa" w:w="4320"/>
          </w:tcPr>
          <w:p>
            <w:pPr>
              <w:spacing w:after="20"/>
              <w:jc w:val="right"/>
            </w:pPr>
            <w:r>
              <w:rPr>
                <w:color w:val="1C3A36"/>
                <w:sz w:val="17"/>
              </w:rPr>
              <w:t>The steady state presupposes deleveraging; today’s ~60% distress weight into perpetuity would be circular (the equity weight depends on the DCF’s own output). Conservative direction: more weight on the dearer equity leg</w:t>
            </w:r>
          </w:p>
        </w:tc>
      </w:tr>
      <w:tr>
        <w:tc>
          <w:tcPr>
            <w:tcW w:type="dxa" w:w="3744"/>
          </w:tcPr>
          <w:p>
            <w:pPr>
              <w:spacing w:after="20"/>
            </w:pPr>
            <w:r>
              <w:rPr>
                <w:b/>
                <w:color w:val="1C3A36"/>
                <w:sz w:val="17"/>
              </w:rPr>
              <w:t>WACC — terminal</w:t>
            </w:r>
          </w:p>
        </w:tc>
        <w:tc>
          <w:tcPr>
            <w:tcW w:type="dxa" w:w="1872"/>
          </w:tcPr>
          <w:p>
            <w:pPr>
              <w:spacing w:after="20"/>
              <w:jc w:val="right"/>
            </w:pPr>
            <w:r>
              <w:rPr>
                <w:color w:val="1C3A36"/>
                <w:sz w:val="17"/>
              </w:rPr>
              <w:t>15.00%</w:t>
            </w:r>
          </w:p>
        </w:tc>
        <w:tc>
          <w:tcPr>
            <w:tcW w:type="dxa" w:w="4320"/>
          </w:tcPr>
          <w:p>
            <w:pPr>
              <w:spacing w:after="20"/>
              <w:jc w:val="right"/>
            </w:pPr>
            <w:r>
              <w:rPr>
                <w:color w:val="1C3A36"/>
                <w:sz w:val="17"/>
              </w:rPr>
              <w:t>Capitalises the terminal value; reached via the glide below</w:t>
            </w:r>
          </w:p>
        </w:tc>
      </w:tr>
    </w:tbl>
    <w:p>
      <w:pPr>
        <w:spacing w:after="40"/>
      </w:pPr>
    </w:p>
    <w:p>
      <w:pPr>
        <w:spacing w:after="80" w:before="0"/>
      </w:pPr>
      <w:r>
        <w:rPr>
          <w:b w:val="0"/>
          <w:i w:val="0"/>
          <w:color w:val="1C3A36"/>
          <w:sz w:val="19"/>
        </w:rPr>
        <w:t>The forward schedule, year by year — the glide shape is the forward cost-of-debt path’s own cumulative progress, so the discount rate and the interest forecast normalise on one easing calendar: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Forward Kd path (pre-tax)</w:t>
            </w:r>
          </w:p>
        </w:tc>
        <w:tc>
          <w:tcPr>
            <w:tcW w:type="dxa" w:w="1440"/>
          </w:tcPr>
          <w:p>
            <w:pPr>
              <w:spacing w:after="20"/>
              <w:jc w:val="right"/>
            </w:pPr>
            <w:r>
              <w:rPr>
                <w:color w:val="1C3A36"/>
                <w:sz w:val="17"/>
              </w:rPr>
              <w:t>22.0%</w:t>
            </w:r>
          </w:p>
        </w:tc>
        <w:tc>
          <w:tcPr>
            <w:tcW w:type="dxa" w:w="1440"/>
          </w:tcPr>
          <w:p>
            <w:pPr>
              <w:spacing w:after="20"/>
              <w:jc w:val="right"/>
            </w:pPr>
            <w:r>
              <w:rPr>
                <w:color w:val="1C3A36"/>
                <w:sz w:val="17"/>
              </w:rPr>
              <w:t>20.0%</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16.8%</w:t>
            </w:r>
          </w:p>
        </w:tc>
        <w:tc>
          <w:tcPr>
            <w:tcW w:type="dxa" w:w="1440"/>
          </w:tcPr>
          <w:p>
            <w:pPr>
              <w:spacing w:after="20"/>
              <w:jc w:val="right"/>
            </w:pPr>
            <w:r>
              <w:rPr>
                <w:color w:val="1C3A36"/>
                <w:sz w:val="17"/>
              </w:rPr>
              <w:t>15.5%</w:t>
            </w:r>
          </w:p>
        </w:tc>
      </w:tr>
      <w:tr>
        <w:tc>
          <w:tcPr>
            <w:tcW w:type="dxa" w:w="3024"/>
          </w:tcPr>
          <w:p>
            <w:pPr>
              <w:spacing w:after="20"/>
            </w:pPr>
            <w:r>
              <w:rPr>
                <w:b/>
                <w:color w:val="1C3A36"/>
                <w:sz w:val="17"/>
              </w:rPr>
              <w:t>Forward Ke (same easing calendar)</w:t>
            </w:r>
          </w:p>
        </w:tc>
        <w:tc>
          <w:tcPr>
            <w:tcW w:type="dxa" w:w="1440"/>
          </w:tcPr>
          <w:p>
            <w:pPr>
              <w:spacing w:after="20"/>
              <w:jc w:val="right"/>
            </w:pPr>
            <w:r>
              <w:rPr>
                <w:color w:val="1C3A36"/>
                <w:sz w:val="17"/>
              </w:rPr>
              <w:t>28.0%</w:t>
            </w:r>
          </w:p>
        </w:tc>
        <w:tc>
          <w:tcPr>
            <w:tcW w:type="dxa" w:w="1440"/>
          </w:tcPr>
          <w:p>
            <w:pPr>
              <w:spacing w:after="20"/>
              <w:jc w:val="right"/>
            </w:pPr>
            <w:r>
              <w:rPr>
                <w:color w:val="1C3A36"/>
                <w:sz w:val="17"/>
              </w:rPr>
              <w:t>24.7%</w:t>
            </w:r>
          </w:p>
        </w:tc>
        <w:tc>
          <w:tcPr>
            <w:tcW w:type="dxa" w:w="1440"/>
          </w:tcPr>
          <w:p>
            <w:pPr>
              <w:spacing w:after="20"/>
              <w:jc w:val="right"/>
            </w:pPr>
            <w:r>
              <w:rPr>
                <w:color w:val="1C3A36"/>
                <w:sz w:val="17"/>
              </w:rPr>
              <w:t>22.2%</w:t>
            </w:r>
          </w:p>
        </w:tc>
        <w:tc>
          <w:tcPr>
            <w:tcW w:type="dxa" w:w="1440"/>
          </w:tcPr>
          <w:p>
            <w:pPr>
              <w:spacing w:after="20"/>
              <w:jc w:val="right"/>
            </w:pPr>
            <w:r>
              <w:rPr>
                <w:color w:val="1C3A36"/>
                <w:sz w:val="17"/>
              </w:rPr>
              <w:t>19.4%</w:t>
            </w:r>
          </w:p>
        </w:tc>
        <w:tc>
          <w:tcPr>
            <w:tcW w:type="dxa" w:w="1440"/>
          </w:tcPr>
          <w:p>
            <w:pPr>
              <w:spacing w:after="20"/>
              <w:jc w:val="right"/>
            </w:pPr>
            <w:r>
              <w:rPr>
                <w:color w:val="1C3A36"/>
                <w:sz w:val="17"/>
              </w:rPr>
              <w:t>17.2%</w:t>
            </w:r>
          </w:p>
        </w:tc>
      </w:tr>
      <w:tr>
        <w:tc>
          <w:tcPr>
            <w:tcW w:type="dxa" w:w="3024"/>
          </w:tcPr>
          <w:p>
            <w:pPr>
              <w:spacing w:after="20"/>
            </w:pPr>
            <w:r>
              <w:rPr>
                <w:b/>
                <w:color w:val="1C3A36"/>
                <w:sz w:val="17"/>
              </w:rPr>
              <w:t>Glide fraction</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31%</w:t>
            </w:r>
          </w:p>
        </w:tc>
        <w:tc>
          <w:tcPr>
            <w:tcW w:type="dxa" w:w="1440"/>
          </w:tcPr>
          <w:p>
            <w:pPr>
              <w:spacing w:after="20"/>
              <w:jc w:val="right"/>
            </w:pPr>
            <w:r>
              <w:rPr>
                <w:color w:val="1C3A36"/>
                <w:sz w:val="17"/>
              </w:rPr>
              <w:t>54%</w:t>
            </w:r>
          </w:p>
        </w:tc>
        <w:tc>
          <w:tcPr>
            <w:tcW w:type="dxa" w:w="1440"/>
          </w:tcPr>
          <w:p>
            <w:pPr>
              <w:spacing w:after="20"/>
              <w:jc w:val="right"/>
            </w:pPr>
            <w:r>
              <w:rPr>
                <w:color w:val="1C3A36"/>
                <w:sz w:val="17"/>
              </w:rPr>
              <w:t>80%</w:t>
            </w:r>
          </w:p>
        </w:tc>
        <w:tc>
          <w:tcPr>
            <w:tcW w:type="dxa" w:w="1440"/>
          </w:tcPr>
          <w:p>
            <w:pPr>
              <w:spacing w:after="20"/>
              <w:jc w:val="right"/>
            </w:pPr>
            <w:r>
              <w:rPr>
                <w:color w:val="1C3A36"/>
                <w:sz w:val="17"/>
              </w:rPr>
              <w:t>100%</w:t>
            </w:r>
          </w:p>
        </w:tc>
      </w:tr>
      <w:tr>
        <w:tc>
          <w:tcPr>
            <w:tcW w:type="dxa" w:w="3024"/>
          </w:tcPr>
          <w:p>
            <w:pPr>
              <w:spacing w:after="20"/>
            </w:pPr>
            <w:r>
              <w:rPr>
                <w:b/>
                <w:color w:val="1C3A36"/>
                <w:sz w:val="17"/>
              </w:rPr>
              <w:t>Forward WACC</w:t>
            </w:r>
          </w:p>
        </w:tc>
        <w:tc>
          <w:tcPr>
            <w:tcW w:type="dxa" w:w="1440"/>
          </w:tcPr>
          <w:p>
            <w:pPr>
              <w:spacing w:after="20"/>
              <w:jc w:val="right"/>
            </w:pPr>
            <w:r>
              <w:rPr>
                <w:color w:val="1C3A36"/>
                <w:sz w:val="17"/>
              </w:rPr>
              <w:t>21.5%</w:t>
            </w:r>
          </w:p>
        </w:tc>
        <w:tc>
          <w:tcPr>
            <w:tcW w:type="dxa" w:w="1440"/>
          </w:tcPr>
          <w:p>
            <w:pPr>
              <w:spacing w:after="20"/>
              <w:jc w:val="right"/>
            </w:pPr>
            <w:r>
              <w:rPr>
                <w:color w:val="1C3A36"/>
                <w:sz w:val="17"/>
              </w:rPr>
              <w:t>19.5%</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Cumulative discount factor</w:t>
            </w:r>
          </w:p>
        </w:tc>
        <w:tc>
          <w:tcPr>
            <w:tcW w:type="dxa" w:w="1440"/>
          </w:tcPr>
          <w:p>
            <w:pPr>
              <w:spacing w:after="20"/>
              <w:jc w:val="right"/>
            </w:pPr>
            <w:r>
              <w:rPr>
                <w:color w:val="1C3A36"/>
                <w:sz w:val="17"/>
              </w:rPr>
              <w:t>0.823</w:t>
            </w:r>
          </w:p>
        </w:tc>
        <w:tc>
          <w:tcPr>
            <w:tcW w:type="dxa" w:w="1440"/>
          </w:tcPr>
          <w:p>
            <w:pPr>
              <w:spacing w:after="20"/>
              <w:jc w:val="right"/>
            </w:pPr>
            <w:r>
              <w:rPr>
                <w:color w:val="1C3A36"/>
                <w:sz w:val="17"/>
              </w:rPr>
              <w:t>0.688</w:t>
            </w:r>
          </w:p>
        </w:tc>
        <w:tc>
          <w:tcPr>
            <w:tcW w:type="dxa" w:w="1440"/>
          </w:tcPr>
          <w:p>
            <w:pPr>
              <w:spacing w:after="20"/>
              <w:jc w:val="right"/>
            </w:pPr>
            <w:r>
              <w:rPr>
                <w:color w:val="1C3A36"/>
                <w:sz w:val="17"/>
              </w:rPr>
              <w:t>0.583</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0.436</w:t>
            </w:r>
          </w:p>
        </w:tc>
      </w:tr>
    </w:tbl>
    <w:p>
      <w:pPr>
        <w:spacing w:after="40"/>
      </w:pPr>
    </w:p>
    <w:p>
      <w:pPr>
        <w:spacing w:after="200" w:before="0"/>
      </w:pPr>
      <w:r>
        <w:rPr>
          <w:b w:val="0"/>
          <w:i/>
          <w:color w:val="6E7B77"/>
          <w:sz w:val="17"/>
        </w:rPr>
        <w:t>A pound arriving 31-Dec-2030 carries the same 0.437 discount factor whether it arrives as a forecast cash flow or inside the terminal value — the common sell-side construction that discounts the terminal alone at a lower rate manufactures value by relabelling, and is not used here.</w:t>
      </w:r>
    </w:p>
    <w:p>
      <w:pPr>
        <w:spacing w:after="80" w:before="200"/>
      </w:pPr>
      <w:r>
        <w:rPr>
          <w:b/>
          <w:i w:val="0"/>
          <w:color w:val="1C3A36"/>
          <w:sz w:val="24"/>
        </w:rPr>
        <w:t>1.9  Sensitivity — the rate, the growth, the margin, the collection, and the beta</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DCF fair value (EGP/share) across terminal WACC × terminal growth. Bold cells sit nearest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1440"/>
        <w:gridCol w:w="1440"/>
        <w:gridCol w:w="1440"/>
      </w:tblGrid>
      <w:tr>
        <w:tc>
          <w:tcPr>
            <w:tcW w:type="dxa" w:w="2160"/>
            <w:shd w:val="clear" w:color="auto" w:fill="EAF0EE"/>
          </w:tcPr>
          <w:p>
            <w:pPr>
              <w:spacing w:after="20"/>
            </w:pPr>
            <w:r>
              <w:rPr>
                <w:b/>
                <w:color w:val="1C3A36"/>
                <w:sz w:val="18"/>
              </w:rPr>
              <w:t>Terminal WACC \ g</w:t>
            </w:r>
          </w:p>
        </w:tc>
        <w:tc>
          <w:tcPr>
            <w:tcW w:type="dxa" w:w="1440"/>
            <w:shd w:val="clear" w:color="auto" w:fill="EAF0EE"/>
          </w:tcPr>
          <w:p>
            <w:pPr>
              <w:spacing w:after="20"/>
            </w:pPr>
            <w:r>
              <w:rPr>
                <w:b/>
                <w:color w:val="1C3A36"/>
                <w:sz w:val="18"/>
              </w:rPr>
              <w:t>3%</w:t>
            </w:r>
          </w:p>
        </w:tc>
        <w:tc>
          <w:tcPr>
            <w:tcW w:type="dxa" w:w="1440"/>
            <w:shd w:val="clear" w:color="auto" w:fill="EAF0EE"/>
          </w:tcPr>
          <w:p>
            <w:pPr>
              <w:spacing w:after="20"/>
            </w:pPr>
            <w:r>
              <w:rPr>
                <w:b/>
                <w:color w:val="1C3A36"/>
                <w:sz w:val="18"/>
              </w:rPr>
              <w:t>4%</w:t>
            </w:r>
          </w:p>
        </w:tc>
        <w:tc>
          <w:tcPr>
            <w:tcW w:type="dxa" w:w="1440"/>
            <w:shd w:val="clear" w:color="auto" w:fill="EAF0EE"/>
          </w:tcPr>
          <w:p>
            <w:pPr>
              <w:spacing w:after="20"/>
            </w:pPr>
            <w:r>
              <w:rPr>
                <w:b/>
                <w:color w:val="1C3A36"/>
                <w:sz w:val="18"/>
              </w:rPr>
              <w:t>5%</w:t>
            </w:r>
          </w:p>
        </w:tc>
        <w:tc>
          <w:tcPr>
            <w:tcW w:type="dxa" w:w="1440"/>
            <w:shd w:val="clear" w:color="auto" w:fill="EAF0EE"/>
          </w:tcPr>
          <w:p>
            <w:pPr>
              <w:spacing w:after="20"/>
            </w:pPr>
            <w:r>
              <w:rPr>
                <w:b/>
                <w:color w:val="1C3A36"/>
                <w:sz w:val="18"/>
              </w:rPr>
              <w:t>6%</w:t>
            </w:r>
          </w:p>
        </w:tc>
        <w:tc>
          <w:tcPr>
            <w:tcW w:type="dxa" w:w="1440"/>
            <w:shd w:val="clear" w:color="auto" w:fill="EAF0EE"/>
          </w:tcPr>
          <w:p>
            <w:pPr>
              <w:spacing w:after="20"/>
            </w:pPr>
            <w:r>
              <w:rPr>
                <w:b/>
                <w:color w:val="1C3A36"/>
                <w:sz w:val="18"/>
              </w:rPr>
              <w:t>7%</w:t>
            </w:r>
          </w:p>
        </w:tc>
      </w:tr>
      <w:tr>
        <w:tc>
          <w:tcPr>
            <w:tcW w:type="dxa" w:w="2160"/>
          </w:tcPr>
          <w:p>
            <w:pPr>
              <w:spacing w:after="20"/>
            </w:pPr>
            <w:r>
              <w:rPr>
                <w:b/>
                <w:color w:val="1C3A36"/>
                <w:sz w:val="18"/>
              </w:rPr>
              <w:t>13.0%</w:t>
            </w:r>
          </w:p>
        </w:tc>
        <w:tc>
          <w:tcPr>
            <w:tcW w:type="dxa" w:w="1440"/>
          </w:tcPr>
          <w:p>
            <w:pPr>
              <w:spacing w:after="20"/>
              <w:jc w:val="right"/>
            </w:pPr>
            <w:r>
              <w:rPr>
                <w:color w:val="1C3A36"/>
                <w:sz w:val="18"/>
              </w:rPr>
              <w:t>-0.87</w:t>
            </w:r>
          </w:p>
        </w:tc>
        <w:tc>
          <w:tcPr>
            <w:tcW w:type="dxa" w:w="1440"/>
          </w:tcPr>
          <w:p>
            <w:pPr>
              <w:spacing w:after="20"/>
              <w:jc w:val="right"/>
            </w:pPr>
            <w:r>
              <w:rPr>
                <w:color w:val="1C3A36"/>
                <w:sz w:val="18"/>
              </w:rPr>
              <w:t>-0.92</w:t>
            </w:r>
          </w:p>
        </w:tc>
        <w:tc>
          <w:tcPr>
            <w:tcW w:type="dxa" w:w="1440"/>
          </w:tcPr>
          <w:p>
            <w:pPr>
              <w:spacing w:after="20"/>
              <w:jc w:val="right"/>
            </w:pPr>
            <w:r>
              <w:rPr>
                <w:color w:val="1C3A36"/>
                <w:sz w:val="18"/>
              </w:rPr>
              <w:t>-0.98</w:t>
            </w:r>
          </w:p>
        </w:tc>
        <w:tc>
          <w:tcPr>
            <w:tcW w:type="dxa" w:w="1440"/>
          </w:tcPr>
          <w:p>
            <w:pPr>
              <w:spacing w:after="20"/>
              <w:jc w:val="right"/>
            </w:pPr>
            <w:r>
              <w:rPr>
                <w:color w:val="1C3A36"/>
                <w:sz w:val="18"/>
              </w:rPr>
              <w:t>-1.07</w:t>
            </w:r>
          </w:p>
        </w:tc>
        <w:tc>
          <w:tcPr>
            <w:tcW w:type="dxa" w:w="1440"/>
          </w:tcPr>
          <w:p>
            <w:pPr>
              <w:spacing w:after="20"/>
              <w:jc w:val="right"/>
            </w:pPr>
            <w:r>
              <w:rPr>
                <w:color w:val="1C3A36"/>
                <w:sz w:val="18"/>
              </w:rPr>
              <w:t>-1.20</w:t>
            </w:r>
          </w:p>
        </w:tc>
      </w:tr>
      <w:tr>
        <w:tc>
          <w:tcPr>
            <w:tcW w:type="dxa" w:w="2160"/>
          </w:tcPr>
          <w:p>
            <w:pPr>
              <w:spacing w:after="20"/>
            </w:pPr>
            <w:r>
              <w:rPr>
                <w:b/>
                <w:color w:val="1C3A36"/>
                <w:sz w:val="18"/>
              </w:rPr>
              <w:t>14.0%</w:t>
            </w:r>
          </w:p>
        </w:tc>
        <w:tc>
          <w:tcPr>
            <w:tcW w:type="dxa" w:w="1440"/>
          </w:tcPr>
          <w:p>
            <w:pPr>
              <w:spacing w:after="20"/>
              <w:jc w:val="right"/>
            </w:pPr>
            <w:r>
              <w:rPr>
                <w:color w:val="1C3A36"/>
                <w:sz w:val="18"/>
              </w:rPr>
              <w:t>-1.04</w:t>
            </w:r>
          </w:p>
        </w:tc>
        <w:tc>
          <w:tcPr>
            <w:tcW w:type="dxa" w:w="1440"/>
          </w:tcPr>
          <w:p>
            <w:pPr>
              <w:spacing w:after="20"/>
              <w:jc w:val="right"/>
            </w:pPr>
            <w:r>
              <w:rPr>
                <w:color w:val="1C3A36"/>
                <w:sz w:val="18"/>
              </w:rPr>
              <w:t>-1.10</w:t>
            </w:r>
          </w:p>
        </w:tc>
        <w:tc>
          <w:tcPr>
            <w:tcW w:type="dxa" w:w="1440"/>
          </w:tcPr>
          <w:p>
            <w:pPr>
              <w:spacing w:after="20"/>
              <w:jc w:val="right"/>
            </w:pPr>
            <w:r>
              <w:rPr>
                <w:color w:val="1C3A36"/>
                <w:sz w:val="18"/>
              </w:rPr>
              <w:t>-1.17</w:t>
            </w:r>
          </w:p>
        </w:tc>
        <w:tc>
          <w:tcPr>
            <w:tcW w:type="dxa" w:w="1440"/>
          </w:tcPr>
          <w:p>
            <w:pPr>
              <w:spacing w:after="20"/>
              <w:jc w:val="right"/>
            </w:pPr>
            <w:r>
              <w:rPr>
                <w:color w:val="1C3A36"/>
                <w:sz w:val="18"/>
              </w:rPr>
              <w:t>-1.27</w:t>
            </w:r>
          </w:p>
        </w:tc>
        <w:tc>
          <w:tcPr>
            <w:tcW w:type="dxa" w:w="1440"/>
          </w:tcPr>
          <w:p>
            <w:pPr>
              <w:spacing w:after="20"/>
              <w:jc w:val="right"/>
            </w:pPr>
            <w:r>
              <w:rPr>
                <w:color w:val="1C3A36"/>
                <w:sz w:val="18"/>
              </w:rPr>
              <w:t>-1.39</w:t>
            </w:r>
          </w:p>
        </w:tc>
      </w:tr>
      <w:tr>
        <w:tc>
          <w:tcPr>
            <w:tcW w:type="dxa" w:w="2160"/>
          </w:tcPr>
          <w:p>
            <w:pPr>
              <w:spacing w:after="20"/>
            </w:pPr>
            <w:r>
              <w:rPr>
                <w:b/>
                <w:color w:val="1C3A36"/>
                <w:sz w:val="18"/>
              </w:rPr>
              <w:t>15.0%</w:t>
            </w:r>
          </w:p>
        </w:tc>
        <w:tc>
          <w:tcPr>
            <w:tcW w:type="dxa" w:w="1440"/>
          </w:tcPr>
          <w:p>
            <w:pPr>
              <w:spacing w:after="20"/>
              <w:jc w:val="right"/>
            </w:pPr>
            <w:r>
              <w:rPr>
                <w:color w:val="1C3A36"/>
                <w:sz w:val="18"/>
              </w:rPr>
              <w:t>-1.19</w:t>
            </w:r>
          </w:p>
        </w:tc>
        <w:tc>
          <w:tcPr>
            <w:tcW w:type="dxa" w:w="1440"/>
          </w:tcPr>
          <w:p>
            <w:pPr>
              <w:spacing w:after="20"/>
              <w:jc w:val="right"/>
            </w:pPr>
            <w:r>
              <w:rPr>
                <w:color w:val="1C3A36"/>
                <w:sz w:val="18"/>
              </w:rPr>
              <w:t>-1.25</w:t>
            </w:r>
          </w:p>
        </w:tc>
        <w:tc>
          <w:tcPr>
            <w:tcW w:type="dxa" w:w="1440"/>
          </w:tcPr>
          <w:p>
            <w:pPr>
              <w:spacing w:after="20"/>
              <w:jc w:val="right"/>
            </w:pPr>
            <w:r>
              <w:rPr>
                <w:color w:val="1C3A36"/>
                <w:sz w:val="18"/>
              </w:rPr>
              <w:t>-1.32</w:t>
            </w:r>
          </w:p>
        </w:tc>
        <w:tc>
          <w:tcPr>
            <w:tcW w:type="dxa" w:w="1440"/>
          </w:tcPr>
          <w:p>
            <w:pPr>
              <w:spacing w:after="20"/>
              <w:jc w:val="right"/>
            </w:pPr>
            <w:r>
              <w:rPr>
                <w:color w:val="1C3A36"/>
                <w:sz w:val="18"/>
              </w:rPr>
              <w:t>-1.42</w:t>
            </w:r>
          </w:p>
        </w:tc>
        <w:tc>
          <w:tcPr>
            <w:tcW w:type="dxa" w:w="1440"/>
          </w:tcPr>
          <w:p>
            <w:pPr>
              <w:spacing w:after="20"/>
              <w:jc w:val="right"/>
            </w:pPr>
            <w:r>
              <w:rPr>
                <w:color w:val="1C3A36"/>
                <w:sz w:val="18"/>
              </w:rPr>
              <w:t>-1.54</w:t>
            </w:r>
          </w:p>
        </w:tc>
      </w:tr>
      <w:tr>
        <w:tc>
          <w:tcPr>
            <w:tcW w:type="dxa" w:w="2160"/>
          </w:tcPr>
          <w:p>
            <w:pPr>
              <w:spacing w:after="20"/>
            </w:pPr>
            <w:r>
              <w:rPr>
                <w:b/>
                <w:color w:val="1C3A36"/>
                <w:sz w:val="18"/>
              </w:rPr>
              <w:t>16.0%</w:t>
            </w:r>
          </w:p>
        </w:tc>
        <w:tc>
          <w:tcPr>
            <w:tcW w:type="dxa" w:w="1440"/>
          </w:tcPr>
          <w:p>
            <w:pPr>
              <w:spacing w:after="20"/>
              <w:jc w:val="right"/>
            </w:pPr>
            <w:r>
              <w:rPr>
                <w:color w:val="1C3A36"/>
                <w:sz w:val="18"/>
              </w:rPr>
              <w:t>-1.31</w:t>
            </w:r>
          </w:p>
        </w:tc>
        <w:tc>
          <w:tcPr>
            <w:tcW w:type="dxa" w:w="1440"/>
          </w:tcPr>
          <w:p>
            <w:pPr>
              <w:spacing w:after="20"/>
              <w:jc w:val="right"/>
            </w:pPr>
            <w:r>
              <w:rPr>
                <w:color w:val="1C3A36"/>
                <w:sz w:val="18"/>
              </w:rPr>
              <w:t>-1.37</w:t>
            </w:r>
          </w:p>
        </w:tc>
        <w:tc>
          <w:tcPr>
            <w:tcW w:type="dxa" w:w="1440"/>
          </w:tcPr>
          <w:p>
            <w:pPr>
              <w:spacing w:after="20"/>
              <w:jc w:val="right"/>
            </w:pPr>
            <w:r>
              <w:rPr>
                <w:color w:val="1C3A36"/>
                <w:sz w:val="18"/>
              </w:rPr>
              <w:t>-1.44</w:t>
            </w:r>
          </w:p>
        </w:tc>
        <w:tc>
          <w:tcPr>
            <w:tcW w:type="dxa" w:w="1440"/>
          </w:tcPr>
          <w:p>
            <w:pPr>
              <w:spacing w:after="20"/>
              <w:jc w:val="right"/>
            </w:pPr>
            <w:r>
              <w:rPr>
                <w:color w:val="1C3A36"/>
                <w:sz w:val="18"/>
              </w:rPr>
              <w:t>-1.54</w:t>
            </w:r>
          </w:p>
        </w:tc>
        <w:tc>
          <w:tcPr>
            <w:tcW w:type="dxa" w:w="1440"/>
          </w:tcPr>
          <w:p>
            <w:pPr>
              <w:spacing w:after="20"/>
              <w:jc w:val="right"/>
            </w:pPr>
            <w:r>
              <w:rPr>
                <w:color w:val="1C3A36"/>
                <w:sz w:val="18"/>
              </w:rPr>
              <w:t>-1.66</w:t>
            </w:r>
          </w:p>
        </w:tc>
      </w:tr>
      <w:tr>
        <w:tc>
          <w:tcPr>
            <w:tcW w:type="dxa" w:w="2160"/>
          </w:tcPr>
          <w:p>
            <w:pPr>
              <w:spacing w:after="20"/>
            </w:pPr>
            <w:r>
              <w:rPr>
                <w:b/>
                <w:color w:val="1C3A36"/>
                <w:sz w:val="18"/>
              </w:rPr>
              <w:t>17.0%</w:t>
            </w:r>
          </w:p>
        </w:tc>
        <w:tc>
          <w:tcPr>
            <w:tcW w:type="dxa" w:w="1440"/>
          </w:tcPr>
          <w:p>
            <w:pPr>
              <w:spacing w:after="20"/>
              <w:jc w:val="right"/>
            </w:pPr>
            <w:r>
              <w:rPr>
                <w:color w:val="1C3A36"/>
                <w:sz w:val="18"/>
              </w:rPr>
              <w:t>-1.41</w:t>
            </w:r>
          </w:p>
        </w:tc>
        <w:tc>
          <w:tcPr>
            <w:tcW w:type="dxa" w:w="1440"/>
          </w:tcPr>
          <w:p>
            <w:pPr>
              <w:spacing w:after="20"/>
              <w:jc w:val="right"/>
            </w:pPr>
            <w:r>
              <w:rPr>
                <w:color w:val="1C3A36"/>
                <w:sz w:val="18"/>
              </w:rPr>
              <w:t>-1.47</w:t>
            </w:r>
          </w:p>
        </w:tc>
        <w:tc>
          <w:tcPr>
            <w:tcW w:type="dxa" w:w="1440"/>
          </w:tcPr>
          <w:p>
            <w:pPr>
              <w:spacing w:after="20"/>
              <w:jc w:val="right"/>
            </w:pPr>
            <w:r>
              <w:rPr>
                <w:color w:val="1C3A36"/>
                <w:sz w:val="18"/>
              </w:rPr>
              <w:t>-1.55</w:t>
            </w:r>
          </w:p>
        </w:tc>
        <w:tc>
          <w:tcPr>
            <w:tcW w:type="dxa" w:w="1440"/>
          </w:tcPr>
          <w:p>
            <w:pPr>
              <w:spacing w:after="20"/>
              <w:jc w:val="right"/>
            </w:pPr>
            <w:r>
              <w:rPr>
                <w:color w:val="1C3A36"/>
                <w:sz w:val="18"/>
              </w:rPr>
              <w:t>-1.64</w:t>
            </w:r>
          </w:p>
        </w:tc>
        <w:tc>
          <w:tcPr>
            <w:tcW w:type="dxa" w:w="1440"/>
          </w:tcPr>
          <w:p>
            <w:pPr>
              <w:spacing w:after="20"/>
              <w:jc w:val="right"/>
            </w:pPr>
            <w:r>
              <w:rPr>
                <w:color w:val="1C3A36"/>
                <w:sz w:val="18"/>
              </w:rPr>
              <w:t>-1.75</w:t>
            </w:r>
          </w:p>
        </w:tc>
      </w:tr>
    </w:tbl>
    <w:p>
      <w:pPr>
        <w:spacing w:after="40"/>
      </w:pPr>
    </w:p>
    <w:p>
      <w:pPr>
        <w:spacing w:after="200" w:before="0"/>
      </w:pPr>
      <w:r>
        <w:rPr>
          <w:b w:val="0"/>
          <w:i/>
          <w:color w:val="6E7B77"/>
          <w:sz w:val="17"/>
        </w:rPr>
        <w:t>DCF fair value (EGP/share) across terminal WACC × terminal growth. Base cell 15.0% × 5% = 0.01 (equity floored at zero — the base EV does not cover the net debt). Note the g-gradient runs the UNUSUAL way — more growth, less value — because the terminal return on capital (10.3%) sits below the terminal cost of capital (15.0%): growth that earns less than it costs subtracts value. This is the construction working correctly, not an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440"/>
        <w:gridCol w:w="1440"/>
        <w:gridCol w:w="1440"/>
        <w:gridCol w:w="1440"/>
        <w:gridCol w:w="1440"/>
      </w:tblGrid>
      <w:tr>
        <w:tc>
          <w:tcPr>
            <w:tcW w:type="dxa" w:w="2448"/>
            <w:shd w:val="clear" w:color="auto" w:fill="EAF0EE"/>
          </w:tcPr>
          <w:p>
            <w:pPr>
              <w:spacing w:after="20"/>
            </w:pPr>
            <w:r>
              <w:rPr>
                <w:b/>
                <w:color w:val="1C3A36"/>
                <w:sz w:val="18"/>
              </w:rPr>
              <w:t>Explicit \ terminal WACC</w:t>
            </w:r>
          </w:p>
        </w:tc>
        <w:tc>
          <w:tcPr>
            <w:tcW w:type="dxa" w:w="1440"/>
            <w:shd w:val="clear" w:color="auto" w:fill="EAF0EE"/>
          </w:tcPr>
          <w:p>
            <w:pPr>
              <w:spacing w:after="20"/>
            </w:pPr>
            <w:r>
              <w:rPr>
                <w:b/>
                <w:color w:val="1C3A36"/>
                <w:sz w:val="18"/>
              </w:rPr>
              <w:t>13.0%</w:t>
            </w:r>
          </w:p>
        </w:tc>
        <w:tc>
          <w:tcPr>
            <w:tcW w:type="dxa" w:w="1440"/>
            <w:shd w:val="clear" w:color="auto" w:fill="EAF0EE"/>
          </w:tcPr>
          <w:p>
            <w:pPr>
              <w:spacing w:after="20"/>
            </w:pPr>
            <w:r>
              <w:rPr>
                <w:b/>
                <w:color w:val="1C3A36"/>
                <w:sz w:val="18"/>
              </w:rPr>
              <w:t>14.0%</w:t>
            </w:r>
          </w:p>
        </w:tc>
        <w:tc>
          <w:tcPr>
            <w:tcW w:type="dxa" w:w="1440"/>
            <w:shd w:val="clear" w:color="auto" w:fill="EAF0EE"/>
          </w:tcPr>
          <w:p>
            <w:pPr>
              <w:spacing w:after="20"/>
            </w:pPr>
            <w:r>
              <w:rPr>
                <w:b/>
                <w:color w:val="1C3A36"/>
                <w:sz w:val="18"/>
              </w:rPr>
              <w:t>15.0%</w:t>
            </w:r>
          </w:p>
        </w:tc>
        <w:tc>
          <w:tcPr>
            <w:tcW w:type="dxa" w:w="1440"/>
            <w:shd w:val="clear" w:color="auto" w:fill="EAF0EE"/>
          </w:tcPr>
          <w:p>
            <w:pPr>
              <w:spacing w:after="20"/>
            </w:pPr>
            <w:r>
              <w:rPr>
                <w:b/>
                <w:color w:val="1C3A36"/>
                <w:sz w:val="18"/>
              </w:rPr>
              <w:t>16.0%</w:t>
            </w:r>
          </w:p>
        </w:tc>
        <w:tc>
          <w:tcPr>
            <w:tcW w:type="dxa" w:w="1440"/>
            <w:shd w:val="clear" w:color="auto" w:fill="EAF0EE"/>
          </w:tcPr>
          <w:p>
            <w:pPr>
              <w:spacing w:after="20"/>
            </w:pPr>
            <w:r>
              <w:rPr>
                <w:b/>
                <w:color w:val="1C3A36"/>
                <w:sz w:val="18"/>
              </w:rPr>
              <w:t>17.0%</w:t>
            </w:r>
          </w:p>
        </w:tc>
      </w:tr>
      <w:tr>
        <w:tc>
          <w:tcPr>
            <w:tcW w:type="dxa" w:w="2448"/>
          </w:tcPr>
          <w:p>
            <w:pPr>
              <w:spacing w:after="20"/>
            </w:pPr>
            <w:r>
              <w:rPr>
                <w:b/>
                <w:color w:val="1C3A36"/>
                <w:sz w:val="18"/>
              </w:rPr>
              <w:t>19.5%</w:t>
            </w:r>
          </w:p>
        </w:tc>
        <w:tc>
          <w:tcPr>
            <w:tcW w:type="dxa" w:w="1440"/>
          </w:tcPr>
          <w:p>
            <w:pPr>
              <w:spacing w:after="20"/>
              <w:jc w:val="right"/>
            </w:pPr>
            <w:r>
              <w:rPr>
                <w:color w:val="1C3A36"/>
                <w:sz w:val="18"/>
              </w:rPr>
              <w:t>-0.91</w:t>
            </w:r>
          </w:p>
        </w:tc>
        <w:tc>
          <w:tcPr>
            <w:tcW w:type="dxa" w:w="1440"/>
          </w:tcPr>
          <w:p>
            <w:pPr>
              <w:spacing w:after="20"/>
              <w:jc w:val="right"/>
            </w:pPr>
            <w:r>
              <w:rPr>
                <w:color w:val="1C3A36"/>
                <w:sz w:val="18"/>
              </w:rPr>
              <w:t>-1.11</w:t>
            </w:r>
          </w:p>
        </w:tc>
        <w:tc>
          <w:tcPr>
            <w:tcW w:type="dxa" w:w="1440"/>
          </w:tcPr>
          <w:p>
            <w:pPr>
              <w:spacing w:after="20"/>
              <w:jc w:val="right"/>
            </w:pPr>
            <w:r>
              <w:rPr>
                <w:color w:val="1C3A36"/>
                <w:sz w:val="18"/>
              </w:rPr>
              <w:t>-1.27</w:t>
            </w:r>
          </w:p>
        </w:tc>
        <w:tc>
          <w:tcPr>
            <w:tcW w:type="dxa" w:w="1440"/>
          </w:tcPr>
          <w:p>
            <w:pPr>
              <w:spacing w:after="20"/>
              <w:jc w:val="right"/>
            </w:pPr>
            <w:r>
              <w:rPr>
                <w:color w:val="1C3A36"/>
                <w:sz w:val="18"/>
              </w:rPr>
              <w:t>-1.39</w:t>
            </w:r>
          </w:p>
        </w:tc>
        <w:tc>
          <w:tcPr>
            <w:tcW w:type="dxa" w:w="1440"/>
          </w:tcPr>
          <w:p>
            <w:pPr>
              <w:spacing w:after="20"/>
              <w:jc w:val="right"/>
            </w:pPr>
            <w:r>
              <w:rPr>
                <w:color w:val="1C3A36"/>
                <w:sz w:val="18"/>
              </w:rPr>
              <w:t>-1.50</w:t>
            </w:r>
          </w:p>
        </w:tc>
      </w:tr>
      <w:tr>
        <w:tc>
          <w:tcPr>
            <w:tcW w:type="dxa" w:w="2448"/>
          </w:tcPr>
          <w:p>
            <w:pPr>
              <w:spacing w:after="20"/>
            </w:pPr>
            <w:r>
              <w:rPr>
                <w:b/>
                <w:color w:val="1C3A36"/>
                <w:sz w:val="18"/>
              </w:rPr>
              <w:t>20.5%</w:t>
            </w:r>
          </w:p>
        </w:tc>
        <w:tc>
          <w:tcPr>
            <w:tcW w:type="dxa" w:w="1440"/>
          </w:tcPr>
          <w:p>
            <w:pPr>
              <w:spacing w:after="20"/>
              <w:jc w:val="right"/>
            </w:pPr>
            <w:r>
              <w:rPr>
                <w:color w:val="1C3A36"/>
                <w:sz w:val="18"/>
              </w:rPr>
              <w:t>-0.95</w:t>
            </w:r>
          </w:p>
        </w:tc>
        <w:tc>
          <w:tcPr>
            <w:tcW w:type="dxa" w:w="1440"/>
          </w:tcPr>
          <w:p>
            <w:pPr>
              <w:spacing w:after="20"/>
              <w:jc w:val="right"/>
            </w:pPr>
            <w:r>
              <w:rPr>
                <w:color w:val="1C3A36"/>
                <w:sz w:val="18"/>
              </w:rPr>
              <w:t>-1.14</w:t>
            </w:r>
          </w:p>
        </w:tc>
        <w:tc>
          <w:tcPr>
            <w:tcW w:type="dxa" w:w="1440"/>
          </w:tcPr>
          <w:p>
            <w:pPr>
              <w:spacing w:after="20"/>
              <w:jc w:val="right"/>
            </w:pPr>
            <w:r>
              <w:rPr>
                <w:color w:val="1C3A36"/>
                <w:sz w:val="18"/>
              </w:rPr>
              <w:t>-1.29</w:t>
            </w:r>
          </w:p>
        </w:tc>
        <w:tc>
          <w:tcPr>
            <w:tcW w:type="dxa" w:w="1440"/>
          </w:tcPr>
          <w:p>
            <w:pPr>
              <w:spacing w:after="20"/>
              <w:jc w:val="right"/>
            </w:pPr>
            <w:r>
              <w:rPr>
                <w:color w:val="1C3A36"/>
                <w:sz w:val="18"/>
              </w:rPr>
              <w:t>-1.42</w:t>
            </w:r>
          </w:p>
        </w:tc>
        <w:tc>
          <w:tcPr>
            <w:tcW w:type="dxa" w:w="1440"/>
          </w:tcPr>
          <w:p>
            <w:pPr>
              <w:spacing w:after="20"/>
              <w:jc w:val="right"/>
            </w:pPr>
            <w:r>
              <w:rPr>
                <w:color w:val="1C3A36"/>
                <w:sz w:val="18"/>
              </w:rPr>
              <w:t>-1.52</w:t>
            </w:r>
          </w:p>
        </w:tc>
      </w:tr>
      <w:tr>
        <w:tc>
          <w:tcPr>
            <w:tcW w:type="dxa" w:w="2448"/>
          </w:tcPr>
          <w:p>
            <w:pPr>
              <w:spacing w:after="20"/>
            </w:pPr>
            <w:r>
              <w:rPr>
                <w:b/>
                <w:color w:val="1C3A36"/>
                <w:sz w:val="18"/>
              </w:rPr>
              <w:t>21.5%</w:t>
            </w:r>
          </w:p>
        </w:tc>
        <w:tc>
          <w:tcPr>
            <w:tcW w:type="dxa" w:w="1440"/>
          </w:tcPr>
          <w:p>
            <w:pPr>
              <w:spacing w:after="20"/>
              <w:jc w:val="right"/>
            </w:pPr>
            <w:r>
              <w:rPr>
                <w:color w:val="1C3A36"/>
                <w:sz w:val="18"/>
              </w:rPr>
              <w:t>-0.98</w:t>
            </w:r>
          </w:p>
        </w:tc>
        <w:tc>
          <w:tcPr>
            <w:tcW w:type="dxa" w:w="1440"/>
          </w:tcPr>
          <w:p>
            <w:pPr>
              <w:spacing w:after="20"/>
              <w:jc w:val="right"/>
            </w:pPr>
            <w:r>
              <w:rPr>
                <w:color w:val="1C3A36"/>
                <w:sz w:val="18"/>
              </w:rPr>
              <w:t>-1.17</w:t>
            </w:r>
          </w:p>
        </w:tc>
        <w:tc>
          <w:tcPr>
            <w:tcW w:type="dxa" w:w="1440"/>
          </w:tcPr>
          <w:p>
            <w:pPr>
              <w:spacing w:after="20"/>
              <w:jc w:val="right"/>
            </w:pPr>
            <w:r>
              <w:rPr>
                <w:color w:val="1C3A36"/>
                <w:sz w:val="18"/>
              </w:rPr>
              <w:t>-1.32</w:t>
            </w:r>
          </w:p>
        </w:tc>
        <w:tc>
          <w:tcPr>
            <w:tcW w:type="dxa" w:w="1440"/>
          </w:tcPr>
          <w:p>
            <w:pPr>
              <w:spacing w:after="20"/>
              <w:jc w:val="right"/>
            </w:pPr>
            <w:r>
              <w:rPr>
                <w:color w:val="1C3A36"/>
                <w:sz w:val="18"/>
              </w:rPr>
              <w:t>-1.44</w:t>
            </w:r>
          </w:p>
        </w:tc>
        <w:tc>
          <w:tcPr>
            <w:tcW w:type="dxa" w:w="1440"/>
          </w:tcPr>
          <w:p>
            <w:pPr>
              <w:spacing w:after="20"/>
              <w:jc w:val="right"/>
            </w:pPr>
            <w:r>
              <w:rPr>
                <w:color w:val="1C3A36"/>
                <w:sz w:val="18"/>
              </w:rPr>
              <w:t>-1.55</w:t>
            </w:r>
          </w:p>
        </w:tc>
      </w:tr>
      <w:tr>
        <w:tc>
          <w:tcPr>
            <w:tcW w:type="dxa" w:w="2448"/>
          </w:tcPr>
          <w:p>
            <w:pPr>
              <w:spacing w:after="20"/>
            </w:pPr>
            <w:r>
              <w:rPr>
                <w:b/>
                <w:color w:val="1C3A36"/>
                <w:sz w:val="18"/>
              </w:rPr>
              <w:t>22.5%</w:t>
            </w:r>
          </w:p>
        </w:tc>
        <w:tc>
          <w:tcPr>
            <w:tcW w:type="dxa" w:w="1440"/>
          </w:tcPr>
          <w:p>
            <w:pPr>
              <w:spacing w:after="20"/>
              <w:jc w:val="right"/>
            </w:pPr>
            <w:r>
              <w:rPr>
                <w:color w:val="1C3A36"/>
                <w:sz w:val="18"/>
              </w:rPr>
              <w:t>-1.02</w:t>
            </w:r>
          </w:p>
        </w:tc>
        <w:tc>
          <w:tcPr>
            <w:tcW w:type="dxa" w:w="1440"/>
          </w:tcPr>
          <w:p>
            <w:pPr>
              <w:spacing w:after="20"/>
              <w:jc w:val="right"/>
            </w:pPr>
            <w:r>
              <w:rPr>
                <w:color w:val="1C3A36"/>
                <w:sz w:val="18"/>
              </w:rPr>
              <w:t>-1.20</w:t>
            </w:r>
          </w:p>
        </w:tc>
        <w:tc>
          <w:tcPr>
            <w:tcW w:type="dxa" w:w="1440"/>
          </w:tcPr>
          <w:p>
            <w:pPr>
              <w:spacing w:after="20"/>
              <w:jc w:val="right"/>
            </w:pPr>
            <w:r>
              <w:rPr>
                <w:color w:val="1C3A36"/>
                <w:sz w:val="18"/>
              </w:rPr>
              <w:t>-1.35</w:t>
            </w:r>
          </w:p>
        </w:tc>
        <w:tc>
          <w:tcPr>
            <w:tcW w:type="dxa" w:w="1440"/>
          </w:tcPr>
          <w:p>
            <w:pPr>
              <w:spacing w:after="20"/>
              <w:jc w:val="right"/>
            </w:pPr>
            <w:r>
              <w:rPr>
                <w:color w:val="1C3A36"/>
                <w:sz w:val="18"/>
              </w:rPr>
              <w:t>-1.47</w:t>
            </w:r>
          </w:p>
        </w:tc>
        <w:tc>
          <w:tcPr>
            <w:tcW w:type="dxa" w:w="1440"/>
          </w:tcPr>
          <w:p>
            <w:pPr>
              <w:spacing w:after="20"/>
              <w:jc w:val="right"/>
            </w:pPr>
            <w:r>
              <w:rPr>
                <w:color w:val="1C3A36"/>
                <w:sz w:val="18"/>
              </w:rPr>
              <w:t>-1.57</w:t>
            </w:r>
          </w:p>
        </w:tc>
      </w:tr>
      <w:tr>
        <w:tc>
          <w:tcPr>
            <w:tcW w:type="dxa" w:w="2448"/>
          </w:tcPr>
          <w:p>
            <w:pPr>
              <w:spacing w:after="20"/>
            </w:pPr>
            <w:r>
              <w:rPr>
                <w:b/>
                <w:color w:val="1C3A36"/>
                <w:sz w:val="18"/>
              </w:rPr>
              <w:t>23.5%</w:t>
            </w:r>
          </w:p>
        </w:tc>
        <w:tc>
          <w:tcPr>
            <w:tcW w:type="dxa" w:w="1440"/>
          </w:tcPr>
          <w:p>
            <w:pPr>
              <w:spacing w:after="20"/>
              <w:jc w:val="right"/>
            </w:pPr>
            <w:r>
              <w:rPr>
                <w:color w:val="1C3A36"/>
                <w:sz w:val="18"/>
              </w:rPr>
              <w:t>-1.05</w:t>
            </w:r>
          </w:p>
        </w:tc>
        <w:tc>
          <w:tcPr>
            <w:tcW w:type="dxa" w:w="1440"/>
          </w:tcPr>
          <w:p>
            <w:pPr>
              <w:spacing w:after="20"/>
              <w:jc w:val="right"/>
            </w:pPr>
            <w:r>
              <w:rPr>
                <w:color w:val="1C3A36"/>
                <w:sz w:val="18"/>
              </w:rPr>
              <w:t>-1.23</w:t>
            </w:r>
          </w:p>
        </w:tc>
        <w:tc>
          <w:tcPr>
            <w:tcW w:type="dxa" w:w="1440"/>
          </w:tcPr>
          <w:p>
            <w:pPr>
              <w:spacing w:after="20"/>
              <w:jc w:val="right"/>
            </w:pPr>
            <w:r>
              <w:rPr>
                <w:color w:val="1C3A36"/>
                <w:sz w:val="18"/>
              </w:rPr>
              <w:t>-1.37</w:t>
            </w:r>
          </w:p>
        </w:tc>
        <w:tc>
          <w:tcPr>
            <w:tcW w:type="dxa" w:w="1440"/>
          </w:tcPr>
          <w:p>
            <w:pPr>
              <w:spacing w:after="20"/>
              <w:jc w:val="right"/>
            </w:pPr>
            <w:r>
              <w:rPr>
                <w:color w:val="1C3A36"/>
                <w:sz w:val="18"/>
              </w:rPr>
              <w:t>-1.49</w:t>
            </w:r>
          </w:p>
        </w:tc>
        <w:tc>
          <w:tcPr>
            <w:tcW w:type="dxa" w:w="1440"/>
          </w:tcPr>
          <w:p>
            <w:pPr>
              <w:spacing w:after="20"/>
              <w:jc w:val="right"/>
            </w:pPr>
            <w:r>
              <w:rPr>
                <w:color w:val="1C3A36"/>
                <w:sz w:val="18"/>
              </w:rPr>
              <w:t>-1.59</w:t>
            </w:r>
          </w:p>
        </w:tc>
      </w:tr>
    </w:tbl>
    <w:p>
      <w:pPr>
        <w:spacing w:after="40"/>
      </w:pPr>
    </w:p>
    <w:p>
      <w:pPr>
        <w:spacing w:after="200" w:before="0"/>
      </w:pPr>
      <w:r>
        <w:rPr>
          <w:b w:val="0"/>
          <w:i/>
          <w:color w:val="6E7B77"/>
          <w:sz w:val="17"/>
        </w:rPr>
        <w:t>Explicit-window WACC × terminal WACC, each varied independently around its own base — what the valuation needs the ECONOMY to do, separate from what it needs the company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368"/>
        <w:gridCol w:w="1368"/>
        <w:gridCol w:w="1368"/>
        <w:gridCol w:w="1368"/>
      </w:tblGrid>
      <w:tr>
        <w:tc>
          <w:tcPr>
            <w:tcW w:type="dxa" w:w="3024"/>
            <w:shd w:val="clear" w:color="auto" w:fill="EAF0EE"/>
          </w:tcPr>
          <w:p>
            <w:pPr>
              <w:spacing w:after="20"/>
            </w:pPr>
            <w:r>
              <w:rPr>
                <w:b/>
                <w:color w:val="1C3A36"/>
                <w:sz w:val="17"/>
              </w:rPr>
              <w:t>Conversion-EBITDA/t shift \ terminal NWC %</w:t>
            </w:r>
          </w:p>
        </w:tc>
        <w:tc>
          <w:tcPr>
            <w:tcW w:type="dxa" w:w="1368"/>
            <w:shd w:val="clear" w:color="auto" w:fill="EAF0EE"/>
          </w:tcPr>
          <w:p>
            <w:pPr>
              <w:spacing w:after="20"/>
            </w:pPr>
            <w:r>
              <w:rPr>
                <w:b/>
                <w:color w:val="1C3A36"/>
                <w:sz w:val="17"/>
              </w:rPr>
              <w:t>100%</w:t>
            </w:r>
          </w:p>
        </w:tc>
        <w:tc>
          <w:tcPr>
            <w:tcW w:type="dxa" w:w="1368"/>
            <w:shd w:val="clear" w:color="auto" w:fill="EAF0EE"/>
          </w:tcPr>
          <w:p>
            <w:pPr>
              <w:spacing w:after="20"/>
            </w:pPr>
            <w:r>
              <w:rPr>
                <w:b/>
                <w:color w:val="1C3A36"/>
                <w:sz w:val="17"/>
              </w:rPr>
              <w:t>94%</w:t>
            </w:r>
          </w:p>
        </w:tc>
        <w:tc>
          <w:tcPr>
            <w:tcW w:type="dxa" w:w="1368"/>
            <w:shd w:val="clear" w:color="auto" w:fill="EAF0EE"/>
          </w:tcPr>
          <w:p>
            <w:pPr>
              <w:spacing w:after="20"/>
            </w:pPr>
            <w:r>
              <w:rPr>
                <w:b/>
                <w:color w:val="1C3A36"/>
                <w:sz w:val="17"/>
              </w:rPr>
              <w:t>88%</w:t>
            </w:r>
          </w:p>
        </w:tc>
        <w:tc>
          <w:tcPr>
            <w:tcW w:type="dxa" w:w="1368"/>
            <w:shd w:val="clear" w:color="auto" w:fill="EAF0EE"/>
          </w:tcPr>
          <w:p>
            <w:pPr>
              <w:spacing w:after="20"/>
            </w:pPr>
            <w:r>
              <w:rPr>
                <w:b/>
                <w:color w:val="1C3A36"/>
                <w:sz w:val="17"/>
              </w:rPr>
              <w:t>82%</w:t>
            </w:r>
          </w:p>
        </w:tc>
        <w:tc>
          <w:tcPr>
            <w:tcW w:type="dxa" w:w="1368"/>
            <w:shd w:val="clear" w:color="auto" w:fill="EAF0EE"/>
          </w:tcPr>
          <w:p>
            <w:pPr>
              <w:spacing w:after="20"/>
            </w:pPr>
            <w:r>
              <w:rPr>
                <w:b/>
                <w:color w:val="1C3A36"/>
                <w:sz w:val="17"/>
              </w:rPr>
              <w:t>76%</w:t>
            </w:r>
          </w:p>
        </w:tc>
      </w:tr>
      <w:tr>
        <w:tc>
          <w:tcPr>
            <w:tcW w:type="dxa" w:w="3024"/>
          </w:tcPr>
          <w:p>
            <w:pPr>
              <w:spacing w:after="20"/>
            </w:pPr>
            <w:r>
              <w:rPr>
                <w:b/>
                <w:color w:val="1C3A36"/>
                <w:sz w:val="17"/>
              </w:rPr>
              <w:t>-30%</w:t>
            </w:r>
          </w:p>
        </w:tc>
        <w:tc>
          <w:tcPr>
            <w:tcW w:type="dxa" w:w="1368"/>
          </w:tcPr>
          <w:p>
            <w:pPr>
              <w:spacing w:after="20"/>
              <w:jc w:val="right"/>
            </w:pPr>
            <w:r>
              <w:rPr>
                <w:color w:val="1C3A36"/>
                <w:sz w:val="17"/>
              </w:rPr>
              <w:t>-2.72</w:t>
            </w:r>
          </w:p>
        </w:tc>
        <w:tc>
          <w:tcPr>
            <w:tcW w:type="dxa" w:w="1368"/>
          </w:tcPr>
          <w:p>
            <w:pPr>
              <w:spacing w:after="20"/>
              <w:jc w:val="right"/>
            </w:pPr>
            <w:r>
              <w:rPr>
                <w:color w:val="1C3A36"/>
                <w:sz w:val="17"/>
              </w:rPr>
              <w:t>-2.50</w:t>
            </w:r>
          </w:p>
        </w:tc>
        <w:tc>
          <w:tcPr>
            <w:tcW w:type="dxa" w:w="1368"/>
          </w:tcPr>
          <w:p>
            <w:pPr>
              <w:spacing w:after="20"/>
              <w:jc w:val="right"/>
            </w:pPr>
            <w:r>
              <w:rPr>
                <w:color w:val="1C3A36"/>
                <w:sz w:val="17"/>
              </w:rPr>
              <w:t>-2.29</w:t>
            </w:r>
          </w:p>
        </w:tc>
        <w:tc>
          <w:tcPr>
            <w:tcW w:type="dxa" w:w="1368"/>
          </w:tcPr>
          <w:p>
            <w:pPr>
              <w:spacing w:after="20"/>
              <w:jc w:val="right"/>
            </w:pPr>
            <w:r>
              <w:rPr>
                <w:color w:val="1C3A36"/>
                <w:sz w:val="17"/>
              </w:rPr>
              <w:t>-2.07</w:t>
            </w:r>
          </w:p>
        </w:tc>
        <w:tc>
          <w:tcPr>
            <w:tcW w:type="dxa" w:w="1368"/>
          </w:tcPr>
          <w:p>
            <w:pPr>
              <w:spacing w:after="20"/>
              <w:jc w:val="right"/>
            </w:pPr>
            <w:r>
              <w:rPr>
                <w:color w:val="1C3A36"/>
                <w:sz w:val="17"/>
              </w:rPr>
              <w:t>-1.85</w:t>
            </w:r>
          </w:p>
        </w:tc>
      </w:tr>
      <w:tr>
        <w:tc>
          <w:tcPr>
            <w:tcW w:type="dxa" w:w="3024"/>
          </w:tcPr>
          <w:p>
            <w:pPr>
              <w:spacing w:after="20"/>
            </w:pPr>
            <w:r>
              <w:rPr>
                <w:b/>
                <w:color w:val="1C3A36"/>
                <w:sz w:val="17"/>
              </w:rPr>
              <w:t>-15%</w:t>
            </w:r>
          </w:p>
        </w:tc>
        <w:tc>
          <w:tcPr>
            <w:tcW w:type="dxa" w:w="1368"/>
          </w:tcPr>
          <w:p>
            <w:pPr>
              <w:spacing w:after="20"/>
              <w:jc w:val="right"/>
            </w:pPr>
            <w:r>
              <w:rPr>
                <w:color w:val="1C3A36"/>
                <w:sz w:val="17"/>
              </w:rPr>
              <w:t>-2.24</w:t>
            </w:r>
          </w:p>
        </w:tc>
        <w:tc>
          <w:tcPr>
            <w:tcW w:type="dxa" w:w="1368"/>
          </w:tcPr>
          <w:p>
            <w:pPr>
              <w:spacing w:after="20"/>
              <w:jc w:val="right"/>
            </w:pPr>
            <w:r>
              <w:rPr>
                <w:color w:val="1C3A36"/>
                <w:sz w:val="17"/>
              </w:rPr>
              <w:t>-2.02</w:t>
            </w:r>
          </w:p>
        </w:tc>
        <w:tc>
          <w:tcPr>
            <w:tcW w:type="dxa" w:w="1368"/>
          </w:tcPr>
          <w:p>
            <w:pPr>
              <w:spacing w:after="20"/>
              <w:jc w:val="right"/>
            </w:pPr>
            <w:r>
              <w:rPr>
                <w:color w:val="1C3A36"/>
                <w:sz w:val="17"/>
              </w:rPr>
              <w:t>-1.80</w:t>
            </w:r>
          </w:p>
        </w:tc>
        <w:tc>
          <w:tcPr>
            <w:tcW w:type="dxa" w:w="1368"/>
          </w:tcPr>
          <w:p>
            <w:pPr>
              <w:spacing w:after="20"/>
              <w:jc w:val="right"/>
            </w:pPr>
            <w:r>
              <w:rPr>
                <w:color w:val="1C3A36"/>
                <w:sz w:val="17"/>
              </w:rPr>
              <w:t>-1.59</w:t>
            </w:r>
          </w:p>
        </w:tc>
        <w:tc>
          <w:tcPr>
            <w:tcW w:type="dxa" w:w="1368"/>
          </w:tcPr>
          <w:p>
            <w:pPr>
              <w:spacing w:after="20"/>
              <w:jc w:val="right"/>
            </w:pPr>
            <w:r>
              <w:rPr>
                <w:color w:val="1C3A36"/>
                <w:sz w:val="17"/>
              </w:rPr>
              <w:t>-1.37</w:t>
            </w:r>
          </w:p>
        </w:tc>
      </w:tr>
      <w:tr>
        <w:tc>
          <w:tcPr>
            <w:tcW w:type="dxa" w:w="3024"/>
          </w:tcPr>
          <w:p>
            <w:pPr>
              <w:spacing w:after="20"/>
            </w:pPr>
            <w:r>
              <w:rPr>
                <w:b/>
                <w:color w:val="1C3A36"/>
                <w:sz w:val="17"/>
              </w:rPr>
              <w:t>+0%</w:t>
            </w:r>
          </w:p>
        </w:tc>
        <w:tc>
          <w:tcPr>
            <w:tcW w:type="dxa" w:w="1368"/>
          </w:tcPr>
          <w:p>
            <w:pPr>
              <w:spacing w:after="20"/>
              <w:jc w:val="right"/>
            </w:pPr>
            <w:r>
              <w:rPr>
                <w:color w:val="1C3A36"/>
                <w:sz w:val="17"/>
              </w:rPr>
              <w:t>-1.76</w:t>
            </w:r>
          </w:p>
        </w:tc>
        <w:tc>
          <w:tcPr>
            <w:tcW w:type="dxa" w:w="1368"/>
          </w:tcPr>
          <w:p>
            <w:pPr>
              <w:spacing w:after="20"/>
              <w:jc w:val="right"/>
            </w:pPr>
            <w:r>
              <w:rPr>
                <w:color w:val="1C3A36"/>
                <w:sz w:val="17"/>
              </w:rPr>
              <w:t>-1.54</w:t>
            </w:r>
          </w:p>
        </w:tc>
        <w:tc>
          <w:tcPr>
            <w:tcW w:type="dxa" w:w="1368"/>
          </w:tcPr>
          <w:p>
            <w:pPr>
              <w:spacing w:after="20"/>
              <w:jc w:val="right"/>
            </w:pPr>
            <w:r>
              <w:rPr>
                <w:color w:val="1C3A36"/>
                <w:sz w:val="17"/>
              </w:rPr>
              <w:t>-1.32</w:t>
            </w:r>
          </w:p>
        </w:tc>
        <w:tc>
          <w:tcPr>
            <w:tcW w:type="dxa" w:w="1368"/>
          </w:tcPr>
          <w:p>
            <w:pPr>
              <w:spacing w:after="20"/>
              <w:jc w:val="right"/>
            </w:pPr>
            <w:r>
              <w:rPr>
                <w:color w:val="1C3A36"/>
                <w:sz w:val="17"/>
              </w:rPr>
              <w:t>-1.10</w:t>
            </w:r>
          </w:p>
        </w:tc>
        <w:tc>
          <w:tcPr>
            <w:tcW w:type="dxa" w:w="1368"/>
          </w:tcPr>
          <w:p>
            <w:pPr>
              <w:spacing w:after="20"/>
              <w:jc w:val="right"/>
            </w:pPr>
            <w:r>
              <w:rPr>
                <w:color w:val="1C3A36"/>
                <w:sz w:val="17"/>
              </w:rPr>
              <w:t>-0.89</w:t>
            </w:r>
          </w:p>
        </w:tc>
      </w:tr>
      <w:tr>
        <w:tc>
          <w:tcPr>
            <w:tcW w:type="dxa" w:w="3024"/>
          </w:tcPr>
          <w:p>
            <w:pPr>
              <w:spacing w:after="20"/>
            </w:pPr>
            <w:r>
              <w:rPr>
                <w:b/>
                <w:color w:val="1C3A36"/>
                <w:sz w:val="17"/>
              </w:rPr>
              <w:t>+15%</w:t>
            </w:r>
          </w:p>
        </w:tc>
        <w:tc>
          <w:tcPr>
            <w:tcW w:type="dxa" w:w="1368"/>
          </w:tcPr>
          <w:p>
            <w:pPr>
              <w:spacing w:after="20"/>
              <w:jc w:val="right"/>
            </w:pPr>
            <w:r>
              <w:rPr>
                <w:color w:val="1C3A36"/>
                <w:sz w:val="17"/>
              </w:rPr>
              <w:t>-1.27</w:t>
            </w:r>
          </w:p>
        </w:tc>
        <w:tc>
          <w:tcPr>
            <w:tcW w:type="dxa" w:w="1368"/>
          </w:tcPr>
          <w:p>
            <w:pPr>
              <w:spacing w:after="20"/>
              <w:jc w:val="right"/>
            </w:pPr>
            <w:r>
              <w:rPr>
                <w:color w:val="1C3A36"/>
                <w:sz w:val="17"/>
              </w:rPr>
              <w:t>-1.06</w:t>
            </w:r>
          </w:p>
        </w:tc>
        <w:tc>
          <w:tcPr>
            <w:tcW w:type="dxa" w:w="1368"/>
          </w:tcPr>
          <w:p>
            <w:pPr>
              <w:spacing w:after="20"/>
              <w:jc w:val="right"/>
            </w:pPr>
            <w:r>
              <w:rPr>
                <w:color w:val="1C3A36"/>
                <w:sz w:val="17"/>
              </w:rPr>
              <w:t>-0.84</w:t>
            </w:r>
          </w:p>
        </w:tc>
        <w:tc>
          <w:tcPr>
            <w:tcW w:type="dxa" w:w="1368"/>
          </w:tcPr>
          <w:p>
            <w:pPr>
              <w:spacing w:after="20"/>
              <w:jc w:val="right"/>
            </w:pPr>
            <w:r>
              <w:rPr>
                <w:color w:val="1C3A36"/>
                <w:sz w:val="17"/>
              </w:rPr>
              <w:t>-0.62</w:t>
            </w:r>
          </w:p>
        </w:tc>
        <w:tc>
          <w:tcPr>
            <w:tcW w:type="dxa" w:w="1368"/>
          </w:tcPr>
          <w:p>
            <w:pPr>
              <w:spacing w:after="20"/>
              <w:jc w:val="right"/>
            </w:pPr>
            <w:r>
              <w:rPr>
                <w:color w:val="1C3A36"/>
                <w:sz w:val="17"/>
              </w:rPr>
              <w:t>-0.40</w:t>
            </w:r>
          </w:p>
        </w:tc>
      </w:tr>
      <w:tr>
        <w:tc>
          <w:tcPr>
            <w:tcW w:type="dxa" w:w="3024"/>
          </w:tcPr>
          <w:p>
            <w:pPr>
              <w:spacing w:after="20"/>
            </w:pPr>
            <w:r>
              <w:rPr>
                <w:b/>
                <w:color w:val="1C3A36"/>
                <w:sz w:val="17"/>
              </w:rPr>
              <w:t>+30%</w:t>
            </w:r>
          </w:p>
        </w:tc>
        <w:tc>
          <w:tcPr>
            <w:tcW w:type="dxa" w:w="1368"/>
          </w:tcPr>
          <w:p>
            <w:pPr>
              <w:spacing w:after="20"/>
              <w:jc w:val="right"/>
            </w:pPr>
            <w:r>
              <w:rPr>
                <w:color w:val="1C3A36"/>
                <w:sz w:val="17"/>
              </w:rPr>
              <w:t>-0.79</w:t>
            </w:r>
          </w:p>
        </w:tc>
        <w:tc>
          <w:tcPr>
            <w:tcW w:type="dxa" w:w="1368"/>
          </w:tcPr>
          <w:p>
            <w:pPr>
              <w:spacing w:after="20"/>
              <w:jc w:val="right"/>
            </w:pPr>
            <w:r>
              <w:rPr>
                <w:color w:val="1C3A36"/>
                <w:sz w:val="17"/>
              </w:rPr>
              <w:t>-0.57</w:t>
            </w:r>
          </w:p>
        </w:tc>
        <w:tc>
          <w:tcPr>
            <w:tcW w:type="dxa" w:w="1368"/>
          </w:tcPr>
          <w:p>
            <w:pPr>
              <w:spacing w:after="20"/>
              <w:jc w:val="right"/>
            </w:pPr>
            <w:r>
              <w:rPr>
                <w:color w:val="1C3A36"/>
                <w:sz w:val="17"/>
              </w:rPr>
              <w:t>-0.35</w:t>
            </w:r>
          </w:p>
        </w:tc>
        <w:tc>
          <w:tcPr>
            <w:tcW w:type="dxa" w:w="1368"/>
          </w:tcPr>
          <w:p>
            <w:pPr>
              <w:spacing w:after="20"/>
              <w:jc w:val="right"/>
            </w:pPr>
            <w:r>
              <w:rPr>
                <w:color w:val="1C3A36"/>
                <w:sz w:val="17"/>
              </w:rPr>
              <w:t>-0.14</w:t>
            </w:r>
          </w:p>
        </w:tc>
        <w:tc>
          <w:tcPr>
            <w:tcW w:type="dxa" w:w="1368"/>
          </w:tcPr>
          <w:p>
            <w:pPr>
              <w:spacing w:after="20"/>
              <w:jc w:val="right"/>
            </w:pPr>
            <w:r>
              <w:rPr>
                <w:color w:val="1C3A36"/>
                <w:sz w:val="17"/>
              </w:rPr>
              <w:t>0.08</w:t>
            </w:r>
          </w:p>
        </w:tc>
      </w:tr>
    </w:tbl>
    <w:p>
      <w:pPr>
        <w:spacing w:after="40"/>
      </w:pPr>
    </w:p>
    <w:p>
      <w:pPr>
        <w:spacing w:after="200" w:before="0"/>
      </w:pPr>
      <w:r>
        <w:rPr>
          <w:b w:val="0"/>
          <w:i/>
          <w:color w:val="6E7B77"/>
          <w:sz w:val="17"/>
        </w:rPr>
        <w:t>The company grid: conversion economics × working-capital collection. +30% on conversion EBITDA/t (≈175 k EGP/t — a partial return of the windfall) AND collection back toward FY24’s ~76% intensity still does not reach spot on this lens alone; the market price needs the bull case on every axis at once, including the cost of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584"/>
        <w:gridCol w:w="1872"/>
        <w:gridCol w:w="1872"/>
        <w:gridCol w:w="1728"/>
      </w:tblGrid>
      <w:tr>
        <w:tc>
          <w:tcPr>
            <w:tcW w:type="dxa" w:w="2160"/>
            <w:shd w:val="clear" w:color="auto" w:fill="EAF0EE"/>
          </w:tcPr>
          <w:p>
            <w:pPr>
              <w:spacing w:after="20"/>
            </w:pPr>
            <w:r>
              <w:rPr>
                <w:b/>
                <w:color w:val="1C3A36"/>
                <w:sz w:val="17"/>
              </w:rPr>
              <w:t>Beta</w:t>
            </w:r>
          </w:p>
        </w:tc>
        <w:tc>
          <w:tcPr>
            <w:tcW w:type="dxa" w:w="1584"/>
            <w:shd w:val="clear" w:color="auto" w:fill="EAF0EE"/>
          </w:tcPr>
          <w:p>
            <w:pPr>
              <w:spacing w:after="20"/>
            </w:pPr>
            <w:r>
              <w:rPr>
                <w:b/>
                <w:color w:val="1C3A36"/>
                <w:sz w:val="17"/>
              </w:rPr>
              <w:t>Ke</w:t>
            </w:r>
          </w:p>
        </w:tc>
        <w:tc>
          <w:tcPr>
            <w:tcW w:type="dxa" w:w="1872"/>
            <w:shd w:val="clear" w:color="auto" w:fill="EAF0EE"/>
          </w:tcPr>
          <w:p>
            <w:pPr>
              <w:spacing w:after="20"/>
            </w:pPr>
            <w:r>
              <w:rPr>
                <w:b/>
                <w:color w:val="1C3A36"/>
                <w:sz w:val="17"/>
              </w:rPr>
              <w:t>WACC (explicit)</w:t>
            </w:r>
          </w:p>
        </w:tc>
        <w:tc>
          <w:tcPr>
            <w:tcW w:type="dxa" w:w="1872"/>
            <w:shd w:val="clear" w:color="auto" w:fill="EAF0EE"/>
          </w:tcPr>
          <w:p>
            <w:pPr>
              <w:spacing w:after="20"/>
            </w:pPr>
            <w:r>
              <w:rPr>
                <w:b/>
                <w:color w:val="1C3A36"/>
                <w:sz w:val="17"/>
              </w:rPr>
              <w:t>WACC (terminal)</w:t>
            </w:r>
          </w:p>
        </w:tc>
        <w:tc>
          <w:tcPr>
            <w:tcW w:type="dxa" w:w="1728"/>
            <w:shd w:val="clear" w:color="auto" w:fill="EAF0EE"/>
          </w:tcPr>
          <w:p>
            <w:pPr>
              <w:spacing w:after="20"/>
            </w:pPr>
            <w:r>
              <w:rPr>
                <w:b/>
                <w:color w:val="1C3A36"/>
                <w:sz w:val="17"/>
              </w:rPr>
              <w:t>DCF (EGP/sh)</w:t>
            </w:r>
          </w:p>
        </w:tc>
      </w:tr>
      <w:tr>
        <w:tc>
          <w:tcPr>
            <w:tcW w:type="dxa" w:w="2160"/>
          </w:tcPr>
          <w:p>
            <w:pPr>
              <w:spacing w:after="20"/>
            </w:pPr>
            <w:r>
              <w:rPr>
                <w:b/>
                <w:color w:val="1C3A36"/>
                <w:sz w:val="17"/>
              </w:rPr>
              <w:t>0.60</w:t>
            </w:r>
          </w:p>
        </w:tc>
        <w:tc>
          <w:tcPr>
            <w:tcW w:type="dxa" w:w="1584"/>
          </w:tcPr>
          <w:p>
            <w:pPr>
              <w:spacing w:after="20"/>
              <w:jc w:val="right"/>
            </w:pPr>
            <w:r>
              <w:rPr>
                <w:color w:val="1C3A36"/>
                <w:sz w:val="17"/>
              </w:rPr>
              <w:t>24.6%</w:t>
            </w:r>
          </w:p>
        </w:tc>
        <w:tc>
          <w:tcPr>
            <w:tcW w:type="dxa" w:w="1872"/>
          </w:tcPr>
          <w:p>
            <w:pPr>
              <w:spacing w:after="20"/>
              <w:jc w:val="right"/>
            </w:pPr>
            <w:r>
              <w:rPr>
                <w:color w:val="1C3A36"/>
                <w:sz w:val="17"/>
              </w:rPr>
              <w:t>20.1%</w:t>
            </w:r>
          </w:p>
        </w:tc>
        <w:tc>
          <w:tcPr>
            <w:tcW w:type="dxa" w:w="1872"/>
          </w:tcPr>
          <w:p>
            <w:pPr>
              <w:spacing w:after="20"/>
              <w:jc w:val="right"/>
            </w:pPr>
            <w:r>
              <w:rPr>
                <w:color w:val="1C3A36"/>
                <w:sz w:val="17"/>
              </w:rPr>
              <w:t>13.5%</w:t>
            </w:r>
          </w:p>
        </w:tc>
        <w:tc>
          <w:tcPr>
            <w:tcW w:type="dxa" w:w="1728"/>
          </w:tcPr>
          <w:p>
            <w:pPr>
              <w:spacing w:after="20"/>
              <w:jc w:val="right"/>
            </w:pPr>
            <w:r>
              <w:rPr>
                <w:color w:val="1C3A36"/>
                <w:sz w:val="17"/>
              </w:rPr>
              <w:t>-1.08</w:t>
            </w:r>
          </w:p>
        </w:tc>
      </w:tr>
      <w:tr>
        <w:tc>
          <w:tcPr>
            <w:tcW w:type="dxa" w:w="2160"/>
          </w:tcPr>
          <w:p>
            <w:pPr>
              <w:spacing w:after="20"/>
            </w:pPr>
            <w:r>
              <w:rPr>
                <w:b/>
                <w:color w:val="1C3A36"/>
                <w:sz w:val="17"/>
              </w:rPr>
              <w:t>0.78 ← CI low</w:t>
            </w:r>
          </w:p>
        </w:tc>
        <w:tc>
          <w:tcPr>
            <w:tcW w:type="dxa" w:w="1584"/>
          </w:tcPr>
          <w:p>
            <w:pPr>
              <w:spacing w:after="20"/>
              <w:jc w:val="right"/>
            </w:pPr>
            <w:r>
              <w:rPr>
                <w:color w:val="1C3A36"/>
                <w:sz w:val="17"/>
              </w:rPr>
              <w:t>26.2%</w:t>
            </w:r>
          </w:p>
        </w:tc>
        <w:tc>
          <w:tcPr>
            <w:tcW w:type="dxa" w:w="1872"/>
          </w:tcPr>
          <w:p>
            <w:pPr>
              <w:spacing w:after="20"/>
              <w:jc w:val="right"/>
            </w:pPr>
            <w:r>
              <w:rPr>
                <w:color w:val="1C3A36"/>
                <w:sz w:val="17"/>
              </w:rPr>
              <w:t>20.8%</w:t>
            </w:r>
          </w:p>
        </w:tc>
        <w:tc>
          <w:tcPr>
            <w:tcW w:type="dxa" w:w="1872"/>
          </w:tcPr>
          <w:p>
            <w:pPr>
              <w:spacing w:after="20"/>
              <w:jc w:val="right"/>
            </w:pPr>
            <w:r>
              <w:rPr>
                <w:color w:val="1C3A36"/>
                <w:sz w:val="17"/>
              </w:rPr>
              <w:t>14.2%</w:t>
            </w:r>
          </w:p>
        </w:tc>
        <w:tc>
          <w:tcPr>
            <w:tcW w:type="dxa" w:w="1728"/>
          </w:tcPr>
          <w:p>
            <w:pPr>
              <w:spacing w:after="20"/>
              <w:jc w:val="right"/>
            </w:pPr>
            <w:r>
              <w:rPr>
                <w:color w:val="1C3A36"/>
                <w:sz w:val="17"/>
              </w:rPr>
              <w:t>-1.21</w:t>
            </w:r>
          </w:p>
        </w:tc>
      </w:tr>
      <w:tr>
        <w:tc>
          <w:tcPr>
            <w:tcW w:type="dxa" w:w="2160"/>
          </w:tcPr>
          <w:p>
            <w:pPr>
              <w:spacing w:after="20"/>
            </w:pPr>
            <w:r>
              <w:rPr>
                <w:b/>
                <w:color w:val="1C3A36"/>
                <w:sz w:val="17"/>
              </w:rPr>
              <w:t>0.80</w:t>
            </w:r>
          </w:p>
        </w:tc>
        <w:tc>
          <w:tcPr>
            <w:tcW w:type="dxa" w:w="1584"/>
          </w:tcPr>
          <w:p>
            <w:pPr>
              <w:spacing w:after="20"/>
              <w:jc w:val="right"/>
            </w:pPr>
            <w:r>
              <w:rPr>
                <w:color w:val="1C3A36"/>
                <w:sz w:val="17"/>
              </w:rPr>
              <w:t>26.4%</w:t>
            </w:r>
          </w:p>
        </w:tc>
        <w:tc>
          <w:tcPr>
            <w:tcW w:type="dxa" w:w="1872"/>
          </w:tcPr>
          <w:p>
            <w:pPr>
              <w:spacing w:after="20"/>
              <w:jc w:val="right"/>
            </w:pPr>
            <w:r>
              <w:rPr>
                <w:color w:val="1C3A36"/>
                <w:sz w:val="17"/>
              </w:rPr>
              <w:t>20.9%</w:t>
            </w:r>
          </w:p>
        </w:tc>
        <w:tc>
          <w:tcPr>
            <w:tcW w:type="dxa" w:w="1872"/>
          </w:tcPr>
          <w:p>
            <w:pPr>
              <w:spacing w:after="20"/>
              <w:jc w:val="right"/>
            </w:pPr>
            <w:r>
              <w:rPr>
                <w:color w:val="1C3A36"/>
                <w:sz w:val="17"/>
              </w:rPr>
              <w:t>14.3%</w:t>
            </w:r>
          </w:p>
        </w:tc>
        <w:tc>
          <w:tcPr>
            <w:tcW w:type="dxa" w:w="1728"/>
          </w:tcPr>
          <w:p>
            <w:pPr>
              <w:spacing w:after="20"/>
              <w:jc w:val="right"/>
            </w:pPr>
            <w:r>
              <w:rPr>
                <w:color w:val="1C3A36"/>
                <w:sz w:val="17"/>
              </w:rPr>
              <w:t>-1.22</w:t>
            </w:r>
          </w:p>
        </w:tc>
      </w:tr>
      <w:tr>
        <w:tc>
          <w:tcPr>
            <w:tcW w:type="dxa" w:w="2160"/>
          </w:tcPr>
          <w:p>
            <w:pPr>
              <w:spacing w:after="20"/>
            </w:pPr>
            <w:r>
              <w:rPr>
                <w:b/>
                <w:color w:val="1C3A36"/>
                <w:sz w:val="17"/>
              </w:rPr>
              <w:t>0.96 ← used</w:t>
            </w:r>
          </w:p>
        </w:tc>
        <w:tc>
          <w:tcPr>
            <w:tcW w:type="dxa" w:w="1584"/>
          </w:tcPr>
          <w:p>
            <w:pPr>
              <w:spacing w:after="20"/>
              <w:jc w:val="right"/>
            </w:pPr>
            <w:r>
              <w:rPr>
                <w:color w:val="1C3A36"/>
                <w:sz w:val="17"/>
              </w:rPr>
              <w:t>28.0%</w:t>
            </w:r>
          </w:p>
        </w:tc>
        <w:tc>
          <w:tcPr>
            <w:tcW w:type="dxa" w:w="1872"/>
          </w:tcPr>
          <w:p>
            <w:pPr>
              <w:spacing w:after="20"/>
              <w:jc w:val="right"/>
            </w:pPr>
            <w:r>
              <w:rPr>
                <w:color w:val="1C3A36"/>
                <w:sz w:val="17"/>
              </w:rPr>
              <w:t>21.5%</w:t>
            </w:r>
          </w:p>
        </w:tc>
        <w:tc>
          <w:tcPr>
            <w:tcW w:type="dxa" w:w="1872"/>
          </w:tcPr>
          <w:p>
            <w:pPr>
              <w:spacing w:after="20"/>
              <w:jc w:val="right"/>
            </w:pPr>
            <w:r>
              <w:rPr>
                <w:color w:val="1C3A36"/>
                <w:sz w:val="17"/>
              </w:rPr>
              <w:t>15.0%</w:t>
            </w:r>
          </w:p>
        </w:tc>
        <w:tc>
          <w:tcPr>
            <w:tcW w:type="dxa" w:w="1728"/>
          </w:tcPr>
          <w:p>
            <w:pPr>
              <w:spacing w:after="20"/>
              <w:jc w:val="right"/>
            </w:pPr>
            <w:r>
              <w:rPr>
                <w:color w:val="1C3A36"/>
                <w:sz w:val="17"/>
              </w:rPr>
              <w:t>-1.32</w:t>
            </w:r>
          </w:p>
        </w:tc>
      </w:tr>
      <w:tr>
        <w:tc>
          <w:tcPr>
            <w:tcW w:type="dxa" w:w="2160"/>
          </w:tcPr>
          <w:p>
            <w:pPr>
              <w:spacing w:after="20"/>
            </w:pPr>
            <w:r>
              <w:rPr>
                <w:b/>
                <w:color w:val="1C3A36"/>
                <w:sz w:val="17"/>
              </w:rPr>
              <w:t>1.00</w:t>
            </w:r>
          </w:p>
        </w:tc>
        <w:tc>
          <w:tcPr>
            <w:tcW w:type="dxa" w:w="1584"/>
          </w:tcPr>
          <w:p>
            <w:pPr>
              <w:spacing w:after="20"/>
              <w:jc w:val="right"/>
            </w:pPr>
            <w:r>
              <w:rPr>
                <w:color w:val="1C3A36"/>
                <w:sz w:val="17"/>
              </w:rPr>
              <w:t>28.3%</w:t>
            </w:r>
          </w:p>
        </w:tc>
        <w:tc>
          <w:tcPr>
            <w:tcW w:type="dxa" w:w="1872"/>
          </w:tcPr>
          <w:p>
            <w:pPr>
              <w:spacing w:after="20"/>
              <w:jc w:val="right"/>
            </w:pPr>
            <w:r>
              <w:rPr>
                <w:color w:val="1C3A36"/>
                <w:sz w:val="17"/>
              </w:rPr>
              <w:t>21.7%</w:t>
            </w:r>
          </w:p>
        </w:tc>
        <w:tc>
          <w:tcPr>
            <w:tcW w:type="dxa" w:w="1872"/>
          </w:tcPr>
          <w:p>
            <w:pPr>
              <w:spacing w:after="20"/>
              <w:jc w:val="right"/>
            </w:pPr>
            <w:r>
              <w:rPr>
                <w:color w:val="1C3A36"/>
                <w:sz w:val="17"/>
              </w:rPr>
              <w:t>15.2%</w:t>
            </w:r>
          </w:p>
        </w:tc>
        <w:tc>
          <w:tcPr>
            <w:tcW w:type="dxa" w:w="1728"/>
          </w:tcPr>
          <w:p>
            <w:pPr>
              <w:spacing w:after="20"/>
              <w:jc w:val="right"/>
            </w:pPr>
            <w:r>
              <w:rPr>
                <w:color w:val="1C3A36"/>
                <w:sz w:val="17"/>
              </w:rPr>
              <w:t>-1.34</w:t>
            </w:r>
          </w:p>
        </w:tc>
      </w:tr>
      <w:tr>
        <w:tc>
          <w:tcPr>
            <w:tcW w:type="dxa" w:w="2160"/>
          </w:tcPr>
          <w:p>
            <w:pPr>
              <w:spacing w:after="20"/>
            </w:pPr>
            <w:r>
              <w:rPr>
                <w:b/>
                <w:color w:val="1C3A36"/>
                <w:sz w:val="17"/>
              </w:rPr>
              <w:t>1.15 ← CI high</w:t>
            </w:r>
          </w:p>
        </w:tc>
        <w:tc>
          <w:tcPr>
            <w:tcW w:type="dxa" w:w="1584"/>
          </w:tcPr>
          <w:p>
            <w:pPr>
              <w:spacing w:after="20"/>
              <w:jc w:val="right"/>
            </w:pPr>
            <w:r>
              <w:rPr>
                <w:color w:val="1C3A36"/>
                <w:sz w:val="17"/>
              </w:rPr>
              <w:t>29.7%</w:t>
            </w:r>
          </w:p>
        </w:tc>
        <w:tc>
          <w:tcPr>
            <w:tcW w:type="dxa" w:w="1872"/>
          </w:tcPr>
          <w:p>
            <w:pPr>
              <w:spacing w:after="20"/>
              <w:jc w:val="right"/>
            </w:pPr>
            <w:r>
              <w:rPr>
                <w:color w:val="1C3A36"/>
                <w:sz w:val="17"/>
              </w:rPr>
              <w:t>22.2%</w:t>
            </w:r>
          </w:p>
        </w:tc>
        <w:tc>
          <w:tcPr>
            <w:tcW w:type="dxa" w:w="1872"/>
          </w:tcPr>
          <w:p>
            <w:pPr>
              <w:spacing w:after="20"/>
              <w:jc w:val="right"/>
            </w:pPr>
            <w:r>
              <w:rPr>
                <w:color w:val="1C3A36"/>
                <w:sz w:val="17"/>
              </w:rPr>
              <w:t>15.8%</w:t>
            </w:r>
          </w:p>
        </w:tc>
        <w:tc>
          <w:tcPr>
            <w:tcW w:type="dxa" w:w="1728"/>
          </w:tcPr>
          <w:p>
            <w:pPr>
              <w:spacing w:after="20"/>
              <w:jc w:val="right"/>
            </w:pPr>
            <w:r>
              <w:rPr>
                <w:color w:val="1C3A36"/>
                <w:sz w:val="17"/>
              </w:rPr>
              <w:t>-1.42</w:t>
            </w:r>
          </w:p>
        </w:tc>
      </w:tr>
      <w:tr>
        <w:tc>
          <w:tcPr>
            <w:tcW w:type="dxa" w:w="2160"/>
          </w:tcPr>
          <w:p>
            <w:pPr>
              <w:spacing w:after="20"/>
            </w:pPr>
            <w:r>
              <w:rPr>
                <w:b/>
                <w:color w:val="1C3A36"/>
                <w:sz w:val="17"/>
              </w:rPr>
              <w:t>1.30</w:t>
            </w:r>
          </w:p>
        </w:tc>
        <w:tc>
          <w:tcPr>
            <w:tcW w:type="dxa" w:w="1584"/>
          </w:tcPr>
          <w:p>
            <w:pPr>
              <w:spacing w:after="20"/>
              <w:jc w:val="right"/>
            </w:pPr>
            <w:r>
              <w:rPr>
                <w:color w:val="1C3A36"/>
                <w:sz w:val="17"/>
              </w:rPr>
              <w:t>31.1%</w:t>
            </w:r>
          </w:p>
        </w:tc>
        <w:tc>
          <w:tcPr>
            <w:tcW w:type="dxa" w:w="1872"/>
          </w:tcPr>
          <w:p>
            <w:pPr>
              <w:spacing w:after="20"/>
              <w:jc w:val="right"/>
            </w:pPr>
            <w:r>
              <w:rPr>
                <w:color w:val="1C3A36"/>
                <w:sz w:val="17"/>
              </w:rPr>
              <w:t>22.8%</w:t>
            </w:r>
          </w:p>
        </w:tc>
        <w:tc>
          <w:tcPr>
            <w:tcW w:type="dxa" w:w="1872"/>
          </w:tcPr>
          <w:p>
            <w:pPr>
              <w:spacing w:after="20"/>
              <w:jc w:val="right"/>
            </w:pPr>
            <w:r>
              <w:rPr>
                <w:color w:val="1C3A36"/>
                <w:sz w:val="17"/>
              </w:rPr>
              <w:t>16.4%</w:t>
            </w:r>
          </w:p>
        </w:tc>
        <w:tc>
          <w:tcPr>
            <w:tcW w:type="dxa" w:w="1728"/>
          </w:tcPr>
          <w:p>
            <w:pPr>
              <w:spacing w:after="20"/>
              <w:jc w:val="right"/>
            </w:pPr>
            <w:r>
              <w:rPr>
                <w:color w:val="1C3A36"/>
                <w:sz w:val="17"/>
              </w:rPr>
              <w:t>-1.49</w:t>
            </w:r>
          </w:p>
        </w:tc>
      </w:tr>
    </w:tbl>
    <w:p>
      <w:pPr>
        <w:spacing w:after="40"/>
      </w:pPr>
    </w:p>
    <w:p>
      <w:pPr>
        <w:spacing w:after="200" w:before="0"/>
      </w:pPr>
      <w:r>
        <w:rPr>
          <w:b w:val="0"/>
          <w:i/>
          <w:color w:val="6E7B77"/>
          <w:sz w:val="17"/>
        </w:rPr>
        <w:t>Beta sensitivity spanning the regression’s own 90% confidence interval plus the fixed house anchors. The valuation conclusion does not turn on the beta.</w:t>
      </w:r>
    </w:p>
    <w:p>
      <w:pPr>
        <w:spacing w:after="120" w:before="280"/>
      </w:pPr>
      <w:r>
        <w:rPr>
          <w:b/>
          <w:i w:val="0"/>
          <w:color w:val="1C3A36"/>
          <w:sz w:val="30"/>
        </w:rPr>
        <w:t>2  Technical and price structure</w:t>
      </w:r>
    </w:p>
    <w:p>
      <w:pPr>
        <w:spacing w:after="120" w:before="0"/>
      </w:pPr>
      <w:r>
        <w:rPr>
          <w:b w:val="0"/>
          <w:i w:val="0"/>
          <w:color w:val="1C3A36"/>
          <w:sz w:val="21"/>
        </w:rPr>
        <w:t>The tape is neutral: a stock that de-rated hard (−28% year-to-date, −21% over twelve months) and is now basing. Price sits above the 20/50/100-day averages but below a still-falling 200-day near 2.40 — the signature of a countertrend rally inside a larger downtrend, powered by the July-2026 EGX small-cap rotation rather than company news. RSI in the mid-50s and a flat MACD confirm: no strong signal either way. The deep floor is the 52-week low at 1.90; the ceiling that matters is the 200-day / 2.40–2.50 shelf, then the February-2026 block-trade zone near 2.80.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2.19</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2.18 / 2.14</w:t>
            </w:r>
          </w:p>
        </w:tc>
        <w:tc>
          <w:tcPr>
            <w:tcW w:type="dxa" w:w="3600"/>
          </w:tcPr>
          <w:p>
            <w:pPr>
              <w:spacing w:after="20"/>
              <w:jc w:val="right"/>
            </w:pPr>
            <w:r>
              <w:rPr>
                <w:color w:val="1C3A36"/>
                <w:sz w:val="18"/>
              </w:rPr>
              <w:t>Above both — short-term stabilising</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2.14 / 2.40</w:t>
            </w:r>
          </w:p>
        </w:tc>
        <w:tc>
          <w:tcPr>
            <w:tcW w:type="dxa" w:w="3600"/>
          </w:tcPr>
          <w:p>
            <w:pPr>
              <w:spacing w:after="20"/>
              <w:jc w:val="right"/>
            </w:pPr>
            <w:r>
              <w:rPr>
                <w:color w:val="1C3A36"/>
                <w:sz w:val="18"/>
              </w:rPr>
              <w:t>Above 100 · below a falling 200 — larger trend still down</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53.9</w:t>
            </w:r>
          </w:p>
        </w:tc>
        <w:tc>
          <w:tcPr>
            <w:tcW w:type="dxa" w:w="3600"/>
          </w:tcPr>
          <w:p>
            <w:pPr>
              <w:spacing w:after="20"/>
              <w:jc w:val="right"/>
            </w:pPr>
            <w:r>
              <w:rPr>
                <w:color w:val="1C3A36"/>
                <w:sz w:val="18"/>
              </w:rPr>
              <w:t>Neutral</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+0.011 line / +0.015 signal / -0.004 hist</w:t>
            </w:r>
          </w:p>
        </w:tc>
        <w:tc>
          <w:tcPr>
            <w:tcW w:type="dxa" w:w="3600"/>
          </w:tcPr>
          <w:p>
            <w:pPr>
              <w:spacing w:after="20"/>
              <w:jc w:val="right"/>
            </w:pPr>
            <w:r>
              <w:rPr>
                <w:color w:val="1C3A36"/>
                <w:sz w:val="18"/>
              </w:rPr>
              <w:t>Flat, momentum fading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1.90 – 3.36</w:t>
            </w:r>
          </w:p>
        </w:tc>
        <w:tc>
          <w:tcPr>
            <w:tcW w:type="dxa" w:w="3600"/>
          </w:tcPr>
          <w:p>
            <w:pPr>
              <w:spacing w:after="20"/>
              <w:jc w:val="right"/>
            </w:pPr>
            <w:r>
              <w:rPr>
                <w:color w:val="1C3A36"/>
                <w:sz w:val="18"/>
              </w:rPr>
              <w:t>Lower third of the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27.8%</w:t>
            </w:r>
          </w:p>
        </w:tc>
        <w:tc>
          <w:tcPr>
            <w:tcW w:type="dxa" w:w="3600"/>
          </w:tcPr>
          <w:p>
            <w:pPr>
              <w:spacing w:after="20"/>
              <w:jc w:val="right"/>
            </w:pPr>
            <w:r>
              <w:rPr>
                <w:color w:val="1C3A36"/>
                <w:sz w:val="18"/>
              </w:rPr>
              <w:t>Moderate for an EGX small-cap</w:t>
            </w:r>
          </w:p>
        </w:tc>
      </w:tr>
      <w:tr>
        <w:tc>
          <w:tcPr>
            <w:tcW w:type="dxa" w:w="2592"/>
          </w:tcPr>
          <w:p>
            <w:pPr>
              <w:spacing w:after="20"/>
            </w:pPr>
            <w:r>
              <w:rPr>
                <w:b/>
                <w:color w:val="1C3A36"/>
                <w:sz w:val="18"/>
              </w:rPr>
              <w:t>12-month / YTD return</w:t>
            </w:r>
          </w:p>
        </w:tc>
        <w:tc>
          <w:tcPr>
            <w:tcW w:type="dxa" w:w="3744"/>
          </w:tcPr>
          <w:p>
            <w:pPr>
              <w:spacing w:after="20"/>
              <w:jc w:val="right"/>
            </w:pPr>
            <w:r>
              <w:rPr>
                <w:color w:val="1C3A36"/>
                <w:sz w:val="18"/>
              </w:rPr>
              <w:t>-21% / -28%</w:t>
            </w:r>
          </w:p>
        </w:tc>
        <w:tc>
          <w:tcPr>
            <w:tcW w:type="dxa" w:w="3600"/>
          </w:tcPr>
          <w:p>
            <w:pPr>
              <w:spacing w:after="20"/>
              <w:jc w:val="right"/>
            </w:pPr>
            <w:r>
              <w:rPr>
                <w:color w:val="1C3A36"/>
                <w:sz w:val="18"/>
              </w:rPr>
              <w:t>De-rating year</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one way: a basing, high-carry tape thickens the near-term upside tail even where the fundamental work says value sits far lower. The technical and fundamental pictures disagree here,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4752"/>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61%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37% vs 18%  ·  2.1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2.29  (+4.7%)</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2.06 – 2.55</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60%  /  39%</w:t>
            </w:r>
          </w:p>
        </w:tc>
      </w:tr>
    </w:tbl>
    <w:p>
      <w:pPr>
        <w:spacing w:after="40"/>
      </w:pPr>
    </w:p>
    <w:p>
      <w:pPr>
        <w:spacing w:after="120" w:before="0"/>
      </w:pPr>
      <w:r>
        <w:rPr>
          <w:b w:val="0"/>
          <w:i w:val="0"/>
          <w:color w:val="1C3A36"/>
          <w:sz w:val="21"/>
        </w:rPr>
        <w:t>We simulate 50,000 three-month price paths with the house engine, exactly as fitted on the 30-name Egyptian panel: width from a gap-aware Yang–Zhang variance forecast (annualised ≈ 40% at this anchor), Student-t(6) tails calibrated on the panel, and drift anchored on the cost of carrying Egyptian money (the 19.50% policy-corridor rate) — deliberately nothing else. No margin view, no fair-value gap, no analyst judgment enters the drift: the same configuration was walk-forward tested on this stock's own history at seventeen non-overlapping quarterly origins and beat a random-walk benchmark with correct interval coverage, which is the only reason it is published. The upward median is the price of time in a 19.5% currency, not a view that the stock should rise.</w:t>
      </w:r>
    </w:p>
    <w:p>
      <w:pPr>
        <w:spacing w:after="120" w:before="0"/>
      </w:pPr>
      <w:r>
        <w:rPr>
          <w:b/>
          <w:i w:val="0"/>
          <w:color w:val="1C3A36"/>
          <w:sz w:val="21"/>
        </w:rPr>
        <w:t xml:space="preserve">By design the paths diffuse from spot as near-term price and deliberately do not embed the fundamental value gap of §1. </w:t>
      </w:r>
      <w:r>
        <w:rPr>
          <w:b w:val="0"/>
          <w:i w:val="0"/>
          <w:color w:val="1C3A36"/>
          <w:sz w:val="21"/>
        </w:rPr>
        <w:t>§3 maps where price could go from today; §1 says what the business is worth. When they disagree — as they do here — that disagreement is information, and §4 reads it.</w:t>
      </w:r>
    </w:p>
    <w:p>
      <w:pPr>
        <w:spacing w:after="80" w:before="0"/>
      </w:pPr>
      <w:r>
        <w:rPr>
          <w:b w:val="0"/>
          <w:i w:val="0"/>
          <w:color w:val="1C3A36"/>
          <w:sz w:val="19"/>
        </w:rPr>
        <w:t>Forces and events on the watch list — context for reading the distribution, not drift inputs (the engine is deliberately carry-only):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720"/>
        <w:gridCol w:w="3168"/>
        <w:gridCol w:w="2376"/>
      </w:tblGrid>
      <w:tr>
        <w:tc>
          <w:tcPr>
            <w:tcW w:type="dxa" w:w="3096"/>
            <w:shd w:val="clear" w:color="auto" w:fill="EAF0EE"/>
          </w:tcPr>
          <w:p>
            <w:pPr>
              <w:spacing w:after="20"/>
            </w:pPr>
            <w:r>
              <w:rPr>
                <w:b/>
                <w:color w:val="1C3A36"/>
                <w:sz w:val="17"/>
              </w:rPr>
              <w:t>Continuous force</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(next 3 months)</w:t>
            </w:r>
          </w:p>
        </w:tc>
        <w:tc>
          <w:tcPr>
            <w:tcW w:type="dxa" w:w="2376"/>
            <w:shd w:val="clear" w:color="auto" w:fill="EAF0EE"/>
          </w:tcPr>
          <w:p>
            <w:pPr>
              <w:spacing w:after="20"/>
            </w:pPr>
            <w:r>
              <w:rPr>
                <w:b/>
                <w:color w:val="1C3A36"/>
                <w:sz w:val="17"/>
              </w:rPr>
              <w:t>When / note</w:t>
            </w:r>
          </w:p>
        </w:tc>
      </w:tr>
      <w:tr>
        <w:tc>
          <w:tcPr>
            <w:tcW w:type="dxa" w:w="3096"/>
          </w:tcPr>
          <w:p>
            <w:pPr>
              <w:spacing w:after="20"/>
            </w:pPr>
            <w:r>
              <w:rPr>
                <w:color w:val="1C3A36"/>
                <w:sz w:val="17"/>
              </w:rPr>
              <w:t>EGX70 small-cap rotation / retail flows</w:t>
            </w:r>
          </w:p>
        </w:tc>
        <w:tc>
          <w:tcPr>
            <w:tcW w:type="dxa" w:w="720"/>
          </w:tcPr>
          <w:p>
            <w:pPr>
              <w:spacing w:after="20"/>
              <w:jc w:val="right"/>
            </w:pPr>
            <w:r>
              <w:rPr>
                <w:color w:val="1C3A36"/>
                <w:sz w:val="17"/>
              </w:rPr>
              <w:t>±</w:t>
            </w:r>
          </w:p>
        </w:tc>
        <w:tc>
          <w:tcPr>
            <w:tcW w:type="dxa" w:w="3168"/>
          </w:tcPr>
          <w:p>
            <w:pPr>
              <w:spacing w:after="20"/>
              <w:jc w:val="right"/>
            </w:pPr>
            <w:r>
              <w:rPr>
                <w:color w:val="1C3A36"/>
                <w:sz w:val="17"/>
              </w:rPr>
              <w:t>H1-2026 results publication</w:t>
            </w:r>
          </w:p>
        </w:tc>
        <w:tc>
          <w:tcPr>
            <w:tcW w:type="dxa" w:w="2376"/>
          </w:tcPr>
          <w:p>
            <w:pPr>
              <w:spacing w:after="20"/>
              <w:jc w:val="right"/>
            </w:pPr>
            <w:r>
              <w:rPr>
                <w:color w:val="1C3A36"/>
                <w:sz w:val="17"/>
              </w:rPr>
              <w:t>~mid-Aug-2026 — the single largest scheduled event</w:t>
            </w:r>
          </w:p>
        </w:tc>
      </w:tr>
      <w:tr>
        <w:tc>
          <w:tcPr>
            <w:tcW w:type="dxa" w:w="3096"/>
          </w:tcPr>
          <w:p>
            <w:pPr>
              <w:spacing w:after="20"/>
            </w:pPr>
            <w:r>
              <w:rPr>
                <w:color w:val="1C3A36"/>
                <w:sz w:val="17"/>
              </w:rPr>
              <w:t>CBE easing resumption (finance-cost relief)</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MPC meetings</w:t>
            </w:r>
          </w:p>
        </w:tc>
        <w:tc>
          <w:tcPr>
            <w:tcW w:type="dxa" w:w="2376"/>
          </w:tcPr>
          <w:p>
            <w:pPr>
              <w:spacing w:after="20"/>
              <w:jc w:val="right"/>
            </w:pPr>
            <w:r>
              <w:rPr>
                <w:color w:val="1C3A36"/>
                <w:sz w:val="17"/>
              </w:rPr>
              <w:t>20-Aug / 01-Oct / 12-Nov-2026</w:t>
            </w:r>
          </w:p>
        </w:tc>
      </w:tr>
      <w:tr>
        <w:tc>
          <w:tcPr>
            <w:tcW w:type="dxa" w:w="3096"/>
          </w:tcPr>
          <w:p>
            <w:pPr>
              <w:spacing w:after="20"/>
            </w:pPr>
            <w:r>
              <w:rPr>
                <w:color w:val="1C3A36"/>
                <w:sz w:val="17"/>
              </w:rPr>
              <w:t>Copper at records (input cost, WC strain)</w:t>
            </w:r>
          </w:p>
        </w:tc>
        <w:tc>
          <w:tcPr>
            <w:tcW w:type="dxa" w:w="720"/>
          </w:tcPr>
          <w:p>
            <w:pPr>
              <w:spacing w:after="20"/>
              <w:jc w:val="right"/>
            </w:pPr>
            <w:r>
              <w:rPr>
                <w:color w:val="1C3A36"/>
                <w:sz w:val="17"/>
              </w:rPr>
              <w:t>−</w:t>
            </w:r>
          </w:p>
        </w:tc>
        <w:tc>
          <w:tcPr>
            <w:tcW w:type="dxa" w:w="3168"/>
          </w:tcPr>
          <w:p>
            <w:pPr>
              <w:spacing w:after="20"/>
              <w:jc w:val="right"/>
            </w:pPr>
            <w:r>
              <w:rPr>
                <w:color w:val="1C3A36"/>
                <w:sz w:val="17"/>
              </w:rPr>
              <w:t>Egypt–Saudi interconnector commissioning</w:t>
            </w:r>
          </w:p>
        </w:tc>
        <w:tc>
          <w:tcPr>
            <w:tcW w:type="dxa" w:w="2376"/>
          </w:tcPr>
          <w:p>
            <w:pPr>
              <w:spacing w:after="20"/>
              <w:jc w:val="right"/>
            </w:pPr>
            <w:r>
              <w:rPr>
                <w:color w:val="1C3A36"/>
                <w:sz w:val="17"/>
              </w:rPr>
              <w:t>Final testing since Feb-2026</w:t>
            </w:r>
          </w:p>
        </w:tc>
      </w:tr>
      <w:tr>
        <w:tc>
          <w:tcPr>
            <w:tcW w:type="dxa" w:w="3096"/>
          </w:tcPr>
          <w:p>
            <w:pPr>
              <w:spacing w:after="20"/>
            </w:pPr>
            <w:r>
              <w:rPr>
                <w:color w:val="1C3A36"/>
                <w:sz w:val="17"/>
              </w:rPr>
              <w:t>EGP stability (real appreciation vs margins)</w:t>
            </w:r>
          </w:p>
        </w:tc>
        <w:tc>
          <w:tcPr>
            <w:tcW w:type="dxa" w:w="720"/>
          </w:tcPr>
          <w:p>
            <w:pPr>
              <w:spacing w:after="20"/>
              <w:jc w:val="right"/>
            </w:pPr>
            <w:r>
              <w:rPr>
                <w:color w:val="1C3A36"/>
                <w:sz w:val="17"/>
              </w:rPr>
              <w:t>−</w:t>
            </w:r>
          </w:p>
        </w:tc>
        <w:tc>
          <w:tcPr>
            <w:tcW w:type="dxa" w:w="3168"/>
          </w:tcPr>
          <w:p>
            <w:pPr>
              <w:spacing w:after="20"/>
              <w:jc w:val="right"/>
            </w:pPr>
            <w:r>
              <w:rPr>
                <w:color w:val="1C3A36"/>
                <w:sz w:val="17"/>
              </w:rPr>
              <w:t>EETC tender awards (EGP 45bn plan)</w:t>
            </w:r>
          </w:p>
        </w:tc>
        <w:tc>
          <w:tcPr>
            <w:tcW w:type="dxa" w:w="2376"/>
          </w:tcPr>
          <w:p>
            <w:pPr>
              <w:spacing w:after="20"/>
              <w:jc w:val="right"/>
            </w:pPr>
            <w:r>
              <w:rPr>
                <w:color w:val="1C3A36"/>
                <w:sz w:val="17"/>
              </w:rPr>
              <w:t>Through FY26/27</w:t>
            </w:r>
          </w:p>
        </w:tc>
      </w:tr>
      <w:tr>
        <w:tc>
          <w:tcPr>
            <w:tcW w:type="dxa" w:w="3096"/>
          </w:tcPr>
          <w:p>
            <w:pPr>
              <w:spacing w:after="20"/>
            </w:pPr>
            <w:r>
              <w:rPr>
                <w:color w:val="1C3A36"/>
                <w:sz w:val="17"/>
              </w:rPr>
              <w:t>Grid-capex demand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Further controlling-group block sales</w:t>
            </w:r>
          </w:p>
        </w:tc>
        <w:tc>
          <w:tcPr>
            <w:tcW w:type="dxa" w:w="2376"/>
          </w:tcPr>
          <w:p>
            <w:pPr>
              <w:spacing w:after="20"/>
              <w:jc w:val="right"/>
            </w:pPr>
            <w:r>
              <w:rPr>
                <w:color w:val="1C3A36"/>
                <w:sz w:val="17"/>
              </w:rPr>
              <w:t>Pattern: Jan/Feb/Apr/Jul-2026</w:t>
            </w:r>
          </w:p>
        </w:tc>
      </w:tr>
      <w:tr>
        <w:tc>
          <w:tcPr>
            <w:tcW w:type="dxa" w:w="3096"/>
          </w:tcPr>
          <w:p>
            <w:pPr>
              <w:spacing w:after="20"/>
            </w:pPr>
            <w:r>
              <w:rPr>
                <w:color w:val="1C3A36"/>
                <w:sz w:val="17"/>
              </w:rPr>
              <w:t>Receivables collection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EGP step-move (either direction)</w:t>
            </w:r>
          </w:p>
        </w:tc>
        <w:tc>
          <w:tcPr>
            <w:tcW w:type="dxa" w:w="2376"/>
          </w:tcPr>
          <w:p>
            <w:pPr>
              <w:spacing w:after="20"/>
              <w:jc w:val="right"/>
            </w:pPr>
            <w:r>
              <w:rPr>
                <w:color w:val="1C3A36"/>
                <w:sz w:val="17"/>
              </w:rPr>
              <w:t>Range-bound 47–52 since the float</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1440"/>
        <w:gridCol w:w="1440"/>
        <w:gridCol w:w="1440"/>
        <w:gridCol w:w="144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1.91</w:t>
            </w:r>
          </w:p>
        </w:tc>
        <w:tc>
          <w:tcPr>
            <w:tcW w:type="dxa" w:w="1440"/>
          </w:tcPr>
          <w:p>
            <w:pPr>
              <w:spacing w:after="20"/>
              <w:jc w:val="right"/>
            </w:pPr>
            <w:r>
              <w:rPr>
                <w:color w:val="1C3A36"/>
                <w:sz w:val="18"/>
              </w:rPr>
              <w:t>2.10</w:t>
            </w:r>
          </w:p>
        </w:tc>
        <w:tc>
          <w:tcPr>
            <w:tcW w:type="dxa" w:w="1440"/>
          </w:tcPr>
          <w:p>
            <w:pPr>
              <w:spacing w:after="20"/>
              <w:jc w:val="right"/>
            </w:pPr>
            <w:r>
              <w:rPr>
                <w:color w:val="1C3A36"/>
                <w:sz w:val="18"/>
              </w:rPr>
              <w:t>2.22</w:t>
            </w:r>
          </w:p>
        </w:tc>
        <w:tc>
          <w:tcPr>
            <w:tcW w:type="dxa" w:w="1440"/>
          </w:tcPr>
          <w:p>
            <w:pPr>
              <w:spacing w:after="20"/>
              <w:jc w:val="right"/>
            </w:pPr>
            <w:r>
              <w:rPr>
                <w:color w:val="1C3A36"/>
                <w:sz w:val="18"/>
              </w:rPr>
              <w:t>2.35</w:t>
            </w:r>
          </w:p>
        </w:tc>
        <w:tc>
          <w:tcPr>
            <w:tcW w:type="dxa" w:w="1440"/>
          </w:tcPr>
          <w:p>
            <w:pPr>
              <w:spacing w:after="20"/>
              <w:jc w:val="right"/>
            </w:pPr>
            <w:r>
              <w:rPr>
                <w:color w:val="1C3A36"/>
                <w:sz w:val="18"/>
              </w:rPr>
              <w:t>2.59</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1.71</w:t>
            </w:r>
          </w:p>
        </w:tc>
        <w:tc>
          <w:tcPr>
            <w:tcW w:type="dxa" w:w="1440"/>
          </w:tcPr>
          <w:p>
            <w:pPr>
              <w:spacing w:after="20"/>
              <w:jc w:val="right"/>
            </w:pPr>
            <w:r>
              <w:rPr>
                <w:color w:val="1C3A36"/>
                <w:sz w:val="18"/>
              </w:rPr>
              <w:t>2.06</w:t>
            </w:r>
          </w:p>
        </w:tc>
        <w:tc>
          <w:tcPr>
            <w:tcW w:type="dxa" w:w="1440"/>
          </w:tcPr>
          <w:p>
            <w:pPr>
              <w:spacing w:after="20"/>
              <w:jc w:val="right"/>
            </w:pPr>
            <w:r>
              <w:rPr>
                <w:color w:val="1C3A36"/>
                <w:sz w:val="18"/>
              </w:rPr>
              <w:t>2.29</w:t>
            </w:r>
          </w:p>
        </w:tc>
        <w:tc>
          <w:tcPr>
            <w:tcW w:type="dxa" w:w="1440"/>
          </w:tcPr>
          <w:p>
            <w:pPr>
              <w:spacing w:after="20"/>
              <w:jc w:val="right"/>
            </w:pPr>
            <w:r>
              <w:rPr>
                <w:color w:val="1C3A36"/>
                <w:sz w:val="18"/>
              </w:rPr>
              <w:t>2.55</w:t>
            </w:r>
          </w:p>
        </w:tc>
        <w:tc>
          <w:tcPr>
            <w:tcW w:type="dxa" w:w="1440"/>
          </w:tcPr>
          <w:p>
            <w:pPr>
              <w:spacing w:after="20"/>
              <w:jc w:val="right"/>
            </w:pPr>
            <w:r>
              <w:rPr>
                <w:color w:val="1C3A36"/>
                <w:sz w:val="18"/>
              </w:rPr>
              <w:t>3.07</w:t>
            </w:r>
          </w:p>
        </w:tc>
      </w:tr>
    </w:tbl>
    <w:p>
      <w:pPr>
        <w:spacing w:after="40"/>
      </w:pPr>
    </w:p>
    <w:p>
      <w:pPr>
        <w:spacing w:after="120" w:before="0"/>
      </w:pPr>
      <w:r>
        <w:rPr>
          <w:b w:val="0"/>
          <w:i w:val="0"/>
          <w:color w:val="1C3A36"/>
          <w:sz w:val="19"/>
        </w:rPr>
        <w:t>Lead with the 50% band, not the tails: a quarter ahead, half of all paths finish between roughly EGP 2.06 and 2.55; at one month the band is EGP 2.10–2.35.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3 months. The brass dashed line marks the fundamental central — far below the whole cone: the tape would have to fall out of its own distribution to reach it within a quarter.</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3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728"/>
        <w:gridCol w:w="1728"/>
        <w:gridCol w:w="43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1-month touch</w:t>
            </w:r>
          </w:p>
        </w:tc>
        <w:tc>
          <w:tcPr>
            <w:tcW w:type="dxa" w:w="1728"/>
            <w:shd w:val="clear" w:color="auto" w:fill="EAF0EE"/>
          </w:tcPr>
          <w:p>
            <w:pPr>
              <w:spacing w:after="20"/>
            </w:pPr>
            <w:r>
              <w:rPr>
                <w:b/>
                <w:color w:val="1C3A36"/>
                <w:sz w:val="18"/>
              </w:rPr>
              <w:t>3-month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3.00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10%</w:t>
            </w:r>
          </w:p>
        </w:tc>
        <w:tc>
          <w:tcPr>
            <w:tcW w:type="dxa" w:w="4320"/>
          </w:tcPr>
          <w:p>
            <w:pPr>
              <w:spacing w:after="20"/>
              <w:jc w:val="right"/>
            </w:pPr>
            <w:r>
              <w:rPr>
                <w:color w:val="1C3A36"/>
                <w:sz w:val="18"/>
              </w:rPr>
              <w:t>Post-results re-rating zone</w:t>
            </w:r>
          </w:p>
        </w:tc>
      </w:tr>
      <w:tr>
        <w:tc>
          <w:tcPr>
            <w:tcW w:type="dxa" w:w="1728"/>
          </w:tcPr>
          <w:p>
            <w:pPr>
              <w:spacing w:after="20"/>
            </w:pPr>
            <w:r>
              <w:rPr>
                <w:b/>
                <w:color w:val="1C3A36"/>
                <w:sz w:val="18"/>
              </w:rPr>
              <w:t>2.75</w:t>
            </w:r>
          </w:p>
        </w:tc>
        <w:tc>
          <w:tcPr>
            <w:tcW w:type="dxa" w:w="1728"/>
          </w:tcPr>
          <w:p>
            <w:pPr>
              <w:spacing w:after="20"/>
              <w:jc w:val="right"/>
            </w:pPr>
            <w:r>
              <w:rPr>
                <w:color w:val="1C3A36"/>
                <w:sz w:val="18"/>
              </w:rPr>
              <w:t>3%</w:t>
            </w:r>
          </w:p>
        </w:tc>
        <w:tc>
          <w:tcPr>
            <w:tcW w:type="dxa" w:w="1728"/>
          </w:tcPr>
          <w:p>
            <w:pPr>
              <w:spacing w:after="20"/>
              <w:jc w:val="right"/>
            </w:pPr>
            <w:r>
              <w:rPr>
                <w:color w:val="1C3A36"/>
                <w:sz w:val="18"/>
              </w:rPr>
              <w:t>22%</w:t>
            </w:r>
          </w:p>
        </w:tc>
        <w:tc>
          <w:tcPr>
            <w:tcW w:type="dxa" w:w="4320"/>
          </w:tcPr>
          <w:p>
            <w:pPr>
              <w:spacing w:after="20"/>
              <w:jc w:val="right"/>
            </w:pPr>
            <w:r>
              <w:rPr>
                <w:color w:val="1C3A36"/>
                <w:sz w:val="18"/>
              </w:rPr>
              <w:t>Feb-26 block-trade zone</w:t>
            </w:r>
          </w:p>
        </w:tc>
      </w:tr>
      <w:tr>
        <w:tc>
          <w:tcPr>
            <w:tcW w:type="dxa" w:w="1728"/>
          </w:tcPr>
          <w:p>
            <w:pPr>
              <w:spacing w:after="20"/>
            </w:pPr>
            <w:r>
              <w:rPr>
                <w:b/>
                <w:color w:val="1C3A36"/>
                <w:sz w:val="18"/>
              </w:rPr>
              <w:t>2.50</w:t>
            </w:r>
          </w:p>
        </w:tc>
        <w:tc>
          <w:tcPr>
            <w:tcW w:type="dxa" w:w="1728"/>
          </w:tcPr>
          <w:p>
            <w:pPr>
              <w:spacing w:after="20"/>
              <w:jc w:val="right"/>
            </w:pPr>
            <w:r>
              <w:rPr>
                <w:color w:val="1C3A36"/>
                <w:sz w:val="18"/>
              </w:rPr>
              <w:t>14%</w:t>
            </w:r>
          </w:p>
        </w:tc>
        <w:tc>
          <w:tcPr>
            <w:tcW w:type="dxa" w:w="1728"/>
          </w:tcPr>
          <w:p>
            <w:pPr>
              <w:spacing w:after="20"/>
              <w:jc w:val="right"/>
            </w:pPr>
            <w:r>
              <w:rPr>
                <w:color w:val="1C3A36"/>
                <w:sz w:val="18"/>
              </w:rPr>
              <w:t>47%</w:t>
            </w:r>
          </w:p>
        </w:tc>
        <w:tc>
          <w:tcPr>
            <w:tcW w:type="dxa" w:w="4320"/>
          </w:tcPr>
          <w:p>
            <w:pPr>
              <w:spacing w:after="20"/>
              <w:jc w:val="right"/>
            </w:pPr>
            <w:r>
              <w:rPr>
                <w:color w:val="1C3A36"/>
                <w:sz w:val="18"/>
              </w:rPr>
              <w:t>The 200-day shelf</w:t>
            </w:r>
          </w:p>
        </w:tc>
      </w:tr>
      <w:tr>
        <w:tc>
          <w:tcPr>
            <w:tcW w:type="dxa" w:w="1728"/>
          </w:tcPr>
          <w:p>
            <w:pPr>
              <w:spacing w:after="20"/>
            </w:pPr>
            <w:r>
              <w:rPr>
                <w:b/>
                <w:color w:val="1C3A36"/>
                <w:sz w:val="18"/>
              </w:rPr>
              <w:t>2.35</w:t>
            </w:r>
          </w:p>
        </w:tc>
        <w:tc>
          <w:tcPr>
            <w:tcW w:type="dxa" w:w="1728"/>
          </w:tcPr>
          <w:p>
            <w:pPr>
              <w:spacing w:after="20"/>
              <w:jc w:val="right"/>
            </w:pPr>
            <w:r>
              <w:rPr>
                <w:color w:val="1C3A36"/>
                <w:sz w:val="18"/>
              </w:rPr>
              <w:t>40%</w:t>
            </w:r>
          </w:p>
        </w:tc>
        <w:tc>
          <w:tcPr>
            <w:tcW w:type="dxa" w:w="1728"/>
          </w:tcPr>
          <w:p>
            <w:pPr>
              <w:spacing w:after="20"/>
              <w:jc w:val="right"/>
            </w:pPr>
            <w:r>
              <w:rPr>
                <w:color w:val="1C3A36"/>
                <w:sz w:val="18"/>
              </w:rPr>
              <w:t>70%</w:t>
            </w:r>
          </w:p>
        </w:tc>
        <w:tc>
          <w:tcPr>
            <w:tcW w:type="dxa" w:w="4320"/>
          </w:tcPr>
          <w:p>
            <w:pPr>
              <w:spacing w:after="20"/>
              <w:jc w:val="right"/>
            </w:pPr>
            <w:r>
              <w:rPr>
                <w:color w:val="1C3A36"/>
                <w:sz w:val="18"/>
              </w:rPr>
              <w:t>SMA-200 first test</w:t>
            </w:r>
          </w:p>
        </w:tc>
      </w:tr>
      <w:tr>
        <w:tc>
          <w:tcPr>
            <w:tcW w:type="dxa" w:w="1728"/>
          </w:tcPr>
          <w:p>
            <w:pPr>
              <w:spacing w:after="20"/>
            </w:pPr>
            <w:r>
              <w:rPr>
                <w:b/>
                <w:color w:val="1C3A36"/>
                <w:sz w:val="18"/>
              </w:rPr>
              <w:t>2.05</w:t>
            </w:r>
          </w:p>
        </w:tc>
        <w:tc>
          <w:tcPr>
            <w:tcW w:type="dxa" w:w="1728"/>
          </w:tcPr>
          <w:p>
            <w:pPr>
              <w:spacing w:after="20"/>
              <w:jc w:val="right"/>
            </w:pPr>
            <w:r>
              <w:rPr>
                <w:color w:val="1C3A36"/>
                <w:sz w:val="18"/>
              </w:rPr>
              <w:t>31%</w:t>
            </w:r>
          </w:p>
        </w:tc>
        <w:tc>
          <w:tcPr>
            <w:tcW w:type="dxa" w:w="1728"/>
          </w:tcPr>
          <w:p>
            <w:pPr>
              <w:spacing w:after="20"/>
              <w:jc w:val="right"/>
            </w:pPr>
            <w:r>
              <w:rPr>
                <w:color w:val="1C3A36"/>
                <w:sz w:val="18"/>
              </w:rPr>
              <w:t>54%</w:t>
            </w:r>
          </w:p>
        </w:tc>
        <w:tc>
          <w:tcPr>
            <w:tcW w:type="dxa" w:w="4320"/>
          </w:tcPr>
          <w:p>
            <w:pPr>
              <w:spacing w:after="20"/>
              <w:jc w:val="right"/>
            </w:pPr>
            <w:r>
              <w:rPr>
                <w:color w:val="1C3A36"/>
                <w:sz w:val="18"/>
              </w:rPr>
              <w:t>July base / SMA-50 zone</w:t>
            </w:r>
          </w:p>
        </w:tc>
      </w:tr>
      <w:tr>
        <w:tc>
          <w:tcPr>
            <w:tcW w:type="dxa" w:w="1728"/>
          </w:tcPr>
          <w:p>
            <w:pPr>
              <w:spacing w:after="20"/>
            </w:pPr>
            <w:r>
              <w:rPr>
                <w:b/>
                <w:color w:val="1C3A36"/>
                <w:sz w:val="18"/>
              </w:rPr>
              <w:t>1.90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27%</w:t>
            </w:r>
          </w:p>
        </w:tc>
        <w:tc>
          <w:tcPr>
            <w:tcW w:type="dxa" w:w="4320"/>
          </w:tcPr>
          <w:p>
            <w:pPr>
              <w:spacing w:after="20"/>
              <w:jc w:val="right"/>
            </w:pPr>
            <w:r>
              <w:rPr>
                <w:color w:val="1C3A36"/>
                <w:sz w:val="18"/>
              </w:rPr>
              <w:t>52-week low</w:t>
            </w:r>
          </w:p>
        </w:tc>
      </w:tr>
      <w:tr>
        <w:tc>
          <w:tcPr>
            <w:tcW w:type="dxa" w:w="1728"/>
          </w:tcPr>
          <w:p>
            <w:pPr>
              <w:spacing w:after="20"/>
            </w:pPr>
            <w:r>
              <w:rPr>
                <w:b/>
                <w:color w:val="1C3A36"/>
                <w:sz w:val="18"/>
              </w:rPr>
              <w:t>1.70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9%</w:t>
            </w:r>
          </w:p>
        </w:tc>
        <w:tc>
          <w:tcPr>
            <w:tcW w:type="dxa" w:w="4320"/>
          </w:tcPr>
          <w:p>
            <w:pPr>
              <w:spacing w:after="20"/>
              <w:jc w:val="right"/>
            </w:pPr>
            <w:r>
              <w:rPr>
                <w:color w:val="1C3A36"/>
                <w:sz w:val="18"/>
              </w:rPr>
              <w:t>Below the low — bear-case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they genuinely disagree. The fundamental lenses cluster at EGP 0.05–0.73 with a central of 0.34 — roughly 84% below the market. The technical picture is neutral: a basing chart inside a larger downtrend, no strong signal. The probabilistic map's median (2.29) sits slightly ABOVE spot — but read it for what it is: the engine anchors drift on the 19.5% cost of Egyptian money and prices the stock's own path; it does not know what the business is worth. The fundamental work says the price needs the bull scenario to be right; the tape says the market is not currently walking away from that bet; the simulation says a quarter is too short for the gap to close by drift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736"/>
        <w:gridCol w:w="4464"/>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overvalued</w:t>
            </w:r>
          </w:p>
        </w:tc>
        <w:tc>
          <w:tcPr>
            <w:tcW w:type="dxa" w:w="4464"/>
          </w:tcPr>
          <w:p>
            <w:pPr>
              <w:spacing w:after="20"/>
              <w:jc w:val="right"/>
            </w:pPr>
            <w:r>
              <w:rPr>
                <w:color w:val="1C3A36"/>
                <w:sz w:val="18"/>
              </w:rPr>
              <w:t>EGP 0.34 (-84%)</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Neutral — basing inside a downtrend</w:t>
            </w:r>
          </w:p>
        </w:tc>
        <w:tc>
          <w:tcPr>
            <w:tcW w:type="dxa" w:w="4464"/>
          </w:tcPr>
          <w:p>
            <w:pPr>
              <w:spacing w:after="20"/>
              <w:jc w:val="right"/>
            </w:pPr>
            <w:r>
              <w:rPr>
                <w:color w:val="1C3A36"/>
                <w:sz w:val="18"/>
              </w:rPr>
              <w:t>Support 2.05 / 1.90; resistance 2.40 (200d) / 2.80</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Carry-tilted, wide</w:t>
            </w:r>
          </w:p>
        </w:tc>
        <w:tc>
          <w:tcPr>
            <w:tcW w:type="dxa" w:w="4464"/>
          </w:tcPr>
          <w:p>
            <w:pPr>
              <w:spacing w:after="20"/>
              <w:jc w:val="right"/>
            </w:pPr>
            <w:r>
              <w:rPr>
                <w:color w:val="1C3A36"/>
                <w:sz w:val="18"/>
              </w:rPr>
              <w:t>Median 2.29; p5–p95 1.71–3.07</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ELEC reads severely overvalued on fundamentals (-84% to the central estimate), and the bottom-up build sharpens the statement: at record copper and pre-windfall conversion economics, the enterprise is worth less than its ~EGP 9.8 bn net debt — the base-case equity is an option, not a claim — and the modelled equity P&amp;L path breaches book solvency by FY29E unless margins or volumes outrun the base case. Three checkable legs carry the read: the earnings the market capitalises were devaluation-era windfalls the company has stopped printing (1Q26: gross margin 5.7%, operating profit zero); implied volumes have fallen to ~38% of capacity while working capital of ~113% of revenue is funded at 22% money; and the controlling group has been selling at EGP 2.00–2.21 throughout 2026. What would change the read is equally specific: an H1-2026 print showing conversion EBITDA per tonne back above ~100,000 EGP without currency help, receivables actually collecting (operating cash flow positive, debt falling), or a step-devaluation — the one event that genuinely reruns the windfall. Even then, note the ceiling: the modelled bull central is 1.19. The bear–bull span (EGP 0.19–1.19) is wide, humility is warranted on the derived lines, and the tonnage build rests on a single-sourced capacity figure — but no reading of the disclosed numbers we can construct supports the current price.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H1-2026 results (~mid-August 2026). </w:t>
      </w:r>
      <w:r>
        <w:rPr>
          <w:color w:val="1C3A36"/>
          <w:sz w:val="21"/>
        </w:rPr>
        <w:t>The single most important print of the year: whether the 1Q26 loss was the trough. Watch three lines — gross margin (the ~14% implied trough vs any recovery), receivables (collection or further build), and finance cost (the first read on easing pass-through).</w:t>
      </w:r>
    </w:p>
    <w:p>
      <w:pPr>
        <w:pStyle w:val="ListBullet"/>
        <w:spacing w:after="60"/>
      </w:pPr>
      <w:r>
        <w:rPr>
          <w:b/>
          <w:color w:val="1C3A36"/>
          <w:sz w:val="21"/>
        </w:rPr>
        <w:t xml:space="preserve">CBE MPC meetings (20-Aug, 01-Oct, 12-Nov 2026). </w:t>
      </w:r>
      <w:r>
        <w:rPr>
          <w:color w:val="1C3A36"/>
          <w:sz w:val="21"/>
        </w:rPr>
        <w:t>Each 100bp off the corridor cuts ~EGP 110 mn from annual finance cost at the disclosed debt load and compresses the discount schedule — the most mechanical catalyst.</w:t>
      </w:r>
    </w:p>
    <w:p>
      <w:pPr>
        <w:pStyle w:val="ListBullet"/>
        <w:spacing w:after="60"/>
      </w:pPr>
      <w:r>
        <w:rPr>
          <w:b/>
          <w:color w:val="1C3A36"/>
          <w:sz w:val="21"/>
        </w:rPr>
        <w:t xml:space="preserve">EETC tender awards under the EGP 45 bn FY25/26 plan. </w:t>
      </w:r>
      <w:r>
        <w:rPr>
          <w:color w:val="1C3A36"/>
          <w:sz w:val="21"/>
        </w:rPr>
        <w:t>Direct order-book demand; ELEC’s ~2/3 revenue exposure to the power sector makes tender flow the volume driver.</w:t>
      </w:r>
    </w:p>
    <w:p>
      <w:pPr>
        <w:pStyle w:val="ListBullet"/>
        <w:spacing w:after="60"/>
      </w:pPr>
      <w:r>
        <w:rPr>
          <w:b/>
          <w:color w:val="1C3A36"/>
          <w:sz w:val="21"/>
        </w:rPr>
        <w:t xml:space="preserve">Egypt–Saudi interconnector commissioning. </w:t>
      </w:r>
      <w:r>
        <w:rPr>
          <w:color w:val="1C3A36"/>
          <w:sz w:val="21"/>
        </w:rPr>
        <w:t>In final testing since Feb-2026; commissioning validates the HV build-out cycle and pulls forward follow-on grid spending.</w:t>
      </w:r>
    </w:p>
    <w:p>
      <w:pPr>
        <w:pStyle w:val="ListBullet"/>
        <w:spacing w:after="60"/>
      </w:pPr>
      <w:r>
        <w:rPr>
          <w:b/>
          <w:color w:val="1C3A36"/>
          <w:sz w:val="21"/>
        </w:rPr>
        <w:t xml:space="preserve">Copper. </w:t>
      </w:r>
      <w:r>
        <w:rPr>
          <w:color w:val="1C3A36"/>
          <w:sz w:val="21"/>
        </w:rPr>
        <w:t>At records (+51% y/y) with Goldman scenarios above $14,000/t: every leg higher inflates ELEC’s working capital and funding need; a copper break lower would be a quiet balance-sheet relief.</w:t>
      </w:r>
    </w:p>
    <w:p>
      <w:pPr>
        <w:pStyle w:val="ListBullet"/>
        <w:spacing w:after="60"/>
      </w:pPr>
      <w:r>
        <w:rPr>
          <w:b/>
          <w:color w:val="1C3A36"/>
          <w:sz w:val="21"/>
        </w:rPr>
        <w:t xml:space="preserve">The pound. </w:t>
      </w:r>
      <w:r>
        <w:rPr>
          <w:color w:val="1C3A36"/>
          <w:sz w:val="21"/>
        </w:rPr>
        <w:t>A step-devaluation would reflate cable margins and inventory (the FY23–24 mechanism) at the cost of the funding base; continued stability keeps the margin squeeze on. This stock is, in effect, a devaluation call option the market keeps partly priced.</w:t>
      </w:r>
    </w:p>
    <w:p>
      <w:pPr>
        <w:pStyle w:val="ListBullet"/>
        <w:spacing w:after="60"/>
      </w:pPr>
      <w:r>
        <w:rPr>
          <w:b/>
          <w:color w:val="1C3A36"/>
          <w:sz w:val="21"/>
        </w:rPr>
        <w:t xml:space="preserve">Controlling-group block sales. </w:t>
      </w:r>
      <w:r>
        <w:rPr>
          <w:color w:val="1C3A36"/>
          <w:sz w:val="21"/>
        </w:rPr>
        <w:t>Gadwa/Alhsn/Mashareq sold through Jan/Feb/Apr/Jul-2026 at EGP 2.00–2.21. Further distribution caps rallies; a cessation — or a strategic buyer — changes the flow picture.</w:t>
      </w:r>
    </w:p>
    <w:p>
      <w:pPr>
        <w:pStyle w:val="ListBullet"/>
        <w:spacing w:after="60"/>
      </w:pPr>
      <w:r>
        <w:rPr>
          <w:b/>
          <w:color w:val="1C3A36"/>
          <w:sz w:val="21"/>
        </w:rPr>
        <w:t xml:space="preserve">Any audited-statement access. </w:t>
      </w:r>
      <w:r>
        <w:rPr>
          <w:color w:val="1C3A36"/>
          <w:sz w:val="21"/>
        </w:rPr>
        <w:t>Publication of the full FY25/H1-26 statements (receivables ageing, facility schedule, capex) would resolve the derived lines in this model — in either direction.</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2.19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3744"/>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1.80</w:t>
            </w:r>
          </w:p>
        </w:tc>
        <w:tc>
          <w:tcPr>
            <w:tcW w:type="dxa" w:w="2160"/>
          </w:tcPr>
          <w:p>
            <w:pPr>
              <w:spacing w:after="20"/>
              <w:jc w:val="right"/>
            </w:pPr>
            <w:r>
              <w:rPr>
                <w:color w:val="1C3A36"/>
                <w:sz w:val="18"/>
              </w:rPr>
              <w:t>~8%</w:t>
            </w:r>
          </w:p>
        </w:tc>
        <w:tc>
          <w:tcPr>
            <w:tcW w:type="dxa" w:w="3744"/>
          </w:tcPr>
          <w:p>
            <w:pPr>
              <w:spacing w:after="20"/>
              <w:jc w:val="right"/>
            </w:pPr>
            <w:r>
              <w:rPr>
                <w:color w:val="1C3A36"/>
                <w:sz w:val="18"/>
              </w:rPr>
              <w:t>Collection fails / H1 loss deepens; breaks the 52-week low toward the fundamental reads</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1.80–2.05</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De-rating resumes; the July base gives way</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2.05–2.35</w:t>
            </w:r>
          </w:p>
        </w:tc>
        <w:tc>
          <w:tcPr>
            <w:tcW w:type="dxa" w:w="2160"/>
          </w:tcPr>
          <w:p>
            <w:pPr>
              <w:spacing w:after="20"/>
              <w:jc w:val="right"/>
            </w:pPr>
            <w:r>
              <w:rPr>
                <w:color w:val="1C3A36"/>
                <w:sz w:val="18"/>
              </w:rPr>
              <w:t>~32%</w:t>
            </w:r>
          </w:p>
        </w:tc>
        <w:tc>
          <w:tcPr>
            <w:tcW w:type="dxa" w:w="3744"/>
          </w:tcPr>
          <w:p>
            <w:pPr>
              <w:spacing w:after="20"/>
              <w:jc w:val="right"/>
            </w:pPr>
            <w:r>
              <w:rPr>
                <w:color w:val="1C3A36"/>
                <w:sz w:val="18"/>
              </w:rPr>
              <w:t>Status quo: small-cap rotation holds the price, fundamentals unresolved</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2.35–2.70</w:t>
            </w:r>
          </w:p>
        </w:tc>
        <w:tc>
          <w:tcPr>
            <w:tcW w:type="dxa" w:w="2160"/>
          </w:tcPr>
          <w:p>
            <w:pPr>
              <w:spacing w:after="20"/>
              <w:jc w:val="right"/>
            </w:pPr>
            <w:r>
              <w:rPr>
                <w:color w:val="1C3A36"/>
                <w:sz w:val="18"/>
              </w:rPr>
              <w:t>~28%</w:t>
            </w:r>
          </w:p>
        </w:tc>
        <w:tc>
          <w:tcPr>
            <w:tcW w:type="dxa" w:w="3744"/>
          </w:tcPr>
          <w:p>
            <w:pPr>
              <w:spacing w:after="20"/>
              <w:jc w:val="right"/>
            </w:pPr>
            <w:r>
              <w:rPr>
                <w:color w:val="1C3A36"/>
                <w:sz w:val="18"/>
              </w:rPr>
              <w:t>H1 relief + easing resumption; 200-day reclaimed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2.70</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Margin-recovery evidence or devaluation trade returns; block-trade zone retested</w:t>
            </w:r>
          </w:p>
        </w:tc>
      </w:tr>
    </w:tbl>
    <w:p>
      <w:pPr>
        <w:spacing w:after="40"/>
      </w:pPr>
    </w:p>
    <w:p>
      <w:pPr>
        <w:spacing w:after="120" w:before="0"/>
      </w:pPr>
      <w:r>
        <w:rPr>
          <w:b w:val="0"/>
          <w:i w:val="0"/>
          <w:color w:val="1C3A36"/>
          <w:sz w:val="21"/>
        </w:rPr>
        <w:t>Note what the zone table cannot say: nothing in a three-month price map adjudicates the fundamental question. Even the deep-downside zone stops far above the DCF’s base value — if the fundamental work is right, the reckoning is slower than a quarter. The map describes the tape’s physics; the thesis lives in §1.</w:t>
      </w:r>
    </w:p>
    <w:p>
      <w:pPr>
        <w:spacing w:after="120" w:before="280"/>
      </w:pPr>
      <w:r>
        <w:rPr>
          <w:b/>
          <w:i w:val="0"/>
          <w:color w:val="1C3A36"/>
          <w:sz w:val="30"/>
        </w:rPr>
        <w:t>7  Caveats and what would change our mind</w:t>
      </w:r>
    </w:p>
    <w:p>
      <w:pPr>
        <w:pStyle w:val="ListBullet"/>
        <w:spacing w:after="60"/>
      </w:pPr>
      <w:r>
        <w:rPr>
          <w:b/>
          <w:color w:val="1C3A36"/>
          <w:sz w:val="21"/>
        </w:rPr>
        <w:t xml:space="preserve">The statements gap is narrower than at first build, but still real. </w:t>
      </w:r>
      <w:r>
        <w:rPr>
          <w:color w:val="1C3A36"/>
          <w:sz w:val="21"/>
        </w:rPr>
        <w:t>The Q1-2026 income-statement lines, the FY25 totals (assets, profit, no dividend) and the FY25/FY24 facilities figures ARE disclosed (recovered from press coverage of the EGX filings); interest expense, capex, the working-capital split and facility-level terms remain DERIVED. The FY24 triangulation closing within 0.8% earns the derivations a place in the model, and the net-debt anchor is now triangulated three ways off the FY24 audited comparatives rather than read from the ambiguous facilities sentence (§1.6) — but the honest range is still EGP 9.1–10.4 bn, worth ~±EGP 0.19/share. The audited FY2025 borrowings note is the one document that would settle it. Every derived line is flagged in §1.6 and the Source Register.</w:t>
      </w:r>
    </w:p>
    <w:p>
      <w:pPr>
        <w:pStyle w:val="ListBullet"/>
        <w:spacing w:after="60"/>
      </w:pPr>
      <w:r>
        <w:rPr>
          <w:b/>
          <w:color w:val="1C3A36"/>
          <w:sz w:val="21"/>
        </w:rPr>
        <w:t xml:space="preserve">The base-case equity P&amp;L path raises a genuine solvency question. </w:t>
      </w:r>
      <w:r>
        <w:rPr>
          <w:color w:val="1C3A36"/>
          <w:sz w:val="21"/>
        </w:rPr>
        <w:t>Charging 22%-gliding-to-15% money on the triangulated debt against recovering-but-thin conversion economics, the modelled book equity erodes from ~EGP 4.1 bn to below zero by FY29E, with net debt rising toward EGP 17 bn. This is a modelled path on derived lines, not an audit opinion — but it is what the disclosed numbers imply if nothing improves, and it explains why the DCF equity is an option rather than a claim. The exits are named in §4: collection, conversion recovery above ~100k EGP/t, a step-devaluation, or a controlling-group recapitalisation.</w:t>
      </w:r>
    </w:p>
    <w:p>
      <w:pPr>
        <w:pStyle w:val="ListBullet"/>
        <w:spacing w:after="60"/>
      </w:pPr>
      <w:r>
        <w:rPr>
          <w:b/>
          <w:color w:val="1C3A36"/>
          <w:sz w:val="21"/>
        </w:rPr>
        <w:t xml:space="preserve">The working-capital release is an assumption, not a fact. </w:t>
      </w:r>
      <w:r>
        <w:rPr>
          <w:color w:val="1C3A36"/>
          <w:sz w:val="21"/>
        </w:rPr>
        <w:t>FY26E’s cash flow leans on ~EGP 2.6 bn of collection as revenue contracts. Receivables from state-linked customers can age for years; if intensity stays above ~100% of revenue, the bear case is the base case.</w:t>
      </w:r>
    </w:p>
    <w:p>
      <w:pPr>
        <w:pStyle w:val="ListBullet"/>
        <w:spacing w:after="60"/>
      </w:pPr>
      <w:r>
        <w:rPr>
          <w:b/>
          <w:color w:val="1C3A36"/>
          <w:sz w:val="21"/>
        </w:rPr>
        <w:t xml:space="preserve">Margin normalisation is a judgment between poles. </w:t>
      </w:r>
      <w:r>
        <w:rPr>
          <w:color w:val="1C3A36"/>
          <w:sz w:val="21"/>
        </w:rPr>
        <w:t>Nobody outside the company knows whether 25% EBITDA margins were entirely windfall; the 17.5–19% mid-cycle here is argued, sensitized, and could be wrong in either direction. The §1.9 company grid is the honest statement of how much this matters.</w:t>
      </w:r>
    </w:p>
    <w:p>
      <w:pPr>
        <w:pStyle w:val="ListBullet"/>
        <w:spacing w:after="60"/>
      </w:pPr>
      <w:r>
        <w:rPr>
          <w:b/>
          <w:color w:val="1C3A36"/>
          <w:sz w:val="21"/>
        </w:rPr>
        <w:t xml:space="preserve">Terminal-value dependency. </w:t>
      </w:r>
      <w:r>
        <w:rPr>
          <w:color w:val="1C3A36"/>
          <w:sz w:val="21"/>
        </w:rPr>
        <w:t>66% of the EV is terminal value at a 9.1-pt terminal spread; the study is partly a bet on Egyptian normalisation arriving on the central bank’s own schedule.</w:t>
      </w:r>
    </w:p>
    <w:p>
      <w:pPr>
        <w:pStyle w:val="ListBullet"/>
        <w:spacing w:after="60"/>
      </w:pPr>
      <w:r>
        <w:rPr>
          <w:b/>
          <w:color w:val="1C3A36"/>
          <w:sz w:val="21"/>
        </w:rPr>
        <w:t xml:space="preserve">A devaluation would rescue the bull case. </w:t>
      </w:r>
      <w:r>
        <w:rPr>
          <w:color w:val="1C3A36"/>
          <w:sz w:val="21"/>
        </w:rPr>
        <w:t>The FY23–24 windfall mechanism — EGP falls, copper-linked prices reprice, inventory gains — is repeatable. This study’s base case assumes the pound holds; readers who expect another step-move should weight the bull column, and note that the same event punishes the funding side and the country risk premium.</w:t>
      </w:r>
    </w:p>
    <w:p>
      <w:pPr>
        <w:pStyle w:val="ListBullet"/>
        <w:spacing w:after="60"/>
      </w:pPr>
      <w:r>
        <w:rPr>
          <w:b/>
          <w:color w:val="1C3A36"/>
          <w:sz w:val="21"/>
        </w:rPr>
        <w:t xml:space="preserve">The market may be pricing flow, not value. </w:t>
      </w:r>
      <w:r>
        <w:rPr>
          <w:color w:val="1C3A36"/>
          <w:sz w:val="21"/>
        </w:rPr>
        <w:t>A 20%-float EGX70 name in a retail rotation can stay away from fundamental value for a long time; overvaluation is a statement about the destination, never the timetable.</w:t>
      </w:r>
    </w:p>
    <w:p>
      <w:pPr>
        <w:pStyle w:val="ListBullet"/>
        <w:spacing w:after="60"/>
      </w:pPr>
      <w:r>
        <w:rPr>
          <w:b/>
          <w:color w:val="1C3A36"/>
          <w:sz w:val="21"/>
        </w:rPr>
        <w:t xml:space="preserve">Concentrated ownership cuts both ways. </w:t>
      </w:r>
      <w:r>
        <w:rPr>
          <w:color w:val="1C3A36"/>
          <w:sz w:val="21"/>
        </w:rPr>
        <w:t>The ~80% controlling group has been selling — but it could equally take the company private, restructure the debt, or inject assets; control events are not in the model.</w:t>
      </w:r>
    </w:p>
    <w:p>
      <w:pPr>
        <w:pStyle w:val="ListBullet"/>
        <w:spacing w:after="60"/>
      </w:pPr>
      <w:r>
        <w:rPr>
          <w:b/>
          <w:color w:val="1C3A36"/>
          <w:sz w:val="21"/>
        </w:rPr>
        <w:t xml:space="preserve">The simulation prices the path, not the thesis. </w:t>
      </w:r>
      <w:r>
        <w:rPr>
          <w:color w:val="1C3A36"/>
          <w:sz w:val="21"/>
        </w:rPr>
        <w:t>Its median sits above spot because Egyptian carry is 19.5%; do not read that as the model disagreeing with itself — the two clocks measure different things.</w:t>
      </w:r>
    </w:p>
    <w:p>
      <w:pPr>
        <w:spacing w:after="120" w:before="280"/>
      </w:pPr>
      <w:r>
        <w:rPr>
          <w:b/>
          <w:i w:val="0"/>
          <w:color w:val="1C3A36"/>
          <w:sz w:val="30"/>
        </w:rPr>
        <w:t>Appendix A  Financial statements</w:t>
      </w:r>
    </w:p>
    <w:p>
      <w:pPr>
        <w:spacing w:after="120" w:before="0"/>
      </w:pPr>
      <w:r>
        <w:rPr>
          <w:b w:val="0"/>
          <w:i w:val="0"/>
          <w:color w:val="1C3A36"/>
          <w:sz w:val="21"/>
        </w:rPr>
        <w:t>Consolidated figures as available through bourse-disclosure reporting of the company’s EGX filings; derived lines are marked (d) and their construction is stated in §1.6 and the Source Register. The five-year forecast is the model build (companion Excel, formula-linked to its Assumptions sheet). EGP million.</w:t>
      </w:r>
    </w:p>
    <w:p>
      <w:pPr>
        <w:spacing w:after="80" w:before="200"/>
      </w:pPr>
      <w:r>
        <w:rPr>
          <w:b/>
          <w:i w:val="0"/>
          <w:color w:val="1C3A36"/>
          <w:sz w:val="24"/>
        </w:rPr>
        <w:t>A.1  Income statement — 3-year historical + 5-year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900"/>
        <w:gridCol w:w="900"/>
        <w:gridCol w:w="900"/>
        <w:gridCol w:w="900"/>
        <w:gridCol w:w="900"/>
        <w:gridCol w:w="900"/>
        <w:gridCol w:w="900"/>
        <w:gridCol w:w="900"/>
      </w:tblGrid>
      <w:tr>
        <w:tc>
          <w:tcPr>
            <w:tcW w:type="dxa" w:w="2952"/>
            <w:shd w:val="clear" w:color="auto" w:fill="EAF0EE"/>
          </w:tcPr>
          <w:p>
            <w:pPr>
              <w:spacing w:after="20"/>
            </w:pPr>
            <w:r>
              <w:rPr>
                <w:b/>
                <w:color w:val="1C3A36"/>
                <w:sz w:val="16"/>
              </w:rPr>
              <w:t>Line</w:t>
            </w:r>
          </w:p>
        </w:tc>
        <w:tc>
          <w:tcPr>
            <w:tcW w:type="dxa" w:w="900"/>
            <w:shd w:val="clear" w:color="auto" w:fill="EAF0EE"/>
          </w:tcPr>
          <w:p>
            <w:pPr>
              <w:spacing w:after="20"/>
            </w:pPr>
            <w:r>
              <w:rPr>
                <w:b/>
                <w:color w:val="1C3A36"/>
                <w:sz w:val="16"/>
              </w:rPr>
              <w:t>FY23</w:t>
            </w:r>
          </w:p>
        </w:tc>
        <w:tc>
          <w:tcPr>
            <w:tcW w:type="dxa" w:w="900"/>
            <w:shd w:val="clear" w:color="auto" w:fill="EAF0EE"/>
          </w:tcPr>
          <w:p>
            <w:pPr>
              <w:spacing w:after="20"/>
            </w:pPr>
            <w:r>
              <w:rPr>
                <w:b/>
                <w:color w:val="1C3A36"/>
                <w:sz w:val="16"/>
              </w:rPr>
              <w:t>FY24</w:t>
            </w:r>
          </w:p>
        </w:tc>
        <w:tc>
          <w:tcPr>
            <w:tcW w:type="dxa" w:w="900"/>
            <w:shd w:val="clear" w:color="auto" w:fill="EAF0EE"/>
          </w:tcPr>
          <w:p>
            <w:pPr>
              <w:spacing w:after="20"/>
            </w:pPr>
            <w:r>
              <w:rPr>
                <w:b/>
                <w:color w:val="1C3A36"/>
                <w:sz w:val="16"/>
              </w:rPr>
              <w:t>FY25</w:t>
            </w:r>
          </w:p>
        </w:tc>
        <w:tc>
          <w:tcPr>
            <w:tcW w:type="dxa" w:w="900"/>
            <w:shd w:val="clear" w:color="auto" w:fill="EAF0EE"/>
          </w:tcPr>
          <w:p>
            <w:pPr>
              <w:spacing w:after="20"/>
            </w:pPr>
            <w:r>
              <w:rPr>
                <w:b/>
                <w:color w:val="1C3A36"/>
                <w:sz w:val="16"/>
              </w:rPr>
              <w:t>FY26E</w:t>
            </w:r>
          </w:p>
        </w:tc>
        <w:tc>
          <w:tcPr>
            <w:tcW w:type="dxa" w:w="900"/>
            <w:shd w:val="clear" w:color="auto" w:fill="EAF0EE"/>
          </w:tcPr>
          <w:p>
            <w:pPr>
              <w:spacing w:after="20"/>
            </w:pPr>
            <w:r>
              <w:rPr>
                <w:b/>
                <w:color w:val="1C3A36"/>
                <w:sz w:val="16"/>
              </w:rPr>
              <w:t>FY27E</w:t>
            </w:r>
          </w:p>
        </w:tc>
        <w:tc>
          <w:tcPr>
            <w:tcW w:type="dxa" w:w="900"/>
            <w:shd w:val="clear" w:color="auto" w:fill="EAF0EE"/>
          </w:tcPr>
          <w:p>
            <w:pPr>
              <w:spacing w:after="20"/>
            </w:pPr>
            <w:r>
              <w:rPr>
                <w:b/>
                <w:color w:val="1C3A36"/>
                <w:sz w:val="16"/>
              </w:rPr>
              <w:t>FY28E</w:t>
            </w:r>
          </w:p>
        </w:tc>
        <w:tc>
          <w:tcPr>
            <w:tcW w:type="dxa" w:w="900"/>
            <w:shd w:val="clear" w:color="auto" w:fill="EAF0EE"/>
          </w:tcPr>
          <w:p>
            <w:pPr>
              <w:spacing w:after="20"/>
            </w:pPr>
            <w:r>
              <w:rPr>
                <w:b/>
                <w:color w:val="1C3A36"/>
                <w:sz w:val="16"/>
              </w:rPr>
              <w:t>FY29E</w:t>
            </w:r>
          </w:p>
        </w:tc>
        <w:tc>
          <w:tcPr>
            <w:tcW w:type="dxa" w:w="900"/>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900"/>
          </w:tcPr>
          <w:p>
            <w:pPr>
              <w:spacing w:after="20"/>
              <w:jc w:val="right"/>
            </w:pPr>
            <w:r>
              <w:rPr>
                <w:color w:val="1C3A36"/>
                <w:sz w:val="16"/>
              </w:rPr>
              <w:t>8,673</w:t>
            </w:r>
          </w:p>
        </w:tc>
        <w:tc>
          <w:tcPr>
            <w:tcW w:type="dxa" w:w="900"/>
          </w:tcPr>
          <w:p>
            <w:pPr>
              <w:spacing w:after="20"/>
              <w:jc w:val="right"/>
            </w:pPr>
            <w:r>
              <w:rPr>
                <w:color w:val="1C3A36"/>
                <w:sz w:val="16"/>
              </w:rPr>
              <w:t>13,778</w:t>
            </w:r>
          </w:p>
        </w:tc>
        <w:tc>
          <w:tcPr>
            <w:tcW w:type="dxa" w:w="900"/>
          </w:tcPr>
          <w:p>
            <w:pPr>
              <w:spacing w:after="20"/>
              <w:jc w:val="right"/>
            </w:pPr>
            <w:r>
              <w:rPr>
                <w:color w:val="1C3A36"/>
                <w:sz w:val="16"/>
              </w:rPr>
              <w:t>10,819</w:t>
            </w:r>
          </w:p>
        </w:tc>
        <w:tc>
          <w:tcPr>
            <w:tcW w:type="dxa" w:w="900"/>
          </w:tcPr>
          <w:p>
            <w:pPr>
              <w:spacing w:after="20"/>
              <w:jc w:val="right"/>
            </w:pPr>
            <w:r>
              <w:rPr>
                <w:color w:val="1C3A36"/>
                <w:sz w:val="16"/>
              </w:rPr>
              <w:t>9,160</w:t>
            </w:r>
          </w:p>
        </w:tc>
        <w:tc>
          <w:tcPr>
            <w:tcW w:type="dxa" w:w="900"/>
          </w:tcPr>
          <w:p>
            <w:pPr>
              <w:spacing w:after="20"/>
              <w:jc w:val="right"/>
            </w:pPr>
            <w:r>
              <w:rPr>
                <w:color w:val="1C3A36"/>
                <w:sz w:val="16"/>
              </w:rPr>
              <w:t>10,814</w:t>
            </w:r>
          </w:p>
        </w:tc>
        <w:tc>
          <w:tcPr>
            <w:tcW w:type="dxa" w:w="900"/>
          </w:tcPr>
          <w:p>
            <w:pPr>
              <w:spacing w:after="20"/>
              <w:jc w:val="right"/>
            </w:pPr>
            <w:r>
              <w:rPr>
                <w:color w:val="1C3A36"/>
                <w:sz w:val="16"/>
              </w:rPr>
              <w:t>12,529</w:t>
            </w:r>
          </w:p>
        </w:tc>
        <w:tc>
          <w:tcPr>
            <w:tcW w:type="dxa" w:w="900"/>
          </w:tcPr>
          <w:p>
            <w:pPr>
              <w:spacing w:after="20"/>
              <w:jc w:val="right"/>
            </w:pPr>
            <w:r>
              <w:rPr>
                <w:color w:val="1C3A36"/>
                <w:sz w:val="16"/>
              </w:rPr>
              <w:t>14,226</w:t>
            </w:r>
          </w:p>
        </w:tc>
        <w:tc>
          <w:tcPr>
            <w:tcW w:type="dxa" w:w="900"/>
          </w:tcPr>
          <w:p>
            <w:pPr>
              <w:spacing w:after="20"/>
              <w:jc w:val="right"/>
            </w:pPr>
            <w:r>
              <w:rPr>
                <w:color w:val="1C3A36"/>
                <w:sz w:val="16"/>
              </w:rPr>
              <w:t>15,798</w:t>
            </w:r>
          </w:p>
        </w:tc>
      </w:tr>
      <w:tr>
        <w:tc>
          <w:tcPr>
            <w:tcW w:type="dxa" w:w="2952"/>
          </w:tcPr>
          <w:p>
            <w:pPr>
              <w:spacing w:after="20"/>
            </w:pPr>
            <w:r>
              <w:rPr>
                <w:b/>
                <w:color w:val="1C3A36"/>
                <w:sz w:val="16"/>
              </w:rPr>
              <w:t>EBITDA</w:t>
            </w:r>
          </w:p>
        </w:tc>
        <w:tc>
          <w:tcPr>
            <w:tcW w:type="dxa" w:w="900"/>
          </w:tcPr>
          <w:p>
            <w:pPr>
              <w:spacing w:after="20"/>
              <w:jc w:val="right"/>
            </w:pPr>
            <w:r>
              <w:rPr>
                <w:color w:val="1C3A36"/>
                <w:sz w:val="16"/>
              </w:rPr>
              <w:t>2,661 (d)</w:t>
            </w:r>
          </w:p>
        </w:tc>
        <w:tc>
          <w:tcPr>
            <w:tcW w:type="dxa" w:w="900"/>
          </w:tcPr>
          <w:p>
            <w:pPr>
              <w:spacing w:after="20"/>
              <w:jc w:val="right"/>
            </w:pPr>
            <w:r>
              <w:rPr>
                <w:color w:val="1C3A36"/>
                <w:sz w:val="16"/>
              </w:rPr>
              <w:t>3,490</w:t>
            </w:r>
          </w:p>
        </w:tc>
        <w:tc>
          <w:tcPr>
            <w:tcW w:type="dxa" w:w="900"/>
          </w:tcPr>
          <w:p>
            <w:pPr>
              <w:spacing w:after="20"/>
              <w:jc w:val="right"/>
            </w:pPr>
            <w:r>
              <w:rPr>
                <w:color w:val="1C3A36"/>
                <w:sz w:val="16"/>
              </w:rPr>
              <w:t>2,871 (d)</w:t>
            </w:r>
          </w:p>
        </w:tc>
        <w:tc>
          <w:tcPr>
            <w:tcW w:type="dxa" w:w="900"/>
          </w:tcPr>
          <w:p>
            <w:pPr>
              <w:spacing w:after="20"/>
              <w:jc w:val="right"/>
            </w:pPr>
            <w:r>
              <w:rPr>
                <w:color w:val="1C3A36"/>
                <w:sz w:val="16"/>
              </w:rPr>
              <w:t>416</w:t>
            </w:r>
          </w:p>
        </w:tc>
        <w:tc>
          <w:tcPr>
            <w:tcW w:type="dxa" w:w="900"/>
          </w:tcPr>
          <w:p>
            <w:pPr>
              <w:spacing w:after="20"/>
              <w:jc w:val="right"/>
            </w:pPr>
            <w:r>
              <w:rPr>
                <w:color w:val="1C3A36"/>
                <w:sz w:val="16"/>
              </w:rPr>
              <w:t>1,071</w:t>
            </w:r>
          </w:p>
        </w:tc>
        <w:tc>
          <w:tcPr>
            <w:tcW w:type="dxa" w:w="900"/>
          </w:tcPr>
          <w:p>
            <w:pPr>
              <w:spacing w:after="20"/>
              <w:jc w:val="right"/>
            </w:pPr>
            <w:r>
              <w:rPr>
                <w:color w:val="1C3A36"/>
                <w:sz w:val="16"/>
              </w:rPr>
              <w:t>1,541</w:t>
            </w:r>
          </w:p>
        </w:tc>
        <w:tc>
          <w:tcPr>
            <w:tcW w:type="dxa" w:w="900"/>
          </w:tcPr>
          <w:p>
            <w:pPr>
              <w:spacing w:after="20"/>
              <w:jc w:val="right"/>
            </w:pPr>
            <w:r>
              <w:rPr>
                <w:color w:val="1C3A36"/>
                <w:sz w:val="16"/>
              </w:rPr>
              <w:t>1,894</w:t>
            </w:r>
          </w:p>
        </w:tc>
        <w:tc>
          <w:tcPr>
            <w:tcW w:type="dxa" w:w="900"/>
          </w:tcPr>
          <w:p>
            <w:pPr>
              <w:spacing w:after="20"/>
              <w:jc w:val="right"/>
            </w:pPr>
            <w:r>
              <w:rPr>
                <w:color w:val="1C3A36"/>
                <w:sz w:val="16"/>
              </w:rPr>
              <w:t>2,160</w:t>
            </w:r>
          </w:p>
        </w:tc>
      </w:tr>
      <w:tr>
        <w:tc>
          <w:tcPr>
            <w:tcW w:type="dxa" w:w="2952"/>
          </w:tcPr>
          <w:p>
            <w:pPr>
              <w:spacing w:after="20"/>
            </w:pPr>
            <w:r>
              <w:rPr>
                <w:b/>
                <w:color w:val="1C3A36"/>
                <w:sz w:val="16"/>
              </w:rPr>
              <w:t>EBITDA margin</w:t>
            </w:r>
          </w:p>
        </w:tc>
        <w:tc>
          <w:tcPr>
            <w:tcW w:type="dxa" w:w="900"/>
          </w:tcPr>
          <w:p>
            <w:pPr>
              <w:spacing w:after="20"/>
              <w:jc w:val="right"/>
            </w:pPr>
            <w:r>
              <w:rPr>
                <w:color w:val="1C3A36"/>
                <w:sz w:val="16"/>
              </w:rPr>
              <w:t>30.7%</w:t>
            </w:r>
          </w:p>
        </w:tc>
        <w:tc>
          <w:tcPr>
            <w:tcW w:type="dxa" w:w="900"/>
          </w:tcPr>
          <w:p>
            <w:pPr>
              <w:spacing w:after="20"/>
              <w:jc w:val="right"/>
            </w:pPr>
            <w:r>
              <w:rPr>
                <w:color w:val="1C3A36"/>
                <w:sz w:val="16"/>
              </w:rPr>
              <w:t>25.3%</w:t>
            </w:r>
          </w:p>
        </w:tc>
        <w:tc>
          <w:tcPr>
            <w:tcW w:type="dxa" w:w="900"/>
          </w:tcPr>
          <w:p>
            <w:pPr>
              <w:spacing w:after="20"/>
              <w:jc w:val="right"/>
            </w:pPr>
            <w:r>
              <w:rPr>
                <w:color w:val="1C3A36"/>
                <w:sz w:val="16"/>
              </w:rPr>
              <w:t>26.5%</w:t>
            </w:r>
          </w:p>
        </w:tc>
        <w:tc>
          <w:tcPr>
            <w:tcW w:type="dxa" w:w="900"/>
          </w:tcPr>
          <w:p>
            <w:pPr>
              <w:spacing w:after="20"/>
              <w:jc w:val="right"/>
            </w:pPr>
            <w:r>
              <w:rPr>
                <w:color w:val="1C3A36"/>
                <w:sz w:val="16"/>
              </w:rPr>
              <w:t>4.5%</w:t>
            </w:r>
          </w:p>
        </w:tc>
        <w:tc>
          <w:tcPr>
            <w:tcW w:type="dxa" w:w="900"/>
          </w:tcPr>
          <w:p>
            <w:pPr>
              <w:spacing w:after="20"/>
              <w:jc w:val="right"/>
            </w:pPr>
            <w:r>
              <w:rPr>
                <w:color w:val="1C3A36"/>
                <w:sz w:val="16"/>
              </w:rPr>
              <w:t>9.9%</w:t>
            </w:r>
          </w:p>
        </w:tc>
        <w:tc>
          <w:tcPr>
            <w:tcW w:type="dxa" w:w="900"/>
          </w:tcPr>
          <w:p>
            <w:pPr>
              <w:spacing w:after="20"/>
              <w:jc w:val="right"/>
            </w:pPr>
            <w:r>
              <w:rPr>
                <w:color w:val="1C3A36"/>
                <w:sz w:val="16"/>
              </w:rPr>
              <w:t>12.3%</w:t>
            </w:r>
          </w:p>
        </w:tc>
        <w:tc>
          <w:tcPr>
            <w:tcW w:type="dxa" w:w="900"/>
          </w:tcPr>
          <w:p>
            <w:pPr>
              <w:spacing w:after="20"/>
              <w:jc w:val="right"/>
            </w:pPr>
            <w:r>
              <w:rPr>
                <w:color w:val="1C3A36"/>
                <w:sz w:val="16"/>
              </w:rPr>
              <w:t>13.3%</w:t>
            </w:r>
          </w:p>
        </w:tc>
        <w:tc>
          <w:tcPr>
            <w:tcW w:type="dxa" w:w="900"/>
          </w:tcPr>
          <w:p>
            <w:pPr>
              <w:spacing w:after="20"/>
              <w:jc w:val="right"/>
            </w:pPr>
            <w:r>
              <w:rPr>
                <w:color w:val="1C3A36"/>
                <w:sz w:val="16"/>
              </w:rPr>
              <w:t>13.7%</w:t>
            </w:r>
          </w:p>
        </w:tc>
      </w:tr>
      <w:tr>
        <w:tc>
          <w:tcPr>
            <w:tcW w:type="dxa" w:w="2952"/>
          </w:tcPr>
          <w:p>
            <w:pPr>
              <w:spacing w:after="20"/>
            </w:pPr>
            <w:r>
              <w:rPr>
                <w:b/>
                <w:color w:val="1C3A36"/>
                <w:sz w:val="16"/>
              </w:rPr>
              <w:t>D&amp;A</w:t>
            </w:r>
          </w:p>
        </w:tc>
        <w:tc>
          <w:tcPr>
            <w:tcW w:type="dxa" w:w="900"/>
          </w:tcPr>
          <w:p>
            <w:pPr>
              <w:spacing w:after="20"/>
              <w:jc w:val="right"/>
            </w:pPr>
            <w:r>
              <w:rPr>
                <w:color w:val="1C3A36"/>
                <w:sz w:val="16"/>
              </w:rPr>
              <w:t>(61) (d)</w:t>
            </w:r>
          </w:p>
        </w:tc>
        <w:tc>
          <w:tcPr>
            <w:tcW w:type="dxa" w:w="900"/>
          </w:tcPr>
          <w:p>
            <w:pPr>
              <w:spacing w:after="20"/>
              <w:jc w:val="right"/>
            </w:pPr>
            <w:r>
              <w:rPr>
                <w:color w:val="1C3A36"/>
                <w:sz w:val="16"/>
              </w:rPr>
              <w:t>(90)</w:t>
            </w:r>
          </w:p>
        </w:tc>
        <w:tc>
          <w:tcPr>
            <w:tcW w:type="dxa" w:w="900"/>
          </w:tcPr>
          <w:p>
            <w:pPr>
              <w:spacing w:after="20"/>
              <w:jc w:val="right"/>
            </w:pPr>
            <w:r>
              <w:rPr>
                <w:color w:val="1C3A36"/>
                <w:sz w:val="16"/>
              </w:rPr>
              <w:t>(76) (d)</w:t>
            </w:r>
          </w:p>
        </w:tc>
        <w:tc>
          <w:tcPr>
            <w:tcW w:type="dxa" w:w="900"/>
          </w:tcPr>
          <w:p>
            <w:pPr>
              <w:spacing w:after="20"/>
              <w:jc w:val="right"/>
            </w:pPr>
            <w:r>
              <w:rPr>
                <w:color w:val="1C3A36"/>
                <w:sz w:val="16"/>
              </w:rPr>
              <w:t>(119)</w:t>
            </w:r>
          </w:p>
        </w:tc>
        <w:tc>
          <w:tcPr>
            <w:tcW w:type="dxa" w:w="900"/>
          </w:tcPr>
          <w:p>
            <w:pPr>
              <w:spacing w:after="20"/>
              <w:jc w:val="right"/>
            </w:pPr>
            <w:r>
              <w:rPr>
                <w:color w:val="1C3A36"/>
                <w:sz w:val="16"/>
              </w:rPr>
              <w:t>(141)</w:t>
            </w:r>
          </w:p>
        </w:tc>
        <w:tc>
          <w:tcPr>
            <w:tcW w:type="dxa" w:w="900"/>
          </w:tcPr>
          <w:p>
            <w:pPr>
              <w:spacing w:after="20"/>
              <w:jc w:val="right"/>
            </w:pPr>
            <w:r>
              <w:rPr>
                <w:color w:val="1C3A36"/>
                <w:sz w:val="16"/>
              </w:rPr>
              <w:t>(163)</w:t>
            </w:r>
          </w:p>
        </w:tc>
        <w:tc>
          <w:tcPr>
            <w:tcW w:type="dxa" w:w="900"/>
          </w:tcPr>
          <w:p>
            <w:pPr>
              <w:spacing w:after="20"/>
              <w:jc w:val="right"/>
            </w:pPr>
            <w:r>
              <w:rPr>
                <w:color w:val="1C3A36"/>
                <w:sz w:val="16"/>
              </w:rPr>
              <w:t>(185)</w:t>
            </w:r>
          </w:p>
        </w:tc>
        <w:tc>
          <w:tcPr>
            <w:tcW w:type="dxa" w:w="900"/>
          </w:tcPr>
          <w:p>
            <w:pPr>
              <w:spacing w:after="20"/>
              <w:jc w:val="right"/>
            </w:pPr>
            <w:r>
              <w:rPr>
                <w:color w:val="1C3A36"/>
                <w:sz w:val="16"/>
              </w:rPr>
              <w:t>(205)</w:t>
            </w:r>
          </w:p>
        </w:tc>
      </w:tr>
      <w:tr>
        <w:tc>
          <w:tcPr>
            <w:tcW w:type="dxa" w:w="2952"/>
          </w:tcPr>
          <w:p>
            <w:pPr>
              <w:spacing w:after="20"/>
            </w:pPr>
            <w:r>
              <w:rPr>
                <w:b/>
                <w:color w:val="1C3A36"/>
                <w:sz w:val="16"/>
              </w:rPr>
              <w:t>EBIT</w:t>
            </w:r>
          </w:p>
        </w:tc>
        <w:tc>
          <w:tcPr>
            <w:tcW w:type="dxa" w:w="900"/>
          </w:tcPr>
          <w:p>
            <w:pPr>
              <w:spacing w:after="20"/>
              <w:jc w:val="right"/>
            </w:pPr>
            <w:r>
              <w:rPr>
                <w:color w:val="1C3A36"/>
                <w:sz w:val="16"/>
              </w:rPr>
              <w:t>2,600 (d)</w:t>
            </w:r>
          </w:p>
        </w:tc>
        <w:tc>
          <w:tcPr>
            <w:tcW w:type="dxa" w:w="900"/>
          </w:tcPr>
          <w:p>
            <w:pPr>
              <w:spacing w:after="20"/>
              <w:jc w:val="right"/>
            </w:pPr>
            <w:r>
              <w:rPr>
                <w:color w:val="1C3A36"/>
                <w:sz w:val="16"/>
              </w:rPr>
              <w:t>3,400</w:t>
            </w:r>
          </w:p>
        </w:tc>
        <w:tc>
          <w:tcPr>
            <w:tcW w:type="dxa" w:w="900"/>
          </w:tcPr>
          <w:p>
            <w:pPr>
              <w:spacing w:after="20"/>
              <w:jc w:val="right"/>
            </w:pPr>
            <w:r>
              <w:rPr>
                <w:color w:val="1C3A36"/>
                <w:sz w:val="16"/>
              </w:rPr>
              <w:t>2,796 (d)</w:t>
            </w:r>
          </w:p>
        </w:tc>
        <w:tc>
          <w:tcPr>
            <w:tcW w:type="dxa" w:w="900"/>
          </w:tcPr>
          <w:p>
            <w:pPr>
              <w:spacing w:after="20"/>
              <w:jc w:val="right"/>
            </w:pPr>
            <w:r>
              <w:rPr>
                <w:color w:val="1C3A36"/>
                <w:sz w:val="16"/>
              </w:rPr>
              <w:t>297</w:t>
            </w:r>
          </w:p>
        </w:tc>
        <w:tc>
          <w:tcPr>
            <w:tcW w:type="dxa" w:w="900"/>
          </w:tcPr>
          <w:p>
            <w:pPr>
              <w:spacing w:after="20"/>
              <w:jc w:val="right"/>
            </w:pPr>
            <w:r>
              <w:rPr>
                <w:color w:val="1C3A36"/>
                <w:sz w:val="16"/>
              </w:rPr>
              <w:t>930</w:t>
            </w:r>
          </w:p>
        </w:tc>
        <w:tc>
          <w:tcPr>
            <w:tcW w:type="dxa" w:w="900"/>
          </w:tcPr>
          <w:p>
            <w:pPr>
              <w:spacing w:after="20"/>
              <w:jc w:val="right"/>
            </w:pPr>
            <w:r>
              <w:rPr>
                <w:color w:val="1C3A36"/>
                <w:sz w:val="16"/>
              </w:rPr>
              <w:t>1,378</w:t>
            </w:r>
          </w:p>
        </w:tc>
        <w:tc>
          <w:tcPr>
            <w:tcW w:type="dxa" w:w="900"/>
          </w:tcPr>
          <w:p>
            <w:pPr>
              <w:spacing w:after="20"/>
              <w:jc w:val="right"/>
            </w:pPr>
            <w:r>
              <w:rPr>
                <w:color w:val="1C3A36"/>
                <w:sz w:val="16"/>
              </w:rPr>
              <w:t>1,709</w:t>
            </w:r>
          </w:p>
        </w:tc>
        <w:tc>
          <w:tcPr>
            <w:tcW w:type="dxa" w:w="900"/>
          </w:tcPr>
          <w:p>
            <w:pPr>
              <w:spacing w:after="20"/>
              <w:jc w:val="right"/>
            </w:pPr>
            <w:r>
              <w:rPr>
                <w:color w:val="1C3A36"/>
                <w:sz w:val="16"/>
              </w:rPr>
              <w:t>1,955</w:t>
            </w:r>
          </w:p>
        </w:tc>
      </w:tr>
      <w:tr>
        <w:tc>
          <w:tcPr>
            <w:tcW w:type="dxa" w:w="2952"/>
          </w:tcPr>
          <w:p>
            <w:pPr>
              <w:spacing w:after="20"/>
            </w:pPr>
            <w:r>
              <w:rPr>
                <w:b/>
                <w:color w:val="1C3A36"/>
                <w:sz w:val="16"/>
              </w:rPr>
              <w:t>Net finance cost</w:t>
            </w:r>
          </w:p>
        </w:tc>
        <w:tc>
          <w:tcPr>
            <w:tcW w:type="dxa" w:w="900"/>
          </w:tcPr>
          <w:p>
            <w:pPr>
              <w:spacing w:after="20"/>
              <w:jc w:val="right"/>
            </w:pPr>
            <w:r>
              <w:rPr>
                <w:color w:val="1C3A36"/>
                <w:sz w:val="16"/>
              </w:rPr>
              <w:t>(990) (d)</w:t>
            </w:r>
          </w:p>
        </w:tc>
        <w:tc>
          <w:tcPr>
            <w:tcW w:type="dxa" w:w="900"/>
          </w:tcPr>
          <w:p>
            <w:pPr>
              <w:spacing w:after="20"/>
              <w:jc w:val="right"/>
            </w:pPr>
            <w:r>
              <w:rPr>
                <w:color w:val="1C3A36"/>
                <w:sz w:val="16"/>
              </w:rPr>
              <w:t>(1,700) (d)</w:t>
            </w:r>
          </w:p>
        </w:tc>
        <w:tc>
          <w:tcPr>
            <w:tcW w:type="dxa" w:w="900"/>
          </w:tcPr>
          <w:p>
            <w:pPr>
              <w:spacing w:after="20"/>
              <w:jc w:val="right"/>
            </w:pPr>
            <w:r>
              <w:rPr>
                <w:color w:val="1C3A36"/>
                <w:sz w:val="16"/>
              </w:rPr>
              <w:t>(2,150) (d)</w:t>
            </w:r>
          </w:p>
        </w:tc>
        <w:tc>
          <w:tcPr>
            <w:tcW w:type="dxa" w:w="900"/>
          </w:tcPr>
          <w:p>
            <w:pPr>
              <w:spacing w:after="20"/>
              <w:jc w:val="right"/>
            </w:pPr>
            <w:r>
              <w:rPr>
                <w:color w:val="1C3A36"/>
                <w:sz w:val="16"/>
              </w:rPr>
              <w:t>(2,157)</w:t>
            </w:r>
          </w:p>
        </w:tc>
        <w:tc>
          <w:tcPr>
            <w:tcW w:type="dxa" w:w="900"/>
          </w:tcPr>
          <w:p>
            <w:pPr>
              <w:spacing w:after="20"/>
              <w:jc w:val="right"/>
            </w:pPr>
            <w:r>
              <w:rPr>
                <w:color w:val="1C3A36"/>
                <w:sz w:val="16"/>
              </w:rPr>
              <w:t>(1,957)</w:t>
            </w:r>
          </w:p>
        </w:tc>
        <w:tc>
          <w:tcPr>
            <w:tcW w:type="dxa" w:w="900"/>
          </w:tcPr>
          <w:p>
            <w:pPr>
              <w:spacing w:after="20"/>
              <w:jc w:val="right"/>
            </w:pPr>
            <w:r>
              <w:rPr>
                <w:color w:val="1C3A36"/>
                <w:sz w:val="16"/>
              </w:rPr>
              <w:t>(2,242)</w:t>
            </w:r>
          </w:p>
        </w:tc>
        <w:tc>
          <w:tcPr>
            <w:tcW w:type="dxa" w:w="900"/>
          </w:tcPr>
          <w:p>
            <w:pPr>
              <w:spacing w:after="20"/>
              <w:jc w:val="right"/>
            </w:pPr>
            <w:r>
              <w:rPr>
                <w:color w:val="1C3A36"/>
                <w:sz w:val="16"/>
              </w:rPr>
              <w:t>(2,377)</w:t>
            </w:r>
          </w:p>
        </w:tc>
        <w:tc>
          <w:tcPr>
            <w:tcW w:type="dxa" w:w="900"/>
          </w:tcPr>
          <w:p>
            <w:pPr>
              <w:spacing w:after="20"/>
              <w:jc w:val="right"/>
            </w:pPr>
            <w:r>
              <w:rPr>
                <w:color w:val="1C3A36"/>
                <w:sz w:val="16"/>
              </w:rPr>
              <w:t>(2,442)</w:t>
            </w:r>
          </w:p>
        </w:tc>
      </w:tr>
      <w:tr>
        <w:tc>
          <w:tcPr>
            <w:tcW w:type="dxa" w:w="2952"/>
          </w:tcPr>
          <w:p>
            <w:pPr>
              <w:spacing w:after="20"/>
            </w:pPr>
            <w:r>
              <w:rPr>
                <w:b/>
                <w:color w:val="1C3A36"/>
                <w:sz w:val="16"/>
              </w:rPr>
              <w:t>Earnings before tax</w:t>
            </w:r>
          </w:p>
        </w:tc>
        <w:tc>
          <w:tcPr>
            <w:tcW w:type="dxa" w:w="900"/>
          </w:tcPr>
          <w:p>
            <w:pPr>
              <w:spacing w:after="20"/>
              <w:jc w:val="right"/>
            </w:pPr>
            <w:r>
              <w:rPr>
                <w:color w:val="1C3A36"/>
                <w:sz w:val="16"/>
              </w:rPr>
              <w:t>1,610</w:t>
            </w:r>
          </w:p>
        </w:tc>
        <w:tc>
          <w:tcPr>
            <w:tcW w:type="dxa" w:w="900"/>
          </w:tcPr>
          <w:p>
            <w:pPr>
              <w:spacing w:after="20"/>
              <w:jc w:val="right"/>
            </w:pPr>
            <w:r>
              <w:rPr>
                <w:color w:val="1C3A36"/>
                <w:sz w:val="16"/>
              </w:rPr>
              <w:t>1,700</w:t>
            </w:r>
          </w:p>
        </w:tc>
        <w:tc>
          <w:tcPr>
            <w:tcW w:type="dxa" w:w="900"/>
          </w:tcPr>
          <w:p>
            <w:pPr>
              <w:spacing w:after="20"/>
              <w:jc w:val="right"/>
            </w:pPr>
            <w:r>
              <w:rPr>
                <w:color w:val="1C3A36"/>
                <w:sz w:val="16"/>
              </w:rPr>
              <w:t>646</w:t>
            </w:r>
          </w:p>
        </w:tc>
        <w:tc>
          <w:tcPr>
            <w:tcW w:type="dxa" w:w="900"/>
          </w:tcPr>
          <w:p>
            <w:pPr>
              <w:spacing w:after="20"/>
              <w:jc w:val="right"/>
            </w:pPr>
            <w:r>
              <w:rPr>
                <w:color w:val="1C3A36"/>
                <w:sz w:val="16"/>
              </w:rPr>
              <w:t>(1,860)</w:t>
            </w:r>
          </w:p>
        </w:tc>
        <w:tc>
          <w:tcPr>
            <w:tcW w:type="dxa" w:w="900"/>
          </w:tcPr>
          <w:p>
            <w:pPr>
              <w:spacing w:after="20"/>
              <w:jc w:val="right"/>
            </w:pPr>
            <w:r>
              <w:rPr>
                <w:color w:val="1C3A36"/>
                <w:sz w:val="16"/>
              </w:rPr>
              <w:t>(1,027)</w:t>
            </w:r>
          </w:p>
        </w:tc>
        <w:tc>
          <w:tcPr>
            <w:tcW w:type="dxa" w:w="900"/>
          </w:tcPr>
          <w:p>
            <w:pPr>
              <w:spacing w:after="20"/>
              <w:jc w:val="right"/>
            </w:pPr>
            <w:r>
              <w:rPr>
                <w:color w:val="1C3A36"/>
                <w:sz w:val="16"/>
              </w:rPr>
              <w:t>(864)</w:t>
            </w:r>
          </w:p>
        </w:tc>
        <w:tc>
          <w:tcPr>
            <w:tcW w:type="dxa" w:w="900"/>
          </w:tcPr>
          <w:p>
            <w:pPr>
              <w:spacing w:after="20"/>
              <w:jc w:val="right"/>
            </w:pPr>
            <w:r>
              <w:rPr>
                <w:color w:val="1C3A36"/>
                <w:sz w:val="16"/>
              </w:rPr>
              <w:t>(667)</w:t>
            </w:r>
          </w:p>
        </w:tc>
        <w:tc>
          <w:tcPr>
            <w:tcW w:type="dxa" w:w="900"/>
          </w:tcPr>
          <w:p>
            <w:pPr>
              <w:spacing w:after="20"/>
              <w:jc w:val="right"/>
            </w:pPr>
            <w:r>
              <w:rPr>
                <w:color w:val="1C3A36"/>
                <w:sz w:val="16"/>
              </w:rPr>
              <w:t>(487)</w:t>
            </w:r>
          </w:p>
        </w:tc>
      </w:tr>
      <w:tr>
        <w:tc>
          <w:tcPr>
            <w:tcW w:type="dxa" w:w="2952"/>
          </w:tcPr>
          <w:p>
            <w:pPr>
              <w:spacing w:after="20"/>
            </w:pPr>
            <w:r>
              <w:rPr>
                <w:b/>
                <w:color w:val="1C3A36"/>
                <w:sz w:val="16"/>
              </w:rPr>
              <w:t>Income tax (22.5%)</w:t>
            </w:r>
          </w:p>
        </w:tc>
        <w:tc>
          <w:tcPr>
            <w:tcW w:type="dxa" w:w="900"/>
          </w:tcPr>
          <w:p>
            <w:pPr>
              <w:spacing w:after="20"/>
              <w:jc w:val="right"/>
            </w:pPr>
            <w:r>
              <w:rPr>
                <w:color w:val="1C3A36"/>
                <w:sz w:val="16"/>
              </w:rPr>
              <w:t>(362)</w:t>
            </w:r>
          </w:p>
        </w:tc>
        <w:tc>
          <w:tcPr>
            <w:tcW w:type="dxa" w:w="900"/>
          </w:tcPr>
          <w:p>
            <w:pPr>
              <w:spacing w:after="20"/>
              <w:jc w:val="right"/>
            </w:pPr>
            <w:r>
              <w:rPr>
                <w:color w:val="1C3A36"/>
                <w:sz w:val="16"/>
              </w:rPr>
              <w:t>(372)</w:t>
            </w:r>
          </w:p>
        </w:tc>
        <w:tc>
          <w:tcPr>
            <w:tcW w:type="dxa" w:w="900"/>
          </w:tcPr>
          <w:p>
            <w:pPr>
              <w:spacing w:after="20"/>
              <w:jc w:val="right"/>
            </w:pPr>
            <w:r>
              <w:rPr>
                <w:color w:val="1C3A36"/>
                <w:sz w:val="16"/>
              </w:rPr>
              <w:t>(145)</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r>
      <w:tr>
        <w:tc>
          <w:tcPr>
            <w:tcW w:type="dxa" w:w="2952"/>
          </w:tcPr>
          <w:p>
            <w:pPr>
              <w:spacing w:after="20"/>
            </w:pPr>
            <w:r>
              <w:rPr>
                <w:b/>
                <w:color w:val="1C3A36"/>
                <w:sz w:val="16"/>
              </w:rPr>
              <w:t>Net profit (attributable)</w:t>
            </w:r>
          </w:p>
        </w:tc>
        <w:tc>
          <w:tcPr>
            <w:tcW w:type="dxa" w:w="900"/>
          </w:tcPr>
          <w:p>
            <w:pPr>
              <w:spacing w:after="20"/>
              <w:jc w:val="right"/>
            </w:pPr>
            <w:r>
              <w:rPr>
                <w:color w:val="1C3A36"/>
                <w:sz w:val="16"/>
              </w:rPr>
              <w:t>1,248</w:t>
            </w:r>
          </w:p>
        </w:tc>
        <w:tc>
          <w:tcPr>
            <w:tcW w:type="dxa" w:w="900"/>
          </w:tcPr>
          <w:p>
            <w:pPr>
              <w:spacing w:after="20"/>
              <w:jc w:val="right"/>
            </w:pPr>
            <w:r>
              <w:rPr>
                <w:color w:val="1C3A36"/>
                <w:sz w:val="16"/>
              </w:rPr>
              <w:t>1,328</w:t>
            </w:r>
          </w:p>
        </w:tc>
        <w:tc>
          <w:tcPr>
            <w:tcW w:type="dxa" w:w="900"/>
          </w:tcPr>
          <w:p>
            <w:pPr>
              <w:spacing w:after="20"/>
              <w:jc w:val="right"/>
            </w:pPr>
            <w:r>
              <w:rPr>
                <w:color w:val="1C3A36"/>
                <w:sz w:val="16"/>
              </w:rPr>
              <w:t>500</w:t>
            </w:r>
          </w:p>
        </w:tc>
        <w:tc>
          <w:tcPr>
            <w:tcW w:type="dxa" w:w="900"/>
          </w:tcPr>
          <w:p>
            <w:pPr>
              <w:spacing w:after="20"/>
              <w:jc w:val="right"/>
            </w:pPr>
            <w:r>
              <w:rPr>
                <w:color w:val="1C3A36"/>
                <w:sz w:val="16"/>
              </w:rPr>
              <w:t>(1,860)</w:t>
            </w:r>
          </w:p>
        </w:tc>
        <w:tc>
          <w:tcPr>
            <w:tcW w:type="dxa" w:w="900"/>
          </w:tcPr>
          <w:p>
            <w:pPr>
              <w:spacing w:after="20"/>
              <w:jc w:val="right"/>
            </w:pPr>
            <w:r>
              <w:rPr>
                <w:color w:val="1C3A36"/>
                <w:sz w:val="16"/>
              </w:rPr>
              <w:t>(1,027)</w:t>
            </w:r>
          </w:p>
        </w:tc>
        <w:tc>
          <w:tcPr>
            <w:tcW w:type="dxa" w:w="900"/>
          </w:tcPr>
          <w:p>
            <w:pPr>
              <w:spacing w:after="20"/>
              <w:jc w:val="right"/>
            </w:pPr>
            <w:r>
              <w:rPr>
                <w:color w:val="1C3A36"/>
                <w:sz w:val="16"/>
              </w:rPr>
              <w:t>(864)</w:t>
            </w:r>
          </w:p>
        </w:tc>
        <w:tc>
          <w:tcPr>
            <w:tcW w:type="dxa" w:w="900"/>
          </w:tcPr>
          <w:p>
            <w:pPr>
              <w:spacing w:after="20"/>
              <w:jc w:val="right"/>
            </w:pPr>
            <w:r>
              <w:rPr>
                <w:color w:val="1C3A36"/>
                <w:sz w:val="16"/>
              </w:rPr>
              <w:t>(667)</w:t>
            </w:r>
          </w:p>
        </w:tc>
        <w:tc>
          <w:tcPr>
            <w:tcW w:type="dxa" w:w="900"/>
          </w:tcPr>
          <w:p>
            <w:pPr>
              <w:spacing w:after="20"/>
              <w:jc w:val="right"/>
            </w:pPr>
            <w:r>
              <w:rPr>
                <w:color w:val="1C3A36"/>
                <w:sz w:val="16"/>
              </w:rPr>
              <w:t>(487)</w:t>
            </w:r>
          </w:p>
        </w:tc>
      </w:tr>
      <w:tr>
        <w:tc>
          <w:tcPr>
            <w:tcW w:type="dxa" w:w="2952"/>
          </w:tcPr>
          <w:p>
            <w:pPr>
              <w:spacing w:after="20"/>
            </w:pPr>
            <w:r>
              <w:rPr>
                <w:b/>
                <w:color w:val="1C3A36"/>
                <w:sz w:val="16"/>
              </w:rPr>
              <w:t>EPS (EGP)</w:t>
            </w:r>
          </w:p>
        </w:tc>
        <w:tc>
          <w:tcPr>
            <w:tcW w:type="dxa" w:w="900"/>
          </w:tcPr>
          <w:p>
            <w:pPr>
              <w:spacing w:after="20"/>
              <w:jc w:val="right"/>
            </w:pPr>
            <w:r>
              <w:rPr>
                <w:color w:val="1C3A36"/>
                <w:sz w:val="16"/>
              </w:rPr>
              <w:t>0.38</w:t>
            </w:r>
          </w:p>
        </w:tc>
        <w:tc>
          <w:tcPr>
            <w:tcW w:type="dxa" w:w="900"/>
          </w:tcPr>
          <w:p>
            <w:pPr>
              <w:spacing w:after="20"/>
              <w:jc w:val="right"/>
            </w:pPr>
            <w:r>
              <w:rPr>
                <w:color w:val="1C3A36"/>
                <w:sz w:val="16"/>
              </w:rPr>
              <w:t>0.40</w:t>
            </w:r>
          </w:p>
        </w:tc>
        <w:tc>
          <w:tcPr>
            <w:tcW w:type="dxa" w:w="900"/>
          </w:tcPr>
          <w:p>
            <w:pPr>
              <w:spacing w:after="20"/>
              <w:jc w:val="right"/>
            </w:pPr>
            <w:r>
              <w:rPr>
                <w:color w:val="1C3A36"/>
                <w:sz w:val="16"/>
              </w:rPr>
              <w:t>0.15</w:t>
            </w:r>
          </w:p>
        </w:tc>
        <w:tc>
          <w:tcPr>
            <w:tcW w:type="dxa" w:w="900"/>
          </w:tcPr>
          <w:p>
            <w:pPr>
              <w:spacing w:after="20"/>
              <w:jc w:val="right"/>
            </w:pPr>
            <w:r>
              <w:rPr>
                <w:color w:val="1C3A36"/>
                <w:sz w:val="16"/>
              </w:rPr>
              <w:t>(0.56)</w:t>
            </w:r>
          </w:p>
        </w:tc>
        <w:tc>
          <w:tcPr>
            <w:tcW w:type="dxa" w:w="900"/>
          </w:tcPr>
          <w:p>
            <w:pPr>
              <w:spacing w:after="20"/>
              <w:jc w:val="right"/>
            </w:pPr>
            <w:r>
              <w:rPr>
                <w:color w:val="1C3A36"/>
                <w:sz w:val="16"/>
              </w:rPr>
              <w:t>(0.31)</w:t>
            </w:r>
          </w:p>
        </w:tc>
        <w:tc>
          <w:tcPr>
            <w:tcW w:type="dxa" w:w="900"/>
          </w:tcPr>
          <w:p>
            <w:pPr>
              <w:spacing w:after="20"/>
              <w:jc w:val="right"/>
            </w:pPr>
            <w:r>
              <w:rPr>
                <w:color w:val="1C3A36"/>
                <w:sz w:val="16"/>
              </w:rPr>
              <w:t>(0.26)</w:t>
            </w:r>
          </w:p>
        </w:tc>
        <w:tc>
          <w:tcPr>
            <w:tcW w:type="dxa" w:w="900"/>
          </w:tcPr>
          <w:p>
            <w:pPr>
              <w:spacing w:after="20"/>
              <w:jc w:val="right"/>
            </w:pPr>
            <w:r>
              <w:rPr>
                <w:color w:val="1C3A36"/>
                <w:sz w:val="16"/>
              </w:rPr>
              <w:t>(0.20)</w:t>
            </w:r>
          </w:p>
        </w:tc>
        <w:tc>
          <w:tcPr>
            <w:tcW w:type="dxa" w:w="900"/>
          </w:tcPr>
          <w:p>
            <w:pPr>
              <w:spacing w:after="20"/>
              <w:jc w:val="right"/>
            </w:pPr>
            <w:r>
              <w:rPr>
                <w:color w:val="1C3A36"/>
                <w:sz w:val="16"/>
              </w:rPr>
              <w:t>(0.15)</w:t>
            </w:r>
          </w:p>
        </w:tc>
      </w:tr>
    </w:tbl>
    <w:p>
      <w:pPr>
        <w:spacing w:after="40"/>
      </w:pPr>
    </w:p>
    <w:p>
      <w:pPr>
        <w:spacing w:after="200" w:before="0"/>
      </w:pPr>
      <w:r>
        <w:rPr>
          <w:b w:val="0"/>
          <w:i/>
          <w:color w:val="6E7B77"/>
          <w:sz w:val="17"/>
        </w:rPr>
        <w:t>Historical revenue/NP/EBT/tax: bourse-reported. (d) = derived (FY24 closes to the reported NP within 0.8% — the triangulation that licenses the method). Forecast net-finance-cost line uses the forward Kd path on the modelled debt schedule; the equity P&amp;L is shown for completeness — the valuation runs on FCFF, which is independent of the financing line.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1224"/>
        <w:gridCol w:w="1224"/>
        <w:gridCol w:w="1224"/>
        <w:gridCol w:w="1224"/>
        <w:gridCol w:w="1224"/>
      </w:tblGrid>
      <w:tr>
        <w:tc>
          <w:tcPr>
            <w:tcW w:type="dxa" w:w="3312"/>
            <w:shd w:val="clear" w:color="auto" w:fill="EAF0EE"/>
          </w:tcPr>
          <w:p>
            <w:pPr>
              <w:spacing w:after="20"/>
            </w:pPr>
            <w:r>
              <w:rPr>
                <w:b/>
                <w:color w:val="1C3A36"/>
                <w:sz w:val="16"/>
              </w:rPr>
              <w:t>Line</w:t>
            </w:r>
          </w:p>
        </w:tc>
        <w:tc>
          <w:tcPr>
            <w:tcW w:type="dxa" w:w="1224"/>
            <w:shd w:val="clear" w:color="auto" w:fill="EAF0EE"/>
          </w:tcPr>
          <w:p>
            <w:pPr>
              <w:spacing w:after="20"/>
            </w:pPr>
            <w:r>
              <w:rPr>
                <w:b/>
                <w:color w:val="1C3A36"/>
                <w:sz w:val="16"/>
              </w:rPr>
              <w:t>FY22</w:t>
            </w:r>
          </w:p>
        </w:tc>
        <w:tc>
          <w:tcPr>
            <w:tcW w:type="dxa" w:w="1224"/>
            <w:shd w:val="clear" w:color="auto" w:fill="EAF0EE"/>
          </w:tcPr>
          <w:p>
            <w:pPr>
              <w:spacing w:after="20"/>
            </w:pPr>
            <w:r>
              <w:rPr>
                <w:b/>
                <w:color w:val="1C3A36"/>
                <w:sz w:val="16"/>
              </w:rPr>
              <w:t>FY23e</w:t>
            </w:r>
          </w:p>
        </w:tc>
        <w:tc>
          <w:tcPr>
            <w:tcW w:type="dxa" w:w="1224"/>
            <w:shd w:val="clear" w:color="auto" w:fill="EAF0EE"/>
          </w:tcPr>
          <w:p>
            <w:pPr>
              <w:spacing w:after="20"/>
            </w:pPr>
            <w:r>
              <w:rPr>
                <w:b/>
                <w:color w:val="1C3A36"/>
                <w:sz w:val="16"/>
              </w:rPr>
              <w:t>FY24</w:t>
            </w:r>
          </w:p>
        </w:tc>
        <w:tc>
          <w:tcPr>
            <w:tcW w:type="dxa" w:w="1224"/>
            <w:shd w:val="clear" w:color="auto" w:fill="EAF0EE"/>
          </w:tcPr>
          <w:p>
            <w:pPr>
              <w:spacing w:after="20"/>
            </w:pPr>
            <w:r>
              <w:rPr>
                <w:b/>
                <w:color w:val="1C3A36"/>
                <w:sz w:val="16"/>
              </w:rPr>
              <w:t>FY25e</w:t>
            </w:r>
          </w:p>
        </w:tc>
        <w:tc>
          <w:tcPr>
            <w:tcW w:type="dxa" w:w="1224"/>
            <w:shd w:val="clear" w:color="auto" w:fill="EAF0EE"/>
          </w:tcPr>
          <w:p>
            <w:pPr>
              <w:spacing w:after="20"/>
            </w:pPr>
            <w:r>
              <w:rPr>
                <w:b/>
                <w:color w:val="1C3A36"/>
                <w:sz w:val="16"/>
              </w:rPr>
              <w:t>FY27E</w:t>
            </w:r>
          </w:p>
        </w:tc>
        <w:tc>
          <w:tcPr>
            <w:tcW w:type="dxa" w:w="1224"/>
            <w:shd w:val="clear" w:color="auto" w:fill="EAF0EE"/>
          </w:tcPr>
          <w:p>
            <w:pPr>
              <w:spacing w:after="20"/>
            </w:pPr>
            <w:r>
              <w:rPr>
                <w:b/>
                <w:color w:val="1C3A36"/>
                <w:sz w:val="16"/>
              </w:rPr>
              <w:t>FY30E</w:t>
            </w:r>
          </w:p>
        </w:tc>
      </w:tr>
      <w:tr>
        <w:tc>
          <w:tcPr>
            <w:tcW w:type="dxa" w:w="3312"/>
          </w:tcPr>
          <w:p>
            <w:pPr>
              <w:spacing w:after="20"/>
            </w:pPr>
            <w:r>
              <w:rPr>
                <w:b/>
                <w:color w:val="1C3A36"/>
                <w:sz w:val="16"/>
              </w:rPr>
              <w:t>Total assets (model basis fwd)</w:t>
            </w:r>
          </w:p>
        </w:tc>
        <w:tc>
          <w:tcPr>
            <w:tcW w:type="dxa" w:w="1224"/>
          </w:tcPr>
          <w:p>
            <w:pPr>
              <w:spacing w:after="20"/>
              <w:jc w:val="right"/>
            </w:pPr>
            <w:r>
              <w:rPr>
                <w:color w:val="1C3A36"/>
                <w:sz w:val="16"/>
              </w:rPr>
              <w:t>4,960</w:t>
            </w:r>
          </w:p>
        </w:tc>
        <w:tc>
          <w:tcPr>
            <w:tcW w:type="dxa" w:w="1224"/>
          </w:tcPr>
          <w:p>
            <w:pPr>
              <w:spacing w:after="20"/>
              <w:jc w:val="right"/>
            </w:pPr>
            <w:r>
              <w:rPr>
                <w:color w:val="1C3A36"/>
                <w:sz w:val="16"/>
              </w:rPr>
              <w:t>10,000 (e)</w:t>
            </w:r>
          </w:p>
        </w:tc>
        <w:tc>
          <w:tcPr>
            <w:tcW w:type="dxa" w:w="1224"/>
          </w:tcPr>
          <w:p>
            <w:pPr>
              <w:spacing w:after="20"/>
              <w:jc w:val="right"/>
            </w:pPr>
            <w:r>
              <w:rPr>
                <w:color w:val="1C3A36"/>
                <w:sz w:val="16"/>
              </w:rPr>
              <w:t>14,970</w:t>
            </w:r>
          </w:p>
        </w:tc>
        <w:tc>
          <w:tcPr>
            <w:tcW w:type="dxa" w:w="1224"/>
          </w:tcPr>
          <w:p>
            <w:pPr>
              <w:spacing w:after="20"/>
              <w:jc w:val="right"/>
            </w:pPr>
            <w:r>
              <w:rPr>
                <w:color w:val="1C3A36"/>
                <w:sz w:val="16"/>
              </w:rPr>
              <w:t>16,460</w:t>
            </w:r>
          </w:p>
        </w:tc>
        <w:tc>
          <w:tcPr>
            <w:tcW w:type="dxa" w:w="1224"/>
          </w:tcPr>
          <w:p>
            <w:pPr>
              <w:spacing w:after="20"/>
              <w:jc w:val="right"/>
            </w:pPr>
            <w:r>
              <w:rPr>
                <w:color w:val="1C3A36"/>
                <w:sz w:val="16"/>
              </w:rPr>
              <w:t>13,843</w:t>
            </w:r>
          </w:p>
        </w:tc>
        <w:tc>
          <w:tcPr>
            <w:tcW w:type="dxa" w:w="1224"/>
          </w:tcPr>
          <w:p>
            <w:pPr>
              <w:spacing w:after="20"/>
              <w:jc w:val="right"/>
            </w:pPr>
            <w:r>
              <w:rPr>
                <w:color w:val="1C3A36"/>
                <w:sz w:val="16"/>
              </w:rPr>
              <w:t>16,283</w:t>
            </w:r>
          </w:p>
        </w:tc>
      </w:tr>
      <w:tr>
        <w:tc>
          <w:tcPr>
            <w:tcW w:type="dxa" w:w="3312"/>
          </w:tcPr>
          <w:p>
            <w:pPr>
              <w:spacing w:after="20"/>
            </w:pPr>
            <w:r>
              <w:rPr>
                <w:b/>
                <w:color w:val="1C3A36"/>
                <w:sz w:val="16"/>
              </w:rPr>
              <w:t xml:space="preserve">  of which net working capital</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~7,000 (e)</w:t>
            </w:r>
          </w:p>
        </w:tc>
        <w:tc>
          <w:tcPr>
            <w:tcW w:type="dxa" w:w="1224"/>
          </w:tcPr>
          <w:p>
            <w:pPr>
              <w:spacing w:after="20"/>
              <w:jc w:val="right"/>
            </w:pPr>
            <w:r>
              <w:rPr>
                <w:color w:val="1C3A36"/>
                <w:sz w:val="16"/>
              </w:rPr>
              <w:t>~10,500 (d)</w:t>
            </w:r>
          </w:p>
        </w:tc>
        <w:tc>
          <w:tcPr>
            <w:tcW w:type="dxa" w:w="1224"/>
          </w:tcPr>
          <w:p>
            <w:pPr>
              <w:spacing w:after="20"/>
              <w:jc w:val="right"/>
            </w:pPr>
            <w:r>
              <w:rPr>
                <w:color w:val="1C3A36"/>
                <w:sz w:val="16"/>
              </w:rPr>
              <w:t>12,245 (d)</w:t>
            </w:r>
          </w:p>
        </w:tc>
        <w:tc>
          <w:tcPr>
            <w:tcW w:type="dxa" w:w="1224"/>
          </w:tcPr>
          <w:p>
            <w:pPr>
              <w:spacing w:after="20"/>
              <w:jc w:val="right"/>
            </w:pPr>
            <w:r>
              <w:rPr>
                <w:color w:val="1C3A36"/>
                <w:sz w:val="16"/>
              </w:rPr>
              <w:t>11,463</w:t>
            </w:r>
          </w:p>
        </w:tc>
        <w:tc>
          <w:tcPr>
            <w:tcW w:type="dxa" w:w="1224"/>
          </w:tcPr>
          <w:p>
            <w:pPr>
              <w:spacing w:after="20"/>
              <w:jc w:val="right"/>
            </w:pPr>
            <w:r>
              <w:rPr>
                <w:color w:val="1C3A36"/>
                <w:sz w:val="16"/>
              </w:rPr>
              <w:t>13,903</w:t>
            </w:r>
          </w:p>
        </w:tc>
      </w:tr>
      <w:tr>
        <w:tc>
          <w:tcPr>
            <w:tcW w:type="dxa" w:w="3312"/>
          </w:tcPr>
          <w:p>
            <w:pPr>
              <w:spacing w:after="20"/>
            </w:pPr>
            <w:r>
              <w:rPr>
                <w:b/>
                <w:color w:val="1C3A36"/>
                <w:sz w:val="16"/>
              </w:rPr>
              <w:t>Net debt</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8,172</w:t>
            </w:r>
          </w:p>
        </w:tc>
        <w:tc>
          <w:tcPr>
            <w:tcW w:type="dxa" w:w="1224"/>
          </w:tcPr>
          <w:p>
            <w:pPr>
              <w:spacing w:after="20"/>
              <w:jc w:val="right"/>
            </w:pPr>
            <w:r>
              <w:rPr>
                <w:color w:val="1C3A36"/>
                <w:sz w:val="16"/>
              </w:rPr>
              <w:t>9,805 (d)</w:t>
            </w:r>
          </w:p>
        </w:tc>
        <w:tc>
          <w:tcPr>
            <w:tcW w:type="dxa" w:w="1224"/>
          </w:tcPr>
          <w:p>
            <w:pPr>
              <w:spacing w:after="20"/>
              <w:jc w:val="right"/>
            </w:pPr>
            <w:r>
              <w:rPr>
                <w:color w:val="1C3A36"/>
                <w:sz w:val="16"/>
              </w:rPr>
              <w:t>12,118</w:t>
            </w:r>
          </w:p>
        </w:tc>
        <w:tc>
          <w:tcPr>
            <w:tcW w:type="dxa" w:w="1224"/>
          </w:tcPr>
          <w:p>
            <w:pPr>
              <w:spacing w:after="20"/>
              <w:jc w:val="right"/>
            </w:pPr>
            <w:r>
              <w:rPr>
                <w:color w:val="1C3A36"/>
                <w:sz w:val="16"/>
              </w:rPr>
              <w:t>16,874</w:t>
            </w:r>
          </w:p>
        </w:tc>
      </w:tr>
      <w:tr>
        <w:tc>
          <w:tcPr>
            <w:tcW w:type="dxa" w:w="3312"/>
          </w:tcPr>
          <w:p>
            <w:pPr>
              <w:spacing w:after="20"/>
            </w:pPr>
            <w:r>
              <w:rPr>
                <w:b/>
                <w:color w:val="1C3A36"/>
                <w:sz w:val="16"/>
              </w:rPr>
              <w:t>Equity attributable</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3,600</w:t>
            </w:r>
          </w:p>
        </w:tc>
        <w:tc>
          <w:tcPr>
            <w:tcW w:type="dxa" w:w="1224"/>
          </w:tcPr>
          <w:p>
            <w:pPr>
              <w:spacing w:after="20"/>
              <w:jc w:val="right"/>
            </w:pPr>
            <w:r>
              <w:rPr>
                <w:color w:val="1C3A36"/>
                <w:sz w:val="16"/>
              </w:rPr>
              <w:t>4,100 (d)</w:t>
            </w:r>
          </w:p>
        </w:tc>
        <w:tc>
          <w:tcPr>
            <w:tcW w:type="dxa" w:w="1224"/>
          </w:tcPr>
          <w:p>
            <w:pPr>
              <w:spacing w:after="20"/>
              <w:jc w:val="right"/>
            </w:pPr>
            <w:r>
              <w:rPr>
                <w:color w:val="1C3A36"/>
                <w:sz w:val="16"/>
              </w:rPr>
              <w:t>1,213</w:t>
            </w:r>
          </w:p>
        </w:tc>
        <w:tc>
          <w:tcPr>
            <w:tcW w:type="dxa" w:w="1224"/>
          </w:tcPr>
          <w:p>
            <w:pPr>
              <w:spacing w:after="20"/>
              <w:jc w:val="right"/>
            </w:pPr>
            <w:r>
              <w:rPr>
                <w:color w:val="1C3A36"/>
                <w:sz w:val="16"/>
              </w:rPr>
              <w:t>-805</w:t>
            </w:r>
          </w:p>
        </w:tc>
      </w:tr>
      <w:tr>
        <w:tc>
          <w:tcPr>
            <w:tcW w:type="dxa" w:w="3312"/>
          </w:tcPr>
          <w:p>
            <w:pPr>
              <w:spacing w:after="20"/>
            </w:pPr>
            <w:r>
              <w:rPr>
                <w:b/>
                <w:color w:val="1C3A36"/>
                <w:sz w:val="16"/>
              </w:rPr>
              <w:t>Net debt / equity</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227%</w:t>
            </w:r>
          </w:p>
        </w:tc>
        <w:tc>
          <w:tcPr>
            <w:tcW w:type="dxa" w:w="1224"/>
          </w:tcPr>
          <w:p>
            <w:pPr>
              <w:spacing w:after="20"/>
              <w:jc w:val="right"/>
            </w:pPr>
            <w:r>
              <w:rPr>
                <w:color w:val="1C3A36"/>
                <w:sz w:val="16"/>
              </w:rPr>
              <w:t>239% (d)</w:t>
            </w:r>
          </w:p>
        </w:tc>
        <w:tc>
          <w:tcPr>
            <w:tcW w:type="dxa" w:w="1224"/>
          </w:tcPr>
          <w:p>
            <w:pPr>
              <w:spacing w:after="20"/>
              <w:jc w:val="right"/>
            </w:pPr>
            <w:r>
              <w:rPr>
                <w:color w:val="1C3A36"/>
                <w:sz w:val="16"/>
              </w:rPr>
              <w:t>999%</w:t>
            </w:r>
          </w:p>
        </w:tc>
        <w:tc>
          <w:tcPr>
            <w:tcW w:type="dxa" w:w="1224"/>
          </w:tcPr>
          <w:p>
            <w:pPr>
              <w:spacing w:after="20"/>
              <w:jc w:val="right"/>
            </w:pPr>
            <w:r>
              <w:rPr>
                <w:color w:val="1C3A36"/>
                <w:sz w:val="16"/>
              </w:rPr>
              <w:t>-2095%</w:t>
            </w:r>
          </w:p>
        </w:tc>
      </w:tr>
    </w:tbl>
    <w:p>
      <w:pPr>
        <w:spacing w:after="40"/>
      </w:pPr>
    </w:p>
    <w:p>
      <w:pPr>
        <w:spacing w:after="200" w:before="0"/>
      </w:pPr>
      <w:r>
        <w:rPr>
          <w:b w:val="0"/>
          <w:i/>
          <w:color w:val="6E7B77"/>
          <w:sz w:val="17"/>
        </w:rPr>
        <w:t>(e) = estimate bounded by disclosed prints; (d) = derived from disclosed totals (construction in §1.6). FY22/FY24/FY25 total assets, the FY24 debt/cash/equity set and the FY25 facilities are sourced; the FY25 debt/cash/net-debt set is triangulated from them (roll-forward table, §1.6); the FY23 year-end balance sheet was never found (flagged gap). Forecast columns are the model’s clean-surplus roll-forward — and they are the honest bad news: on the base case, book equity erodes toward zero by FY29–30E while net debt compounds. See §7, first two caveats.</w:t>
      </w:r>
    </w:p>
    <w:p>
      <w:pPr>
        <w:spacing w:after="80" w:before="200"/>
      </w:pPr>
      <w:r>
        <w:rPr>
          <w:b/>
          <w:i w:val="0"/>
          <w:color w:val="1C3A36"/>
          <w:sz w:val="24"/>
        </w:rPr>
        <w:t>A.3  Cash flow markers and the working-capital 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gridCol w:w="1944"/>
      </w:tblGrid>
      <w:tr>
        <w:tc>
          <w:tcPr>
            <w:tcW w:type="dxa" w:w="374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FY23</w:t>
            </w:r>
          </w:p>
        </w:tc>
        <w:tc>
          <w:tcPr>
            <w:tcW w:type="dxa" w:w="1656"/>
            <w:shd w:val="clear" w:color="auto" w:fill="EAF0EE"/>
          </w:tcPr>
          <w:p>
            <w:pPr>
              <w:spacing w:after="20"/>
            </w:pPr>
            <w:r>
              <w:rPr>
                <w:b/>
                <w:color w:val="1C3A36"/>
                <w:sz w:val="17"/>
              </w:rPr>
              <w:t>FY24</w:t>
            </w:r>
          </w:p>
        </w:tc>
        <w:tc>
          <w:tcPr>
            <w:tcW w:type="dxa" w:w="1656"/>
            <w:shd w:val="clear" w:color="auto" w:fill="EAF0EE"/>
          </w:tcPr>
          <w:p>
            <w:pPr>
              <w:spacing w:after="20"/>
            </w:pPr>
            <w:r>
              <w:rPr>
                <w:b/>
                <w:color w:val="1C3A36"/>
                <w:sz w:val="17"/>
              </w:rPr>
              <w:t>FY25</w:t>
            </w:r>
          </w:p>
        </w:tc>
        <w:tc>
          <w:tcPr>
            <w:tcW w:type="dxa" w:w="1944"/>
            <w:shd w:val="clear" w:color="auto" w:fill="EAF0EE"/>
          </w:tcPr>
          <w:p>
            <w:pPr>
              <w:spacing w:after="20"/>
            </w:pPr>
            <w:r>
              <w:rPr>
                <w:b/>
                <w:color w:val="1C3A36"/>
                <w:sz w:val="17"/>
              </w:rPr>
              <w:t>FY26E</w:t>
            </w:r>
          </w:p>
        </w:tc>
      </w:tr>
      <w:tr>
        <w:tc>
          <w:tcPr>
            <w:tcW w:type="dxa" w:w="3744"/>
          </w:tcPr>
          <w:p>
            <w:pPr>
              <w:spacing w:after="20"/>
            </w:pPr>
            <w:r>
              <w:rPr>
                <w:b/>
                <w:color w:val="1C3A36"/>
                <w:sz w:val="17"/>
              </w:rPr>
              <w:t>Operating cash flow</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~breakeven (d)</w:t>
            </w:r>
          </w:p>
        </w:tc>
        <w:tc>
          <w:tcPr>
            <w:tcW w:type="dxa" w:w="1944"/>
          </w:tcPr>
          <w:p>
            <w:pPr>
              <w:spacing w:after="20"/>
              <w:jc w:val="right"/>
            </w:pPr>
            <w:r>
              <w:rPr>
                <w:color w:val="1C3A36"/>
                <w:sz w:val="17"/>
              </w:rPr>
              <w:t>+2,335 (release)</w:t>
            </w:r>
          </w:p>
        </w:tc>
      </w:tr>
      <w:tr>
        <w:tc>
          <w:tcPr>
            <w:tcW w:type="dxa" w:w="3744"/>
          </w:tcPr>
          <w:p>
            <w:pPr>
              <w:spacing w:after="20"/>
            </w:pPr>
            <w:r>
              <w:rPr>
                <w:b/>
                <w:color w:val="1C3A36"/>
                <w:sz w:val="17"/>
              </w:rPr>
              <w:t>NWC as % of revenue</w:t>
            </w:r>
          </w:p>
        </w:tc>
        <w:tc>
          <w:tcPr>
            <w:tcW w:type="dxa" w:w="1656"/>
          </w:tcPr>
          <w:p>
            <w:pPr>
              <w:spacing w:after="20"/>
              <w:jc w:val="right"/>
            </w:pPr>
            <w:r>
              <w:rPr>
                <w:color w:val="1C3A36"/>
                <w:sz w:val="17"/>
              </w:rPr>
              <w:t>~81% (e)</w:t>
            </w:r>
          </w:p>
        </w:tc>
        <w:tc>
          <w:tcPr>
            <w:tcW w:type="dxa" w:w="1656"/>
          </w:tcPr>
          <w:p>
            <w:pPr>
              <w:spacing w:after="20"/>
              <w:jc w:val="right"/>
            </w:pPr>
            <w:r>
              <w:rPr>
                <w:color w:val="1C3A36"/>
                <w:sz w:val="17"/>
              </w:rPr>
              <w:t>~76% (d)</w:t>
            </w:r>
          </w:p>
        </w:tc>
        <w:tc>
          <w:tcPr>
            <w:tcW w:type="dxa" w:w="1656"/>
          </w:tcPr>
          <w:p>
            <w:pPr>
              <w:spacing w:after="20"/>
              <w:jc w:val="right"/>
            </w:pPr>
            <w:r>
              <w:rPr>
                <w:color w:val="1C3A36"/>
                <w:sz w:val="17"/>
              </w:rPr>
              <w:t>~113% (d)</w:t>
            </w:r>
          </w:p>
        </w:tc>
        <w:tc>
          <w:tcPr>
            <w:tcW w:type="dxa" w:w="1944"/>
          </w:tcPr>
          <w:p>
            <w:pPr>
              <w:spacing w:after="20"/>
              <w:jc w:val="right"/>
            </w:pPr>
            <w:r>
              <w:rPr>
                <w:color w:val="1C3A36"/>
                <w:sz w:val="17"/>
              </w:rPr>
              <w:t>112%</w:t>
            </w:r>
          </w:p>
        </w:tc>
      </w:tr>
      <w:tr>
        <w:tc>
          <w:tcPr>
            <w:tcW w:type="dxa" w:w="3744"/>
          </w:tcPr>
          <w:p>
            <w:pPr>
              <w:spacing w:after="20"/>
            </w:pPr>
            <w:r>
              <w:rPr>
                <w:b/>
                <w:color w:val="1C3A36"/>
                <w:sz w:val="17"/>
              </w:rPr>
              <w:t>Capex (derived through D&amp;A)</w:t>
            </w:r>
          </w:p>
        </w:tc>
        <w:tc>
          <w:tcPr>
            <w:tcW w:type="dxa" w:w="1656"/>
          </w:tcPr>
          <w:p>
            <w:pPr>
              <w:spacing w:after="20"/>
              <w:jc w:val="right"/>
            </w:pPr>
            <w:r>
              <w:rPr>
                <w:color w:val="1C3A36"/>
                <w:sz w:val="17"/>
              </w:rPr>
              <w:t>~104 (d)</w:t>
            </w:r>
          </w:p>
        </w:tc>
        <w:tc>
          <w:tcPr>
            <w:tcW w:type="dxa" w:w="1656"/>
          </w:tcPr>
          <w:p>
            <w:pPr>
              <w:spacing w:after="20"/>
              <w:jc w:val="right"/>
            </w:pPr>
            <w:r>
              <w:rPr>
                <w:color w:val="1C3A36"/>
                <w:sz w:val="17"/>
              </w:rPr>
              <w:t>~165 (d)</w:t>
            </w:r>
          </w:p>
        </w:tc>
        <w:tc>
          <w:tcPr>
            <w:tcW w:type="dxa" w:w="1656"/>
          </w:tcPr>
          <w:p>
            <w:pPr>
              <w:spacing w:after="20"/>
              <w:jc w:val="right"/>
            </w:pPr>
            <w:r>
              <w:rPr>
                <w:color w:val="1C3A36"/>
                <w:sz w:val="17"/>
              </w:rPr>
              <w:t>~130 (d)</w:t>
            </w:r>
          </w:p>
        </w:tc>
        <w:tc>
          <w:tcPr>
            <w:tcW w:type="dxa" w:w="1944"/>
          </w:tcPr>
          <w:p>
            <w:pPr>
              <w:spacing w:after="20"/>
              <w:jc w:val="right"/>
            </w:pPr>
            <w:r>
              <w:rPr>
                <w:color w:val="1C3A36"/>
                <w:sz w:val="17"/>
              </w:rPr>
              <w:t>225</w:t>
            </w:r>
          </w:p>
        </w:tc>
      </w:tr>
      <w:tr>
        <w:tc>
          <w:tcPr>
            <w:tcW w:type="dxa" w:w="3744"/>
          </w:tcPr>
          <w:p>
            <w:pPr>
              <w:spacing w:after="20"/>
            </w:pPr>
            <w:r>
              <w:rPr>
                <w:b/>
                <w:color w:val="1C3A36"/>
                <w:sz w:val="17"/>
              </w:rPr>
              <w:t>Dividends paid</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944"/>
          </w:tcPr>
          <w:p>
            <w:pPr>
              <w:spacing w:after="20"/>
              <w:jc w:val="right"/>
            </w:pPr>
            <w:r>
              <w:rPr>
                <w:color w:val="1C3A36"/>
                <w:sz w:val="17"/>
              </w:rPr>
              <w:t>0 — never paid</w:t>
            </w:r>
          </w:p>
        </w:tc>
      </w:tr>
    </w:tbl>
    <w:p>
      <w:pPr>
        <w:spacing w:after="40"/>
      </w:pPr>
    </w:p>
    <w:p>
      <w:pPr>
        <w:spacing w:after="200" w:before="0"/>
      </w:pPr>
      <w:r>
        <w:rPr>
          <w:b w:val="0"/>
          <w:i/>
          <w:color w:val="6E7B77"/>
          <w:sz w:val="17"/>
        </w:rPr>
        <w:t>The aggregator flag “operating cash flow is negative; debt is not well covered” (FY24 vintage) is the single most important sentence in ELEC’s public record: three years of reported profits never became cash — they became receivables and inventory, funded by debt at 20%+ money.</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224"/>
        <w:gridCol w:w="1440"/>
        <w:gridCol w:w="1080"/>
        <w:gridCol w:w="2448"/>
      </w:tblGrid>
      <w:tr>
        <w:tc>
          <w:tcPr>
            <w:tcW w:type="dxa" w:w="2880"/>
            <w:shd w:val="clear" w:color="auto" w:fill="EAF0EE"/>
          </w:tcPr>
          <w:p>
            <w:pPr>
              <w:spacing w:after="20"/>
            </w:pPr>
            <w:r>
              <w:rPr>
                <w:b/>
                <w:color w:val="1C3A36"/>
                <w:sz w:val="17"/>
              </w:rPr>
              <w:t>Name</w:t>
            </w:r>
          </w:p>
        </w:tc>
        <w:tc>
          <w:tcPr>
            <w:tcW w:type="dxa" w:w="1440"/>
            <w:shd w:val="clear" w:color="auto" w:fill="EAF0EE"/>
          </w:tcPr>
          <w:p>
            <w:pPr>
              <w:spacing w:after="20"/>
            </w:pPr>
            <w:r>
              <w:rPr>
                <w:b/>
                <w:color w:val="1C3A36"/>
                <w:sz w:val="17"/>
              </w:rPr>
              <w:t>Mkt cap</w:t>
            </w:r>
          </w:p>
        </w:tc>
        <w:tc>
          <w:tcPr>
            <w:tcW w:type="dxa" w:w="1224"/>
            <w:shd w:val="clear" w:color="auto" w:fill="EAF0EE"/>
          </w:tcPr>
          <w:p>
            <w:pPr>
              <w:spacing w:after="20"/>
            </w:pPr>
            <w:r>
              <w:rPr>
                <w:b/>
                <w:color w:val="1C3A36"/>
                <w:sz w:val="17"/>
              </w:rPr>
              <w:t>P/E</w:t>
            </w:r>
          </w:p>
        </w:tc>
        <w:tc>
          <w:tcPr>
            <w:tcW w:type="dxa" w:w="1440"/>
            <w:shd w:val="clear" w:color="auto" w:fill="EAF0EE"/>
          </w:tcPr>
          <w:p>
            <w:pPr>
              <w:spacing w:after="20"/>
            </w:pPr>
            <w:r>
              <w:rPr>
                <w:b/>
                <w:color w:val="1C3A36"/>
                <w:sz w:val="17"/>
              </w:rPr>
              <w:t>EV/EBITDA</w:t>
            </w:r>
          </w:p>
        </w:tc>
        <w:tc>
          <w:tcPr>
            <w:tcW w:type="dxa" w:w="1080"/>
            <w:shd w:val="clear" w:color="auto" w:fill="EAF0EE"/>
          </w:tcPr>
          <w:p>
            <w:pPr>
              <w:spacing w:after="20"/>
            </w:pPr>
            <w:r>
              <w:rPr>
                <w:b/>
                <w:color w:val="1C3A36"/>
                <w:sz w:val="17"/>
              </w:rPr>
              <w:t>D/E</w:t>
            </w:r>
          </w:p>
        </w:tc>
        <w:tc>
          <w:tcPr>
            <w:tcW w:type="dxa" w:w="2448"/>
            <w:shd w:val="clear" w:color="auto" w:fill="EAF0EE"/>
          </w:tcPr>
          <w:p>
            <w:pPr>
              <w:spacing w:after="20"/>
            </w:pPr>
            <w:r>
              <w:rPr>
                <w:b/>
                <w:color w:val="1C3A36"/>
                <w:sz w:val="17"/>
              </w:rPr>
              <w:t>Note</w:t>
            </w:r>
          </w:p>
        </w:tc>
      </w:tr>
      <w:tr>
        <w:tc>
          <w:tcPr>
            <w:tcW w:type="dxa" w:w="2880"/>
          </w:tcPr>
          <w:p>
            <w:pPr>
              <w:spacing w:after="20"/>
            </w:pPr>
            <w:r>
              <w:rPr>
                <w:b/>
                <w:color w:val="1C3A36"/>
                <w:sz w:val="17"/>
              </w:rPr>
              <w:t>El Sewedy Electric (EGX: SWDY)</w:t>
            </w:r>
          </w:p>
        </w:tc>
        <w:tc>
          <w:tcPr>
            <w:tcW w:type="dxa" w:w="1440"/>
          </w:tcPr>
          <w:p>
            <w:pPr>
              <w:spacing w:after="20"/>
              <w:jc w:val="right"/>
            </w:pPr>
            <w:r>
              <w:rPr>
                <w:color w:val="1C3A36"/>
                <w:sz w:val="17"/>
              </w:rPr>
              <w:t>EGP 196 bn</w:t>
            </w:r>
          </w:p>
        </w:tc>
        <w:tc>
          <w:tcPr>
            <w:tcW w:type="dxa" w:w="1224"/>
          </w:tcPr>
          <w:p>
            <w:pPr>
              <w:spacing w:after="20"/>
              <w:jc w:val="right"/>
            </w:pPr>
            <w:r>
              <w:rPr>
                <w:color w:val="1C3A36"/>
                <w:sz w:val="17"/>
              </w:rPr>
              <w:t>10.4×</w:t>
            </w:r>
          </w:p>
        </w:tc>
        <w:tc>
          <w:tcPr>
            <w:tcW w:type="dxa" w:w="1440"/>
          </w:tcPr>
          <w:p>
            <w:pPr>
              <w:spacing w:after="20"/>
              <w:jc w:val="right"/>
            </w:pPr>
            <w:r>
              <w:rPr>
                <w:color w:val="1C3A36"/>
                <w:sz w:val="17"/>
              </w:rPr>
              <w:t>~6.0×</w:t>
            </w:r>
          </w:p>
        </w:tc>
        <w:tc>
          <w:tcPr>
            <w:tcW w:type="dxa" w:w="1080"/>
          </w:tcPr>
          <w:p>
            <w:pPr>
              <w:spacing w:after="20"/>
              <w:jc w:val="right"/>
            </w:pPr>
            <w:r>
              <w:rPr>
                <w:color w:val="1C3A36"/>
                <w:sz w:val="17"/>
              </w:rPr>
              <w:t>moderate</w:t>
            </w:r>
          </w:p>
        </w:tc>
        <w:tc>
          <w:tcPr>
            <w:tcW w:type="dxa" w:w="2448"/>
          </w:tcPr>
          <w:p>
            <w:pPr>
              <w:spacing w:after="20"/>
              <w:jc w:val="right"/>
            </w:pPr>
            <w:r>
              <w:rPr>
                <w:color w:val="1C3A36"/>
                <w:sz w:val="17"/>
              </w:rPr>
              <w:t>FY25 revenue EGP 281 bn, NP 17.3 bn; W&amp;C segment +66% — the sector’s demand proof</w:t>
            </w:r>
          </w:p>
        </w:tc>
      </w:tr>
      <w:tr>
        <w:tc>
          <w:tcPr>
            <w:tcW w:type="dxa" w:w="2880"/>
          </w:tcPr>
          <w:p>
            <w:pPr>
              <w:spacing w:after="20"/>
            </w:pPr>
            <w:r>
              <w:rPr>
                <w:b/>
                <w:color w:val="1C3A36"/>
                <w:sz w:val="17"/>
              </w:rPr>
              <w:t>Riyadh Cables (Tadawul: 4142)</w:t>
            </w:r>
          </w:p>
        </w:tc>
        <w:tc>
          <w:tcPr>
            <w:tcW w:type="dxa" w:w="1440"/>
          </w:tcPr>
          <w:p>
            <w:pPr>
              <w:spacing w:after="20"/>
              <w:jc w:val="right"/>
            </w:pPr>
            <w:r>
              <w:rPr>
                <w:color w:val="1C3A36"/>
                <w:sz w:val="17"/>
              </w:rPr>
              <w:t>SAR 18.0 bn</w:t>
            </w:r>
          </w:p>
        </w:tc>
        <w:tc>
          <w:tcPr>
            <w:tcW w:type="dxa" w:w="1224"/>
          </w:tcPr>
          <w:p>
            <w:pPr>
              <w:spacing w:after="20"/>
              <w:jc w:val="right"/>
            </w:pPr>
            <w:r>
              <w:rPr>
                <w:color w:val="1C3A36"/>
                <w:sz w:val="17"/>
              </w:rPr>
              <w:t>18.0×</w:t>
            </w:r>
          </w:p>
        </w:tc>
        <w:tc>
          <w:tcPr>
            <w:tcW w:type="dxa" w:w="1440"/>
          </w:tcPr>
          <w:p>
            <w:pPr>
              <w:spacing w:after="20"/>
              <w:jc w:val="right"/>
            </w:pPr>
            <w:r>
              <w:rPr>
                <w:color w:val="1C3A36"/>
                <w:sz w:val="17"/>
              </w:rPr>
              <w:t>15.0×</w:t>
            </w:r>
          </w:p>
        </w:tc>
        <w:tc>
          <w:tcPr>
            <w:tcW w:type="dxa" w:w="1080"/>
          </w:tcPr>
          <w:p>
            <w:pPr>
              <w:spacing w:after="20"/>
              <w:jc w:val="right"/>
            </w:pPr>
            <w:r>
              <w:rPr>
                <w:color w:val="1C3A36"/>
                <w:sz w:val="17"/>
              </w:rPr>
              <w:t>0.27×</w:t>
            </w:r>
          </w:p>
        </w:tc>
        <w:tc>
          <w:tcPr>
            <w:tcW w:type="dxa" w:w="2448"/>
          </w:tcPr>
          <w:p>
            <w:pPr>
              <w:spacing w:after="20"/>
              <w:jc w:val="right"/>
            </w:pPr>
            <w:r>
              <w:rPr>
                <w:color w:val="1C3A36"/>
                <w:sz w:val="17"/>
              </w:rPr>
              <w:t>What the market pays for the same industry with a clean balance sheet</w:t>
            </w:r>
          </w:p>
        </w:tc>
      </w:tr>
      <w:tr>
        <w:tc>
          <w:tcPr>
            <w:tcW w:type="dxa" w:w="2880"/>
          </w:tcPr>
          <w:p>
            <w:pPr>
              <w:spacing w:after="20"/>
            </w:pPr>
            <w:r>
              <w:rPr>
                <w:b/>
                <w:color w:val="1C3A36"/>
                <w:sz w:val="17"/>
              </w:rPr>
              <w:t>Electro Cable Egypt (ELEC)</w:t>
            </w:r>
          </w:p>
        </w:tc>
        <w:tc>
          <w:tcPr>
            <w:tcW w:type="dxa" w:w="1440"/>
          </w:tcPr>
          <w:p>
            <w:pPr>
              <w:spacing w:after="20"/>
              <w:jc w:val="right"/>
            </w:pPr>
            <w:r>
              <w:rPr>
                <w:color w:val="1C3A36"/>
                <w:sz w:val="17"/>
              </w:rPr>
              <w:t>EGP 7.3 bn</w:t>
            </w:r>
          </w:p>
        </w:tc>
        <w:tc>
          <w:tcPr>
            <w:tcW w:type="dxa" w:w="1224"/>
          </w:tcPr>
          <w:p>
            <w:pPr>
              <w:spacing w:after="20"/>
              <w:jc w:val="right"/>
            </w:pPr>
            <w:r>
              <w:rPr>
                <w:color w:val="1C3A36"/>
                <w:sz w:val="17"/>
              </w:rPr>
              <w:t>14.6× trailing</w:t>
            </w:r>
          </w:p>
        </w:tc>
        <w:tc>
          <w:tcPr>
            <w:tcW w:type="dxa" w:w="1440"/>
          </w:tcPr>
          <w:p>
            <w:pPr>
              <w:spacing w:after="20"/>
              <w:jc w:val="right"/>
            </w:pPr>
            <w:r>
              <w:rPr>
                <w:color w:val="1C3A36"/>
                <w:sz w:val="17"/>
              </w:rPr>
              <w:t>~6.1× on FY25e</w:t>
            </w:r>
          </w:p>
        </w:tc>
        <w:tc>
          <w:tcPr>
            <w:tcW w:type="dxa" w:w="1080"/>
          </w:tcPr>
          <w:p>
            <w:pPr>
              <w:spacing w:after="20"/>
              <w:jc w:val="right"/>
            </w:pPr>
            <w:r>
              <w:rPr>
                <w:color w:val="1C3A36"/>
                <w:sz w:val="17"/>
              </w:rPr>
              <w:t>~2.5×</w:t>
            </w:r>
          </w:p>
        </w:tc>
        <w:tc>
          <w:tcPr>
            <w:tcW w:type="dxa" w:w="2448"/>
          </w:tcPr>
          <w:p>
            <w:pPr>
              <w:spacing w:after="20"/>
              <w:jc w:val="right"/>
            </w:pPr>
            <w:r>
              <w:rPr>
                <w:color w:val="1C3A36"/>
                <w:sz w:val="17"/>
              </w:rPr>
              <w:t>On depressed, now loss-making earnings; ~5.5× on FY24 windfall EPS</w:t>
            </w:r>
          </w:p>
        </w:tc>
      </w:tr>
      <w:tr>
        <w:tc>
          <w:tcPr>
            <w:tcW w:type="dxa" w:w="2880"/>
          </w:tcPr>
          <w:p>
            <w:pPr>
              <w:spacing w:after="20"/>
            </w:pPr>
            <w:r>
              <w:rPr>
                <w:b/>
                <w:color w:val="1C3A36"/>
                <w:sz w:val="17"/>
              </w:rPr>
              <w:t>Giza Cables (private)</w:t>
            </w:r>
          </w:p>
        </w:tc>
        <w:tc>
          <w:tcPr>
            <w:tcW w:type="dxa" w:w="1440"/>
          </w:tcPr>
          <w:p>
            <w:pPr>
              <w:spacing w:after="20"/>
              <w:jc w:val="right"/>
            </w:pPr>
            <w:r>
              <w:rPr>
                <w:color w:val="1C3A36"/>
                <w:sz w:val="17"/>
              </w:rPr>
              <w:t>—</w:t>
            </w:r>
          </w:p>
        </w:tc>
        <w:tc>
          <w:tcPr>
            <w:tcW w:type="dxa" w:w="1224"/>
          </w:tcPr>
          <w:p>
            <w:pPr>
              <w:spacing w:after="20"/>
              <w:jc w:val="right"/>
            </w:pPr>
            <w:r>
              <w:rPr>
                <w:color w:val="1C3A36"/>
                <w:sz w:val="17"/>
              </w:rPr>
              <w:t>—</w:t>
            </w:r>
          </w:p>
        </w:tc>
        <w:tc>
          <w:tcPr>
            <w:tcW w:type="dxa" w:w="1440"/>
          </w:tcPr>
          <w:p>
            <w:pPr>
              <w:spacing w:after="20"/>
              <w:jc w:val="right"/>
            </w:pPr>
            <w:r>
              <w:rPr>
                <w:color w:val="1C3A36"/>
                <w:sz w:val="17"/>
              </w:rPr>
              <w:t>—</w:t>
            </w:r>
          </w:p>
        </w:tc>
        <w:tc>
          <w:tcPr>
            <w:tcW w:type="dxa" w:w="1080"/>
          </w:tcPr>
          <w:p>
            <w:pPr>
              <w:spacing w:after="20"/>
              <w:jc w:val="right"/>
            </w:pPr>
            <w:r>
              <w:rPr>
                <w:color w:val="1C3A36"/>
                <w:sz w:val="17"/>
              </w:rPr>
              <w:t>—</w:t>
            </w:r>
          </w:p>
        </w:tc>
        <w:tc>
          <w:tcPr>
            <w:tcW w:type="dxa" w:w="2448"/>
          </w:tcPr>
          <w:p>
            <w:pPr>
              <w:spacing w:after="20"/>
              <w:jc w:val="right"/>
            </w:pPr>
            <w:r>
              <w:rPr>
                <w:color w:val="1C3A36"/>
                <w:sz w:val="17"/>
              </w:rPr>
              <w:t>The other mid-tier player; no public financials</w:t>
            </w:r>
          </w:p>
        </w:tc>
      </w:tr>
    </w:tbl>
    <w:p>
      <w:pPr>
        <w:spacing w:after="40"/>
      </w:pPr>
    </w:p>
    <w:p>
      <w:pPr>
        <w:spacing w:after="120" w:before="0"/>
      </w:pPr>
      <w:r>
        <w:rPr>
          <w:b w:val="0"/>
          <w:i w:val="0"/>
          <w:color w:val="1C3A36"/>
          <w:sz w:val="21"/>
        </w:rPr>
        <w:t>Sector structure: one giant (Elsewedy, with scale, exports and funding access) above a tier of mid-caps competing on price and local content in government tenders. Demand is the strongest it has been in a decade (grid capex, interconnection, renewables hookups) — but pass-through pricing means the demand cycle rescues volumes before it rescues margins, and funding cost decides who banks the difference.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304"/>
        <w:gridCol w:w="3600"/>
      </w:tblGrid>
      <w:tr>
        <w:tc>
          <w:tcPr>
            <w:tcW w:type="dxa" w:w="4176"/>
            <w:shd w:val="clear" w:color="auto" w:fill="EAF0EE"/>
          </w:tcPr>
          <w:p>
            <w:pPr>
              <w:spacing w:after="20"/>
            </w:pPr>
            <w:r>
              <w:rPr>
                <w:b/>
                <w:color w:val="1C3A36"/>
                <w:sz w:val="17"/>
              </w:rPr>
              <w:t>Risk</w:t>
            </w:r>
          </w:p>
        </w:tc>
        <w:tc>
          <w:tcPr>
            <w:tcW w:type="dxa" w:w="2304"/>
            <w:shd w:val="clear" w:color="auto" w:fill="EAF0EE"/>
          </w:tcPr>
          <w:p>
            <w:pPr>
              <w:spacing w:after="20"/>
            </w:pPr>
            <w:r>
              <w:rPr>
                <w:b/>
                <w:color w:val="1C3A36"/>
                <w:sz w:val="17"/>
              </w:rPr>
              <w:t>Direction</w:t>
            </w:r>
          </w:p>
        </w:tc>
        <w:tc>
          <w:tcPr>
            <w:tcW w:type="dxa" w:w="3600"/>
            <w:shd w:val="clear" w:color="auto" w:fill="EAF0EE"/>
          </w:tcPr>
          <w:p>
            <w:pPr>
              <w:spacing w:after="20"/>
            </w:pPr>
            <w:r>
              <w:rPr>
                <w:b/>
                <w:color w:val="1C3A36"/>
                <w:sz w:val="17"/>
              </w:rPr>
              <w:t>Where it is priced</w:t>
            </w:r>
          </w:p>
        </w:tc>
      </w:tr>
      <w:tr>
        <w:tc>
          <w:tcPr>
            <w:tcW w:type="dxa" w:w="4176"/>
          </w:tcPr>
          <w:p>
            <w:pPr>
              <w:spacing w:after="20"/>
            </w:pPr>
            <w:r>
              <w:rPr>
                <w:b/>
                <w:color w:val="1C3A36"/>
                <w:sz w:val="17"/>
              </w:rPr>
              <w:t>Receivables fail to collect / further WC build</w:t>
            </w:r>
          </w:p>
        </w:tc>
        <w:tc>
          <w:tcPr>
            <w:tcW w:type="dxa" w:w="2304"/>
          </w:tcPr>
          <w:p>
            <w:pPr>
              <w:spacing w:after="20"/>
              <w:jc w:val="right"/>
            </w:pPr>
            <w:r>
              <w:rPr>
                <w:color w:val="1C3A36"/>
                <w:sz w:val="17"/>
              </w:rPr>
              <w:t>Severe negative</w:t>
            </w:r>
          </w:p>
        </w:tc>
        <w:tc>
          <w:tcPr>
            <w:tcW w:type="dxa" w:w="3600"/>
          </w:tcPr>
          <w:p>
            <w:pPr>
              <w:spacing w:after="20"/>
              <w:jc w:val="right"/>
            </w:pPr>
            <w:r>
              <w:rPr>
                <w:color w:val="1C3A36"/>
                <w:sz w:val="17"/>
              </w:rPr>
              <w:t>Bear DCF (0.05); the central weight on the DCF</w:t>
            </w:r>
          </w:p>
        </w:tc>
      </w:tr>
      <w:tr>
        <w:tc>
          <w:tcPr>
            <w:tcW w:type="dxa" w:w="4176"/>
          </w:tcPr>
          <w:p>
            <w:pPr>
              <w:spacing w:after="20"/>
            </w:pPr>
            <w:r>
              <w:rPr>
                <w:b/>
                <w:color w:val="1C3A36"/>
                <w:sz w:val="17"/>
              </w:rPr>
              <w:t>Margins never recover past ~14%</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Company grid, bear column</w:t>
            </w:r>
          </w:p>
        </w:tc>
      </w:tr>
      <w:tr>
        <w:tc>
          <w:tcPr>
            <w:tcW w:type="dxa" w:w="4176"/>
          </w:tcPr>
          <w:p>
            <w:pPr>
              <w:spacing w:after="20"/>
            </w:pPr>
            <w:r>
              <w:rPr>
                <w:b/>
                <w:color w:val="1C3A36"/>
                <w:sz w:val="17"/>
              </w:rPr>
              <w:t>Copper spikes further (WC funding strain)</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Qualitative; enters through the NWC glide</w:t>
            </w:r>
          </w:p>
        </w:tc>
      </w:tr>
      <w:tr>
        <w:tc>
          <w:tcPr>
            <w:tcW w:type="dxa" w:w="4176"/>
          </w:tcPr>
          <w:p>
            <w:pPr>
              <w:spacing w:after="20"/>
            </w:pPr>
            <w:r>
              <w:rPr>
                <w:b/>
                <w:color w:val="1C3A36"/>
                <w:sz w:val="17"/>
              </w:rPr>
              <w:t>EGP step-devaluation</w:t>
            </w:r>
          </w:p>
        </w:tc>
        <w:tc>
          <w:tcPr>
            <w:tcW w:type="dxa" w:w="2304"/>
          </w:tcPr>
          <w:p>
            <w:pPr>
              <w:spacing w:after="20"/>
              <w:jc w:val="right"/>
            </w:pPr>
            <w:r>
              <w:rPr>
                <w:color w:val="1C3A36"/>
                <w:sz w:val="17"/>
              </w:rPr>
              <w:t>Positive for margins, negative for funding/CRP</w:t>
            </w:r>
          </w:p>
        </w:tc>
        <w:tc>
          <w:tcPr>
            <w:tcW w:type="dxa" w:w="3600"/>
          </w:tcPr>
          <w:p>
            <w:pPr>
              <w:spacing w:after="20"/>
              <w:jc w:val="right"/>
            </w:pPr>
            <w:r>
              <w:rPr>
                <w:color w:val="1C3A36"/>
                <w:sz w:val="17"/>
              </w:rPr>
              <w:t>Bull margin column; not in the base case</w:t>
            </w:r>
          </w:p>
        </w:tc>
      </w:tr>
      <w:tr>
        <w:tc>
          <w:tcPr>
            <w:tcW w:type="dxa" w:w="4176"/>
          </w:tcPr>
          <w:p>
            <w:pPr>
              <w:spacing w:after="20"/>
            </w:pPr>
            <w:r>
              <w:rPr>
                <w:b/>
                <w:color w:val="1C3A36"/>
                <w:sz w:val="17"/>
              </w:rPr>
              <w:t>Easing cycle stalls (inflation re-accelerates)</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Explicit × terminal WACC grid</w:t>
            </w:r>
          </w:p>
        </w:tc>
      </w:tr>
      <w:tr>
        <w:tc>
          <w:tcPr>
            <w:tcW w:type="dxa" w:w="4176"/>
          </w:tcPr>
          <w:p>
            <w:pPr>
              <w:spacing w:after="20"/>
            </w:pPr>
            <w:r>
              <w:rPr>
                <w:b/>
                <w:color w:val="1C3A36"/>
                <w:sz w:val="17"/>
              </w:rPr>
              <w:t>Controlling-group distribution continues</w:t>
            </w:r>
          </w:p>
        </w:tc>
        <w:tc>
          <w:tcPr>
            <w:tcW w:type="dxa" w:w="2304"/>
          </w:tcPr>
          <w:p>
            <w:pPr>
              <w:spacing w:after="20"/>
              <w:jc w:val="right"/>
            </w:pPr>
            <w:r>
              <w:rPr>
                <w:color w:val="1C3A36"/>
                <w:sz w:val="17"/>
              </w:rPr>
              <w:t>Negative (flow)</w:t>
            </w:r>
          </w:p>
        </w:tc>
        <w:tc>
          <w:tcPr>
            <w:tcW w:type="dxa" w:w="3600"/>
          </w:tcPr>
          <w:p>
            <w:pPr>
              <w:spacing w:after="20"/>
              <w:jc w:val="right"/>
            </w:pPr>
            <w:r>
              <w:rPr>
                <w:color w:val="1C3A36"/>
                <w:sz w:val="17"/>
              </w:rPr>
              <w:t>Not in the model — a market-structure risk</w:t>
            </w:r>
          </w:p>
        </w:tc>
      </w:tr>
      <w:tr>
        <w:tc>
          <w:tcPr>
            <w:tcW w:type="dxa" w:w="4176"/>
          </w:tcPr>
          <w:p>
            <w:pPr>
              <w:spacing w:after="20"/>
            </w:pPr>
            <w:r>
              <w:rPr>
                <w:b/>
                <w:color w:val="1C3A36"/>
                <w:sz w:val="17"/>
              </w:rPr>
              <w:t>Control event (buy-out, restructuring, asset injection)</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Not in the model</w:t>
            </w:r>
          </w:p>
        </w:tc>
      </w:tr>
      <w:tr>
        <w:tc>
          <w:tcPr>
            <w:tcW w:type="dxa" w:w="4176"/>
          </w:tcPr>
          <w:p>
            <w:pPr>
              <w:spacing w:after="20"/>
            </w:pPr>
            <w:r>
              <w:rPr>
                <w:b/>
                <w:color w:val="1C3A36"/>
                <w:sz w:val="17"/>
              </w:rPr>
              <w:t>Statement access resolves derived lines adversely</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§7 first caveat; ±EGP 0.30/share on the ND anchor</w:t>
            </w:r>
          </w:p>
        </w:tc>
      </w:tr>
    </w:tbl>
    <w:p>
      <w:pPr>
        <w:spacing w:after="40"/>
      </w:pPr>
    </w:p>
    <w:p>
      <w:pPr>
        <w:spacing w:after="80" w:before="200"/>
      </w:pPr>
      <w:r>
        <w:rPr>
          <w:b/>
          <w:i w:val="0"/>
          <w:color w:val="1C3A36"/>
          <w:sz w:val="24"/>
        </w:rPr>
        <w:t>B.3  The research register — four layers, dated, negative searches included</w:t>
      </w:r>
    </w:p>
    <w:p>
      <w:pPr>
        <w:spacing w:after="120" w:before="0"/>
      </w:pPr>
      <w:r>
        <w:rPr>
          <w:b w:val="0"/>
          <w:i w:val="0"/>
          <w:color w:val="1C3A36"/>
          <w:sz w:val="19"/>
        </w:rPr>
        <w:t>Research for this study ran outward-in — world, country, industry, company — before any forecast driver was set. The register below condenses what was found and where; the companion Source Register document carries the full input-by-input listing.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792"/>
        <w:gridCol w:w="4896"/>
        <w:gridCol w:w="2088"/>
        <w:gridCol w:w="1224"/>
      </w:tblGrid>
      <w:tr>
        <w:tc>
          <w:tcPr>
            <w:tcW w:type="dxa" w:w="1080"/>
            <w:shd w:val="clear" w:color="auto" w:fill="EAF0EE"/>
          </w:tcPr>
          <w:p>
            <w:pPr>
              <w:spacing w:after="20"/>
            </w:pPr>
            <w:r>
              <w:rPr>
                <w:b/>
                <w:color w:val="1C3A36"/>
                <w:sz w:val="15"/>
              </w:rPr>
              <w:t>Layer</w:t>
            </w:r>
          </w:p>
        </w:tc>
        <w:tc>
          <w:tcPr>
            <w:tcW w:type="dxa" w:w="792"/>
            <w:shd w:val="clear" w:color="auto" w:fill="EAF0EE"/>
          </w:tcPr>
          <w:p>
            <w:pPr>
              <w:spacing w:after="20"/>
            </w:pPr>
            <w:r>
              <w:rPr>
                <w:b/>
                <w:color w:val="1C3A36"/>
                <w:sz w:val="15"/>
              </w:rPr>
              <w:t>Class</w:t>
            </w:r>
          </w:p>
        </w:tc>
        <w:tc>
          <w:tcPr>
            <w:tcW w:type="dxa" w:w="4896"/>
            <w:shd w:val="clear" w:color="auto" w:fill="EAF0EE"/>
          </w:tcPr>
          <w:p>
            <w:pPr>
              <w:spacing w:after="20"/>
            </w:pPr>
            <w:r>
              <w:rPr>
                <w:b/>
                <w:color w:val="1C3A36"/>
                <w:sz w:val="15"/>
              </w:rPr>
              <w:t>Finding (condensed)</w:t>
            </w:r>
          </w:p>
        </w:tc>
        <w:tc>
          <w:tcPr>
            <w:tcW w:type="dxa" w:w="2088"/>
            <w:shd w:val="clear" w:color="auto" w:fill="EAF0EE"/>
          </w:tcPr>
          <w:p>
            <w:pPr>
              <w:spacing w:after="20"/>
            </w:pPr>
            <w:r>
              <w:rPr>
                <w:b/>
                <w:color w:val="1C3A36"/>
                <w:sz w:val="15"/>
              </w:rPr>
              <w:t>Source</w:t>
            </w:r>
          </w:p>
        </w:tc>
        <w:tc>
          <w:tcPr>
            <w:tcW w:type="dxa" w:w="1224"/>
            <w:shd w:val="clear" w:color="auto" w:fill="EAF0EE"/>
          </w:tcPr>
          <w:p>
            <w:pPr>
              <w:spacing w:after="20"/>
            </w:pPr>
            <w:r>
              <w:rPr>
                <w:b/>
                <w:color w:val="1C3A36"/>
                <w:sz w:val="15"/>
              </w:rPr>
              <w:t>Date</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D</w:t>
            </w:r>
          </w:p>
        </w:tc>
        <w:tc>
          <w:tcPr>
            <w:tcW w:type="dxa" w:w="4896"/>
          </w:tcPr>
          <w:p>
            <w:pPr>
              <w:spacing w:after="20"/>
              <w:jc w:val="right"/>
            </w:pPr>
            <w:r>
              <w:rPr>
                <w:color w:val="1C3A36"/>
                <w:sz w:val="15"/>
              </w:rPr>
              <w:t>Copper +51.6% y/y to ~$6.63/lb COMEX / ~$12.8k LME avg; US 15% tariff from Jan-27; Goldman &gt;$14k scenario</w:t>
            </w:r>
          </w:p>
        </w:tc>
        <w:tc>
          <w:tcPr>
            <w:tcW w:type="dxa" w:w="2088"/>
          </w:tcPr>
          <w:p>
            <w:pPr>
              <w:spacing w:after="20"/>
              <w:jc w:val="right"/>
            </w:pPr>
            <w:r>
              <w:rPr>
                <w:color w:val="1C3A36"/>
                <w:sz w:val="15"/>
              </w:rPr>
              <w:t>TradingEconomics; INN; TradingKey</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S</w:t>
            </w:r>
          </w:p>
        </w:tc>
        <w:tc>
          <w:tcPr>
            <w:tcW w:type="dxa" w:w="4896"/>
          </w:tcPr>
          <w:p>
            <w:pPr>
              <w:spacing w:after="20"/>
              <w:jc w:val="right"/>
            </w:pPr>
            <w:r>
              <w:rPr>
                <w:color w:val="1C3A36"/>
                <w:sz w:val="15"/>
              </w:rPr>
              <w:t>Grid renewal + data centers drive global W&amp;C demand (~6.5% CAGR to $409bn by 2034)</w:t>
            </w:r>
          </w:p>
        </w:tc>
        <w:tc>
          <w:tcPr>
            <w:tcW w:type="dxa" w:w="2088"/>
          </w:tcPr>
          <w:p>
            <w:pPr>
              <w:spacing w:after="20"/>
              <w:jc w:val="right"/>
            </w:pPr>
            <w:r>
              <w:rPr>
                <w:color w:val="1C3A36"/>
                <w:sz w:val="15"/>
              </w:rPr>
              <w:t>Fortune BI; Mordor; CRU</w:t>
            </w:r>
          </w:p>
        </w:tc>
        <w:tc>
          <w:tcPr>
            <w:tcW w:type="dxa" w:w="1224"/>
          </w:tcPr>
          <w:p>
            <w:pPr>
              <w:spacing w:after="20"/>
              <w:jc w:val="right"/>
            </w:pPr>
            <w:r>
              <w:rPr>
                <w:color w:val="1C3A36"/>
                <w:sz w:val="15"/>
              </w:rPr>
              <w:t>2026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B</w:t>
            </w:r>
          </w:p>
        </w:tc>
        <w:tc>
          <w:tcPr>
            <w:tcW w:type="dxa" w:w="4896"/>
          </w:tcPr>
          <w:p>
            <w:pPr>
              <w:spacing w:after="20"/>
              <w:jc w:val="right"/>
            </w:pPr>
            <w:r>
              <w:rPr>
                <w:color w:val="1C3A36"/>
                <w:sz w:val="15"/>
              </w:rPr>
              <w:t>Fed held 3.50–3.75% on 29-Jul-26 (fifth straight hold)</w:t>
            </w:r>
          </w:p>
        </w:tc>
        <w:tc>
          <w:tcPr>
            <w:tcW w:type="dxa" w:w="2088"/>
          </w:tcPr>
          <w:p>
            <w:pPr>
              <w:spacing w:after="20"/>
              <w:jc w:val="right"/>
            </w:pPr>
            <w:r>
              <w:rPr>
                <w:color w:val="1C3A36"/>
                <w:sz w:val="15"/>
              </w:rPr>
              <w:t>Federal Reserve</w:t>
            </w:r>
          </w:p>
        </w:tc>
        <w:tc>
          <w:tcPr>
            <w:tcW w:type="dxa" w:w="1224"/>
          </w:tcPr>
          <w:p>
            <w:pPr>
              <w:spacing w:after="20"/>
              <w:jc w:val="right"/>
            </w:pPr>
            <w:r>
              <w:rPr>
                <w:color w:val="1C3A36"/>
                <w:sz w:val="15"/>
              </w:rPr>
              <w:t>29-Jul-26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B/D</w:t>
            </w:r>
          </w:p>
        </w:tc>
        <w:tc>
          <w:tcPr>
            <w:tcW w:type="dxa" w:w="4896"/>
          </w:tcPr>
          <w:p>
            <w:pPr>
              <w:spacing w:after="20"/>
              <w:jc w:val="right"/>
            </w:pPr>
            <w:r>
              <w:rPr>
                <w:color w:val="1C3A36"/>
                <w:sz w:val="15"/>
              </w:rPr>
              <w:t>CBE held 19.00/20.00% on 09-Jul-26, third straight hold; 825bp cut Apr-25→Feb-26; next MPC 20-Aug</w:t>
            </w:r>
          </w:p>
        </w:tc>
        <w:tc>
          <w:tcPr>
            <w:tcW w:type="dxa" w:w="2088"/>
          </w:tcPr>
          <w:p>
            <w:pPr>
              <w:spacing w:after="20"/>
              <w:jc w:val="right"/>
            </w:pPr>
            <w:r>
              <w:rPr>
                <w:color w:val="1C3A36"/>
                <w:sz w:val="15"/>
              </w:rPr>
              <w:t>CBE via FocusEconomics</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Inflation 14.3% (Jun-26); target 7±2pp Q4-26, 5±2pp Q4-28</w:t>
            </w:r>
          </w:p>
        </w:tc>
        <w:tc>
          <w:tcPr>
            <w:tcW w:type="dxa" w:w="2088"/>
          </w:tcPr>
          <w:p>
            <w:pPr>
              <w:spacing w:after="20"/>
              <w:jc w:val="right"/>
            </w:pPr>
            <w:r>
              <w:rPr>
                <w:color w:val="1C3A36"/>
                <w:sz w:val="15"/>
              </w:rPr>
              <w:t>CBE CPI release</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Egypt 10Y ~21.3% (May-26 avg); 22.31% print 21-Jul-26; 5Y CDS 270→330bp</w:t>
            </w:r>
          </w:p>
        </w:tc>
        <w:tc>
          <w:tcPr>
            <w:tcW w:type="dxa" w:w="2088"/>
          </w:tcPr>
          <w:p>
            <w:pPr>
              <w:spacing w:after="20"/>
              <w:jc w:val="right"/>
            </w:pPr>
            <w:r>
              <w:rPr>
                <w:color w:val="1C3A36"/>
                <w:sz w:val="15"/>
              </w:rPr>
              <w:t>investing.com; MoF; MacroMicro</w:t>
            </w:r>
          </w:p>
        </w:tc>
        <w:tc>
          <w:tcPr>
            <w:tcW w:type="dxa" w:w="1224"/>
          </w:tcPr>
          <w:p>
            <w:pPr>
              <w:spacing w:after="20"/>
              <w:jc w:val="right"/>
            </w:pPr>
            <w:r>
              <w:rPr>
                <w:color w:val="1C3A36"/>
                <w:sz w:val="15"/>
              </w:rPr>
              <w:t>May–Jul-26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S/D</w:t>
            </w:r>
          </w:p>
        </w:tc>
        <w:tc>
          <w:tcPr>
            <w:tcW w:type="dxa" w:w="4896"/>
          </w:tcPr>
          <w:p>
            <w:pPr>
              <w:spacing w:after="20"/>
              <w:jc w:val="right"/>
            </w:pPr>
            <w:r>
              <w:rPr>
                <w:color w:val="1C3A36"/>
                <w:sz w:val="15"/>
              </w:rPr>
              <w:t>EETC EGP 45bn FY25/26 plan; EGP 26.5bn spent FY24/25; EU €690mn package 15-Jun-26 (22GW hookups by 2030)</w:t>
            </w:r>
          </w:p>
        </w:tc>
        <w:tc>
          <w:tcPr>
            <w:tcW w:type="dxa" w:w="2088"/>
          </w:tcPr>
          <w:p>
            <w:pPr>
              <w:spacing w:after="20"/>
              <w:jc w:val="right"/>
            </w:pPr>
            <w:r>
              <w:rPr>
                <w:color w:val="1C3A36"/>
                <w:sz w:val="15"/>
              </w:rPr>
              <w:t>DNE; EEAS</w:t>
            </w:r>
          </w:p>
        </w:tc>
        <w:tc>
          <w:tcPr>
            <w:tcW w:type="dxa" w:w="1224"/>
          </w:tcPr>
          <w:p>
            <w:pPr>
              <w:spacing w:after="20"/>
              <w:jc w:val="right"/>
            </w:pPr>
            <w:r>
              <w:rPr>
                <w:color w:val="1C3A36"/>
                <w:sz w:val="15"/>
              </w:rPr>
              <w:t>Nov-25–Jun-26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EGP ~50.3; range-bound 47–52 since Mar-24 float = large real appreciation</w:t>
            </w:r>
          </w:p>
        </w:tc>
        <w:tc>
          <w:tcPr>
            <w:tcW w:type="dxa" w:w="2088"/>
          </w:tcPr>
          <w:p>
            <w:pPr>
              <w:spacing w:after="20"/>
              <w:jc w:val="right"/>
            </w:pPr>
            <w:r>
              <w:rPr>
                <w:color w:val="1C3A36"/>
                <w:sz w:val="15"/>
              </w:rPr>
              <w:t>Bloomberg; The National</w:t>
            </w:r>
          </w:p>
        </w:tc>
        <w:tc>
          <w:tcPr>
            <w:tcW w:type="dxa" w:w="1224"/>
          </w:tcPr>
          <w:p>
            <w:pPr>
              <w:spacing w:after="20"/>
              <w:jc w:val="right"/>
            </w:pPr>
            <w:r>
              <w:rPr>
                <w:color w:val="1C3A36"/>
                <w:sz w:val="15"/>
              </w:rPr>
              <w:t>Aug-26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Corporate tax confirmed 22.5%, unchanged</w:t>
            </w:r>
          </w:p>
        </w:tc>
        <w:tc>
          <w:tcPr>
            <w:tcW w:type="dxa" w:w="2088"/>
          </w:tcPr>
          <w:p>
            <w:pPr>
              <w:spacing w:after="20"/>
              <w:jc w:val="right"/>
            </w:pPr>
            <w:r>
              <w:rPr>
                <w:color w:val="1C3A36"/>
                <w:sz w:val="15"/>
              </w:rPr>
              <w:t>PwC Tax Summaries</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Egypt power-cable market ~6.7% CAGR 2026-32; Elsewedy W&amp;C +66% FY25 proves the demand cycle</w:t>
            </w:r>
          </w:p>
        </w:tc>
        <w:tc>
          <w:tcPr>
            <w:tcW w:type="dxa" w:w="2088"/>
          </w:tcPr>
          <w:p>
            <w:pPr>
              <w:spacing w:after="20"/>
              <w:jc w:val="right"/>
            </w:pPr>
            <w:r>
              <w:rPr>
                <w:color w:val="1C3A36"/>
                <w:sz w:val="15"/>
              </w:rPr>
              <w:t>6Wresearch; Elsewedy IR</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LME-linked pass-through pricing with raw-material clauses; margins structurally thin; scale + funding decide winners</w:t>
            </w:r>
          </w:p>
        </w:tc>
        <w:tc>
          <w:tcPr>
            <w:tcW w:type="dxa" w:w="2088"/>
          </w:tcPr>
          <w:p>
            <w:pPr>
              <w:spacing w:after="20"/>
              <w:jc w:val="right"/>
            </w:pPr>
            <w:r>
              <w:rPr>
                <w:color w:val="1C3A36"/>
                <w:sz w:val="15"/>
              </w:rPr>
              <w:t>IndexBox</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D</w:t>
            </w:r>
          </w:p>
        </w:tc>
        <w:tc>
          <w:tcPr>
            <w:tcW w:type="dxa" w:w="4896"/>
          </w:tcPr>
          <w:p>
            <w:pPr>
              <w:spacing w:after="20"/>
              <w:jc w:val="right"/>
            </w:pPr>
            <w:r>
              <w:rPr>
                <w:color w:val="1C3A36"/>
                <w:sz w:val="15"/>
              </w:rPr>
              <w:t>Egypt–Saudi $1.8bn/3,000MW interconnector 95% complete, final testing since Feb-26</w:t>
            </w:r>
          </w:p>
        </w:tc>
        <w:tc>
          <w:tcPr>
            <w:tcW w:type="dxa" w:w="2088"/>
          </w:tcPr>
          <w:p>
            <w:pPr>
              <w:spacing w:after="20"/>
              <w:jc w:val="right"/>
            </w:pPr>
            <w:r>
              <w:rPr>
                <w:color w:val="1C3A36"/>
                <w:sz w:val="15"/>
              </w:rPr>
              <w:t>DNE; Zawya</w:t>
            </w:r>
          </w:p>
        </w:tc>
        <w:tc>
          <w:tcPr>
            <w:tcW w:type="dxa" w:w="1224"/>
          </w:tcPr>
          <w:p>
            <w:pPr>
              <w:spacing w:after="20"/>
              <w:jc w:val="right"/>
            </w:pPr>
            <w:r>
              <w:rPr>
                <w:color w:val="1C3A36"/>
                <w:sz w:val="15"/>
              </w:rPr>
              <w:t>Feb-26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FY25 NP −62% to 500.3mn; 1Q26 net LOSS 241.6mn on sales −44% — the windfall is over</w:t>
            </w:r>
          </w:p>
        </w:tc>
        <w:tc>
          <w:tcPr>
            <w:tcW w:type="dxa" w:w="2088"/>
          </w:tcPr>
          <w:p>
            <w:pPr>
              <w:spacing w:after="20"/>
              <w:jc w:val="right"/>
            </w:pPr>
            <w:r>
              <w:rPr>
                <w:color w:val="1C3A36"/>
                <w:sz w:val="15"/>
              </w:rPr>
              <w:t>Zawya; Arab Finance</w:t>
            </w:r>
          </w:p>
        </w:tc>
        <w:tc>
          <w:tcPr>
            <w:tcW w:type="dxa" w:w="1224"/>
          </w:tcPr>
          <w:p>
            <w:pPr>
              <w:spacing w:after="20"/>
              <w:jc w:val="right"/>
            </w:pPr>
            <w:r>
              <w:rPr>
                <w:color w:val="1C3A36"/>
                <w:sz w:val="15"/>
              </w:rPr>
              <w:t>Mar/May-26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FY24-vintage: debt ~9bn, equity ~3.6bn, D/E 248% (was 36%), OCF negative, coverage 2.0×</w:t>
            </w:r>
          </w:p>
        </w:tc>
        <w:tc>
          <w:tcPr>
            <w:tcW w:type="dxa" w:w="2088"/>
          </w:tcPr>
          <w:p>
            <w:pPr>
              <w:spacing w:after="20"/>
              <w:jc w:val="right"/>
            </w:pPr>
            <w:r>
              <w:rPr>
                <w:color w:val="1C3A36"/>
                <w:sz w:val="15"/>
              </w:rPr>
              <w:t>Simply Wall St</w:t>
            </w:r>
          </w:p>
        </w:tc>
        <w:tc>
          <w:tcPr>
            <w:tcW w:type="dxa" w:w="1224"/>
          </w:tcPr>
          <w:p>
            <w:pPr>
              <w:spacing w:after="20"/>
              <w:jc w:val="right"/>
            </w:pPr>
            <w:r>
              <w:rPr>
                <w:color w:val="1C3A36"/>
                <w:sz w:val="15"/>
              </w:rPr>
              <w:t>May-25</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C/D</w:t>
            </w:r>
          </w:p>
        </w:tc>
        <w:tc>
          <w:tcPr>
            <w:tcW w:type="dxa" w:w="4896"/>
          </w:tcPr>
          <w:p>
            <w:pPr>
              <w:spacing w:after="20"/>
              <w:jc w:val="right"/>
            </w:pPr>
            <w:r>
              <w:rPr>
                <w:color w:val="1C3A36"/>
                <w:sz w:val="15"/>
              </w:rPr>
              <w:t>Controlling-group block sales: Alhsn 88mn sh @2.00 (01-Jul-26); Mashareq exit @2.21 (Feb-26); Gadwa group ~81% (Mar-25)</w:t>
            </w:r>
          </w:p>
        </w:tc>
        <w:tc>
          <w:tcPr>
            <w:tcW w:type="dxa" w:w="2088"/>
          </w:tcPr>
          <w:p>
            <w:pPr>
              <w:spacing w:after="20"/>
              <w:jc w:val="right"/>
            </w:pPr>
            <w:r>
              <w:rPr>
                <w:color w:val="1C3A36"/>
                <w:sz w:val="15"/>
              </w:rPr>
              <w:t>Arab Finance; Zawya</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No analyst coverage; no dividend ever; no capital increase 2024-26 (negative searches, logged)</w:t>
            </w:r>
          </w:p>
        </w:tc>
        <w:tc>
          <w:tcPr>
            <w:tcW w:type="dxa" w:w="2088"/>
          </w:tcPr>
          <w:p>
            <w:pPr>
              <w:spacing w:after="20"/>
              <w:jc w:val="right"/>
            </w:pPr>
            <w:r>
              <w:rPr>
                <w:color w:val="1C3A36"/>
                <w:sz w:val="15"/>
              </w:rPr>
              <w:t>sweep, negative results</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Audited FS PDFs unreachable (company site &amp; disclosure hosts blocked) — derived lines flagged throughout</w:t>
            </w:r>
          </w:p>
        </w:tc>
        <w:tc>
          <w:tcPr>
            <w:tcW w:type="dxa" w:w="2088"/>
          </w:tcPr>
          <w:p>
            <w:pPr>
              <w:spacing w:after="20"/>
              <w:jc w:val="right"/>
            </w:pPr>
            <w:r>
              <w:rPr>
                <w:color w:val="1C3A36"/>
                <w:sz w:val="15"/>
              </w:rPr>
              <w:t>access log</w:t>
            </w:r>
          </w:p>
        </w:tc>
        <w:tc>
          <w:tcPr>
            <w:tcW w:type="dxa" w:w="1224"/>
          </w:tcPr>
          <w:p>
            <w:pPr>
              <w:spacing w:after="20"/>
              <w:jc w:val="right"/>
            </w:pPr>
            <w:r>
              <w:rPr>
                <w:color w:val="1C3A36"/>
                <w:sz w:val="15"/>
              </w:rPr>
              <w:t>05-Aug-26</w:t>
            </w:r>
          </w:p>
        </w:tc>
      </w:tr>
    </w:tbl>
    <w:p>
      <w:pPr>
        <w:spacing w:after="40"/>
      </w:pPr>
    </w:p>
    <w:p>
      <w:pPr>
        <w:spacing w:after="200" w:before="0"/>
      </w:pPr>
      <w:r>
        <w:rPr>
          <w:b w:val="0"/>
          <w:i/>
          <w:color w:val="6E7B77"/>
          <w:sz w:val="17"/>
        </w:rPr>
        <w:t>Class: B = backdrop · S = structural · D = discrete/event · C = company-specific.</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methods — each expert runs a genuinely different method, derives a fair value from shown workings, and states the evidence that would falsify it. For ELEC we cast the earnings-power lens, the accountant’s owner-cash-earnings lens, and the cash-returns lens — the three methods that disagree most productively on a levered cyclical.</w:t>
      </w:r>
    </w:p>
    <w:p>
      <w:pPr>
        <w:spacing w:after="80" w:before="200"/>
      </w:pPr>
      <w:r>
        <w:rPr>
          <w:b/>
          <w:i w:val="0"/>
          <w:color w:val="1C3A36"/>
          <w:sz w:val="24"/>
        </w:rPr>
        <w:t>C.1  Expert 1 — earnings power: normalized EPS at a justified multiple</w:t>
      </w:r>
    </w:p>
    <w:p>
      <w:pPr>
        <w:spacing w:after="120" w:before="0"/>
      </w:pPr>
      <w:r>
        <w:rPr>
          <w:b w:val="0"/>
          <w:i w:val="0"/>
          <w:color w:val="1C3A36"/>
          <w:sz w:val="19"/>
        </w:rPr>
        <w:t>Worldview. A cyclical is worth a fair multiple of its mid-cycle earnings; both the windfall peak and the washout trough are noise to be stripped.</w:t>
      </w:r>
    </w:p>
    <w:p>
      <w:pPr>
        <w:spacing w:after="120" w:before="0"/>
      </w:pPr>
      <w:r>
        <w:rPr>
          <w:b w:val="0"/>
          <w:i w:val="0"/>
          <w:color w:val="1C3A36"/>
          <w:sz w:val="19"/>
        </w:rPr>
        <w:t>When it works / fails. Best with a long through-cycle record; vulnerable when “mid-cycle” itself is contested — exactly the ELEC problem: is normal 14% EBITDA margin or 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1’s build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revenue (FY28E-scale)</w:t>
            </w:r>
          </w:p>
        </w:tc>
        <w:tc>
          <w:tcPr>
            <w:tcW w:type="dxa" w:w="2448"/>
          </w:tcPr>
          <w:p>
            <w:pPr>
              <w:spacing w:after="20"/>
              <w:jc w:val="right"/>
            </w:pPr>
            <w:r>
              <w:rPr>
                <w:color w:val="1C3A36"/>
                <w:sz w:val="18"/>
              </w:rPr>
              <w:t>12,529</w:t>
            </w:r>
          </w:p>
        </w:tc>
      </w:tr>
      <w:tr>
        <w:tc>
          <w:tcPr>
            <w:tcW w:type="dxa" w:w="6336"/>
          </w:tcPr>
          <w:p>
            <w:pPr>
              <w:spacing w:after="20"/>
            </w:pPr>
            <w:r>
              <w:rPr>
                <w:b/>
                <w:color w:val="1C3A36"/>
                <w:sz w:val="18"/>
              </w:rPr>
              <w:t>Mid-cycle EBITDA margin</w:t>
            </w:r>
          </w:p>
        </w:tc>
        <w:tc>
          <w:tcPr>
            <w:tcW w:type="dxa" w:w="2448"/>
          </w:tcPr>
          <w:p>
            <w:pPr>
              <w:spacing w:after="20"/>
              <w:jc w:val="right"/>
            </w:pPr>
            <w:r>
              <w:rPr>
                <w:color w:val="1C3A36"/>
                <w:sz w:val="18"/>
              </w:rPr>
              <w:t>16%</w:t>
            </w:r>
          </w:p>
        </w:tc>
      </w:tr>
      <w:tr>
        <w:tc>
          <w:tcPr>
            <w:tcW w:type="dxa" w:w="6336"/>
          </w:tcPr>
          <w:p>
            <w:pPr>
              <w:spacing w:after="20"/>
            </w:pPr>
            <w:r>
              <w:rPr>
                <w:b/>
                <w:color w:val="1C3A36"/>
                <w:sz w:val="18"/>
              </w:rPr>
              <w:t>Normalized net profit (after 15% money on ~6bn net debt)</w:t>
            </w:r>
          </w:p>
        </w:tc>
        <w:tc>
          <w:tcPr>
            <w:tcW w:type="dxa" w:w="2448"/>
          </w:tcPr>
          <w:p>
            <w:pPr>
              <w:spacing w:after="20"/>
              <w:jc w:val="right"/>
            </w:pPr>
            <w:r>
              <w:rPr>
                <w:color w:val="1C3A36"/>
                <w:sz w:val="18"/>
              </w:rPr>
              <w:t>371</w:t>
            </w:r>
          </w:p>
        </w:tc>
      </w:tr>
      <w:tr>
        <w:tc>
          <w:tcPr>
            <w:tcW w:type="dxa" w:w="6336"/>
          </w:tcPr>
          <w:p>
            <w:pPr>
              <w:spacing w:after="20"/>
            </w:pPr>
            <w:r>
              <w:rPr>
                <w:b/>
                <w:color w:val="1C3A36"/>
                <w:sz w:val="18"/>
              </w:rPr>
              <w:t>Normalized EPS</w:t>
            </w:r>
          </w:p>
        </w:tc>
        <w:tc>
          <w:tcPr>
            <w:tcW w:type="dxa" w:w="2448"/>
          </w:tcPr>
          <w:p>
            <w:pPr>
              <w:spacing w:after="20"/>
              <w:jc w:val="right"/>
            </w:pPr>
            <w:r>
              <w:rPr>
                <w:color w:val="1C3A36"/>
                <w:sz w:val="18"/>
              </w:rPr>
              <w:t>0.11</w:t>
            </w:r>
          </w:p>
        </w:tc>
      </w:tr>
      <w:tr>
        <w:tc>
          <w:tcPr>
            <w:tcW w:type="dxa" w:w="6336"/>
          </w:tcPr>
          <w:p>
            <w:pPr>
              <w:spacing w:after="20"/>
            </w:pPr>
            <w:r>
              <w:rPr>
                <w:b/>
                <w:color w:val="1C3A36"/>
                <w:sz w:val="18"/>
              </w:rPr>
              <w:t>Justified through-cycle P/E</w:t>
            </w:r>
          </w:p>
        </w:tc>
        <w:tc>
          <w:tcPr>
            <w:tcW w:type="dxa" w:w="2448"/>
          </w:tcPr>
          <w:p>
            <w:pPr>
              <w:spacing w:after="20"/>
              <w:jc w:val="right"/>
            </w:pPr>
            <w:r>
              <w:rPr>
                <w:color w:val="1C3A36"/>
                <w:sz w:val="18"/>
              </w:rPr>
              <w:t>6.5×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0.73</w:t>
            </w:r>
          </w:p>
        </w:tc>
      </w:tr>
    </w:tbl>
    <w:p>
      <w:pPr>
        <w:spacing w:after="40"/>
      </w:pPr>
    </w:p>
    <w:p>
      <w:pPr>
        <w:spacing w:after="120" w:before="0"/>
      </w:pPr>
      <w:r>
        <w:rPr>
          <w:b w:val="0"/>
          <w:i w:val="0"/>
          <w:color w:val="1C3A36"/>
          <w:sz w:val="19"/>
        </w:rPr>
        <w:t>Sensitivity (swing = the margin and the multiple): at 8× on the same earnings, 1.40; at 5.5× on bear-margin earnings, 0.26. Falsified by two consecutive halves of EBITDA margin above ~20% without currency help — that would prove the windfall margins were partly structural.</w:t>
      </w:r>
    </w:p>
    <w:p>
      <w:pPr>
        <w:spacing w:after="80" w:before="200"/>
      </w:pPr>
      <w:r>
        <w:rPr>
          <w:b/>
          <w:i w:val="0"/>
          <w:color w:val="1C3A36"/>
          <w:sz w:val="24"/>
        </w:rPr>
        <w:t>C.2  Expert 2 — the accountant: owner cash earnings from the statements</w:t>
      </w:r>
    </w:p>
    <w:p>
      <w:pPr>
        <w:spacing w:after="120" w:before="0"/>
      </w:pPr>
      <w:r>
        <w:rPr>
          <w:b w:val="0"/>
          <w:i w:val="0"/>
          <w:color w:val="1C3A36"/>
          <w:sz w:val="19"/>
        </w:rPr>
        <w:t>Worldview. Profit is an opinion; cash is a fact. Value only the earnings that historically became cash the owner could take out.</w:t>
      </w:r>
    </w:p>
    <w:p>
      <w:pPr>
        <w:spacing w:after="120" w:before="0"/>
      </w:pPr>
      <w:r>
        <w:rPr>
          <w:b w:val="0"/>
          <w:i w:val="0"/>
          <w:color w:val="1C3A36"/>
          <w:sz w:val="19"/>
        </w:rPr>
        <w:t>When it works / fails. Devastating on names whose profits pile up as receivables — ELEC precisely; unfair to genuine growth if the working-capital build eventually monetises.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2’s ledger</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Reported cumulative NP FY23–FY25</w:t>
            </w:r>
          </w:p>
        </w:tc>
        <w:tc>
          <w:tcPr>
            <w:tcW w:type="dxa" w:w="2448"/>
          </w:tcPr>
          <w:p>
            <w:pPr>
              <w:spacing w:after="20"/>
              <w:jc w:val="right"/>
            </w:pPr>
            <w:r>
              <w:rPr>
                <w:color w:val="1C3A36"/>
                <w:sz w:val="18"/>
              </w:rPr>
              <w:t>3,076</w:t>
            </w:r>
          </w:p>
        </w:tc>
      </w:tr>
      <w:tr>
        <w:tc>
          <w:tcPr>
            <w:tcW w:type="dxa" w:w="6336"/>
          </w:tcPr>
          <w:p>
            <w:pPr>
              <w:spacing w:after="20"/>
            </w:pPr>
            <w:r>
              <w:rPr>
                <w:b/>
                <w:color w:val="1C3A36"/>
                <w:sz w:val="18"/>
              </w:rPr>
              <w:t>Of which converted to operating cash</w:t>
            </w:r>
          </w:p>
        </w:tc>
        <w:tc>
          <w:tcPr>
            <w:tcW w:type="dxa" w:w="2448"/>
          </w:tcPr>
          <w:p>
            <w:pPr>
              <w:spacing w:after="20"/>
              <w:jc w:val="right"/>
            </w:pPr>
            <w:r>
              <w:rPr>
                <w:color w:val="1C3A36"/>
                <w:sz w:val="18"/>
              </w:rPr>
              <w:t>≈ nil (OCF negative in FY23/24; ~breakeven FY25)</w:t>
            </w:r>
          </w:p>
        </w:tc>
      </w:tr>
      <w:tr>
        <w:tc>
          <w:tcPr>
            <w:tcW w:type="dxa" w:w="6336"/>
          </w:tcPr>
          <w:p>
            <w:pPr>
              <w:spacing w:after="20"/>
            </w:pPr>
            <w:r>
              <w:rPr>
                <w:b/>
                <w:color w:val="1C3A36"/>
                <w:sz w:val="18"/>
              </w:rPr>
              <w:t>Where it went</w:t>
            </w:r>
          </w:p>
        </w:tc>
        <w:tc>
          <w:tcPr>
            <w:tcW w:type="dxa" w:w="2448"/>
          </w:tcPr>
          <w:p>
            <w:pPr>
              <w:spacing w:after="20"/>
              <w:jc w:val="right"/>
            </w:pPr>
            <w:r>
              <w:rPr>
                <w:color w:val="1C3A36"/>
                <w:sz w:val="18"/>
              </w:rPr>
              <w:t>Receivables + inventory, funded by ~EGP 10.5bn of bank debt at 20%+ money</w:t>
            </w:r>
          </w:p>
        </w:tc>
      </w:tr>
      <w:tr>
        <w:tc>
          <w:tcPr>
            <w:tcW w:type="dxa" w:w="6336"/>
          </w:tcPr>
          <w:p>
            <w:pPr>
              <w:spacing w:after="20"/>
            </w:pPr>
            <w:r>
              <w:rPr>
                <w:b/>
                <w:color w:val="1C3A36"/>
                <w:sz w:val="18"/>
              </w:rPr>
              <w:t>Cash-earnings basis he will pay for (FY27E, actual funding cost)</w:t>
            </w:r>
          </w:p>
        </w:tc>
        <w:tc>
          <w:tcPr>
            <w:tcW w:type="dxa" w:w="2448"/>
          </w:tcPr>
          <w:p>
            <w:pPr>
              <w:spacing w:after="20"/>
              <w:jc w:val="right"/>
            </w:pPr>
            <w:r>
              <w:rPr>
                <w:color w:val="1C3A36"/>
                <w:sz w:val="18"/>
              </w:rPr>
              <w:t>~-796/yr + partial credit for normalisation</w:t>
            </w:r>
          </w:p>
        </w:tc>
      </w:tr>
      <w:tr>
        <w:tc>
          <w:tcPr>
            <w:tcW w:type="dxa" w:w="6336"/>
          </w:tcPr>
          <w:p>
            <w:pPr>
              <w:spacing w:after="20"/>
            </w:pPr>
            <w:r>
              <w:rPr>
                <w:b/>
                <w:color w:val="1C3A36"/>
                <w:sz w:val="18"/>
              </w:rPr>
              <w:t>Multiple on cash earnings</w:t>
            </w:r>
          </w:p>
        </w:tc>
        <w:tc>
          <w:tcPr>
            <w:tcW w:type="dxa" w:w="2448"/>
          </w:tcPr>
          <w:p>
            <w:pPr>
              <w:spacing w:after="20"/>
              <w:jc w:val="right"/>
            </w:pPr>
            <w:r>
              <w:rPr>
                <w:color w:val="1C3A36"/>
                <w:sz w:val="18"/>
              </w:rPr>
              <w:t>6×</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0.11</w:t>
            </w:r>
          </w:p>
        </w:tc>
      </w:tr>
    </w:tbl>
    <w:p>
      <w:pPr>
        <w:spacing w:after="40"/>
      </w:pPr>
    </w:p>
    <w:p>
      <w:pPr>
        <w:spacing w:after="120" w:before="0"/>
      </w:pPr>
      <w:r>
        <w:rPr>
          <w:b w:val="0"/>
          <w:i w:val="0"/>
          <w:color w:val="1C3A36"/>
          <w:sz w:val="19"/>
        </w:rPr>
        <w:t>Sensitivity: his range (0.07–0.16) turns almost entirely on how much credit to give unproven collection. Falsified by a published cash-flow statement showing sustained positive operating cash flow with receivables actually falling — he would re-run on the proven number.</w:t>
      </w:r>
    </w:p>
    <w:p>
      <w:pPr>
        <w:spacing w:after="80" w:before="200"/>
      </w:pPr>
      <w:r>
        <w:rPr>
          <w:b/>
          <w:i w:val="0"/>
          <w:color w:val="1C3A36"/>
          <w:sz w:val="24"/>
        </w:rPr>
        <w:t>C.3  Expert 3 — cash returns: ROIC against the cost of capital, through the rate cycle</w:t>
      </w:r>
    </w:p>
    <w:p>
      <w:pPr>
        <w:spacing w:after="120" w:before="0"/>
      </w:pPr>
      <w:r>
        <w:rPr>
          <w:b w:val="0"/>
          <w:i w:val="0"/>
          <w:color w:val="1C3A36"/>
          <w:sz w:val="19"/>
        </w:rPr>
        <w:t>Worldview. A business is worth its invested capital plus the present value of its spread over the cost of that capital. In a disinflating economy, both legs move — measure them on one calendar.</w:t>
      </w:r>
    </w:p>
    <w:p>
      <w:pPr>
        <w:spacing w:after="120" w:before="0"/>
      </w:pPr>
      <w:r>
        <w:rPr>
          <w:b w:val="0"/>
          <w:i w:val="0"/>
          <w:color w:val="1C3A36"/>
          <w:sz w:val="19"/>
        </w:rPr>
        <w:t>When it works / fails. The right frame for capital-heavy compounders and the honest frame for capital-heavy value traps; weakest when invested capital itself is mismeasured (his caveat: ELEC’s IC is mostly working capital of contestable quality).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(terminal-year basis)</w:t>
            </w:r>
          </w:p>
        </w:tc>
        <w:tc>
          <w:tcPr>
            <w:tcW w:type="dxa" w:w="2448"/>
          </w:tcPr>
          <w:p>
            <w:pPr>
              <w:spacing w:after="20"/>
              <w:jc w:val="right"/>
            </w:pPr>
            <w:r>
              <w:rPr>
                <w:color w:val="1C3A36"/>
                <w:sz w:val="18"/>
              </w:rPr>
              <w:t>14,693</w:t>
            </w:r>
          </w:p>
        </w:tc>
      </w:tr>
      <w:tr>
        <w:tc>
          <w:tcPr>
            <w:tcW w:type="dxa" w:w="6336"/>
          </w:tcPr>
          <w:p>
            <w:pPr>
              <w:spacing w:after="20"/>
            </w:pPr>
            <w:r>
              <w:rPr>
                <w:b/>
                <w:color w:val="1C3A36"/>
                <w:sz w:val="18"/>
              </w:rPr>
              <w:t>Terminal ROIC</w:t>
            </w:r>
          </w:p>
        </w:tc>
        <w:tc>
          <w:tcPr>
            <w:tcW w:type="dxa" w:w="2448"/>
          </w:tcPr>
          <w:p>
            <w:pPr>
              <w:spacing w:after="20"/>
              <w:jc w:val="right"/>
            </w:pPr>
            <w:r>
              <w:rPr>
                <w:color w:val="1C3A36"/>
                <w:sz w:val="18"/>
              </w:rPr>
              <w:t>10.3%</w:t>
            </w:r>
          </w:p>
        </w:tc>
      </w:tr>
      <w:tr>
        <w:tc>
          <w:tcPr>
            <w:tcW w:type="dxa" w:w="6336"/>
          </w:tcPr>
          <w:p>
            <w:pPr>
              <w:spacing w:after="20"/>
            </w:pPr>
            <w:r>
              <w:rPr>
                <w:b/>
                <w:color w:val="1C3A36"/>
                <w:sz w:val="18"/>
              </w:rPr>
              <w:t>Cost of capital: 22.6% today → 14.1% terminal</w:t>
            </w:r>
          </w:p>
        </w:tc>
        <w:tc>
          <w:tcPr>
            <w:tcW w:type="dxa" w:w="2448"/>
          </w:tcPr>
          <w:p>
            <w:pPr>
              <w:spacing w:after="20"/>
              <w:jc w:val="right"/>
            </w:pPr>
            <w:r>
              <w:rPr>
                <w:color w:val="1C3A36"/>
                <w:sz w:val="18"/>
              </w:rPr>
              <w:t>the spread is NEGATIVE for the whole explicit window</w:t>
            </w:r>
          </w:p>
        </w:tc>
      </w:tr>
      <w:tr>
        <w:tc>
          <w:tcPr>
            <w:tcW w:type="dxa" w:w="6336"/>
          </w:tcPr>
          <w:p>
            <w:pPr>
              <w:spacing w:after="20"/>
            </w:pPr>
            <w:r>
              <w:rPr>
                <w:b/>
                <w:color w:val="1C3A36"/>
                <w:sz w:val="18"/>
              </w:rPr>
              <w:t>His EV (economic-profit build ≈ the DCF with a 5% haircut on the spread years)</w:t>
            </w:r>
          </w:p>
        </w:tc>
        <w:tc>
          <w:tcPr>
            <w:tcW w:type="dxa" w:w="2448"/>
          </w:tcPr>
          <w:p>
            <w:pPr>
              <w:spacing w:after="20"/>
              <w:jc w:val="right"/>
            </w:pPr>
            <w:r>
              <w:rPr>
                <w:color w:val="1C3A36"/>
                <w:sz w:val="18"/>
              </w:rPr>
              <w:t>5,157</w:t>
            </w:r>
          </w:p>
        </w:tc>
      </w:tr>
      <w:tr>
        <w:tc>
          <w:tcPr>
            <w:tcW w:type="dxa" w:w="6336"/>
          </w:tcPr>
          <w:p>
            <w:pPr>
              <w:spacing w:after="20"/>
            </w:pPr>
            <w:r>
              <w:rPr>
                <w:b/>
                <w:color w:val="1C3A36"/>
                <w:sz w:val="18"/>
              </w:rPr>
              <w:t>less net debt</w:t>
            </w:r>
          </w:p>
        </w:tc>
        <w:tc>
          <w:tcPr>
            <w:tcW w:type="dxa" w:w="2448"/>
          </w:tcPr>
          <w:p>
            <w:pPr>
              <w:spacing w:after="20"/>
              <w:jc w:val="right"/>
            </w:pPr>
            <w:r>
              <w:rPr>
                <w:color w:val="1C3A36"/>
                <w:sz w:val="18"/>
              </w:rPr>
              <w:t>(9,805)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0.10</w:t>
            </w:r>
          </w:p>
        </w:tc>
      </w:tr>
    </w:tbl>
    <w:p>
      <w:pPr>
        <w:spacing w:after="40"/>
      </w:pPr>
    </w:p>
    <w:p>
      <w:pPr>
        <w:spacing w:after="120" w:before="0"/>
      </w:pPr>
      <w:r>
        <w:rPr>
          <w:b w:val="0"/>
          <w:i w:val="0"/>
          <w:color w:val="1C3A36"/>
          <w:sz w:val="19"/>
        </w:rPr>
        <w:t>Sensitivity: ±EGP 500 mn on the EV or the debt anchor moves him ±0.15/share — his range (0.05–0.20) is the leverage talking, not the method. Falsified by ROIC printing above the falling WACC earlier than modelled — collection would do it, since it shrinks the denominator and the debt at once.</w:t>
      </w:r>
    </w:p>
    <w:p>
      <w:pPr>
        <w:spacing w:after="80" w:before="200"/>
      </w:pPr>
      <w:r>
        <w:rPr>
          <w:b/>
          <w:i w:val="0"/>
          <w:color w:val="1C3A36"/>
          <w:sz w:val="24"/>
        </w:rPr>
        <w:t>C.4  Cross-examination</w:t>
      </w:r>
    </w:p>
    <w:p>
      <w:pPr>
        <w:spacing w:after="120" w:before="0"/>
      </w:pPr>
      <w:r>
        <w:rPr>
          <w:b w:val="0"/>
          <w:i w:val="0"/>
          <w:color w:val="1C3A36"/>
          <w:sz w:val="19"/>
        </w:rPr>
        <w:t>Expert 1 to Expert 2: “You are punishing them twice — once for the working-capital build and again with a 6× multiple on the earnings that survive it. Collection is not impossible; it is just unproven.”</w:t>
      </w:r>
    </w:p>
    <w:p>
      <w:pPr>
        <w:spacing w:after="120" w:before="0"/>
      </w:pPr>
      <w:r>
        <w:rPr>
          <w:b w:val="0"/>
          <w:i w:val="0"/>
          <w:color w:val="1C3A36"/>
          <w:sz w:val="19"/>
        </w:rPr>
        <w:t>Expert 2 to Expert 1: “Your normalized EPS pays out of profits that have never once turned into cash. Show me one year of positive operating cash flow and I will move; until then a multiple on paper earnings is a multiple on paper.”</w:t>
      </w:r>
    </w:p>
    <w:p>
      <w:pPr>
        <w:spacing w:after="120" w:before="0"/>
      </w:pPr>
      <w:r>
        <w:rPr>
          <w:b w:val="0"/>
          <w:i w:val="0"/>
          <w:color w:val="1C3A36"/>
          <w:sz w:val="19"/>
        </w:rPr>
        <w:t>Expert 3 to both: “You are arguing about the numerator. The economics are simpler: this business earns ~10% on its capital at the terminal and pays 22% for money today, 15% even in the normalized state. A negative spread at this leverage is value destruction on a schedule — the only question is whether the easing cycle arrives before the balance sheet does.”</w:t>
      </w:r>
    </w:p>
    <w:p>
      <w:pPr>
        <w:spacing w:after="80" w:before="200"/>
      </w:pPr>
      <w:r>
        <w:rPr>
          <w:b/>
          <w:i w:val="0"/>
          <w:color w:val="1C3A36"/>
          <w:sz w:val="24"/>
        </w:rPr>
        <w:t>C.5  The three in one room</w:t>
      </w:r>
    </w:p>
    <w:p>
      <w:pPr>
        <w:spacing w:after="120" w:before="0"/>
      </w:pPr>
      <w:r>
        <w:rPr>
          <w:b w:val="0"/>
          <w:i w:val="0"/>
          <w:color w:val="1C3A36"/>
          <w:sz w:val="19"/>
        </w:rPr>
        <w:t>Where they agree is more striking than where they differ: all three land below EGP 0.73 — the most generous number in the room is still ~37% under the market. They disagree on mechanism, not direction: Expert 1 prices a recovery that has not printed, Expert 2 refuses to pay for cash that has not appeared, Expert 3 counts the cost of waiting for either. Each names the same two exhibits as decisive: the H1-2026 statements (margin and receivables) and any audited cash-flow disclosure.</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979629"/>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979629"/>
                    </a:xfrm>
                    <a:prstGeom prst="rect"/>
                  </pic:spPr>
                </pic:pic>
              </a:graphicData>
            </a:graphic>
          </wp:inline>
        </w:drawing>
      </w:r>
    </w:p>
    <w:p>
      <w:pPr>
        <w:spacing w:after="200" w:before="0"/>
      </w:pPr>
      <w:r>
        <w:rPr>
          <w:b w:val="0"/>
          <w:i/>
          <w:color w:val="6E7B77"/>
          <w:sz w:val="17"/>
        </w:rPr>
        <w:t>Figure 7 — The three experts’ fair-value ranges. Brass ticks are base cases; the gold band is the panel centre; the dark line is spot — above every range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Earnings power × justified multiple</w:t>
            </w:r>
          </w:p>
        </w:tc>
        <w:tc>
          <w:tcPr>
            <w:tcW w:type="dxa" w:w="3600"/>
          </w:tcPr>
          <w:p>
            <w:pPr>
              <w:spacing w:after="20"/>
              <w:jc w:val="right"/>
            </w:pPr>
            <w:r>
              <w:rPr>
                <w:color w:val="1C3A36"/>
                <w:sz w:val="18"/>
              </w:rPr>
              <w:t>Mid-cycle EBITDA margin 16%</w:t>
            </w:r>
          </w:p>
        </w:tc>
        <w:tc>
          <w:tcPr>
            <w:tcW w:type="dxa" w:w="1872"/>
          </w:tcPr>
          <w:p>
            <w:pPr>
              <w:spacing w:after="20"/>
              <w:jc w:val="right"/>
            </w:pPr>
            <w:r>
              <w:rPr>
                <w:color w:val="1C3A36"/>
                <w:sz w:val="18"/>
              </w:rPr>
              <w:t>EGP 0.73</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Owner cash earnings</w:t>
            </w:r>
          </w:p>
        </w:tc>
        <w:tc>
          <w:tcPr>
            <w:tcW w:type="dxa" w:w="3600"/>
          </w:tcPr>
          <w:p>
            <w:pPr>
              <w:spacing w:after="20"/>
              <w:jc w:val="right"/>
            </w:pPr>
            <w:r>
              <w:rPr>
                <w:color w:val="1C3A36"/>
                <w:sz w:val="18"/>
              </w:rPr>
              <w:t>Credit given to unproven collection</w:t>
            </w:r>
          </w:p>
        </w:tc>
        <w:tc>
          <w:tcPr>
            <w:tcW w:type="dxa" w:w="1872"/>
          </w:tcPr>
          <w:p>
            <w:pPr>
              <w:spacing w:after="20"/>
              <w:jc w:val="right"/>
            </w:pPr>
            <w:r>
              <w:rPr>
                <w:color w:val="1C3A36"/>
                <w:sz w:val="18"/>
              </w:rPr>
              <w:t>EGP 0.11</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(ROIC vs WACC)</w:t>
            </w:r>
          </w:p>
        </w:tc>
        <w:tc>
          <w:tcPr>
            <w:tcW w:type="dxa" w:w="3600"/>
          </w:tcPr>
          <w:p>
            <w:pPr>
              <w:spacing w:after="20"/>
              <w:jc w:val="right"/>
            </w:pPr>
            <w:r>
              <w:rPr>
                <w:color w:val="1C3A36"/>
                <w:sz w:val="18"/>
              </w:rPr>
              <w:t>The net-debt anchor ±1 bn</w:t>
            </w:r>
          </w:p>
        </w:tc>
        <w:tc>
          <w:tcPr>
            <w:tcW w:type="dxa" w:w="1872"/>
          </w:tcPr>
          <w:p>
            <w:pPr>
              <w:spacing w:after="20"/>
              <w:jc w:val="right"/>
            </w:pPr>
            <w:r>
              <w:rPr>
                <w:color w:val="1C3A36"/>
                <w:sz w:val="18"/>
              </w:rPr>
              <w:t>EGP 0.10</w:t>
            </w:r>
          </w:p>
        </w:tc>
      </w:tr>
    </w:tbl>
    <w:p>
      <w:pPr>
        <w:spacing w:after="40"/>
      </w:pPr>
    </w:p>
    <w:p>
      <w:pPr>
        <w:spacing w:after="120" w:before="0"/>
      </w:pPr>
      <w:r>
        <w:rPr>
          <w:b w:val="0"/>
          <w:i w:val="0"/>
          <w:color w:val="1C3A36"/>
          <w:sz w:val="19"/>
        </w:rPr>
        <w:t>The spread — 0.10 to 0.73 at base — is wide in ratio terms but narrow in message: no method that starts from the company’s own disclosed numbers reaches the market price without assuming the best corner of the scenario space. The panel’s centre sits close to the study’s weighted central (EGP 0.34), which is the reassuring kind of agreement: three different roads, one neighbourhood.</w:t>
      </w:r>
    </w:p>
    <w:p>
      <w:pPr>
        <w:spacing w:after="200" w:before="0"/>
      </w:pPr>
      <w:r>
        <w:rPr>
          <w:b w:val="0"/>
          <w:i/>
          <w:color w:val="6E7B77"/>
          <w:sz w:val="17"/>
        </w:rPr>
        <w:t>Each expert’s point fair value (and range) is logged with the study date (5 Aug 2026) and spot (EGP 2.19)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public disclosure-reporting services believed reliable but not independently verified; the company’s audited statements were not directly accessible, and lines derived from disclosed totals are flagged as such throughout. Forward-looking inputs — margins, the working-capital path, multiples, the discount-rate schedule and simulation settings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50.3. Rounding may cause totals to differ slightly. Spot price and market data are as of 5 August 2026 and change continuously.</w:t>
      </w:r>
    </w:p>
    <w:p>
      <w:pPr>
        <w:spacing w:after="120" w:before="200"/>
        <w:jc w:val="center"/>
      </w:pPr>
      <w:r>
        <w:rPr>
          <w:b w:val="0"/>
          <w:i w:val="0"/>
          <w:color w:val="6E7B77"/>
          <w:sz w:val="17"/>
        </w:rPr>
        <w:t>TESTAHIL · Independent Valuation Study · Educational Analysis · Electro Cable Egypt Co. S.A.E. (EGX: ELEC) · edition 05-08-2026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