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1.085,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6.51 a share; on the composite, AED 9.37.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this edition,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7.10 against a market price of 6.16 — 15% above the market price. The cash-flow lens on its own lands at AED 6.51, 6% above the market price, and the three notional experts in Appendix C, who price mid-cycle earnings rather than a terminal value, centre at AED 6.17, level with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1.085 — it moves with the market, near enough one for one, on 161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9.37. That construction is published beside the adopted one throughout, because a gap of AED 2.86 a share that turns on how an index is weighted is something a reader is entitled to see rather than a detail to bury. What remains genuinely open is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7.7% on the share's own beta of 1.085 against the published index of its own exchange and on all three kinds of capital the company uses — ordinary equity 80.0%, debt 7.2%, perpetual capital securities 12.8% at their own coupon; terminal growth 2%; 75% of enterprise value comes from the terminal value</w:t>
            </w:r>
          </w:p>
        </w:tc>
        <w:tc>
          <w:tcPr>
            <w:tcW w:type="dxa" w:w="1526"/>
          </w:tcPr>
          <w:p>
            <w:pPr>
              <w:spacing w:after="20"/>
              <w:jc w:val="right"/>
            </w:pPr>
            <w:r>
              <w:rPr>
                <w:color w:val="1C3A36"/>
                <w:sz w:val="16"/>
              </w:rPr>
              <w:t>4.03 – 10.13</w:t>
            </w:r>
          </w:p>
        </w:tc>
        <w:tc>
          <w:tcPr>
            <w:tcW w:type="dxa" w:w="1181"/>
          </w:tcPr>
          <w:p>
            <w:pPr>
              <w:spacing w:after="20"/>
              <w:jc w:val="right"/>
            </w:pPr>
            <w:r>
              <w:rPr>
                <w:color w:val="1C3A36"/>
                <w:sz w:val="16"/>
              </w:rPr>
              <w:t>6.51</w:t>
            </w:r>
          </w:p>
        </w:tc>
        <w:tc>
          <w:tcPr>
            <w:tcW w:type="dxa" w:w="1210"/>
          </w:tcPr>
          <w:p>
            <w:pPr>
              <w:spacing w:after="20"/>
              <w:jc w:val="right"/>
            </w:pPr>
            <w:r>
              <w:rPr>
                <w:color w:val="1C3A36"/>
                <w:sz w:val="16"/>
              </w:rPr>
              <w:t>+6%</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7.80 – 12.02</w:t>
            </w:r>
          </w:p>
        </w:tc>
        <w:tc>
          <w:tcPr>
            <w:tcW w:type="dxa" w:w="1181"/>
          </w:tcPr>
          <w:p>
            <w:pPr>
              <w:spacing w:after="20"/>
              <w:jc w:val="right"/>
            </w:pPr>
            <w:r>
              <w:rPr>
                <w:color w:val="1C3A36"/>
                <w:sz w:val="16"/>
              </w:rPr>
              <w:t>8.91</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9.34% on that book, discounted, plus a remainder that fades at 10% a year — worth 1.46× the book it starts from</w:t>
            </w:r>
          </w:p>
        </w:tc>
        <w:tc>
          <w:tcPr>
            <w:tcW w:type="dxa" w:w="1526"/>
          </w:tcPr>
          <w:p>
            <w:pPr>
              <w:spacing w:after="20"/>
              <w:jc w:val="right"/>
            </w:pPr>
            <w:r>
              <w:rPr>
                <w:color w:val="1C3A36"/>
                <w:sz w:val="16"/>
              </w:rPr>
              <w:t>2.64 – 4.97</w:t>
            </w:r>
          </w:p>
        </w:tc>
        <w:tc>
          <w:tcPr>
            <w:tcW w:type="dxa" w:w="1181"/>
          </w:tcPr>
          <w:p>
            <w:pPr>
              <w:spacing w:after="20"/>
              <w:jc w:val="right"/>
            </w:pPr>
            <w:r>
              <w:rPr>
                <w:color w:val="1C3A36"/>
                <w:sz w:val="16"/>
              </w:rPr>
              <w:t>3.69</w:t>
            </w:r>
          </w:p>
        </w:tc>
        <w:tc>
          <w:tcPr>
            <w:tcW w:type="dxa" w:w="1210"/>
          </w:tcPr>
          <w:p>
            <w:pPr>
              <w:spacing w:after="20"/>
              <w:jc w:val="right"/>
            </w:pPr>
            <w:r>
              <w:rPr>
                <w:color w:val="1C3A36"/>
                <w:sz w:val="16"/>
              </w:rPr>
              <w:t>-40%</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5.30 – 9.89</w:t>
            </w:r>
          </w:p>
        </w:tc>
        <w:tc>
          <w:tcPr>
            <w:tcW w:type="dxa" w:w="1181"/>
            <w:shd w:val="clear" w:color="auto" w:fill="F6F1E6"/>
          </w:tcPr>
          <w:p>
            <w:pPr>
              <w:spacing w:after="20"/>
              <w:jc w:val="right"/>
            </w:pPr>
            <w:r>
              <w:rPr>
                <w:b/>
                <w:color w:val="1C3A36"/>
                <w:sz w:val="16"/>
              </w:rPr>
              <w:t>7.10</w:t>
            </w:r>
          </w:p>
        </w:tc>
        <w:tc>
          <w:tcPr>
            <w:tcW w:type="dxa" w:w="1210"/>
            <w:shd w:val="clear" w:color="auto" w:fill="F6F1E6"/>
          </w:tcPr>
          <w:p>
            <w:pPr>
              <w:spacing w:after="20"/>
              <w:jc w:val="right"/>
            </w:pPr>
            <w:r>
              <w:rPr>
                <w:b/>
                <w:color w:val="1C3A36"/>
                <w:sz w:val="16"/>
              </w:rPr>
              <w:t>+15%</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1.085, cost of capital gliding 7.0% to 6.3%, and 81% of enterprise value from the terminal value. The published index is the yardstick this study adopts; the composite is shown because the gap turns on index weighting rather than on the company (section 1.8). The weighted central on this construction is AED 8.24</w:t>
            </w:r>
          </w:p>
        </w:tc>
        <w:tc>
          <w:tcPr>
            <w:tcW w:type="dxa" w:w="1526"/>
          </w:tcPr>
          <w:p>
            <w:pPr>
              <w:spacing w:after="20"/>
              <w:jc w:val="right"/>
            </w:pPr>
            <w:r>
              <w:rPr>
                <w:color w:val="1C3A36"/>
                <w:sz w:val="16"/>
              </w:rPr>
              <w:t>—</w:t>
            </w:r>
          </w:p>
        </w:tc>
        <w:tc>
          <w:tcPr>
            <w:tcW w:type="dxa" w:w="1181"/>
          </w:tcPr>
          <w:p>
            <w:pPr>
              <w:spacing w:after="20"/>
              <w:jc w:val="right"/>
            </w:pPr>
            <w:r>
              <w:rPr>
                <w:color w:val="1C3A36"/>
                <w:sz w:val="16"/>
              </w:rPr>
              <w:t>9.37</w:t>
            </w:r>
          </w:p>
        </w:tc>
        <w:tc>
          <w:tcPr>
            <w:tcW w:type="dxa" w:w="1210"/>
          </w:tcPr>
          <w:p>
            <w:pPr>
              <w:spacing w:after="20"/>
              <w:jc w:val="right"/>
            </w:pPr>
            <w:r>
              <w:rPr>
                <w:color w:val="1C3A36"/>
                <w:sz w:val="16"/>
              </w:rPr>
              <w:t>+52%</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8.06</w:t>
            </w:r>
          </w:p>
        </w:tc>
        <w:tc>
          <w:tcPr>
            <w:tcW w:type="dxa" w:w="1210"/>
          </w:tcPr>
          <w:p>
            <w:pPr>
              <w:spacing w:after="20"/>
              <w:jc w:val="right"/>
            </w:pPr>
            <w:r>
              <w:rPr>
                <w:color w:val="1C3A36"/>
                <w:sz w:val="16"/>
              </w:rPr>
              <w:t>+31%</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1,254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6.87</w:t>
            </w:r>
          </w:p>
        </w:tc>
        <w:tc>
          <w:tcPr>
            <w:tcW w:type="dxa" w:w="1210"/>
          </w:tcPr>
          <w:p>
            <w:pPr>
              <w:spacing w:after="20"/>
              <w:jc w:val="right"/>
            </w:pPr>
            <w:r>
              <w:rPr>
                <w:color w:val="1C3A36"/>
                <w:sz w:val="16"/>
              </w:rPr>
              <w:t>+11%</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1.412 at the bear end and 0.758 at the bull end — and moves the mid-cycle rate anchor and the capital programme against the value at the same time. Reading the beta off by itself, the published grid in section 1.9 puts the 1.412 case at AED 5.00 against a published bear of 4.03, so roughly AED 0.98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The index reading is the largest of the three alternatives: AED 2.86 a share separates the two constructions on the cash-flow lens and AED 1.15 on the weighted central, and both are carried at full size through section 1.1, section 1.8, the comparison in section 4 and the expert panel. Terminal value is 75%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5,003</w:t>
            </w:r>
          </w:p>
        </w:tc>
        <w:tc>
          <w:tcPr>
            <w:tcW w:type="dxa" w:w="1382"/>
          </w:tcPr>
          <w:p>
            <w:pPr>
              <w:spacing w:after="20"/>
              <w:jc w:val="right"/>
            </w:pPr>
            <w:r>
              <w:rPr>
                <w:color w:val="1C3A36"/>
                <w:sz w:val="16"/>
              </w:rPr>
              <w:t>5,719</w:t>
            </w:r>
          </w:p>
        </w:tc>
        <w:tc>
          <w:tcPr>
            <w:tcW w:type="dxa" w:w="1382"/>
          </w:tcPr>
          <w:p>
            <w:pPr>
              <w:spacing w:after="20"/>
              <w:jc w:val="right"/>
            </w:pPr>
            <w:r>
              <w:rPr>
                <w:color w:val="1C3A36"/>
                <w:sz w:val="16"/>
              </w:rPr>
              <w:t>5,741</w:t>
            </w:r>
          </w:p>
        </w:tc>
        <w:tc>
          <w:tcPr>
            <w:tcW w:type="dxa" w:w="1382"/>
          </w:tcPr>
          <w:p>
            <w:pPr>
              <w:spacing w:after="20"/>
              <w:jc w:val="right"/>
            </w:pPr>
            <w:r>
              <w:rPr>
                <w:color w:val="1C3A36"/>
                <w:sz w:val="16"/>
              </w:rPr>
              <w:t>5,497</w:t>
            </w:r>
          </w:p>
        </w:tc>
        <w:tc>
          <w:tcPr>
            <w:tcW w:type="dxa" w:w="1382"/>
          </w:tcPr>
          <w:p>
            <w:pPr>
              <w:spacing w:after="20"/>
              <w:jc w:val="right"/>
            </w:pPr>
            <w:r>
              <w:rPr>
                <w:color w:val="1C3A36"/>
                <w:sz w:val="16"/>
              </w:rPr>
              <w:t>5,171</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(2,917)</w:t>
            </w:r>
          </w:p>
        </w:tc>
        <w:tc>
          <w:tcPr>
            <w:tcW w:type="dxa" w:w="1382"/>
          </w:tcPr>
          <w:p>
            <w:pPr>
              <w:spacing w:after="20"/>
              <w:jc w:val="right"/>
            </w:pPr>
            <w:r>
              <w:rPr>
                <w:color w:val="1C3A36"/>
                <w:sz w:val="16"/>
              </w:rPr>
              <w:t>(3,201)</w:t>
            </w:r>
          </w:p>
        </w:tc>
        <w:tc>
          <w:tcPr>
            <w:tcW w:type="dxa" w:w="1382"/>
          </w:tcPr>
          <w:p>
            <w:pPr>
              <w:spacing w:after="20"/>
              <w:jc w:val="right"/>
            </w:pPr>
            <w:r>
              <w:rPr>
                <w:color w:val="1C3A36"/>
                <w:sz w:val="16"/>
              </w:rPr>
              <w:t>(3,236)</w:t>
            </w:r>
          </w:p>
        </w:tc>
        <w:tc>
          <w:tcPr>
            <w:tcW w:type="dxa" w:w="1382"/>
          </w:tcPr>
          <w:p>
            <w:pPr>
              <w:spacing w:after="20"/>
              <w:jc w:val="right"/>
            </w:pPr>
            <w:r>
              <w:rPr>
                <w:color w:val="1C3A36"/>
                <w:sz w:val="16"/>
              </w:rPr>
              <w:t>(3,186)</w:t>
            </w:r>
          </w:p>
        </w:tc>
        <w:tc>
          <w:tcPr>
            <w:tcW w:type="dxa" w:w="1382"/>
          </w:tcPr>
          <w:p>
            <w:pPr>
              <w:spacing w:after="20"/>
              <w:jc w:val="right"/>
            </w:pPr>
            <w:r>
              <w:rPr>
                <w:color w:val="1C3A36"/>
                <w:sz w:val="16"/>
              </w:rPr>
              <w:t>(3,114)</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2,506</w:t>
            </w:r>
          </w:p>
        </w:tc>
        <w:tc>
          <w:tcPr>
            <w:tcW w:type="dxa" w:w="1382"/>
          </w:tcPr>
          <w:p>
            <w:pPr>
              <w:spacing w:after="20"/>
              <w:jc w:val="right"/>
            </w:pPr>
            <w:r>
              <w:rPr>
                <w:color w:val="1C3A36"/>
                <w:sz w:val="16"/>
              </w:rPr>
              <w:t>2,311</w:t>
            </w:r>
          </w:p>
        </w:tc>
        <w:tc>
          <w:tcPr>
            <w:tcW w:type="dxa" w:w="1382"/>
          </w:tcPr>
          <w:p>
            <w:pPr>
              <w:spacing w:after="20"/>
              <w:jc w:val="right"/>
            </w:pPr>
            <w:r>
              <w:rPr>
                <w:color w:val="1C3A36"/>
                <w:sz w:val="16"/>
              </w:rPr>
              <w:t>2,057</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1,511</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1,802</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1,800</w:t>
            </w:r>
          </w:p>
        </w:tc>
        <w:tc>
          <w:tcPr>
            <w:tcW w:type="dxa" w:w="1382"/>
          </w:tcPr>
          <w:p>
            <w:pPr>
              <w:spacing w:after="20"/>
              <w:jc w:val="right"/>
            </w:pPr>
            <w:r>
              <w:rPr>
                <w:color w:val="1C3A36"/>
                <w:sz w:val="16"/>
              </w:rPr>
              <w:t>1,743</w:t>
            </w:r>
          </w:p>
        </w:tc>
        <w:tc>
          <w:tcPr>
            <w:tcW w:type="dxa" w:w="1382"/>
          </w:tcPr>
          <w:p>
            <w:pPr>
              <w:spacing w:after="20"/>
              <w:jc w:val="right"/>
            </w:pPr>
            <w:r>
              <w:rPr>
                <w:color w:val="1C3A36"/>
                <w:sz w:val="16"/>
              </w:rPr>
              <w:t>1,524</w:t>
            </w:r>
          </w:p>
        </w:tc>
        <w:tc>
          <w:tcPr>
            <w:tcW w:type="dxa" w:w="1382"/>
          </w:tcPr>
          <w:p>
            <w:pPr>
              <w:spacing w:after="20"/>
              <w:jc w:val="right"/>
            </w:pPr>
            <w:r>
              <w:rPr>
                <w:color w:val="1C3A36"/>
                <w:sz w:val="16"/>
              </w:rPr>
              <w:t>1,264</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Less 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1,205</w:t>
            </w:r>
          </w:p>
        </w:tc>
        <w:tc>
          <w:tcPr>
            <w:tcW w:type="dxa" w:w="1382"/>
          </w:tcPr>
          <w:p>
            <w:pPr>
              <w:spacing w:after="20"/>
              <w:jc w:val="right"/>
            </w:pPr>
            <w:r>
              <w:rPr>
                <w:color w:val="1C3A36"/>
                <w:sz w:val="16"/>
              </w:rPr>
              <w:t>1,620</w:t>
            </w:r>
          </w:p>
        </w:tc>
        <w:tc>
          <w:tcPr>
            <w:tcW w:type="dxa" w:w="1382"/>
          </w:tcPr>
          <w:p>
            <w:pPr>
              <w:spacing w:after="20"/>
              <w:jc w:val="right"/>
            </w:pPr>
            <w:r>
              <w:rPr>
                <w:color w:val="1C3A36"/>
                <w:sz w:val="16"/>
              </w:rPr>
              <w:t>1,437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0.9417</w:t>
            </w:r>
          </w:p>
        </w:tc>
        <w:tc>
          <w:tcPr>
            <w:tcW w:type="dxa" w:w="1382"/>
          </w:tcPr>
          <w:p>
            <w:pPr>
              <w:spacing w:after="20"/>
              <w:jc w:val="right"/>
            </w:pPr>
            <w:r>
              <w:rPr>
                <w:color w:val="1C3A36"/>
                <w:sz w:val="16"/>
              </w:rPr>
              <w:t>0.8705</w:t>
            </w:r>
          </w:p>
        </w:tc>
        <w:tc>
          <w:tcPr>
            <w:tcW w:type="dxa" w:w="1382"/>
          </w:tcPr>
          <w:p>
            <w:pPr>
              <w:spacing w:after="20"/>
              <w:jc w:val="right"/>
            </w:pPr>
            <w:r>
              <w:rPr>
                <w:color w:val="1C3A36"/>
                <w:sz w:val="16"/>
              </w:rPr>
              <w:t>0.8057</w:t>
            </w:r>
          </w:p>
        </w:tc>
        <w:tc>
          <w:tcPr>
            <w:tcW w:type="dxa" w:w="1382"/>
          </w:tcPr>
          <w:p>
            <w:pPr>
              <w:spacing w:after="20"/>
              <w:jc w:val="right"/>
            </w:pPr>
            <w:r>
              <w:rPr>
                <w:color w:val="1C3A36"/>
                <w:sz w:val="16"/>
              </w:rPr>
              <w:t>0.7469</w:t>
            </w:r>
          </w:p>
        </w:tc>
        <w:tc>
          <w:tcPr>
            <w:tcW w:type="dxa" w:w="1382"/>
          </w:tcPr>
          <w:p>
            <w:pPr>
              <w:spacing w:after="20"/>
              <w:jc w:val="right"/>
            </w:pPr>
            <w:r>
              <w:rPr>
                <w:color w:val="1C3A36"/>
                <w:sz w:val="16"/>
              </w:rPr>
              <w:t>0.6932</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923</w:t>
            </w:r>
          </w:p>
        </w:tc>
        <w:tc>
          <w:tcPr>
            <w:tcW w:type="dxa" w:w="1382"/>
            <w:shd w:val="clear" w:color="auto" w:fill="F6F1E6"/>
          </w:tcPr>
          <w:p>
            <w:pPr>
              <w:spacing w:after="20"/>
              <w:jc w:val="right"/>
            </w:pPr>
            <w:r>
              <w:rPr>
                <w:b/>
                <w:color w:val="1C3A36"/>
                <w:sz w:val="16"/>
              </w:rPr>
              <w:t>971</w:t>
            </w:r>
          </w:p>
        </w:tc>
        <w:tc>
          <w:tcPr>
            <w:tcW w:type="dxa" w:w="1382"/>
            <w:shd w:val="clear" w:color="auto" w:fill="F6F1E6"/>
          </w:tcPr>
          <w:p>
            <w:pPr>
              <w:spacing w:after="20"/>
              <w:jc w:val="right"/>
            </w:pPr>
            <w:r>
              <w:rPr>
                <w:b/>
                <w:color w:val="1C3A36"/>
                <w:sz w:val="16"/>
              </w:rPr>
              <w:t>1,210</w:t>
            </w:r>
          </w:p>
        </w:tc>
        <w:tc>
          <w:tcPr>
            <w:tcW w:type="dxa" w:w="1382"/>
            <w:shd w:val="clear" w:color="auto" w:fill="F6F1E6"/>
          </w:tcPr>
          <w:p>
            <w:pPr>
              <w:spacing w:after="20"/>
              <w:jc w:val="right"/>
            </w:pPr>
            <w:r>
              <w:rPr>
                <w:b/>
                <w:color w:val="1C3A36"/>
                <w:sz w:val="16"/>
              </w:rPr>
              <w:t>996</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two paragraphs below set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“accounting policies: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4,180</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1,056</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12,772</w:t>
            </w:r>
          </w:p>
        </w:tc>
        <w:tc>
          <w:tcPr>
            <w:tcW w:type="dxa" w:w="5040"/>
          </w:tcPr>
          <w:p>
            <w:pPr>
              <w:spacing w:after="20"/>
              <w:jc w:val="left"/>
            </w:pPr>
            <w:r>
              <w:rPr>
                <w:color w:val="1C3A36"/>
                <w:sz w:val="16"/>
              </w:rPr>
              <w:t>the terminal cash flow capitalised at 7.7% less 2% = USD 18,424 million, discounted at the same year-five factor of 0.6932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16,952</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75.3%</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17,445</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(340)</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0.45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13,106</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1.77</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6.51</w:t>
            </w:r>
          </w:p>
        </w:tc>
        <w:tc>
          <w:tcPr>
            <w:tcW w:type="dxa" w:w="5040"/>
            <w:shd w:val="clear" w:color="auto" w:fill="F6F1E6"/>
          </w:tcPr>
          <w:p>
            <w:pPr>
              <w:spacing w:after="20"/>
              <w:jc w:val="left"/>
            </w:pPr>
            <w:r>
              <w:rPr>
                <w:b/>
                <w:color w:val="1C3A36"/>
                <w:sz w:val="16"/>
              </w:rPr>
              <w:t>against a market price of AED 6.16 (+6%)</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6.87</w:t>
            </w:r>
          </w:p>
        </w:tc>
        <w:tc>
          <w:tcPr>
            <w:tcW w:type="dxa" w:w="5040"/>
            <w:shd w:val="clear" w:color="auto" w:fill="F6F1E6"/>
          </w:tcPr>
          <w:p>
            <w:pPr>
              <w:spacing w:after="20"/>
              <w:jc w:val="left"/>
            </w:pPr>
            <w:r>
              <w:rPr>
                <w:b/>
                <w:color w:val="1C3A36"/>
                <w:sz w:val="16"/>
              </w:rPr>
              <w:t>deducting USD 1,254 million, the coupon capitalised at the terminal cost of capital, instead of the USD 1,979 million carrying value. Worth AED 0.36 a share. The securities are perpetual and non-amortising, so which of the two is right depends on whether the company ever calls them; both are shown</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over its full listed history give a beta of 1.085 — 161 observations, an R-squared of 0.158, a standard error of 0.199 and a 90% interval of [0.76, 1.41].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One qualification before the explanation, because the two runs are not quite the identical regression: the published-index run pairs 161 weekly observations and the composite run pairs 163, because the index series obtained stops earlier than the exchange's own price history does. The samples differ by 2 weeks out of 161, so a small part of the gap between the two slopes is sample rather than market definition, and an earlier edition called them the same regression without saying so.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1.085</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9.34%</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8.49%</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7.73%</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4,180</w:t>
            </w:r>
          </w:p>
        </w:tc>
        <w:tc>
          <w:tcPr>
            <w:tcW w:type="dxa" w:w="2808"/>
          </w:tcPr>
          <w:p>
            <w:pPr>
              <w:spacing w:after="20"/>
              <w:jc w:val="right"/>
            </w:pPr>
            <w:r>
              <w:rPr>
                <w:color w:val="1C3A36"/>
                <w:sz w:val="17"/>
              </w:rPr>
              <w:t>4,373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12,772</w:t>
            </w:r>
          </w:p>
        </w:tc>
        <w:tc>
          <w:tcPr>
            <w:tcW w:type="dxa" w:w="2808"/>
          </w:tcPr>
          <w:p>
            <w:pPr>
              <w:spacing w:after="20"/>
              <w:jc w:val="right"/>
            </w:pPr>
            <w:r>
              <w:rPr>
                <w:color w:val="1C3A36"/>
                <w:sz w:val="17"/>
              </w:rPr>
              <w:t>18,389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75.3%</w:t>
            </w:r>
          </w:p>
        </w:tc>
        <w:tc>
          <w:tcPr>
            <w:tcW w:type="dxa" w:w="2808"/>
          </w:tcPr>
          <w:p>
            <w:pPr>
              <w:spacing w:after="20"/>
              <w:jc w:val="right"/>
            </w:pPr>
            <w:r>
              <w:rPr>
                <w:color w:val="1C3A36"/>
                <w:sz w:val="17"/>
              </w:rPr>
              <w:t>80.8%</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17,445</w:t>
            </w:r>
          </w:p>
        </w:tc>
        <w:tc>
          <w:tcPr>
            <w:tcW w:type="dxa" w:w="2808"/>
          </w:tcPr>
          <w:p>
            <w:pPr>
              <w:spacing w:after="20"/>
              <w:jc w:val="right"/>
            </w:pPr>
            <w:r>
              <w:rPr>
                <w:color w:val="1C3A36"/>
                <w:sz w:val="17"/>
              </w:rPr>
              <w:t>23,255</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13,106</w:t>
            </w:r>
          </w:p>
        </w:tc>
        <w:tc>
          <w:tcPr>
            <w:tcW w:type="dxa" w:w="2808"/>
          </w:tcPr>
          <w:p>
            <w:pPr>
              <w:spacing w:after="20"/>
              <w:jc w:val="right"/>
            </w:pPr>
            <w:r>
              <w:rPr>
                <w:color w:val="1C3A36"/>
                <w:sz w:val="17"/>
              </w:rPr>
              <w:t>18,877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6.51</w:t>
            </w:r>
          </w:p>
        </w:tc>
        <w:tc>
          <w:tcPr>
            <w:tcW w:type="dxa" w:w="2808"/>
            <w:shd w:val="clear" w:color="auto" w:fill="F6F1E6"/>
          </w:tcPr>
          <w:p>
            <w:pPr>
              <w:spacing w:after="20"/>
              <w:jc w:val="right"/>
            </w:pPr>
            <w:r>
              <w:rPr>
                <w:b/>
                <w:color w:val="1C3A36"/>
                <w:sz w:val="17"/>
              </w:rPr>
              <w:t>9.37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+6%</w:t>
            </w:r>
          </w:p>
        </w:tc>
        <w:tc>
          <w:tcPr>
            <w:tcW w:type="dxa" w:w="2808"/>
            <w:shd w:val="clear" w:color="auto" w:fill="F6F1E6"/>
          </w:tcPr>
          <w:p>
            <w:pPr>
              <w:spacing w:after="20"/>
              <w:jc w:val="right"/>
            </w:pPr>
            <w:r>
              <w:rPr>
                <w:b/>
                <w:color w:val="1C3A36"/>
                <w:sz w:val="17"/>
              </w:rPr>
              <w:t>+52%</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2.86 between the two columns is the beta, and most of it lands in the terminal value: a 148 basis point difference in the terminal cost of capital changes the capitalisation factor on a perpetuity by roughly a quarter, which is also why the terminal value falls from 81% of enterprise value to 75%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52% above the market price to 6% above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19.1%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21.8%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23.6%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9.34%,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583 million of the USD 7,428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19.1%</w:t>
            </w:r>
          </w:p>
        </w:tc>
        <w:tc>
          <w:tcPr>
            <w:tcW w:type="dxa" w:w="1354"/>
          </w:tcPr>
          <w:p>
            <w:pPr>
              <w:spacing w:after="20"/>
              <w:jc w:val="right"/>
            </w:pPr>
            <w:r>
              <w:rPr>
                <w:color w:val="1C3A36"/>
                <w:sz w:val="16"/>
              </w:rPr>
              <w:t>+9.77pp</w:t>
            </w:r>
          </w:p>
        </w:tc>
        <w:tc>
          <w:tcPr>
            <w:tcW w:type="dxa" w:w="1584"/>
          </w:tcPr>
          <w:p>
            <w:pPr>
              <w:spacing w:after="20"/>
              <w:jc w:val="right"/>
            </w:pPr>
            <w:r>
              <w:rPr>
                <w:color w:val="1C3A36"/>
                <w:sz w:val="16"/>
              </w:rPr>
              <w:t>496</w:t>
            </w:r>
          </w:p>
        </w:tc>
        <w:tc>
          <w:tcPr>
            <w:tcW w:type="dxa" w:w="1267"/>
          </w:tcPr>
          <w:p>
            <w:pPr>
              <w:spacing w:after="20"/>
              <w:jc w:val="right"/>
            </w:pPr>
            <w:r>
              <w:rPr>
                <w:color w:val="1C3A36"/>
                <w:sz w:val="16"/>
              </w:rPr>
              <w:t>0.9145</w:t>
            </w:r>
          </w:p>
        </w:tc>
        <w:tc>
          <w:tcPr>
            <w:tcW w:type="dxa" w:w="1584"/>
          </w:tcPr>
          <w:p>
            <w:pPr>
              <w:spacing w:after="20"/>
              <w:jc w:val="right"/>
            </w:pPr>
            <w:r>
              <w:rPr>
                <w:color w:val="1C3A36"/>
                <w:sz w:val="16"/>
              </w:rPr>
              <w:t>453</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5,852</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+11.07pp</w:t>
            </w:r>
          </w:p>
        </w:tc>
        <w:tc>
          <w:tcPr>
            <w:tcW w:type="dxa" w:w="1584"/>
          </w:tcPr>
          <w:p>
            <w:pPr>
              <w:spacing w:after="20"/>
              <w:jc w:val="right"/>
            </w:pPr>
            <w:r>
              <w:rPr>
                <w:color w:val="1C3A36"/>
                <w:sz w:val="16"/>
              </w:rPr>
              <w:t>648</w:t>
            </w:r>
          </w:p>
        </w:tc>
        <w:tc>
          <w:tcPr>
            <w:tcW w:type="dxa" w:w="1267"/>
          </w:tcPr>
          <w:p>
            <w:pPr>
              <w:spacing w:after="20"/>
              <w:jc w:val="right"/>
            </w:pPr>
            <w:r>
              <w:rPr>
                <w:color w:val="1C3A36"/>
                <w:sz w:val="16"/>
              </w:rPr>
              <w:t>0.8364</w:t>
            </w:r>
          </w:p>
        </w:tc>
        <w:tc>
          <w:tcPr>
            <w:tcW w:type="dxa" w:w="1584"/>
          </w:tcPr>
          <w:p>
            <w:pPr>
              <w:spacing w:after="20"/>
              <w:jc w:val="right"/>
            </w:pPr>
            <w:r>
              <w:rPr>
                <w:color w:val="1C3A36"/>
                <w:sz w:val="16"/>
              </w:rPr>
              <w:t>542</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6,903</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+8.13pp</w:t>
            </w:r>
          </w:p>
        </w:tc>
        <w:tc>
          <w:tcPr>
            <w:tcW w:type="dxa" w:w="1584"/>
          </w:tcPr>
          <w:p>
            <w:pPr>
              <w:spacing w:after="20"/>
              <w:jc w:val="right"/>
            </w:pPr>
            <w:r>
              <w:rPr>
                <w:color w:val="1C3A36"/>
                <w:sz w:val="16"/>
              </w:rPr>
              <w:t>561</w:t>
            </w:r>
          </w:p>
        </w:tc>
        <w:tc>
          <w:tcPr>
            <w:tcW w:type="dxa" w:w="1267"/>
          </w:tcPr>
          <w:p>
            <w:pPr>
              <w:spacing w:after="20"/>
              <w:jc w:val="right"/>
            </w:pPr>
            <w:r>
              <w:rPr>
                <w:color w:val="1C3A36"/>
                <w:sz w:val="16"/>
              </w:rPr>
              <w:t>0.7649</w:t>
            </w:r>
          </w:p>
        </w:tc>
        <w:tc>
          <w:tcPr>
            <w:tcW w:type="dxa" w:w="1584"/>
          </w:tcPr>
          <w:p>
            <w:pPr>
              <w:spacing w:after="20"/>
              <w:jc w:val="right"/>
            </w:pPr>
            <w:r>
              <w:rPr>
                <w:color w:val="1C3A36"/>
                <w:sz w:val="16"/>
              </w:rPr>
              <w:t>429</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7,909</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+4.57pp</w:t>
            </w:r>
          </w:p>
        </w:tc>
        <w:tc>
          <w:tcPr>
            <w:tcW w:type="dxa" w:w="1584"/>
          </w:tcPr>
          <w:p>
            <w:pPr>
              <w:spacing w:after="20"/>
              <w:jc w:val="right"/>
            </w:pPr>
            <w:r>
              <w:rPr>
                <w:color w:val="1C3A36"/>
                <w:sz w:val="16"/>
              </w:rPr>
              <w:t>361</w:t>
            </w:r>
          </w:p>
        </w:tc>
        <w:tc>
          <w:tcPr>
            <w:tcW w:type="dxa" w:w="1267"/>
          </w:tcPr>
          <w:p>
            <w:pPr>
              <w:spacing w:after="20"/>
              <w:jc w:val="right"/>
            </w:pPr>
            <w:r>
              <w:rPr>
                <w:color w:val="1C3A36"/>
                <w:sz w:val="16"/>
              </w:rPr>
              <w:t>0.6996</w:t>
            </w:r>
          </w:p>
        </w:tc>
        <w:tc>
          <w:tcPr>
            <w:tcW w:type="dxa" w:w="1584"/>
          </w:tcPr>
          <w:p>
            <w:pPr>
              <w:spacing w:after="20"/>
              <w:jc w:val="right"/>
            </w:pPr>
            <w:r>
              <w:rPr>
                <w:color w:val="1C3A36"/>
                <w:sz w:val="16"/>
              </w:rPr>
              <w:t>253</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8,728</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+1.69pp</w:t>
            </w:r>
          </w:p>
        </w:tc>
        <w:tc>
          <w:tcPr>
            <w:tcW w:type="dxa" w:w="1584"/>
          </w:tcPr>
          <w:p>
            <w:pPr>
              <w:spacing w:after="20"/>
              <w:jc w:val="right"/>
            </w:pPr>
            <w:r>
              <w:rPr>
                <w:color w:val="1C3A36"/>
                <w:sz w:val="16"/>
              </w:rPr>
              <w:t>148</w:t>
            </w:r>
          </w:p>
        </w:tc>
        <w:tc>
          <w:tcPr>
            <w:tcW w:type="dxa" w:w="1267"/>
          </w:tcPr>
          <w:p>
            <w:pPr>
              <w:spacing w:after="20"/>
              <w:jc w:val="right"/>
            </w:pPr>
            <w:r>
              <w:rPr>
                <w:color w:val="1C3A36"/>
                <w:sz w:val="16"/>
              </w:rPr>
              <w:t>0.6398</w:t>
            </w:r>
          </w:p>
        </w:tc>
        <w:tc>
          <w:tcPr>
            <w:tcW w:type="dxa" w:w="1584"/>
          </w:tcPr>
          <w:p>
            <w:pPr>
              <w:spacing w:after="20"/>
              <w:jc w:val="right"/>
            </w:pPr>
            <w:r>
              <w:rPr>
                <w:color w:val="1C3A36"/>
                <w:sz w:val="16"/>
              </w:rPr>
              <w:t>94</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1,772</w:t>
            </w:r>
          </w:p>
        </w:tc>
      </w:tr>
    </w:tbl>
    <w:p>
      <w:pPr>
        <w:spacing w:after="40"/>
      </w:pPr>
    </w:p>
    <w:p>
      <w:pPr>
        <w:spacing w:after="200" w:before="0"/>
      </w:pPr>
      <w:r>
        <w:rPr>
          <w:b w:val="0"/>
          <w:i/>
          <w:color w:val="6E7B77"/>
          <w:sz w:val="17"/>
        </w:rPr>
        <w:t>Residual income is what the ordinary shareholder earns above the 9.34%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1,772</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583</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7,428</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1.46×</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3.69</w:t>
            </w:r>
          </w:p>
        </w:tc>
      </w:tr>
      <w:tr>
        <w:trPr>
          <w:cantSplit/>
        </w:trPr>
        <w:tc>
          <w:tcPr>
            <w:tcW w:type="dxa" w:w="7056"/>
          </w:tcPr>
          <w:p>
            <w:pPr>
              <w:spacing w:after="20"/>
            </w:pPr>
            <w:r>
              <w:rPr>
                <w:color w:val="1C3A36"/>
                <w:sz w:val="17"/>
              </w:rPr>
              <w:t>Range — bear at the top of the beta's 90% interval (1.412, cost of equity 10.94%) with the return on that book scaled down; bull at the bottom of it (0.758, 7.75%) with the same scaling applied upward</w:t>
            </w:r>
          </w:p>
        </w:tc>
        <w:tc>
          <w:tcPr>
            <w:tcW w:type="dxa" w:w="3024"/>
          </w:tcPr>
          <w:p>
            <w:pPr>
              <w:spacing w:after="20"/>
              <w:jc w:val="right"/>
            </w:pPr>
            <w:r>
              <w:rPr>
                <w:color w:val="1C3A36"/>
                <w:sz w:val="17"/>
              </w:rPr>
              <w:t>2.64 – 4.97</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1.46×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2.64 takes a cost of equity of 10.94%, built on the upper end 1.412 of the beta's own 90% confidence interval, together with a proportionally lower return on that book; the bull bound of AED 4.97 takes 7.75% on the lower end 0.758 of the same interval with the same proportion applied upward. Only the cost of equity in those bounds comes from the estimate's own statistical uncertainty; the return stress beside it is a judgement, as it is in the cash-flow lens.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11.09×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1,119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11.09×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23,999</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20,220</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shd w:val="clear" w:color="auto" w:fill="F6F1E6"/>
          </w:tcPr>
          <w:p>
            <w:pPr>
              <w:spacing w:after="20"/>
            </w:pPr>
            <w:r>
              <w:rPr>
                <w:b/>
                <w:color w:val="1C3A36"/>
                <w:sz w:val="16"/>
              </w:rPr>
              <w:t>MEMORANDUM — the Shipping leg with the exposure share re-based to it</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t>10.49×</w:t>
            </w:r>
          </w:p>
        </w:tc>
        <w:tc>
          <w:tcPr>
            <w:tcW w:type="dxa" w:w="1598"/>
            <w:shd w:val="clear" w:color="auto" w:fill="F6F1E6"/>
          </w:tcPr>
          <w:p>
            <w:pPr>
              <w:spacing w:after="20"/>
              <w:jc w:val="right"/>
            </w:pPr>
            <w:r>
              <w:rPr>
                <w:b/>
                <w:color w:val="1C3A36"/>
                <w:sz w:val="16"/>
              </w:rPr>
              <w:t>23,163</w:t>
            </w:r>
          </w:p>
        </w:tc>
        <w:tc>
          <w:tcPr>
            <w:tcW w:type="dxa" w:w="3456"/>
            <w:shd w:val="clear" w:color="auto" w:fill="F6F1E6"/>
          </w:tcPr>
          <w:p>
            <w:pPr>
              <w:spacing w:after="20"/>
              <w:jc w:val="left"/>
            </w:pPr>
            <w:r>
              <w:rPr>
                <w:b/>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0.1664</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8.91</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7.80 – 12.02</w:t>
            </w:r>
          </w:p>
        </w:tc>
      </w:tr>
    </w:tbl>
    <w:p>
      <w:pPr>
        <w:spacing w:after="40"/>
      </w:pPr>
    </w:p>
    <w:p>
      <w:pPr>
        <w:spacing w:after="200" w:before="0"/>
      </w:pPr>
      <w:r>
        <w:rPr>
          <w:b w:val="0"/>
          <w:i/>
          <w:color w:val="6E7B77"/>
          <w:sz w:val="17"/>
        </w:rPr>
        <w:t>The two constructions disagree by a wide margin — AED 10.72 against AED 7.11 — and the gap is depreciation and the perpetual coupon. This is a young fleet: depreciation runs from 26.3% of earnings before interest, tax, depreciation and amortisation in the lightest forecast year to 35.6%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the lens carries 20% weight accordingly.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4.03</w:t>
            </w:r>
          </w:p>
        </w:tc>
        <w:tc>
          <w:tcPr>
            <w:tcW w:type="dxa" w:w="1238"/>
          </w:tcPr>
          <w:p>
            <w:pPr>
              <w:spacing w:after="20"/>
              <w:jc w:val="right"/>
            </w:pPr>
            <w:r>
              <w:rPr>
                <w:color w:val="1C3A36"/>
                <w:sz w:val="17"/>
              </w:rPr>
              <w:t>6.51</w:t>
            </w:r>
          </w:p>
        </w:tc>
        <w:tc>
          <w:tcPr>
            <w:tcW w:type="dxa" w:w="1238"/>
          </w:tcPr>
          <w:p>
            <w:pPr>
              <w:spacing w:after="20"/>
              <w:jc w:val="right"/>
            </w:pPr>
            <w:r>
              <w:rPr>
                <w:color w:val="1C3A36"/>
                <w:sz w:val="17"/>
              </w:rPr>
              <w:t>10.13</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2.602</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2.159</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7.80</w:t>
            </w:r>
          </w:p>
        </w:tc>
        <w:tc>
          <w:tcPr>
            <w:tcW w:type="dxa" w:w="1238"/>
          </w:tcPr>
          <w:p>
            <w:pPr>
              <w:spacing w:after="20"/>
              <w:jc w:val="right"/>
            </w:pPr>
            <w:r>
              <w:rPr>
                <w:color w:val="1C3A36"/>
                <w:sz w:val="17"/>
              </w:rPr>
              <w:t>8.91</w:t>
            </w:r>
          </w:p>
        </w:tc>
        <w:tc>
          <w:tcPr>
            <w:tcW w:type="dxa" w:w="1238"/>
          </w:tcPr>
          <w:p>
            <w:pPr>
              <w:spacing w:after="20"/>
              <w:jc w:val="right"/>
            </w:pPr>
            <w:r>
              <w:rPr>
                <w:color w:val="1C3A36"/>
                <w:sz w:val="17"/>
              </w:rPr>
              <w:t>12.02</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1.783</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2.64</w:t>
            </w:r>
          </w:p>
        </w:tc>
        <w:tc>
          <w:tcPr>
            <w:tcW w:type="dxa" w:w="1238"/>
          </w:tcPr>
          <w:p>
            <w:pPr>
              <w:spacing w:after="20"/>
              <w:jc w:val="right"/>
            </w:pPr>
            <w:r>
              <w:rPr>
                <w:color w:val="1C3A36"/>
                <w:sz w:val="17"/>
              </w:rPr>
              <w:t>3.69</w:t>
            </w:r>
          </w:p>
        </w:tc>
        <w:tc>
          <w:tcPr>
            <w:tcW w:type="dxa" w:w="1238"/>
          </w:tcPr>
          <w:p>
            <w:pPr>
              <w:spacing w:after="20"/>
              <w:jc w:val="right"/>
            </w:pPr>
            <w:r>
              <w:rPr>
                <w:color w:val="1C3A36"/>
                <w:sz w:val="17"/>
              </w:rPr>
              <w:t>4.97</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0.553</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5.30</w:t>
            </w:r>
          </w:p>
        </w:tc>
        <w:tc>
          <w:tcPr>
            <w:tcW w:type="dxa" w:w="1238"/>
            <w:shd w:val="clear" w:color="auto" w:fill="F6F1E6"/>
          </w:tcPr>
          <w:p>
            <w:pPr>
              <w:spacing w:after="20"/>
              <w:jc w:val="right"/>
            </w:pPr>
            <w:r>
              <w:rPr>
                <w:b/>
                <w:color w:val="1C3A36"/>
                <w:sz w:val="17"/>
              </w:rPr>
              <w:t>7.10</w:t>
            </w:r>
          </w:p>
        </w:tc>
        <w:tc>
          <w:tcPr>
            <w:tcW w:type="dxa" w:w="1238"/>
            <w:shd w:val="clear" w:color="auto" w:fill="F6F1E6"/>
          </w:tcPr>
          <w:p>
            <w:pPr>
              <w:spacing w:after="20"/>
              <w:jc w:val="right"/>
            </w:pPr>
            <w:r>
              <w:rPr>
                <w:b/>
                <w:color w:val="1C3A36"/>
                <w:sz w:val="17"/>
              </w:rPr>
              <w:t>9.89</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7.097</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9.37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3.748</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8.24</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8.243</w:t>
            </w:r>
          </w:p>
        </w:tc>
      </w:tr>
    </w:tbl>
    <w:p>
      <w:pPr>
        <w:spacing w:after="40"/>
      </w:pPr>
    </w:p>
    <w:p>
      <w:pPr>
        <w:spacing w:after="200" w:before="0"/>
      </w:pPr>
      <w:r>
        <w:rPr>
          <w:b w:val="0"/>
          <w:i/>
          <w:color w:val="6E7B77"/>
          <w:sz w:val="17"/>
        </w:rPr>
        <w:t>Contributions are shown to three decimals so that the four of them add to the weighted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[0.758, 1.412].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8.91, the furthest above the market of the four. The two that state a cost of equity rather than importing one land lower: the cash-flow model at AED 6.51, close to the screen, and the book lens at AED 3.69,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1.085.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weighted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7.10, 15% above the market price. Measuring the market as an equal-weight composite instead lifts that to AED 8.24, 34% above the market price. Neither figure supports a claim that this share is materially mispriced: on the adopted construction the centre of the evidence sits about 15%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2,611</w:t>
            </w:r>
          </w:p>
        </w:tc>
        <w:tc>
          <w:tcPr>
            <w:tcW w:type="dxa" w:w="1382"/>
          </w:tcPr>
          <w:p>
            <w:pPr>
              <w:spacing w:after="20"/>
              <w:jc w:val="right"/>
            </w:pPr>
            <w:r>
              <w:rPr>
                <w:color w:val="1C3A36"/>
                <w:sz w:val="16"/>
              </w:rPr>
              <w:t>3,155</w:t>
            </w:r>
          </w:p>
        </w:tc>
        <w:tc>
          <w:tcPr>
            <w:tcW w:type="dxa" w:w="1382"/>
          </w:tcPr>
          <w:p>
            <w:pPr>
              <w:spacing w:after="20"/>
              <w:jc w:val="right"/>
            </w:pPr>
            <w:r>
              <w:rPr>
                <w:color w:val="1C3A36"/>
                <w:sz w:val="16"/>
              </w:rPr>
              <w:t>3,026</w:t>
            </w:r>
          </w:p>
        </w:tc>
        <w:tc>
          <w:tcPr>
            <w:tcW w:type="dxa" w:w="1382"/>
          </w:tcPr>
          <w:p>
            <w:pPr>
              <w:spacing w:after="20"/>
              <w:jc w:val="right"/>
            </w:pPr>
            <w:r>
              <w:rPr>
                <w:color w:val="1C3A36"/>
                <w:sz w:val="16"/>
              </w:rPr>
              <w:t>2,651</w:t>
            </w:r>
          </w:p>
        </w:tc>
        <w:tc>
          <w:tcPr>
            <w:tcW w:type="dxa" w:w="1382"/>
          </w:tcPr>
          <w:p>
            <w:pPr>
              <w:spacing w:after="20"/>
              <w:jc w:val="right"/>
            </w:pPr>
            <w:r>
              <w:rPr>
                <w:color w:val="1C3A36"/>
                <w:sz w:val="16"/>
              </w:rPr>
              <w:t>2,189</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5,003</w:t>
            </w:r>
          </w:p>
        </w:tc>
        <w:tc>
          <w:tcPr>
            <w:tcW w:type="dxa" w:w="1382"/>
            <w:shd w:val="clear" w:color="auto" w:fill="F6F1E6"/>
          </w:tcPr>
          <w:p>
            <w:pPr>
              <w:spacing w:after="20"/>
              <w:jc w:val="right"/>
            </w:pPr>
            <w:r>
              <w:rPr>
                <w:b/>
                <w:color w:val="1C3A36"/>
                <w:sz w:val="16"/>
              </w:rPr>
              <w:t>5,719</w:t>
            </w:r>
          </w:p>
        </w:tc>
        <w:tc>
          <w:tcPr>
            <w:tcW w:type="dxa" w:w="1382"/>
            <w:shd w:val="clear" w:color="auto" w:fill="F6F1E6"/>
          </w:tcPr>
          <w:p>
            <w:pPr>
              <w:spacing w:after="20"/>
              <w:jc w:val="right"/>
            </w:pPr>
            <w:r>
              <w:rPr>
                <w:b/>
                <w:color w:val="1C3A36"/>
                <w:sz w:val="16"/>
              </w:rPr>
              <w:t>5,741</w:t>
            </w:r>
          </w:p>
        </w:tc>
        <w:tc>
          <w:tcPr>
            <w:tcW w:type="dxa" w:w="1382"/>
            <w:shd w:val="clear" w:color="auto" w:fill="F6F1E6"/>
          </w:tcPr>
          <w:p>
            <w:pPr>
              <w:spacing w:after="20"/>
              <w:jc w:val="right"/>
            </w:pPr>
            <w:r>
              <w:rPr>
                <w:b/>
                <w:color w:val="1C3A36"/>
                <w:sz w:val="16"/>
              </w:rPr>
              <w:t>5,497</w:t>
            </w:r>
          </w:p>
        </w:tc>
        <w:tc>
          <w:tcPr>
            <w:tcW w:type="dxa" w:w="1382"/>
            <w:shd w:val="clear" w:color="auto" w:fill="F6F1E6"/>
          </w:tcPr>
          <w:p>
            <w:pPr>
              <w:spacing w:after="20"/>
              <w:jc w:val="right"/>
            </w:pPr>
            <w:r>
              <w:rPr>
                <w:b/>
                <w:color w:val="1C3A36"/>
                <w:sz w:val="16"/>
              </w:rPr>
              <w:t>5,171</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2,506</w:t>
            </w:r>
          </w:p>
        </w:tc>
        <w:tc>
          <w:tcPr>
            <w:tcW w:type="dxa" w:w="1382"/>
            <w:shd w:val="clear" w:color="auto" w:fill="F6F1E6"/>
          </w:tcPr>
          <w:p>
            <w:pPr>
              <w:spacing w:after="20"/>
              <w:jc w:val="right"/>
            </w:pPr>
            <w:r>
              <w:rPr>
                <w:b/>
                <w:color w:val="1C3A36"/>
                <w:sz w:val="16"/>
              </w:rPr>
              <w:t>2,311</w:t>
            </w:r>
          </w:p>
        </w:tc>
        <w:tc>
          <w:tcPr>
            <w:tcW w:type="dxa" w:w="1382"/>
            <w:shd w:val="clear" w:color="auto" w:fill="F6F1E6"/>
          </w:tcPr>
          <w:p>
            <w:pPr>
              <w:spacing w:after="20"/>
              <w:jc w:val="right"/>
            </w:pPr>
            <w:r>
              <w:rPr>
                <w:b/>
                <w:color w:val="1C3A36"/>
                <w:sz w:val="16"/>
              </w:rPr>
              <w:t>2,057</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tcPr>
          <w:p>
            <w:pPr>
              <w:spacing w:after="20"/>
              <w:jc w:val="left"/>
            </w:pPr>
            <w:r>
              <w:rPr>
                <w:color w:val="1C3A36"/>
                <w:sz w:val="16"/>
              </w:rPr>
              <w:t>Sum of the three units — earnings</w:t>
            </w:r>
          </w:p>
        </w:tc>
        <w:tc>
          <w:tcPr>
            <w:tcW w:type="dxa" w:w="1872"/>
          </w:tcPr>
          <w:p>
            <w:pPr>
              <w:spacing w:after="20"/>
              <w:jc w:val="right"/>
            </w:pPr>
            <w:r>
              <w:rPr>
                <w:color w:val="1C3A36"/>
                <w:sz w:val="16"/>
              </w:rPr>
              <w:t>1,508</w:t>
            </w:r>
          </w:p>
        </w:tc>
        <w:tc>
          <w:tcPr>
            <w:tcW w:type="dxa" w:w="1584"/>
          </w:tcPr>
          <w:p>
            <w:pPr>
              <w:spacing w:after="20"/>
              <w:jc w:val="right"/>
            </w:pPr>
            <w:r>
              <w:rPr>
                <w:color w:val="1C3A36"/>
                <w:sz w:val="16"/>
              </w:rPr>
            </w:r>
          </w:p>
        </w:tc>
        <w:tc>
          <w:tcPr>
            <w:tcW w:type="dxa" w:w="2160"/>
          </w:tcPr>
          <w:p>
            <w:pPr>
              <w:spacing w:after="20"/>
              <w:jc w:val="right"/>
            </w:pPr>
            <w:r>
              <w:rPr>
                <w:color w:val="1C3A36"/>
                <w:sz w:val="16"/>
              </w:rPr>
              <w:t>1,627</w:t>
            </w:r>
          </w:p>
        </w:tc>
      </w:tr>
      <w:tr>
        <w:trPr>
          <w:cantSplit/>
        </w:trPr>
        <w:tc>
          <w:tcPr>
            <w:tcW w:type="dxa" w:w="4464"/>
            <w:shd w:val="clear" w:color="auto" w:fill="F6F1E6"/>
          </w:tcPr>
          <w:p>
            <w:pPr>
              <w:spacing w:after="20"/>
              <w:jc w:val="left"/>
            </w:pPr>
            <w:r>
              <w:rPr>
                <w:b/>
                <w:color w:val="1C3A36"/>
                <w:sz w:val="16"/>
              </w:rPr>
              <w:t>Group — earnings, on the group band and the company's own reported measure</w:t>
            </w:r>
          </w:p>
        </w:tc>
        <w:tc>
          <w:tcPr>
            <w:tcW w:type="dxa" w:w="1872"/>
            <w:shd w:val="clear" w:color="auto" w:fill="F6F1E6"/>
          </w:tcPr>
          <w:p>
            <w:pPr>
              <w:spacing w:after="20"/>
              <w:jc w:val="right"/>
            </w:pPr>
            <w:r>
              <w:rPr>
                <w:b/>
                <w:color w:val="1C3A36"/>
                <w:sz w:val="16"/>
              </w:rPr>
              <w:t>1,515</w:t>
            </w:r>
          </w:p>
        </w:tc>
        <w:tc>
          <w:tcPr>
            <w:tcW w:type="dxa" w:w="1584"/>
            <w:shd w:val="clear" w:color="auto" w:fill="F6F1E6"/>
          </w:tcPr>
          <w:p>
            <w:pPr>
              <w:spacing w:after="20"/>
              <w:jc w:val="right"/>
            </w:pPr>
            <w:r>
              <w:rPr>
                <w:b/>
                <w:color w:val="1C3A36"/>
                <w:sz w:val="16"/>
              </w:rPr>
              <w:t>+6.5%</w:t>
            </w:r>
          </w:p>
        </w:tc>
        <w:tc>
          <w:tcPr>
            <w:tcW w:type="dxa" w:w="2160"/>
            <w:shd w:val="clear" w:color="auto" w:fill="F6F1E6"/>
          </w:tcPr>
          <w:p>
            <w:pPr>
              <w:spacing w:after="20"/>
              <w:jc w:val="right"/>
            </w:pPr>
            <w:r>
              <w:rPr>
                <w:b/>
                <w:color w:val="1C3A36"/>
                <w:sz w:val="16"/>
              </w:rPr>
              <w:t>1,613</w:t>
            </w:r>
          </w:p>
        </w:tc>
      </w:tr>
      <w:tr>
        <w:trPr>
          <w:cantSplit/>
        </w:trPr>
        <w:tc>
          <w:tcPr>
            <w:tcW w:type="dxa" w:w="4464"/>
          </w:tcPr>
          <w:p>
            <w:pPr>
              <w:spacing w:after="20"/>
              <w:jc w:val="left"/>
            </w:pPr>
            <w:r>
              <w:rPr>
                <w:color w:val="1C3A36"/>
                <w:sz w:val="16"/>
              </w:rPr>
              <w:t>Difference — the group band against the three unit bands</w:t>
            </w:r>
          </w:p>
        </w:tc>
        <w:tc>
          <w:tcPr>
            <w:tcW w:type="dxa" w:w="1872"/>
          </w:tcPr>
          <w:p>
            <w:pPr>
              <w:spacing w:after="20"/>
              <w:jc w:val="right"/>
            </w:pPr>
            <w:r>
              <w:rPr>
                <w:color w:val="1C3A36"/>
                <w:sz w:val="16"/>
              </w:rPr>
            </w:r>
          </w:p>
        </w:tc>
        <w:tc>
          <w:tcPr>
            <w:tcW w:type="dxa" w:w="1584"/>
          </w:tcPr>
          <w:p>
            <w:pPr>
              <w:spacing w:after="20"/>
              <w:jc w:val="right"/>
            </w:pPr>
            <w:r>
              <w:rPr>
                <w:color w:val="1C3A36"/>
                <w:sz w:val="16"/>
              </w:rPr>
            </w:r>
          </w:p>
        </w:tc>
        <w:tc>
          <w:tcPr>
            <w:tcW w:type="dxa" w:w="2160"/>
          </w:tcPr>
          <w:p>
            <w:pPr>
              <w:spacing w:after="20"/>
              <w:jc w:val="right"/>
            </w:pPr>
            <w:r>
              <w:rPr>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2,611</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8.06 a share against the base case's AED 6.51.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2.08 a share — and that range is wide enough to carry fair value across the market price, which it reaches between the 90% and 100% anchors. Widening the beta across the 0.705-to-1.412 range tested in section 1.9 moves it by AED 4.37, which is 2.1 times as much and remains the widest single sensitivity in the study. But the two are not comparable as open questions. The beta is measured, with a 90% interval of [0.76, 1.41]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1.085</w:t>
            </w:r>
          </w:p>
        </w:tc>
        <w:tc>
          <w:tcPr>
            <w:tcW w:type="dxa" w:w="1037"/>
          </w:tcPr>
          <w:p>
            <w:pPr>
              <w:spacing w:after="20"/>
              <w:jc w:val="right"/>
            </w:pPr>
            <w:r>
              <w:rPr>
                <w:color w:val="1C3A36"/>
                <w:sz w:val="16"/>
              </w:rPr>
              <w:t>1.085</w:t>
            </w:r>
          </w:p>
        </w:tc>
        <w:tc>
          <w:tcPr>
            <w:tcW w:type="dxa" w:w="5371"/>
          </w:tcPr>
          <w:p>
            <w:pPr>
              <w:spacing w:after="20"/>
              <w:jc w:val="left"/>
            </w:pPr>
            <w:r>
              <w:rPr>
                <w:color w:val="1C3A36"/>
                <w:sz w:val="16"/>
              </w:rPr>
              <w:t>own-stock weekly regression against the FTSE ADX General Index over the full listed history: n = 161, R-squared 0.158, standard error 0.199, 90% interval [0.76, 1.41].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9.34%</w:t>
            </w:r>
          </w:p>
        </w:tc>
        <w:tc>
          <w:tcPr>
            <w:tcW w:type="dxa" w:w="1037"/>
            <w:shd w:val="clear" w:color="auto" w:fill="F6F1E6"/>
          </w:tcPr>
          <w:p>
            <w:pPr>
              <w:spacing w:after="20"/>
              <w:jc w:val="right"/>
            </w:pPr>
            <w:r>
              <w:rPr>
                <w:b/>
                <w:color w:val="1C3A36"/>
                <w:sz w:val="16"/>
              </w:rPr>
              <w:t>8.53%</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lead-lag sum beta of 1.164, 9.73%</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9.01% to 8.49% and the terminal rate from 8.21% to 7.73%</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8.49%</w:t>
            </w:r>
          </w:p>
        </w:tc>
        <w:tc>
          <w:tcPr>
            <w:tcW w:type="dxa" w:w="1037"/>
          </w:tcPr>
          <w:p>
            <w:pPr>
              <w:spacing w:after="20"/>
              <w:jc w:val="right"/>
            </w:pPr>
            <w:r>
              <w:rPr>
                <w:color w:val="1C3A36"/>
                <w:sz w:val="16"/>
              </w:rPr>
              <w:t>7.73%</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8.34% · 8.18% · 8.03% · 7.88% · 7.73%</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This study regresses the share's own weekly returns on the FTSE ADX General Index — the published, capitalisation-weighted index of the exchange the share is listed on. The index series runs from 2011-01-02 to 2026-07-24 across 3,883 sessions and was screened against the exchange's own trading calendar before use.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w:t>
            </w:r>
          </w:p>
        </w:tc>
        <w:tc>
          <w:tcPr>
            <w:tcW w:type="dxa" w:w="6019"/>
          </w:tcPr>
          <w:p>
            <w:pPr>
              <w:spacing w:after="20"/>
              <w:jc w:val="left"/>
            </w:pPr>
            <w:r>
              <w:rPr>
                <w:color w:val="1C3A36"/>
                <w:sz w:val="16"/>
              </w:rPr>
              <w:t>The published capitalisation-weighted index of the exchange the share is listed on — the local index the beta rule asks for.</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161</w:t>
            </w:r>
          </w:p>
        </w:tc>
        <w:tc>
          <w:tcPr>
            <w:tcW w:type="dxa" w:w="6019"/>
          </w:tcPr>
          <w:p>
            <w:pPr>
              <w:spacing w:after="20"/>
              <w:jc w:val="left"/>
            </w:pPr>
            <w:r>
              <w:rPr>
                <w:color w:val="1C3A36"/>
                <w:sz w:val="16"/>
              </w:rPr>
              <w:t>weekly returns over the share's full listed history of 3.18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1.085</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0.199</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0.158</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0.758 to 1.412</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w:t>
            </w:r>
          </w:p>
        </w:tc>
      </w:tr>
      <w:tr>
        <w:trPr>
          <w:cantSplit/>
        </w:trPr>
        <w:tc>
          <w:tcPr>
            <w:tcW w:type="dxa" w:w="2477"/>
          </w:tcPr>
          <w:p>
            <w:pPr>
              <w:spacing w:after="20"/>
            </w:pPr>
            <w:r>
              <w:rPr>
                <w:color w:val="1C3A36"/>
                <w:sz w:val="16"/>
              </w:rPr>
              <w:t>Lead-lag sum beta</w:t>
            </w:r>
          </w:p>
        </w:tc>
        <w:tc>
          <w:tcPr>
            <w:tcW w:type="dxa" w:w="1584"/>
          </w:tcPr>
          <w:p>
            <w:pPr>
              <w:spacing w:after="20"/>
              <w:jc w:val="left"/>
            </w:pPr>
            <w:r>
              <w:rPr>
                <w:color w:val="1C3A36"/>
                <w:sz w:val="16"/>
              </w:rPr>
              <w:t>1.164</w:t>
            </w:r>
          </w:p>
        </w:tc>
        <w:tc>
          <w:tcPr>
            <w:tcW w:type="dxa" w:w="6019"/>
          </w:tcPr>
          <w:p>
            <w:pPr>
              <w:spacing w:after="20"/>
              <w:jc w:val="left"/>
            </w:pPr>
            <w:r>
              <w:rPr>
                <w:color w:val="1C3A36"/>
                <w:sz w:val="16"/>
              </w:rPr>
              <w:t>one lead and two lags, which recovers co-movement booked late because the share does not trade on every session. It is +0.079 against the adopted figure, so the correction points slightly higher rather than lower</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0.663</w:t>
            </w:r>
          </w:p>
        </w:tc>
        <w:tc>
          <w:tcPr>
            <w:tcW w:type="dxa" w:w="6019"/>
          </w:tcPr>
          <w:p>
            <w:pPr>
              <w:spacing w:after="20"/>
              <w:jc w:val="left"/>
            </w:pPr>
            <w:r>
              <w:rPr>
                <w:color w:val="1C3A36"/>
                <w:sz w:val="16"/>
              </w:rPr>
              <w:t>ADX + DFM equal-weight composite; disclosed, not adopted. R-squared 0.168 across 18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supplied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0.380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13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1.085</w:t>
            </w:r>
          </w:p>
        </w:tc>
        <w:tc>
          <w:tcPr>
            <w:tcW w:type="dxa" w:w="2664"/>
          </w:tcPr>
          <w:p>
            <w:pPr>
              <w:spacing w:after="20"/>
            </w:pPr>
            <w:r>
              <w:rPr>
                <w:color w:val="1C3A36"/>
                <w:sz w:val="15"/>
              </w:rPr>
              <w:t>The same regression against an equal-weight composite of the same exchange's names, giving 0.705 — cost of equity 7.49% instead of 9.34%</w:t>
            </w:r>
          </w:p>
        </w:tc>
        <w:tc>
          <w:tcPr>
            <w:tcW w:type="dxa" w:w="1843"/>
          </w:tcPr>
          <w:p>
            <w:pPr>
              <w:spacing w:after="20"/>
            </w:pPr>
            <w:r>
              <w:rPr>
                <w:color w:val="1C3A36"/>
                <w:sz w:val="15"/>
              </w:rPr>
              <w:t>AED 9.37 against 6.51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6.87, +0.36 against 6.51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3.25% long-run anchor used</w:t>
            </w:r>
          </w:p>
        </w:tc>
        <w:tc>
          <w:tcPr>
            <w:tcW w:type="dxa" w:w="1843"/>
          </w:tcPr>
          <w:p>
            <w:pPr>
              <w:spacing w:after="20"/>
            </w:pPr>
            <w:r>
              <w:rPr>
                <w:color w:val="1C3A36"/>
                <w:sz w:val="15"/>
              </w:rPr>
              <w:t>raises the terminal risk-free rate by 81 basis points and the value with it. It has no row of its own in the grid overleaf, so the closest read-across is the beta: a step of 0.165 in the beta moves the cost of equity by about the same amount and is worth AED 0.83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5.28 against 6.51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1.085 and 1.250 rows, and in the rate-anchor range between the 90% and 100%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1.085</w:t>
            </w:r>
          </w:p>
        </w:tc>
        <w:tc>
          <w:tcPr>
            <w:tcW w:type="dxa" w:w="1555"/>
            <w:shd w:val="clear" w:color="auto" w:fill="EAF0EE"/>
          </w:tcPr>
          <w:p>
            <w:pPr>
              <w:spacing w:after="20"/>
            </w:pPr>
            <w:r>
              <w:rPr>
                <w:b/>
                <w:color w:val="1C3A36"/>
                <w:sz w:val="16"/>
              </w:rPr>
              <w:t>1.250</w:t>
            </w:r>
          </w:p>
        </w:tc>
        <w:tc>
          <w:tcPr>
            <w:tcW w:type="dxa" w:w="1555"/>
            <w:shd w:val="clear" w:color="auto" w:fill="EAF0EE"/>
          </w:tcPr>
          <w:p>
            <w:pPr>
              <w:spacing w:after="20"/>
            </w:pPr>
            <w:r>
              <w:rPr>
                <w:b/>
                <w:color w:val="1C3A36"/>
                <w:sz w:val="16"/>
              </w:rPr>
              <w:t>1.412</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8.37</w:t>
            </w:r>
          </w:p>
        </w:tc>
        <w:tc>
          <w:tcPr>
            <w:tcW w:type="dxa" w:w="1555"/>
          </w:tcPr>
          <w:p>
            <w:pPr>
              <w:spacing w:after="20"/>
              <w:jc w:val="right"/>
            </w:pPr>
            <w:r>
              <w:rPr>
                <w:color w:val="1C3A36"/>
                <w:sz w:val="16"/>
              </w:rPr>
              <w:t>7.07</w:t>
            </w:r>
          </w:p>
        </w:tc>
        <w:tc>
          <w:tcPr>
            <w:tcW w:type="dxa" w:w="1555"/>
          </w:tcPr>
          <w:p>
            <w:pPr>
              <w:spacing w:after="20"/>
              <w:jc w:val="right"/>
            </w:pPr>
            <w:r>
              <w:rPr>
                <w:color w:val="1C3A36"/>
                <w:sz w:val="16"/>
              </w:rPr>
              <w:t>6.10</w:t>
            </w:r>
          </w:p>
        </w:tc>
        <w:tc>
          <w:tcPr>
            <w:tcW w:type="dxa" w:w="1555"/>
          </w:tcPr>
          <w:p>
            <w:pPr>
              <w:spacing w:after="20"/>
              <w:jc w:val="right"/>
            </w:pPr>
            <w:r>
              <w:rPr>
                <w:color w:val="1C3A36"/>
                <w:sz w:val="16"/>
              </w:rPr>
              <w:t>5.40</w:t>
            </w:r>
          </w:p>
        </w:tc>
        <w:tc>
          <w:tcPr>
            <w:tcW w:type="dxa" w:w="1555"/>
          </w:tcPr>
          <w:p>
            <w:pPr>
              <w:spacing w:after="20"/>
              <w:jc w:val="right"/>
            </w:pPr>
            <w:r>
              <w:rPr>
                <w:color w:val="1C3A36"/>
                <w:sz w:val="16"/>
              </w:rPr>
              <w:t>4.82</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8.82</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6.29</w:t>
            </w:r>
          </w:p>
        </w:tc>
        <w:tc>
          <w:tcPr>
            <w:tcW w:type="dxa" w:w="1555"/>
          </w:tcPr>
          <w:p>
            <w:pPr>
              <w:spacing w:after="20"/>
              <w:jc w:val="right"/>
            </w:pPr>
            <w:r>
              <w:rPr>
                <w:color w:val="1C3A36"/>
                <w:sz w:val="16"/>
              </w:rPr>
              <w:t>5.53</w:t>
            </w:r>
          </w:p>
        </w:tc>
        <w:tc>
          <w:tcPr>
            <w:tcW w:type="dxa" w:w="1555"/>
          </w:tcPr>
          <w:p>
            <w:pPr>
              <w:spacing w:after="20"/>
              <w:jc w:val="right"/>
            </w:pPr>
            <w:r>
              <w:rPr>
                <w:color w:val="1C3A36"/>
                <w:sz w:val="16"/>
              </w:rPr>
              <w:t>4.91</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9.37</w:t>
            </w:r>
          </w:p>
        </w:tc>
        <w:tc>
          <w:tcPr>
            <w:tcW w:type="dxa" w:w="1555"/>
          </w:tcPr>
          <w:p>
            <w:pPr>
              <w:spacing w:after="20"/>
              <w:jc w:val="right"/>
            </w:pPr>
            <w:r>
              <w:rPr>
                <w:color w:val="1C3A36"/>
                <w:sz w:val="16"/>
              </w:rPr>
              <w:t>7.69</w:t>
            </w:r>
          </w:p>
        </w:tc>
        <w:tc>
          <w:tcPr>
            <w:tcW w:type="dxa" w:w="1555"/>
          </w:tcPr>
          <w:p>
            <w:pPr>
              <w:spacing w:after="20"/>
              <w:jc w:val="right"/>
            </w:pPr>
            <w:r>
              <w:rPr>
                <w:color w:val="1C3A36"/>
                <w:sz w:val="16"/>
              </w:rPr>
              <w:t>6.51</w:t>
            </w:r>
          </w:p>
        </w:tc>
        <w:tc>
          <w:tcPr>
            <w:tcW w:type="dxa" w:w="1555"/>
          </w:tcPr>
          <w:p>
            <w:pPr>
              <w:spacing w:after="20"/>
              <w:jc w:val="right"/>
            </w:pPr>
            <w:r>
              <w:rPr>
                <w:color w:val="1C3A36"/>
                <w:sz w:val="16"/>
              </w:rPr>
              <w:t>5.67</w:t>
            </w:r>
          </w:p>
        </w:tc>
        <w:tc>
          <w:tcPr>
            <w:tcW w:type="dxa" w:w="1555"/>
          </w:tcPr>
          <w:p>
            <w:pPr>
              <w:spacing w:after="20"/>
              <w:jc w:val="right"/>
            </w:pPr>
            <w:r>
              <w:rPr>
                <w:color w:val="1C3A36"/>
                <w:sz w:val="16"/>
              </w:rPr>
              <w:t>5.00</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10.06</w:t>
            </w:r>
          </w:p>
        </w:tc>
        <w:tc>
          <w:tcPr>
            <w:tcW w:type="dxa" w:w="1555"/>
          </w:tcPr>
          <w:p>
            <w:pPr>
              <w:spacing w:after="20"/>
              <w:jc w:val="right"/>
            </w:pPr>
            <w:r>
              <w:rPr>
                <w:color w:val="1C3A36"/>
                <w:sz w:val="16"/>
              </w:rPr>
              <w:t>8.10</w:t>
            </w:r>
          </w:p>
        </w:tc>
        <w:tc>
          <w:tcPr>
            <w:tcW w:type="dxa" w:w="1555"/>
          </w:tcPr>
          <w:p>
            <w:pPr>
              <w:spacing w:after="20"/>
              <w:jc w:val="right"/>
            </w:pPr>
            <w:r>
              <w:rPr>
                <w:color w:val="1C3A36"/>
                <w:sz w:val="16"/>
              </w:rPr>
              <w:t>6.76</w:t>
            </w:r>
          </w:p>
        </w:tc>
        <w:tc>
          <w:tcPr>
            <w:tcW w:type="dxa" w:w="1555"/>
          </w:tcPr>
          <w:p>
            <w:pPr>
              <w:spacing w:after="20"/>
              <w:jc w:val="right"/>
            </w:pPr>
            <w:r>
              <w:rPr>
                <w:color w:val="1C3A36"/>
                <w:sz w:val="16"/>
              </w:rPr>
              <w:t>5.84</w:t>
            </w:r>
          </w:p>
        </w:tc>
        <w:tc>
          <w:tcPr>
            <w:tcW w:type="dxa" w:w="1555"/>
          </w:tcPr>
          <w:p>
            <w:pPr>
              <w:spacing w:after="20"/>
              <w:jc w:val="right"/>
            </w:pPr>
            <w:r>
              <w:rPr>
                <w:color w:val="1C3A36"/>
                <w:sz w:val="16"/>
              </w:rPr>
              <w:t>5.11</w:t>
            </w:r>
          </w:p>
        </w:tc>
      </w:tr>
    </w:tbl>
    <w:p>
      <w:pPr>
        <w:spacing w:after="40"/>
      </w:pPr>
    </w:p>
    <w:p>
      <w:pPr>
        <w:spacing w:after="200" w:before="0"/>
      </w:pPr>
      <w:r>
        <w:rPr>
          <w:b w:val="0"/>
          <w:i/>
          <w:color w:val="6E7B77"/>
          <w:sz w:val="17"/>
        </w:rPr>
        <w:t>Fair value in AED per share. The adopted construction is the 1.085 column at 2.0% growth, and its cell is the published cash-flow base of AED 6.51 exactly. The bear case is struck at 1.412, the top of the regression's own 90% confidence interval and the right-hand column here; the bull case is struck at the bottom of that interval, 0.758, which falls between the first and second columns. The equal-weight composite alternative is the 0.705 column — and note where that sits: BELOW the bottom of the interval, so the composite reading is a lower discount rate than this study's own bull case takes. Beta moves the answer across the whole width of this table; growth moves it a fraction of that. Read the beta columns against the published bear and bull of AED 4.03 and 10.13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1.412</w:t>
            </w:r>
          </w:p>
        </w:tc>
        <w:tc>
          <w:tcPr>
            <w:tcW w:type="dxa" w:w="2304"/>
          </w:tcPr>
          <w:p>
            <w:pPr>
              <w:spacing w:after="20"/>
              <w:jc w:val="left"/>
            </w:pPr>
            <w:r>
              <w:rPr>
                <w:color w:val="1C3A36"/>
                <w:sz w:val="16"/>
              </w:rPr>
              <w:t>5.00 – 9.37</w:t>
            </w:r>
          </w:p>
        </w:tc>
        <w:tc>
          <w:tcPr>
            <w:tcW w:type="dxa" w:w="1944"/>
          </w:tcPr>
          <w:p>
            <w:pPr>
              <w:spacing w:after="20"/>
              <w:jc w:val="right"/>
            </w:pPr>
            <w:r>
              <w:rPr>
                <w:color w:val="1C3A36"/>
                <w:sz w:val="16"/>
              </w:rPr>
              <w:t>4.37</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5.47 – 7.54</w:t>
            </w:r>
          </w:p>
        </w:tc>
        <w:tc>
          <w:tcPr>
            <w:tcW w:type="dxa" w:w="1944"/>
          </w:tcPr>
          <w:p>
            <w:pPr>
              <w:spacing w:after="20"/>
              <w:jc w:val="right"/>
            </w:pPr>
            <w:r>
              <w:rPr>
                <w:color w:val="1C3A36"/>
                <w:sz w:val="16"/>
              </w:rPr>
              <w:t>2.08</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5.69 – 6.91</w:t>
            </w:r>
          </w:p>
        </w:tc>
        <w:tc>
          <w:tcPr>
            <w:tcW w:type="dxa" w:w="1944"/>
          </w:tcPr>
          <w:p>
            <w:pPr>
              <w:spacing w:after="20"/>
              <w:jc w:val="right"/>
            </w:pPr>
            <w:r>
              <w:rPr>
                <w:color w:val="1C3A36"/>
                <w:sz w:val="16"/>
              </w:rPr>
              <w:t>1.23</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5.28 – 6.42</w:t>
            </w:r>
          </w:p>
        </w:tc>
        <w:tc>
          <w:tcPr>
            <w:tcW w:type="dxa" w:w="1944"/>
          </w:tcPr>
          <w:p>
            <w:pPr>
              <w:spacing w:after="20"/>
              <w:jc w:val="right"/>
            </w:pPr>
            <w:r>
              <w:rPr>
                <w:color w:val="1C3A36"/>
                <w:sz w:val="16"/>
              </w:rPr>
              <w:t>1.13</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6.10 – 6.76</w:t>
            </w:r>
          </w:p>
        </w:tc>
        <w:tc>
          <w:tcPr>
            <w:tcW w:type="dxa" w:w="1944"/>
          </w:tcPr>
          <w:p>
            <w:pPr>
              <w:spacing w:after="20"/>
              <w:jc w:val="right"/>
            </w:pPr>
            <w:r>
              <w:rPr>
                <w:color w:val="1C3A36"/>
                <w:sz w:val="16"/>
              </w:rPr>
              <w:t>0.65</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(1.412 in the bear, 0.758 in the bull), a lower mid-cycle rate anchor and a heavier capital programme in the bear, and the reverse of both in the bull</w:t>
            </w:r>
          </w:p>
        </w:tc>
        <w:tc>
          <w:tcPr>
            <w:tcW w:type="dxa" w:w="2304"/>
          </w:tcPr>
          <w:p>
            <w:pPr>
              <w:spacing w:after="20"/>
              <w:jc w:val="left"/>
            </w:pPr>
            <w:r>
              <w:rPr>
                <w:color w:val="1C3A36"/>
                <w:sz w:val="16"/>
              </w:rPr>
              <w:t>4.03 – 10.13</w:t>
            </w:r>
          </w:p>
        </w:tc>
        <w:tc>
          <w:tcPr>
            <w:tcW w:type="dxa" w:w="1944"/>
          </w:tcPr>
          <w:p>
            <w:pPr>
              <w:spacing w:after="20"/>
              <w:jc w:val="right"/>
            </w:pPr>
            <w:r>
              <w:rPr>
                <w:color w:val="1C3A36"/>
                <w:sz w:val="16"/>
              </w:rPr>
              <w:t>6.11</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1.412, with the rate anchor and the capital programme left at the base</w:t>
            </w:r>
          </w:p>
        </w:tc>
        <w:tc>
          <w:tcPr>
            <w:tcW w:type="dxa" w:w="2304"/>
          </w:tcPr>
          <w:p>
            <w:pPr>
              <w:spacing w:after="20"/>
              <w:jc w:val="left"/>
            </w:pPr>
            <w:r>
              <w:rPr>
                <w:color w:val="1C3A36"/>
                <w:sz w:val="16"/>
              </w:rPr>
              <w:t>5.00 against a published bear of 4.03</w:t>
            </w:r>
          </w:p>
        </w:tc>
        <w:tc>
          <w:tcPr>
            <w:tcW w:type="dxa" w:w="1944"/>
          </w:tcPr>
          <w:p>
            <w:pPr>
              <w:spacing w:after="20"/>
              <w:jc w:val="right"/>
            </w:pPr>
            <w:r>
              <w:rPr>
                <w:color w:val="1C3A36"/>
                <w:sz w:val="16"/>
              </w:rPr>
              <w:t>0.98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width of the beta row is the width of a measured statistical interval; the width of the rate-anchor row is a judgement about the future that no amount of data settles. The first is uncertainty that has been quantified, the second is uncertainty that has not. The tax row deserves its own note: at a uniform 15% the value falls to AED 5.28, a loss of AED 1.22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weighted central of AED 7.10 sits above every computed level, the highest of which is 6.60, the cash-flow lens on its own, at AED 6.51, sits between the computed levels of 6.43 and 6.60, the equal-weight composite reading of AED 8.24 sits above every computed level, the highest of which is 6.60, and the asset lens at AED 3.69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7.10 on the beta measured against the published index, and AED 8.24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7.10, +15%</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8.24, +34%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6.51, +6%</w:t>
            </w:r>
          </w:p>
        </w:tc>
        <w:tc>
          <w:tcPr>
            <w:tcW w:type="dxa" w:w="4464"/>
          </w:tcPr>
          <w:p>
            <w:pPr>
              <w:spacing w:after="20"/>
            </w:pPr>
            <w:r>
              <w:rPr>
                <w:color w:val="1C3A36"/>
                <w:sz w:val="16"/>
              </w:rPr>
              <w:t>a cost of capital gliding 8.49% to 7.7%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9.37, +52%</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8.06, +31%</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6.51, 6% above the market price; the expert panel in Appendix C, which prices mid-cycle earnings and capitalises no terminal value at all, centres at AED 6.17, level with the market price. Two constructions that share no machinery land within AED 0.34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1.085, measured on 161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8.24 — a difference of AED 1.15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at 0.705 it sits below the bottom of the adopted estimate's own 90% interval, so it is a more aggressive discount rate than this study's own bull case takes.</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2.08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1.22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0.36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7.10</w:t>
            </w:r>
          </w:p>
        </w:tc>
        <w:tc>
          <w:tcPr>
            <w:tcW w:type="dxa" w:w="5040"/>
          </w:tcPr>
          <w:p>
            <w:pPr>
              <w:spacing w:after="20"/>
              <w:jc w:val="left"/>
            </w:pPr>
            <w:r>
              <w:rPr>
                <w:color w:val="1C3A36"/>
                <w:sz w:val="16"/>
              </w:rPr>
              <w:t>between the 75th and 95th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6.51</w:t>
            </w:r>
          </w:p>
        </w:tc>
        <w:tc>
          <w:tcPr>
            <w:tcW w:type="dxa" w:w="5040"/>
          </w:tcPr>
          <w:p>
            <w:pPr>
              <w:spacing w:after="20"/>
              <w:jc w:val="left"/>
            </w:pPr>
            <w:r>
              <w:rPr>
                <w:color w:val="1C3A36"/>
                <w:sz w:val="16"/>
              </w:rPr>
              <w:t>between the 50th and 75th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6.17</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8.24</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3.69</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still moves the answer more than anything else, even though it is now settled. </w:t>
      </w:r>
      <w:r>
        <w:rPr>
          <w:color w:val="1C3A36"/>
          <w:sz w:val="21"/>
        </w:rPr>
        <w:t>Regressed against the FTSE ADX General Index, the beta is 1.085; regressed against an equal-weight composite of the same exchange's names it is 0.705, worth AED 2.86 a share on the cash-flow lens. Across the beta range tested in section 1.9 the swing is AED 4.37, still the widest single sensitivity in the study. What has changed is that this is no longer an unresolved argument between a regression and an economic prior — the published index of the share's own exchange is the right yardstick and the two now agree. What remains is ordinary statistical uncertainty: 3.2 years of listed history, an R-squared of 0.158, and a 90% interval of [0.76, 1.41] that this study's bear and bull cases carry at full width rather than narrowing. A longer history could still move the point estimate inside that interval,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75% of the cash-flow model's enterprise value is the terminal value on the adopted construction, 81%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665 million by 2030E, against a stated medium-term target of 2.0× to 2.5×. At the low end of that target the 2030E balance sheet would carry about USD 4,114 million of net debt, so the modelled path leaves roughly USD 4,779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583 million of the USD 7,428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four lenses are less independent of one another than four lenses sound. </w:t>
      </w:r>
      <w:r>
        <w:rPr>
          <w:color w:val="1C3A36"/>
          <w:sz w:val="21"/>
        </w:rPr>
        <w:t>The relative lens and the normalised lens apply the SAME three multiples to two different earnings denominators — the first forecast year in one, the five-year average of the same forecast in the other. Between them they carry 45% of the weighted central, so that much of the headline rests on one method presented as two reads.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5.28.</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Weighted 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6.51</w:t>
            </w:r>
          </w:p>
        </w:tc>
        <w:tc>
          <w:tcPr>
            <w:tcW w:type="dxa" w:w="2304"/>
            <w:shd w:val="clear" w:color="auto" w:fill="F6F1E6"/>
          </w:tcPr>
          <w:p>
            <w:pPr>
              <w:spacing w:after="20"/>
              <w:jc w:val="right"/>
            </w:pPr>
            <w:r>
              <w:rPr>
                <w:b/>
                <w:color w:val="1C3A36"/>
                <w:sz w:val="17"/>
              </w:rPr>
              <w:t>7.10</w:t>
            </w:r>
          </w:p>
        </w:tc>
        <w:tc>
          <w:tcPr>
            <w:tcW w:type="dxa" w:w="2232"/>
            <w:shd w:val="clear" w:color="auto" w:fill="F6F1E6"/>
          </w:tcPr>
          <w:p>
            <w:pPr>
              <w:spacing w:after="20"/>
              <w:jc w:val="right"/>
            </w:pPr>
            <w:r>
              <w:rPr>
                <w:b/>
                <w:color w:val="1C3A36"/>
                <w:sz w:val="17"/>
              </w:rPr>
              <w:t>+15%</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+0.52,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9.01% to 8.49% and the terminal rate from 8.21% to 7.73%.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2.29× book, or AED 5.77 a share; residual income gives AED 3.69. At 15% weight the difference is worth about AED 0.31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340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0.45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5.82%,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13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11.09×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 Nor did the beta change: it is still 1.085 against the published index of the share's own exchange, with the equal-weight composite reading of 0.705 published beside it at full size throughout.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Together they carry 45% of the weighted central, so 45% of the headline rests on one method presented as two reads. It has not been changed, because both denominators are legitimate questions and neither read is redundant on its own terms. But it is not neutral in direction — those are the two lenses that sit highest — and it is the largest single item still outstanding from either round of review.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5,003</w:t>
            </w:r>
          </w:p>
        </w:tc>
        <w:tc>
          <w:tcPr>
            <w:tcW w:type="dxa" w:w="950"/>
          </w:tcPr>
          <w:p>
            <w:pPr>
              <w:spacing w:after="20"/>
              <w:jc w:val="right"/>
            </w:pPr>
            <w:r>
              <w:rPr>
                <w:color w:val="1C3A36"/>
                <w:sz w:val="15"/>
              </w:rPr>
              <w:t>5,719</w:t>
            </w:r>
          </w:p>
        </w:tc>
        <w:tc>
          <w:tcPr>
            <w:tcW w:type="dxa" w:w="950"/>
          </w:tcPr>
          <w:p>
            <w:pPr>
              <w:spacing w:after="20"/>
              <w:jc w:val="right"/>
            </w:pPr>
            <w:r>
              <w:rPr>
                <w:color w:val="1C3A36"/>
                <w:sz w:val="15"/>
              </w:rPr>
              <w:t>5,741</w:t>
            </w:r>
          </w:p>
        </w:tc>
        <w:tc>
          <w:tcPr>
            <w:tcW w:type="dxa" w:w="950"/>
          </w:tcPr>
          <w:p>
            <w:pPr>
              <w:spacing w:after="20"/>
              <w:jc w:val="right"/>
            </w:pPr>
            <w:r>
              <w:rPr>
                <w:color w:val="1C3A36"/>
                <w:sz w:val="15"/>
              </w:rPr>
              <w:t>5,497</w:t>
            </w:r>
          </w:p>
        </w:tc>
        <w:tc>
          <w:tcPr>
            <w:tcW w:type="dxa" w:w="950"/>
          </w:tcPr>
          <w:p>
            <w:pPr>
              <w:spacing w:after="20"/>
              <w:jc w:val="right"/>
            </w:pPr>
            <w:r>
              <w:rPr>
                <w:color w:val="1C3A36"/>
                <w:sz w:val="15"/>
              </w:rPr>
              <w:t>5,171</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(2,917)</w:t>
            </w:r>
          </w:p>
        </w:tc>
        <w:tc>
          <w:tcPr>
            <w:tcW w:type="dxa" w:w="950"/>
          </w:tcPr>
          <w:p>
            <w:pPr>
              <w:spacing w:after="20"/>
              <w:jc w:val="right"/>
            </w:pPr>
            <w:r>
              <w:rPr>
                <w:color w:val="1C3A36"/>
                <w:sz w:val="15"/>
              </w:rPr>
              <w:t>(3,201)</w:t>
            </w:r>
          </w:p>
        </w:tc>
        <w:tc>
          <w:tcPr>
            <w:tcW w:type="dxa" w:w="950"/>
          </w:tcPr>
          <w:p>
            <w:pPr>
              <w:spacing w:after="20"/>
              <w:jc w:val="right"/>
            </w:pPr>
            <w:r>
              <w:rPr>
                <w:color w:val="1C3A36"/>
                <w:sz w:val="15"/>
              </w:rPr>
              <w:t>(3,236)</w:t>
            </w:r>
          </w:p>
        </w:tc>
        <w:tc>
          <w:tcPr>
            <w:tcW w:type="dxa" w:w="950"/>
          </w:tcPr>
          <w:p>
            <w:pPr>
              <w:spacing w:after="20"/>
              <w:jc w:val="right"/>
            </w:pPr>
            <w:r>
              <w:rPr>
                <w:color w:val="1C3A36"/>
                <w:sz w:val="15"/>
              </w:rPr>
              <w:t>(3,186)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2,506</w:t>
            </w:r>
          </w:p>
        </w:tc>
        <w:tc>
          <w:tcPr>
            <w:tcW w:type="dxa" w:w="950"/>
            <w:shd w:val="clear" w:color="auto" w:fill="F6F1E6"/>
          </w:tcPr>
          <w:p>
            <w:pPr>
              <w:spacing w:after="20"/>
              <w:jc w:val="right"/>
            </w:pPr>
            <w:r>
              <w:rPr>
                <w:b/>
                <w:color w:val="1C3A36"/>
                <w:sz w:val="15"/>
              </w:rPr>
              <w:t>2,311</w:t>
            </w:r>
          </w:p>
        </w:tc>
        <w:tc>
          <w:tcPr>
            <w:tcW w:type="dxa" w:w="950"/>
            <w:shd w:val="clear" w:color="auto" w:fill="F6F1E6"/>
          </w:tcPr>
          <w:p>
            <w:pPr>
              <w:spacing w:after="20"/>
              <w:jc w:val="right"/>
            </w:pPr>
            <w:r>
              <w:rPr>
                <w:b/>
                <w:color w:val="1C3A36"/>
                <w:sz w:val="15"/>
              </w:rPr>
              <w:t>2,057</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(703)</w:t>
            </w:r>
          </w:p>
        </w:tc>
        <w:tc>
          <w:tcPr>
            <w:tcW w:type="dxa" w:w="950"/>
          </w:tcPr>
          <w:p>
            <w:pPr>
              <w:spacing w:after="20"/>
              <w:jc w:val="right"/>
            </w:pPr>
            <w:r>
              <w:rPr>
                <w:color w:val="1C3A36"/>
                <w:sz w:val="15"/>
              </w:rPr>
              <w:t>(727)</w:t>
            </w:r>
          </w:p>
        </w:tc>
        <w:tc>
          <w:tcPr>
            <w:tcW w:type="dxa" w:w="950"/>
          </w:tcPr>
          <w:p>
            <w:pPr>
              <w:spacing w:after="20"/>
              <w:jc w:val="right"/>
            </w:pPr>
            <w:r>
              <w:rPr>
                <w:color w:val="1C3A36"/>
                <w:sz w:val="15"/>
              </w:rPr>
              <w:t>(733)</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1,802</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(153)</w:t>
            </w:r>
          </w:p>
        </w:tc>
        <w:tc>
          <w:tcPr>
            <w:tcW w:type="dxa" w:w="950"/>
          </w:tcPr>
          <w:p>
            <w:pPr>
              <w:spacing w:after="20"/>
              <w:jc w:val="right"/>
            </w:pPr>
            <w:r>
              <w:rPr>
                <w:color w:val="1C3A36"/>
                <w:sz w:val="15"/>
              </w:rPr>
              <w:t>(126)</w:t>
            </w:r>
          </w:p>
        </w:tc>
        <w:tc>
          <w:tcPr>
            <w:tcW w:type="dxa" w:w="950"/>
          </w:tcPr>
          <w:p>
            <w:pPr>
              <w:spacing w:after="20"/>
              <w:jc w:val="right"/>
            </w:pPr>
            <w:r>
              <w:rPr>
                <w:color w:val="1C3A36"/>
                <w:sz w:val="15"/>
              </w:rPr>
              <w:t>(90)</w:t>
            </w:r>
          </w:p>
        </w:tc>
        <w:tc>
          <w:tcPr>
            <w:tcW w:type="dxa" w:w="950"/>
          </w:tcPr>
          <w:p>
            <w:pPr>
              <w:spacing w:after="20"/>
              <w:jc w:val="right"/>
            </w:pPr>
            <w:r>
              <w:rPr>
                <w:color w:val="1C3A36"/>
                <w:sz w:val="15"/>
              </w:rPr>
              <w:t>(29)</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1,378</w:t>
            </w:r>
          </w:p>
        </w:tc>
        <w:tc>
          <w:tcPr>
            <w:tcW w:type="dxa" w:w="950"/>
          </w:tcPr>
          <w:p>
            <w:pPr>
              <w:spacing w:after="20"/>
              <w:jc w:val="right"/>
            </w:pPr>
            <w:r>
              <w:rPr>
                <w:color w:val="1C3A36"/>
                <w:sz w:val="15"/>
              </w:rPr>
              <w:t>1,704</w:t>
            </w:r>
          </w:p>
        </w:tc>
        <w:tc>
          <w:tcPr>
            <w:tcW w:type="dxa" w:w="950"/>
          </w:tcPr>
          <w:p>
            <w:pPr>
              <w:spacing w:after="20"/>
              <w:jc w:val="right"/>
            </w:pPr>
            <w:r>
              <w:rPr>
                <w:color w:val="1C3A36"/>
                <w:sz w:val="15"/>
              </w:rPr>
              <w:t>1,677</w:t>
            </w:r>
          </w:p>
        </w:tc>
        <w:tc>
          <w:tcPr>
            <w:tcW w:type="dxa" w:w="950"/>
          </w:tcPr>
          <w:p>
            <w:pPr>
              <w:spacing w:after="20"/>
              <w:jc w:val="right"/>
            </w:pPr>
            <w:r>
              <w:rPr>
                <w:color w:val="1C3A36"/>
                <w:sz w:val="15"/>
              </w:rPr>
              <w:t>1,494</w:t>
            </w:r>
          </w:p>
        </w:tc>
        <w:tc>
          <w:tcPr>
            <w:tcW w:type="dxa" w:w="950"/>
          </w:tcPr>
          <w:p>
            <w:pPr>
              <w:spacing w:after="20"/>
              <w:jc w:val="right"/>
            </w:pPr>
            <w:r>
              <w:rPr>
                <w:color w:val="1C3A36"/>
                <w:sz w:val="15"/>
              </w:rPr>
              <w:t>1,295</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1,333</w:t>
            </w:r>
          </w:p>
        </w:tc>
        <w:tc>
          <w:tcPr>
            <w:tcW w:type="dxa" w:w="950"/>
          </w:tcPr>
          <w:p>
            <w:pPr>
              <w:spacing w:after="20"/>
              <w:jc w:val="right"/>
            </w:pPr>
            <w:r>
              <w:rPr>
                <w:color w:val="1C3A36"/>
                <w:sz w:val="15"/>
              </w:rPr>
              <w:t>1,651</w:t>
            </w:r>
          </w:p>
        </w:tc>
        <w:tc>
          <w:tcPr>
            <w:tcW w:type="dxa" w:w="950"/>
          </w:tcPr>
          <w:p>
            <w:pPr>
              <w:spacing w:after="20"/>
              <w:jc w:val="right"/>
            </w:pPr>
            <w:r>
              <w:rPr>
                <w:color w:val="1C3A36"/>
                <w:sz w:val="15"/>
              </w:rPr>
              <w:t>1,622</w:t>
            </w:r>
          </w:p>
        </w:tc>
        <w:tc>
          <w:tcPr>
            <w:tcW w:type="dxa" w:w="950"/>
          </w:tcPr>
          <w:p>
            <w:pPr>
              <w:spacing w:after="20"/>
              <w:jc w:val="right"/>
            </w:pPr>
            <w:r>
              <w:rPr>
                <w:color w:val="1C3A36"/>
                <w:sz w:val="15"/>
              </w:rPr>
              <w:t>1,438</w:t>
            </w:r>
          </w:p>
        </w:tc>
        <w:tc>
          <w:tcPr>
            <w:tcW w:type="dxa" w:w="950"/>
          </w:tcPr>
          <w:p>
            <w:pPr>
              <w:spacing w:after="20"/>
              <w:jc w:val="right"/>
            </w:pPr>
            <w:r>
              <w:rPr>
                <w:color w:val="1C3A36"/>
                <w:sz w:val="15"/>
              </w:rPr>
              <w:t>1,237</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(145)</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1,216</w:t>
            </w:r>
          </w:p>
        </w:tc>
        <w:tc>
          <w:tcPr>
            <w:tcW w:type="dxa" w:w="950"/>
            <w:shd w:val="clear" w:color="auto" w:fill="F6F1E6"/>
          </w:tcPr>
          <w:p>
            <w:pPr>
              <w:spacing w:after="20"/>
              <w:jc w:val="right"/>
            </w:pPr>
            <w:r>
              <w:rPr>
                <w:b/>
                <w:color w:val="1C3A36"/>
                <w:sz w:val="15"/>
              </w:rPr>
              <w:t>1,506</w:t>
            </w:r>
          </w:p>
        </w:tc>
        <w:tc>
          <w:tcPr>
            <w:tcW w:type="dxa" w:w="950"/>
            <w:shd w:val="clear" w:color="auto" w:fill="F6F1E6"/>
          </w:tcPr>
          <w:p>
            <w:pPr>
              <w:spacing w:after="20"/>
              <w:jc w:val="right"/>
            </w:pPr>
            <w:r>
              <w:rPr>
                <w:b/>
                <w:color w:val="1C3A36"/>
                <w:sz w:val="15"/>
              </w:rPr>
              <w:t>1,479</w:t>
            </w:r>
          </w:p>
        </w:tc>
        <w:tc>
          <w:tcPr>
            <w:tcW w:type="dxa" w:w="950"/>
            <w:shd w:val="clear" w:color="auto" w:fill="F6F1E6"/>
          </w:tcPr>
          <w:p>
            <w:pPr>
              <w:spacing w:after="20"/>
              <w:jc w:val="right"/>
            </w:pPr>
            <w:r>
              <w:rPr>
                <w:b/>
                <w:color w:val="1C3A36"/>
                <w:sz w:val="15"/>
              </w:rPr>
              <w:t>1,311</w:t>
            </w:r>
          </w:p>
        </w:tc>
        <w:tc>
          <w:tcPr>
            <w:tcW w:type="dxa" w:w="950"/>
            <w:shd w:val="clear" w:color="auto" w:fill="F6F1E6"/>
          </w:tcPr>
          <w:p>
            <w:pPr>
              <w:spacing w:after="20"/>
              <w:jc w:val="right"/>
            </w:pPr>
            <w:r>
              <w:rPr>
                <w:b/>
                <w:color w:val="1C3A36"/>
                <w:sz w:val="15"/>
              </w:rPr>
              <w:t>1,128</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1,119</w:t>
            </w:r>
          </w:p>
        </w:tc>
        <w:tc>
          <w:tcPr>
            <w:tcW w:type="dxa" w:w="950"/>
          </w:tcPr>
          <w:p>
            <w:pPr>
              <w:spacing w:after="20"/>
              <w:jc w:val="right"/>
            </w:pPr>
            <w:r>
              <w:rPr>
                <w:color w:val="1C3A36"/>
                <w:sz w:val="15"/>
              </w:rPr>
              <w:t>1,409</w:t>
            </w:r>
          </w:p>
        </w:tc>
        <w:tc>
          <w:tcPr>
            <w:tcW w:type="dxa" w:w="950"/>
          </w:tcPr>
          <w:p>
            <w:pPr>
              <w:spacing w:after="20"/>
              <w:jc w:val="right"/>
            </w:pPr>
            <w:r>
              <w:rPr>
                <w:color w:val="1C3A36"/>
                <w:sz w:val="15"/>
              </w:rPr>
              <w:t>1,382</w:t>
            </w:r>
          </w:p>
        </w:tc>
        <w:tc>
          <w:tcPr>
            <w:tcW w:type="dxa" w:w="950"/>
          </w:tcPr>
          <w:p>
            <w:pPr>
              <w:spacing w:after="20"/>
              <w:jc w:val="right"/>
            </w:pPr>
            <w:r>
              <w:rPr>
                <w:color w:val="1C3A36"/>
                <w:sz w:val="15"/>
              </w:rPr>
              <w:t>1,214</w:t>
            </w:r>
          </w:p>
        </w:tc>
        <w:tc>
          <w:tcPr>
            <w:tcW w:type="dxa" w:w="950"/>
          </w:tcPr>
          <w:p>
            <w:pPr>
              <w:spacing w:after="20"/>
              <w:jc w:val="right"/>
            </w:pPr>
            <w:r>
              <w:rPr>
                <w:color w:val="1C3A36"/>
                <w:sz w:val="15"/>
              </w:rPr>
              <w:t>1,031</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0.151</w:t>
            </w:r>
          </w:p>
        </w:tc>
        <w:tc>
          <w:tcPr>
            <w:tcW w:type="dxa" w:w="950"/>
            <w:shd w:val="clear" w:color="auto" w:fill="F6F1E6"/>
          </w:tcPr>
          <w:p>
            <w:pPr>
              <w:spacing w:after="20"/>
              <w:jc w:val="right"/>
            </w:pPr>
            <w:r>
              <w:rPr>
                <w:b/>
                <w:color w:val="1C3A36"/>
                <w:sz w:val="15"/>
              </w:rPr>
              <w:t>0.190</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0.164</w:t>
            </w:r>
          </w:p>
        </w:tc>
        <w:tc>
          <w:tcPr>
            <w:tcW w:type="dxa" w:w="950"/>
            <w:shd w:val="clear" w:color="auto" w:fill="F6F1E6"/>
          </w:tcPr>
          <w:p>
            <w:pPr>
              <w:spacing w:after="20"/>
              <w:jc w:val="right"/>
            </w:pPr>
            <w:r>
              <w:rPr>
                <w:b/>
                <w:color w:val="1C3A36"/>
                <w:sz w:val="15"/>
              </w:rPr>
              <w:t>0.139</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0.164</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0.177</w:t>
            </w:r>
          </w:p>
        </w:tc>
        <w:tc>
          <w:tcPr>
            <w:tcW w:type="dxa" w:w="950"/>
          </w:tcPr>
          <w:p>
            <w:pPr>
              <w:spacing w:after="20"/>
              <w:jc w:val="right"/>
            </w:pPr>
            <w:r>
              <w:rPr>
                <w:color w:val="1C3A36"/>
                <w:sz w:val="15"/>
              </w:rPr>
              <w:t>0.152</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8.7%;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945</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787</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3,060</w:t>
            </w:r>
          </w:p>
        </w:tc>
        <w:tc>
          <w:tcPr>
            <w:tcW w:type="dxa" w:w="950"/>
          </w:tcPr>
          <w:p>
            <w:pPr>
              <w:spacing w:after="20"/>
              <w:jc w:val="right"/>
            </w:pPr>
            <w:r>
              <w:rPr>
                <w:color w:val="1C3A36"/>
                <w:sz w:val="15"/>
              </w:rPr>
              <w:t>2,594</w:t>
            </w:r>
          </w:p>
        </w:tc>
        <w:tc>
          <w:tcPr>
            <w:tcW w:type="dxa" w:w="950"/>
          </w:tcPr>
          <w:p>
            <w:pPr>
              <w:spacing w:after="20"/>
              <w:jc w:val="right"/>
            </w:pPr>
            <w:r>
              <w:rPr>
                <w:color w:val="1C3A36"/>
                <w:sz w:val="15"/>
              </w:rPr>
              <w:t>1,977</w:t>
            </w:r>
          </w:p>
        </w:tc>
        <w:tc>
          <w:tcPr>
            <w:tcW w:type="dxa" w:w="950"/>
          </w:tcPr>
          <w:p>
            <w:pPr>
              <w:spacing w:after="20"/>
              <w:jc w:val="right"/>
            </w:pPr>
            <w:r>
              <w:rPr>
                <w:color w:val="1C3A36"/>
                <w:sz w:val="15"/>
              </w:rPr>
              <w:t>930</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2,365</w:t>
            </w:r>
          </w:p>
        </w:tc>
        <w:tc>
          <w:tcPr>
            <w:tcW w:type="dxa" w:w="950"/>
          </w:tcPr>
          <w:p>
            <w:pPr>
              <w:spacing w:after="20"/>
              <w:jc w:val="right"/>
            </w:pPr>
            <w:r>
              <w:rPr>
                <w:color w:val="1C3A36"/>
                <w:sz w:val="15"/>
              </w:rPr>
              <w:t>1,899</w:t>
            </w:r>
          </w:p>
        </w:tc>
        <w:tc>
          <w:tcPr>
            <w:tcW w:type="dxa" w:w="950"/>
          </w:tcPr>
          <w:p>
            <w:pPr>
              <w:spacing w:after="20"/>
              <w:jc w:val="right"/>
            </w:pPr>
            <w:r>
              <w:rPr>
                <w:color w:val="1C3A36"/>
                <w:sz w:val="15"/>
              </w:rPr>
              <w:t>1,282</w:t>
            </w:r>
          </w:p>
        </w:tc>
        <w:tc>
          <w:tcPr>
            <w:tcW w:type="dxa" w:w="950"/>
          </w:tcPr>
          <w:p>
            <w:pPr>
              <w:spacing w:after="20"/>
              <w:jc w:val="right"/>
            </w:pPr>
            <w:r>
              <w:rPr>
                <w:color w:val="1C3A36"/>
                <w:sz w:val="15"/>
              </w:rPr>
              <w:t>235</w:t>
            </w:r>
          </w:p>
        </w:tc>
        <w:tc>
          <w:tcPr>
            <w:tcW w:type="dxa" w:w="950"/>
          </w:tcPr>
          <w:p>
            <w:pPr>
              <w:spacing w:after="20"/>
              <w:jc w:val="right"/>
            </w:pPr>
            <w:r>
              <w:rPr>
                <w:color w:val="1C3A36"/>
                <w:sz w:val="15"/>
              </w:rPr>
              <w:t>(665)</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5,852</w:t>
            </w:r>
          </w:p>
        </w:tc>
        <w:tc>
          <w:tcPr>
            <w:tcW w:type="dxa" w:w="950"/>
            <w:shd w:val="clear" w:color="auto" w:fill="F6F1E6"/>
          </w:tcPr>
          <w:p>
            <w:pPr>
              <w:spacing w:after="20"/>
              <w:jc w:val="right"/>
            </w:pPr>
            <w:r>
              <w:rPr>
                <w:b/>
                <w:color w:val="1C3A36"/>
                <w:sz w:val="15"/>
              </w:rPr>
              <w:t>6,903</w:t>
            </w:r>
          </w:p>
        </w:tc>
        <w:tc>
          <w:tcPr>
            <w:tcW w:type="dxa" w:w="950"/>
            <w:shd w:val="clear" w:color="auto" w:fill="F6F1E6"/>
          </w:tcPr>
          <w:p>
            <w:pPr>
              <w:spacing w:after="20"/>
              <w:jc w:val="right"/>
            </w:pPr>
            <w:r>
              <w:rPr>
                <w:b/>
                <w:color w:val="1C3A36"/>
                <w:sz w:val="15"/>
              </w:rPr>
              <w:t>7,909</w:t>
            </w:r>
          </w:p>
        </w:tc>
        <w:tc>
          <w:tcPr>
            <w:tcW w:type="dxa" w:w="950"/>
            <w:shd w:val="clear" w:color="auto" w:fill="F6F1E6"/>
          </w:tcPr>
          <w:p>
            <w:pPr>
              <w:spacing w:after="20"/>
              <w:jc w:val="right"/>
            </w:pPr>
            <w:r>
              <w:rPr>
                <w:b/>
                <w:color w:val="1C3A36"/>
                <w:sz w:val="15"/>
              </w:rPr>
              <w:t>8,728</w:t>
            </w:r>
          </w:p>
        </w:tc>
        <w:tc>
          <w:tcPr>
            <w:tcW w:type="dxa" w:w="950"/>
            <w:shd w:val="clear" w:color="auto" w:fill="F6F1E6"/>
          </w:tcPr>
          <w:p>
            <w:pPr>
              <w:spacing w:after="20"/>
              <w:jc w:val="right"/>
            </w:pPr>
            <w:r>
              <w:rPr>
                <w:b/>
                <w:color w:val="1C3A36"/>
                <w:sz w:val="15"/>
              </w:rPr>
              <w:t>9,345</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0.7909</w:t>
            </w:r>
          </w:p>
        </w:tc>
        <w:tc>
          <w:tcPr>
            <w:tcW w:type="dxa" w:w="950"/>
          </w:tcPr>
          <w:p>
            <w:pPr>
              <w:spacing w:after="20"/>
              <w:jc w:val="right"/>
            </w:pPr>
            <w:r>
              <w:rPr>
                <w:color w:val="1C3A36"/>
                <w:sz w:val="15"/>
              </w:rPr>
              <w:t>0.9330</w:t>
            </w:r>
          </w:p>
        </w:tc>
        <w:tc>
          <w:tcPr>
            <w:tcW w:type="dxa" w:w="950"/>
          </w:tcPr>
          <w:p>
            <w:pPr>
              <w:spacing w:after="20"/>
              <w:jc w:val="right"/>
            </w:pPr>
            <w:r>
              <w:rPr>
                <w:color w:val="1C3A36"/>
                <w:sz w:val="15"/>
              </w:rPr>
              <w:t>1.0689</w:t>
            </w:r>
          </w:p>
        </w:tc>
        <w:tc>
          <w:tcPr>
            <w:tcW w:type="dxa" w:w="950"/>
          </w:tcPr>
          <w:p>
            <w:pPr>
              <w:spacing w:after="20"/>
              <w:jc w:val="right"/>
            </w:pPr>
            <w:r>
              <w:rPr>
                <w:color w:val="1C3A36"/>
                <w:sz w:val="15"/>
              </w:rPr>
              <w:t>1.1797</w:t>
            </w:r>
          </w:p>
        </w:tc>
        <w:tc>
          <w:tcPr>
            <w:tcW w:type="dxa" w:w="950"/>
          </w:tcPr>
          <w:p>
            <w:pPr>
              <w:spacing w:after="20"/>
              <w:jc w:val="right"/>
            </w:pPr>
            <w:r>
              <w:rPr>
                <w:color w:val="1C3A36"/>
                <w:sz w:val="15"/>
              </w:rPr>
              <w:t>1.2631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-0.32×</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21.8%</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23.6%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(158)</w:t>
            </w:r>
          </w:p>
        </w:tc>
        <w:tc>
          <w:tcPr>
            <w:tcW w:type="dxa" w:w="1382"/>
          </w:tcPr>
          <w:p>
            <w:pPr>
              <w:spacing w:after="20"/>
              <w:jc w:val="right"/>
            </w:pPr>
            <w:r>
              <w:rPr>
                <w:color w:val="1C3A36"/>
                <w:sz w:val="16"/>
              </w:rPr>
              <w:t>(178)</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(115)</w:t>
            </w:r>
          </w:p>
        </w:tc>
        <w:tc>
          <w:tcPr>
            <w:tcW w:type="dxa" w:w="1382"/>
          </w:tcPr>
          <w:p>
            <w:pPr>
              <w:spacing w:after="20"/>
              <w:jc w:val="right"/>
            </w:pPr>
            <w:r>
              <w:rPr>
                <w:color w:val="1C3A36"/>
                <w:sz w:val="16"/>
              </w:rPr>
              <w:t>(54)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3,060</w:t>
            </w:r>
          </w:p>
        </w:tc>
        <w:tc>
          <w:tcPr>
            <w:tcW w:type="dxa" w:w="1382"/>
          </w:tcPr>
          <w:p>
            <w:pPr>
              <w:spacing w:after="20"/>
              <w:jc w:val="right"/>
            </w:pPr>
            <w:r>
              <w:rPr>
                <w:color w:val="1C3A36"/>
                <w:sz w:val="16"/>
              </w:rPr>
              <w:t>2,594</w:t>
            </w:r>
          </w:p>
        </w:tc>
        <w:tc>
          <w:tcPr>
            <w:tcW w:type="dxa" w:w="1382"/>
          </w:tcPr>
          <w:p>
            <w:pPr>
              <w:spacing w:after="20"/>
              <w:jc w:val="right"/>
            </w:pPr>
            <w:r>
              <w:rPr>
                <w:color w:val="1C3A36"/>
                <w:sz w:val="16"/>
              </w:rPr>
              <w:t>1,977</w:t>
            </w:r>
          </w:p>
        </w:tc>
        <w:tc>
          <w:tcPr>
            <w:tcW w:type="dxa" w:w="1382"/>
          </w:tcPr>
          <w:p>
            <w:pPr>
              <w:spacing w:after="20"/>
              <w:jc w:val="right"/>
            </w:pPr>
            <w:r>
              <w:rPr>
                <w:color w:val="1C3A36"/>
                <w:sz w:val="16"/>
              </w:rPr>
              <w:t>930</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2,365</w:t>
            </w:r>
          </w:p>
        </w:tc>
        <w:tc>
          <w:tcPr>
            <w:tcW w:type="dxa" w:w="1382"/>
          </w:tcPr>
          <w:p>
            <w:pPr>
              <w:spacing w:after="20"/>
              <w:jc w:val="right"/>
            </w:pPr>
            <w:r>
              <w:rPr>
                <w:color w:val="1C3A36"/>
                <w:sz w:val="16"/>
              </w:rPr>
              <w:t>1,899</w:t>
            </w:r>
          </w:p>
        </w:tc>
        <w:tc>
          <w:tcPr>
            <w:tcW w:type="dxa" w:w="1382"/>
          </w:tcPr>
          <w:p>
            <w:pPr>
              <w:spacing w:after="20"/>
              <w:jc w:val="right"/>
            </w:pPr>
            <w:r>
              <w:rPr>
                <w:color w:val="1C3A36"/>
                <w:sz w:val="16"/>
              </w:rPr>
              <w:t>1,282</w:t>
            </w:r>
          </w:p>
        </w:tc>
        <w:tc>
          <w:tcPr>
            <w:tcW w:type="dxa" w:w="1382"/>
          </w:tcPr>
          <w:p>
            <w:pPr>
              <w:spacing w:after="20"/>
              <w:jc w:val="right"/>
            </w:pPr>
            <w:r>
              <w:rPr>
                <w:color w:val="1C3A36"/>
                <w:sz w:val="16"/>
              </w:rPr>
              <w:t>235</w:t>
            </w:r>
          </w:p>
        </w:tc>
        <w:tc>
          <w:tcPr>
            <w:tcW w:type="dxa" w:w="1382"/>
          </w:tcPr>
          <w:p>
            <w:pPr>
              <w:spacing w:after="20"/>
              <w:jc w:val="right"/>
            </w:pPr>
            <w:r>
              <w:rPr>
                <w:color w:val="1C3A36"/>
                <w:sz w:val="16"/>
              </w:rPr>
              <w:t>(665)</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0.10×</w:t>
            </w:r>
          </w:p>
        </w:tc>
        <w:tc>
          <w:tcPr>
            <w:tcW w:type="dxa" w:w="1382"/>
            <w:shd w:val="clear" w:color="auto" w:fill="F6F1E6"/>
          </w:tcPr>
          <w:p>
            <w:pPr>
              <w:spacing w:after="20"/>
              <w:jc w:val="right"/>
            </w:pPr>
            <w:r>
              <w:rPr>
                <w:b/>
                <w:color w:val="1C3A36"/>
                <w:sz w:val="16"/>
              </w:rPr>
              <w:t>-0.32×</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10,813</w:t>
            </w:r>
          </w:p>
        </w:tc>
        <w:tc>
          <w:tcPr>
            <w:tcW w:type="dxa" w:w="1382"/>
          </w:tcPr>
          <w:p>
            <w:pPr>
              <w:spacing w:after="20"/>
              <w:jc w:val="right"/>
            </w:pPr>
            <w:r>
              <w:rPr>
                <w:color w:val="1C3A36"/>
                <w:sz w:val="16"/>
              </w:rPr>
              <w:t>11,468</w:t>
            </w:r>
          </w:p>
        </w:tc>
        <w:tc>
          <w:tcPr>
            <w:tcW w:type="dxa" w:w="1382"/>
          </w:tcPr>
          <w:p>
            <w:pPr>
              <w:spacing w:after="20"/>
              <w:jc w:val="right"/>
            </w:pPr>
            <w:r>
              <w:rPr>
                <w:color w:val="1C3A36"/>
                <w:sz w:val="16"/>
              </w:rPr>
              <w:t>11,491</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8.34%</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8.03%</w:t>
            </w:r>
          </w:p>
        </w:tc>
        <w:tc>
          <w:tcPr>
            <w:tcW w:type="dxa" w:w="1382"/>
          </w:tcPr>
          <w:p>
            <w:pPr>
              <w:spacing w:after="20"/>
              <w:jc w:val="right"/>
            </w:pPr>
            <w:r>
              <w:rPr>
                <w:color w:val="1C3A36"/>
                <w:sz w:val="16"/>
              </w:rPr>
              <w:t>7.88%</w:t>
            </w:r>
          </w:p>
        </w:tc>
        <w:tc>
          <w:tcPr>
            <w:tcW w:type="dxa" w:w="1382"/>
          </w:tcPr>
          <w:p>
            <w:pPr>
              <w:spacing w:after="20"/>
              <w:jc w:val="right"/>
            </w:pPr>
            <w:r>
              <w:rPr>
                <w:color w:val="1C3A36"/>
                <w:sz w:val="16"/>
              </w:rPr>
              <w:t>7.73%</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+8.5pp</w:t>
            </w:r>
          </w:p>
        </w:tc>
        <w:tc>
          <w:tcPr>
            <w:tcW w:type="dxa" w:w="1382"/>
            <w:shd w:val="clear" w:color="auto" w:fill="F6F1E6"/>
          </w:tcPr>
          <w:p>
            <w:pPr>
              <w:spacing w:after="20"/>
              <w:jc w:val="right"/>
            </w:pPr>
            <w:r>
              <w:rPr>
                <w:b/>
                <w:color w:val="1C3A36"/>
                <w:sz w:val="16"/>
              </w:rPr>
              <w:t>+7.2pp</w:t>
            </w:r>
          </w:p>
        </w:tc>
        <w:tc>
          <w:tcPr>
            <w:tcW w:type="dxa" w:w="1382"/>
            <w:shd w:val="clear" w:color="auto" w:fill="F6F1E6"/>
          </w:tcPr>
          <w:p>
            <w:pPr>
              <w:spacing w:after="20"/>
              <w:jc w:val="right"/>
            </w:pPr>
            <w:r>
              <w:rPr>
                <w:b/>
                <w:color w:val="1C3A36"/>
                <w:sz w:val="16"/>
              </w:rPr>
              <w:t>+5.4pp</w:t>
            </w:r>
          </w:p>
        </w:tc>
        <w:tc>
          <w:tcPr>
            <w:tcW w:type="dxa" w:w="1382"/>
            <w:shd w:val="clear" w:color="auto" w:fill="F6F1E6"/>
          </w:tcPr>
          <w:p>
            <w:pPr>
              <w:spacing w:after="20"/>
              <w:jc w:val="right"/>
            </w:pPr>
            <w:r>
              <w:rPr>
                <w:b/>
                <w:color w:val="1C3A36"/>
                <w:sz w:val="16"/>
              </w:rPr>
              <w:t>+3.3pp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+6.3 percentage points to +3.3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2.08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2.86 a share between the two published constructions, and AED 4.37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7,110 million</w:t>
            </w:r>
          </w:p>
        </w:tc>
        <w:tc>
          <w:tcPr>
            <w:tcW w:type="dxa" w:w="3528"/>
          </w:tcPr>
          <w:p>
            <w:pPr>
              <w:spacing w:after="20"/>
            </w:pPr>
            <w:r>
              <w:rPr>
                <w:color w:val="1C3A36"/>
                <w:sz w:val="16"/>
              </w:rPr>
              <w:t>the capital-expenditure row spans AED 1.23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1.22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0.36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lenses that rest on it carry 45% of the weighted central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1,615</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(131)</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1,452</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1,227</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0.1658</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5.48 – 9.14</w:t>
            </w:r>
          </w:p>
        </w:tc>
      </w:tr>
    </w:tbl>
    <w:p>
      <w:pPr>
        <w:spacing w:after="40"/>
      </w:pPr>
    </w:p>
    <w:p>
      <w:pPr>
        <w:spacing w:after="120" w:before="0"/>
      </w:pPr>
      <w:r>
        <w:rPr>
          <w:b w:val="0"/>
          <w:i w:val="0"/>
          <w:color w:val="1C3A36"/>
          <w:sz w:val="21"/>
        </w:rPr>
        <w:t>Named sensitivity: each single turn of the multiple is worth AED 0.61 a share, so the 9×-to-15× range above spans AED 3.65.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(120)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914</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(9.34%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12,696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6.30</w:t>
            </w:r>
          </w:p>
        </w:tc>
      </w:tr>
      <w:tr>
        <w:trPr>
          <w:cantSplit/>
        </w:trPr>
        <w:tc>
          <w:tcPr>
            <w:tcW w:type="dxa" w:w="6912"/>
          </w:tcPr>
          <w:p>
            <w:pPr>
              <w:spacing w:after="20"/>
            </w:pPr>
            <w:r>
              <w:rPr>
                <w:color w:val="1C3A36"/>
                <w:sz w:val="16"/>
              </w:rPr>
              <w:t>Range — the low end at a cost of equity of 10.94%, built on the top of the beta's 90% interval (1.412), with lower growth; the high end at 7.75% on the bottom of it (0.758) with higher growth</w:t>
            </w:r>
          </w:p>
        </w:tc>
        <w:tc>
          <w:tcPr>
            <w:tcW w:type="dxa" w:w="3168"/>
          </w:tcPr>
          <w:p>
            <w:pPr>
              <w:spacing w:after="20"/>
              <w:jc w:val="right"/>
            </w:pPr>
            <w:r>
              <w:rPr>
                <w:color w:val="1C3A36"/>
                <w:sz w:val="16"/>
              </w:rPr>
              <w:t>4.61 – 8.86</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5.99 rather than AED 6.30,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6.30, below the study's own weighted central of AED 7.10, and the reason is specific: the five-year average free cash flow of USD 1,108 million is dragged down by the investment years. Free cash flow to the firm is USD 215 million in 2026E and USD 1,620 million in 2029E; averaging a business across a period when it is building the assets that produce the later number is a real charge against it. That is the method doing what it says it does, and it is why the range extends as high as AED 8.86.</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9.34% — and the answer is roughly AED 8.43 a share, a rise of about 34%.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4.24.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2,582</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3,621</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13,636</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9,857</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4.89</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3.48 – 6.00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c>
          <w:tcPr>
            <w:tcW w:type="dxa" w:w="1382"/>
          </w:tcPr>
          <w:p>
            <w:pPr>
              <w:spacing w:after="20"/>
              <w:jc w:val="right"/>
            </w:pPr>
            <w:r>
              <w:rPr>
                <w:color w:val="1C3A36"/>
                <w:sz w:val="16"/>
              </w:rPr>
              <w:t>8.49%</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+6.2pp</w:t>
            </w:r>
          </w:p>
        </w:tc>
        <w:tc>
          <w:tcPr>
            <w:tcW w:type="dxa" w:w="1382"/>
            <w:shd w:val="clear" w:color="auto" w:fill="F6F1E6"/>
          </w:tcPr>
          <w:p>
            <w:pPr>
              <w:spacing w:after="20"/>
              <w:jc w:val="right"/>
            </w:pPr>
            <w:r>
              <w:rPr>
                <w:b/>
                <w:color w:val="1C3A36"/>
                <w:sz w:val="16"/>
              </w:rPr>
              <w:t>+8.2pp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+4.8pp</w:t>
            </w:r>
          </w:p>
        </w:tc>
        <w:tc>
          <w:tcPr>
            <w:tcW w:type="dxa" w:w="1382"/>
            <w:shd w:val="clear" w:color="auto" w:fill="F6F1E6"/>
          </w:tcPr>
          <w:p>
            <w:pPr>
              <w:spacing w:after="20"/>
              <w:jc w:val="right"/>
            </w:pPr>
            <w:r>
              <w:rPr>
                <w:b/>
                <w:color w:val="1C3A36"/>
                <w:sz w:val="16"/>
              </w:rPr>
              <w:t>+2.6pp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616</w:t>
            </w:r>
          </w:p>
        </w:tc>
        <w:tc>
          <w:tcPr>
            <w:tcW w:type="dxa" w:w="1382"/>
          </w:tcPr>
          <w:p>
            <w:pPr>
              <w:spacing w:after="20"/>
              <w:jc w:val="right"/>
            </w:pPr>
            <w:r>
              <w:rPr>
                <w:color w:val="1C3A36"/>
                <w:sz w:val="16"/>
              </w:rPr>
              <w:t>882</w:t>
            </w:r>
          </w:p>
        </w:tc>
        <w:tc>
          <w:tcPr>
            <w:tcW w:type="dxa" w:w="1382"/>
          </w:tcPr>
          <w:p>
            <w:pPr>
              <w:spacing w:after="20"/>
              <w:jc w:val="right"/>
            </w:pPr>
            <w:r>
              <w:rPr>
                <w:color w:val="1C3A36"/>
                <w:sz w:val="16"/>
              </w:rPr>
              <w:t>770</w:t>
            </w:r>
          </w:p>
        </w:tc>
        <w:tc>
          <w:tcPr>
            <w:tcW w:type="dxa" w:w="1382"/>
          </w:tcPr>
          <w:p>
            <w:pPr>
              <w:spacing w:after="20"/>
              <w:jc w:val="right"/>
            </w:pPr>
            <w:r>
              <w:rPr>
                <w:color w:val="1C3A36"/>
                <w:sz w:val="16"/>
              </w:rPr>
              <w:t>549</w:t>
            </w:r>
          </w:p>
        </w:tc>
        <w:tc>
          <w:tcPr>
            <w:tcW w:type="dxa" w:w="1382"/>
          </w:tcPr>
          <w:p>
            <w:pPr>
              <w:spacing w:after="20"/>
              <w:jc w:val="right"/>
            </w:pPr>
            <w:r>
              <w:rPr>
                <w:color w:val="1C3A36"/>
                <w:sz w:val="16"/>
              </w:rPr>
              <w:t>294</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8.49% held flat across all five years rather than the declining schedule the cash-flow model discounts at, so the spread row is exactly the return row less 8.49% and the economic-profit row is exactly that spread on the same closing capital. Appendix A.3 shows the spread on the declining schedule instead, which is why the two tables give different spreads from the same returns. Note also that this leg's enterprise value of USD 13,636 million differs from the cash-flow model's USD 17,445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4.89 that already sits 21% below the market price, and takes the fifth-year spread of +2.6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1,620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4.24,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6.17, the vertical line the market price of AED 6.16.</w:t>
      </w:r>
    </w:p>
    <w:p>
      <w:pPr>
        <w:spacing w:after="120" w:before="0"/>
      </w:pPr>
      <w:r>
        <w:rPr>
          <w:b w:val="0"/>
          <w:i w:val="0"/>
          <w:color w:val="1C3A36"/>
          <w:sz w:val="21"/>
        </w:rPr>
        <w:t>The panel spans AED 4.89 to 7.31 — a factor of 1.49 between the most and least generous base case, which is a narrow disagreement by the standards of this series. That narrowness is itself informative: three methods that share almost nothing methodologically land within AED 2.42 of one another. The market price of AED 6.16 falls inside that span, and so does this study's own cash-flow lens; the weighted central of AED 7.10 sits inside it as well.</w:t>
      </w:r>
    </w:p>
    <w:p>
      <w:pPr>
        <w:spacing w:after="120" w:before="0"/>
      </w:pPr>
      <w:r>
        <w:rPr>
          <w:b w:val="0"/>
          <w:i w:val="0"/>
          <w:color w:val="1C3A36"/>
          <w:sz w:val="21"/>
        </w:rPr>
        <w:t>The panel centre of AED 6.17 sits level with the market price and -13% against this study's weighted central. That gap is real and it has a single explanation: every one of the three experts works from mid-cycle or five-year-average earnings, and none of them capitalises a terminal value the way the cash-flow model does. The cash-flow model puts 75%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9.34%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1.01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75%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0.36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8.24 appears throughout this document beside the adopted AED 7.10.</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