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7C78"/>
          <w:sz w:val="18"/>
          <w:szCs w:val="18"/>
        </w:rPr>
        <w:t xml:space="preserve">TESTAHIL — Standing Research Programme</w:t>
      </w:r>
    </w:p>
    <w:p>
      <w:pPr>
        <w:spacing w:after="6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12211E"/>
          <w:sz w:val="40"/>
          <w:szCs w:val="40"/>
        </w:rPr>
        <w:t xml:space="preserve">GB Corp (GBCO.CA, EGX) — Valuation Update</w:t>
      </w:r>
    </w:p>
    <w:p>
      <w:pPr>
        <w:spacing w:after="20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2796B"/>
          <w:sz w:val="22"/>
          <w:szCs w:val="22"/>
        </w:rPr>
        <w:t xml:space="preserve">Fair-value re-issue under the corrected cost-of-capital method · 30 August 2026</w:t>
      </w:r>
    </w:p>
    <w:p>
      <w:pPr>
        <w:pStyle w:val="Heading2"/>
        <w:spacing w:after="140" w:before="240"/>
      </w:pPr>
      <w:r>
        <w:rPr>
          <w:rFonts w:ascii="Georgia" w:cs="Georgia" w:eastAsia="Georgia" w:hAnsi="Georgia"/>
          <w:b/>
          <w:bCs/>
          <w:color w:val="12796B"/>
          <w:sz w:val="24"/>
          <w:szCs w:val="24"/>
        </w:rPr>
        <w:t xml:space="preserve">Read this first</w:t>
      </w:r>
    </w:p>
    <w:p>
      <w:pPr>
        <w:spacing w:after="12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2211E"/>
          <w:sz w:val="21"/>
          <w:szCs w:val="21"/>
        </w:rPr>
        <w:t xml:space="preserve">This edition re-derives GB Corp's fair value on a rebuilt foundation: fifteen fiscal years (2011–2025) of the company's own audited statements and disclosures plus the reviewed 2026 interims, a regression beta measured against the exchange's published EGX30 index, and a cost of capital constructed so that Egypt country risk is counted once, not twice. Before this build, the forecasting method itself was back-tested against the company's own history at ten annual starting points; that record shapes how far ahead we state single numbers versus ranges. This document updates the valuation of the 8 July 2026 study; it does not restate that study's full company narrative.</w:t>
      </w:r>
    </w:p>
    <w:p>
      <w:pPr>
        <w:spacing w:after="1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B7C78"/>
          <w:sz w:val="21"/>
          <w:szCs w:val="21"/>
        </w:rPr>
        <w:t xml:space="preserve">Nothing here is a recommendation, rating, or price target. We publish fair-value ranges and the assumptions behind them, and we grade our own record publicly.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2211E"/>
          <w:sz w:val="30"/>
          <w:szCs w:val="30"/>
        </w:rPr>
        <w:t xml:space="preserve">Fair value</w:t>
      </w:r>
    </w:p>
    <w:tbl>
      <w:tblPr>
        <w:tblW w:type="dxa" w:w="8800"/>
        <w:tblBorders>
          <w:top w:val="single" w:color="DCE4E2" w:sz="4"/>
          <w:left w:val="none"/>
          <w:bottom w:val="single" w:color="DCE4E2" w:sz="4"/>
          <w:right w:val="none"/>
          <w:insideH w:val="single" w:color="DCE4E2" w:sz="2"/>
          <w:insideV w:val="none"/>
        </w:tblBorders>
      </w:tblPr>
      <w:tblGrid>
        <w:gridCol w:w="3400"/>
        <w:gridCol w:w="1800"/>
        <w:gridCol w:w="1800"/>
        <w:gridCol w:w="1800"/>
      </w:tblGrid>
      <w:tr>
        <w:trPr>
          <w:tblHeader/>
        </w:trPr>
        <w:tc>
          <w:tcPr>
            <w:tcW w:type="dxa" w:w="34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Bear</w:t>
            </w:r>
          </w:p>
        </w:tc>
        <w:tc>
          <w:tcPr>
            <w:tcW w:type="dxa" w:w="18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Base</w:t>
            </w:r>
          </w:p>
        </w:tc>
        <w:tc>
          <w:tcPr>
            <w:tcW w:type="dxa" w:w="18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Full value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Fair value (EGP/share)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15.8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27.1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34.3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vs close 2026-08-23 (EGP 29.51)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-46%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-8%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16%</w:t>
            </w:r>
          </w:p>
        </w:tc>
      </w:tr>
    </w:tbl>
    <w:p>
      <w:pPr>
        <w:spacing w:after="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2211E"/>
          <w:sz w:val="21"/>
          <w:szCs w:val="21"/>
        </w:rPr>
        <w:t xml:space="preserve"/>
      </w:r>
    </w:p>
    <w:p>
      <w:pPr>
        <w:spacing w:after="20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2211E"/>
          <w:sz w:val="21"/>
          <w:szCs w:val="21"/>
        </w:rPr>
        <w:t xml:space="preserve">The base case sits essentially at the market price: at today's Egyptian discount rates the operating businesses are worth modest value net of their debt, and the MNT-Halan stake — marked by its own June 2026 funding round — carries most of the equity story. The previous edition's higher fair value (35.7) rested on a cost of capital that double-counted country risk, an assumed beta of 1.0, and a larger multiple on the financing arm; each of those legs is rebuilt below.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2211E"/>
          <w:sz w:val="30"/>
          <w:szCs w:val="30"/>
        </w:rPr>
        <w:t xml:space="preserve">What changed since 8 July 2026</w:t>
      </w:r>
    </w:p>
    <w:tbl>
      <w:tblPr>
        <w:tblW w:type="dxa" w:w="10400"/>
        <w:tblBorders>
          <w:top w:val="single" w:color="DCE4E2" w:sz="4"/>
          <w:left w:val="none"/>
          <w:bottom w:val="single" w:color="DCE4E2" w:sz="4"/>
          <w:right w:val="none"/>
          <w:insideH w:val="single" w:color="DCE4E2" w:sz="2"/>
          <w:insideV w:val="none"/>
        </w:tblBorders>
      </w:tblPr>
      <w:tblGrid>
        <w:gridCol w:w="2300"/>
        <w:gridCol w:w="3200"/>
        <w:gridCol w:w="4900"/>
      </w:tblGrid>
      <w:tr>
        <w:trPr>
          <w:tblHeader/>
        </w:trPr>
        <w:tc>
          <w:tcPr>
            <w:tcW w:type="dxa" w:w="23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8 Jul 2026 edition</w:t>
            </w:r>
          </w:p>
        </w:tc>
        <w:tc>
          <w:tcPr>
            <w:tcW w:type="dxa" w:w="49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This edition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Risk-free basis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raw 10Y yield 22.55%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10Y 22.87% less Egypt's own default spread → rf* 19.46% (CDS basis)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Beta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1.00 assumed (regression rejected)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0.89 vs EGX30, weekly, n=251, 4.9y window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Cost of equity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31.96% (CDS basis)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27.84% (CDS) / 28.92% (rating)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WACC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22.94% (CDS basis)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24.25% (CDS) / 24.89% (rating)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MNT-Halan stake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41.61% at USD 1.4bn round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42.93% today (41.61% after second closing), shown BOTH at carrying value and at the round mark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Financing arm (ex-MNT)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EGP 9,500mn (earnings multiple)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EGP 5,459mn at book, cross-checked on earnings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History behind the forecast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 years of aggregates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15 audited years + 2026 interims; method back-tested at 10 starting points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Years 3–5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point estimates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ranges from the back-test's own error record</w:t>
            </w:r>
          </w:p>
        </w:tc>
      </w:tr>
    </w:tbl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2211E"/>
          <w:sz w:val="30"/>
          <w:szCs w:val="30"/>
        </w:rPr>
        <w:t xml:space="preserve">Cost of capital (built bottom-up, both bases)</w:t>
      </w:r>
    </w:p>
    <w:p>
      <w:pPr>
        <w:spacing w:after="12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2211E"/>
          <w:sz w:val="21"/>
          <w:szCs w:val="21"/>
        </w:rPr>
        <w:t xml:space="preserve">Country risk enters once, through the equity risk premium. The risk-free rate is the observed local 10-year yield stripped of Egypt's own sovereign default spread; the same basis of spread is stripped as the premium adds back (rating with rating, CDS with CDS). Sources: Egypt 10Y 22.87% (27 Aug 2026); Damodaran country table, Egypt row, January 2026 vintage; central bank corridor held at 20.0% lending on 20 August 2026.</w:t>
      </w:r>
    </w:p>
    <w:tbl>
      <w:tblPr>
        <w:tblW w:type="dxa" w:w="8800"/>
        <w:tblBorders>
          <w:top w:val="single" w:color="DCE4E2" w:sz="4"/>
          <w:left w:val="none"/>
          <w:bottom w:val="single" w:color="DCE4E2" w:sz="4"/>
          <w:right w:val="none"/>
          <w:insideH w:val="single" w:color="DCE4E2" w:sz="2"/>
          <w:insideV w:val="none"/>
        </w:tblBorders>
      </w:tblPr>
      <w:tblGrid>
        <w:gridCol w:w="3800"/>
        <w:gridCol w:w="2500"/>
        <w:gridCol w:w="2500"/>
      </w:tblGrid>
      <w:tr>
        <w:trPr>
          <w:tblHeader/>
        </w:trPr>
        <w:tc>
          <w:tcPr>
            <w:tcW w:type="dxa" w:w="38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Rating basis</w:t>
            </w:r>
          </w:p>
        </w:tc>
        <w:tc>
          <w:tcPr>
            <w:tcW w:type="dxa" w:w="25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CDS basis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rf* (normalised risk-free)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16.50%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19.46%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Equity risk premium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13.94%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9.41%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Beta (own stock vs EGX30)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0.89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0.89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Cost of equity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28.92%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27.84%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Cost of debt, pre-tax (marginal)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24.37%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24.37%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Weights (E / D)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60% / 40%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60% / 40%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WACC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24.89%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24.25%  ← used in the DCF</w:t>
            </w:r>
          </w:p>
        </w:tc>
      </w:tr>
    </w:tbl>
    <w:p>
      <w:pPr>
        <w:spacing w:after="12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7C78"/>
          <w:sz w:val="21"/>
          <w:szCs w:val="21"/>
        </w:rPr>
        <w:t xml:space="preserve">The marginal cost of debt is set from the sovereign 10-year plus a 150bp corporate spread (24.37% pre-tax). Because the group borrows mostly short-tenor Egyptian pounds (its net foreign-currency exposure is only about EGP 2.2bn against a ~38bn debt book), a short-tenor reading of roughly 22% is also shown in our sensitivity work; it moves the base fair value by under one pound.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2211E"/>
          <w:sz w:val="30"/>
          <w:szCs w:val="30"/>
        </w:rPr>
        <w:t xml:space="preserve">Forecast 2026–2030 (built from units × price, by line of business)</w:t>
      </w:r>
    </w:p>
    <w:p>
      <w:pPr>
        <w:spacing w:after="12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2211E"/>
          <w:sz w:val="21"/>
          <w:szCs w:val="21"/>
        </w:rPr>
        <w:t xml:space="preserve">Volumes and average selling prices come from the company's own line-of-business tables; the first forecast half-year is anchored on the reported H1-2026 actuals. Margins are outputs of the segment mix, not inputs. Group revenue is the two segments less intercompany eliminations.</w:t>
      </w:r>
    </w:p>
    <w:tbl>
      <w:tblPr>
        <w:tblW w:type="dxa" w:w="10400"/>
        <w:tblBorders>
          <w:top w:val="single" w:color="DCE4E2" w:sz="4"/>
          <w:left w:val="none"/>
          <w:bottom w:val="single" w:color="DCE4E2" w:sz="4"/>
          <w:right w:val="none"/>
          <w:insideH w:val="single" w:color="DCE4E2" w:sz="2"/>
          <w:insideV w:val="none"/>
        </w:tblBorders>
      </w:tblPr>
      <w:tblGrid>
        <w:gridCol w:w="3300"/>
        <w:gridCol w:w="1420"/>
        <w:gridCol w:w="1420"/>
        <w:gridCol w:w="1420"/>
        <w:gridCol w:w="1420"/>
        <w:gridCol w:w="1420"/>
      </w:tblGrid>
      <w:tr>
        <w:trPr>
          <w:tblHeader/>
        </w:trPr>
        <w:tc>
          <w:tcPr>
            <w:tcW w:type="dxa" w:w="33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EGP mn</w:t>
            </w:r>
          </w:p>
        </w:tc>
        <w:tc>
          <w:tcPr>
            <w:tcW w:type="dxa" w:w="142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2026</w:t>
            </w:r>
          </w:p>
        </w:tc>
        <w:tc>
          <w:tcPr>
            <w:tcW w:type="dxa" w:w="142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2027</w:t>
            </w:r>
          </w:p>
        </w:tc>
        <w:tc>
          <w:tcPr>
            <w:tcW w:type="dxa" w:w="142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2028</w:t>
            </w:r>
          </w:p>
        </w:tc>
        <w:tc>
          <w:tcPr>
            <w:tcW w:type="dxa" w:w="142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2029</w:t>
            </w:r>
          </w:p>
        </w:tc>
        <w:tc>
          <w:tcPr>
            <w:tcW w:type="dxa" w:w="142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2030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Passenger cars &amp; after-sales (units)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62,619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68,255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73,715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78,875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83,608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Light mobility (units)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46,770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53,785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60,240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66,264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71,565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Commercial vehicles &amp; CE (units)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5,202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5,826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6,409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6,922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7,337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GB Auto revenue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85,325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105,501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126,901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149,113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172,653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GB Capital revenue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18,631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22,730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27,276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32,185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37,335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Group revenue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102,812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126,820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152,481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179,304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207,677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15.3%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15.7%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16.0%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16.3%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16.3%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Operating profit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8,147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10,566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13,209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15,984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18,516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Associates (MNT-Halan pickup)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850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1,063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1,328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1,660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2,075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Net finance cost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-4,700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-4,300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-3,900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-3,600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-3,400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Effective tax rate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40%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30%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27%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25%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24%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Net profit (parent)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2,828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5,180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7,665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10,333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12,785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EPS (EGP)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2.61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4.77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7.06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9.52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11.78</w:t>
            </w:r>
          </w:p>
        </w:tc>
      </w:tr>
    </w:tbl>
    <w:p>
      <w:pPr>
        <w:spacing w:after="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2211E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2211E"/>
          <w:sz w:val="21"/>
          <w:szCs w:val="21"/>
        </w:rPr>
        <w:t xml:space="preserve">Years three to five are stated as ranges, not points. Our back-test of this forecasting approach on GB Corp's own 2011–2025 history shows realised revenue three years out landing between roughly 0.6× and 1.4× the point estimate (wider at years four and five). Applied here:</w:t>
      </w:r>
    </w:p>
    <w:tbl>
      <w:tblPr>
        <w:tblW w:type="dxa" w:w="9000"/>
        <w:tblBorders>
          <w:top w:val="single" w:color="DCE4E2" w:sz="4"/>
          <w:left w:val="none"/>
          <w:bottom w:val="single" w:color="DCE4E2" w:sz="4"/>
          <w:right w:val="none"/>
          <w:insideH w:val="single" w:color="DCE4E2" w:sz="2"/>
          <w:insideV w:val="none"/>
        </w:tblBorders>
      </w:tblPr>
      <w:tblGrid>
        <w:gridCol w:w="3300"/>
        <w:gridCol w:w="1900"/>
        <w:gridCol w:w="1900"/>
        <w:gridCol w:w="1900"/>
      </w:tblGrid>
      <w:tr>
        <w:trPr>
          <w:tblHeader/>
        </w:trPr>
        <w:tc>
          <w:tcPr>
            <w:tcW w:type="dxa" w:w="33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Revenue range, EGP mn</w:t>
            </w:r>
          </w:p>
        </w:tc>
        <w:tc>
          <w:tcPr>
            <w:tcW w:type="dxa" w:w="19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Low</w:t>
            </w:r>
          </w:p>
        </w:tc>
        <w:tc>
          <w:tcPr>
            <w:tcW w:type="dxa" w:w="19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Point</w:t>
            </w:r>
          </w:p>
        </w:tc>
        <w:tc>
          <w:tcPr>
            <w:tcW w:type="dxa" w:w="19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2028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93,013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152,481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213,473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2029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68,135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179,304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233,095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2030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85,148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207,677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232,599</w:t>
            </w:r>
          </w:p>
        </w:tc>
      </w:tr>
    </w:tbl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2211E"/>
          <w:sz w:val="30"/>
          <w:szCs w:val="30"/>
        </w:rPr>
        <w:t xml:space="preserve">Sum of the parts — one table, every step</w:t>
      </w:r>
    </w:p>
    <w:p>
      <w:pPr>
        <w:spacing w:after="12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2211E"/>
          <w:sz w:val="21"/>
          <w:szCs w:val="21"/>
        </w:rPr>
        <w:t xml:space="preserve">GB Corp is three businesses in one listing: an automotive assembler-distributor, a non-bank lender, and a 42.93% stake in MNT-Halan (41.61% once the announced second closing completes). The table below shows every scenario as one column, top to bottom: value each piece, add them up, state it per share, apply the 10% holding-company discount (conglomerates usually trade below the sum of their pieces), and state the total per share. The two Base columns differ in ONE thing — what the MNT-Halan stake is worth: its audited book value (framing A) or the price Al Ahly Capital actually paid in the June 2026 funding round (framing B). We show both and never average them; the update's central case stands on the round price, the bear case on book.</w:t>
      </w:r>
    </w:p>
    <w:tbl>
      <w:tblPr>
        <w:tblW w:type="dxa" w:w="10300"/>
        <w:tblBorders>
          <w:top w:val="single" w:color="DCE4E2" w:sz="4"/>
          <w:left w:val="none"/>
          <w:bottom w:val="single" w:color="DCE4E2" w:sz="4"/>
          <w:right w:val="none"/>
          <w:insideH w:val="single" w:color="DCE4E2" w:sz="2"/>
          <w:insideV w:val="none"/>
        </w:tblBorders>
      </w:tblPr>
      <w:tblGrid>
        <w:gridCol w:w="3100"/>
        <w:gridCol w:w="1650"/>
        <w:gridCol w:w="1900"/>
        <w:gridCol w:w="2000"/>
        <w:gridCol w:w="1650"/>
      </w:tblGrid>
      <w:tr>
        <w:trPr>
          <w:tblHeader/>
        </w:trPr>
        <w:tc>
          <w:tcPr>
            <w:tcW w:type="dxa" w:w="31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EGP mn (parent share)</w:t>
            </w:r>
          </w:p>
        </w:tc>
        <w:tc>
          <w:tcPr>
            <w:tcW w:type="dxa" w:w="165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Bear</w:t>
            </w:r>
          </w:p>
        </w:tc>
        <w:tc>
          <w:tcPr>
            <w:tcW w:type="dxa" w:w="19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Base — stake at book (A)</w:t>
            </w:r>
          </w:p>
        </w:tc>
        <w:tc>
          <w:tcPr>
            <w:tcW w:type="dxa" w:w="20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Base — stake at round price (B)</w:t>
            </w:r>
          </w:p>
        </w:tc>
        <w:tc>
          <w:tcPr>
            <w:tcW w:type="dxa" w:w="165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Car business (GB Auto, DCF)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3,712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6,187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6,187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8,662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Lender (GB Capital ex-MNT)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4,367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5,459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5,459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7,643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MNT-Halan stake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12,853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12,853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30,201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36,591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Other investments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836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836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836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836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Sum of the pieces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21,769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25,336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42,684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53,732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= per share, BEFORE discount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20.1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23.3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39.3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49.5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10% holding discount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-2,177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-2,534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-4,268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-5,373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Total after discount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19,592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22,803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38,416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48,359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= per share, AFTER discount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18.0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21.0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35.4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44.6</w:t>
            </w:r>
          </w:p>
        </w:tc>
      </w:tr>
    </w:tbl>
    <w:p>
      <w:pPr>
        <w:spacing w:after="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2211E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7C78"/>
          <w:sz w:val="21"/>
          <w:szCs w:val="21"/>
        </w:rPr>
        <w:t xml:space="preserve">Column notes: Bear = framing A plus the operating legs stressed (car business at 60% of its DCF value, lender at 0.8× book). Full = operating legs flexed up (×1.4) with the stake at the post-second-closing round value grown to a next mark. The lens table below reads straight off this one: its 'Sum of the parts' row is the AFTER-discount line (Bear / Base-B / Full columns) and its 'before the discount' row is the BEFORE line (Bear column uses Base-A's before-discount figure, since the bear framing is the book value).</w:t>
      </w:r>
    </w:p>
    <w:p>
      <w:pPr>
        <w:spacing w:after="12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2211E"/>
          <w:sz w:val="21"/>
          <w:szCs w:val="21"/>
        </w:rPr>
        <w:t xml:space="preserve">The gap between the two Base columns — about 14.4 EGP per share — is the honest width of this valuation. Framing B is a real transaction price; framing A is the audited book, but the auditor qualifies it every period because MNT-Halan's own statements are not made available. In dollars, the market capitalisation (~USD 637mn) is close to the stake's round-mark value alone (~USD 601mn) — at the market price you are paying for the stake and getting the automotive and lending businesses at little value.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2211E"/>
          <w:sz w:val="30"/>
          <w:szCs w:val="30"/>
        </w:rPr>
        <w:t xml:space="preserve">Four lenses, one field</w:t>
      </w:r>
    </w:p>
    <w:tbl>
      <w:tblPr>
        <w:tblW w:type="dxa" w:w="9700"/>
        <w:tblBorders>
          <w:top w:val="single" w:color="DCE4E2" w:sz="4"/>
          <w:left w:val="none"/>
          <w:bottom w:val="single" w:color="DCE4E2" w:sz="4"/>
          <w:right w:val="none"/>
          <w:insideH w:val="single" w:color="DCE4E2" w:sz="2"/>
          <w:insideV w:val="none"/>
        </w:tblBorders>
      </w:tblPr>
      <w:tblGrid>
        <w:gridCol w:w="3800"/>
        <w:gridCol w:w="1500"/>
        <w:gridCol w:w="1500"/>
        <w:gridCol w:w="1500"/>
        <w:gridCol w:w="1400"/>
      </w:tblGrid>
      <w:tr>
        <w:trPr>
          <w:tblHeader/>
        </w:trPr>
        <w:tc>
          <w:tcPr>
            <w:tcW w:type="dxa" w:w="38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Lens (EGP/share)</w:t>
            </w:r>
          </w:p>
        </w:tc>
        <w:tc>
          <w:tcPr>
            <w:tcW w:type="dxa" w:w="15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Bear</w:t>
            </w:r>
          </w:p>
        </w:tc>
        <w:tc>
          <w:tcPr>
            <w:tcW w:type="dxa" w:w="15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Base</w:t>
            </w:r>
          </w:p>
        </w:tc>
        <w:tc>
          <w:tcPr>
            <w:tcW w:type="dxa" w:w="15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Full</w:t>
            </w:r>
          </w:p>
        </w:tc>
        <w:tc>
          <w:tcPr>
            <w:tcW w:type="dxa" w:w="1400"/>
            <w:shd w:fill="F4F1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2211E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Sum of the parts (after 10% discount)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18.0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35.4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44.6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Sum of the parts (before the discount)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23.3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39.3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49.5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Relative (5–9× blended 2026–27E EPS)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18.4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25.8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33.2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Normalised earnings power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5.6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7.4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9.7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Weighted central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15.8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27.1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34.3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color w:val="12211E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6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2211E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7C78"/>
          <w:sz w:val="21"/>
          <w:szCs w:val="21"/>
        </w:rPr>
        <w:t xml:space="preserve">The lenses disagree, and the disagreement is information. The normalised-earnings lens is severe (7.4): at a 27.8% cost of equity, a business earning a low-teens return on its book is worth far less than that book — this is the discount-rate environment speaking, and it is the same force that keeps the automotive DCF modest. The relative and sum-of-the-parts lenses carry the recovery and the stake. The weighted centre of 27.1 should be read with the full bear-to-full span, not alone.</w:t>
      </w:r>
    </w:p>
    <w:p>
      <w:pPr>
        <w:pStyle w:val="Heading1"/>
        <w:spacing w:after="140" w:before="320"/>
      </w:pPr>
      <w:r>
        <w:rPr>
          <w:rFonts w:ascii="Georgia" w:cs="Georgia" w:eastAsia="Georgia" w:hAnsi="Georgia"/>
          <w:b/>
          <w:bCs/>
          <w:color w:val="12211E"/>
          <w:sz w:val="30"/>
          <w:szCs w:val="30"/>
        </w:rPr>
        <w:t xml:space="preserve">What would change our view</w:t>
      </w:r>
    </w:p>
    <w:p>
      <w:pPr>
        <w:spacing w:after="12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2211E"/>
          <w:sz w:val="21"/>
          <w:szCs w:val="21"/>
        </w:rPr>
        <w:t xml:space="preserve">Upside: the second MNT-Halan closing at or above the June round; Egyptian rate cuts resuming (each 100bp off the discount rate adds roughly 1.5–2 EGP across the legs); regional (Iraq/Jordan) losses fading on schedule from Q4 2026; Sadat localisation lifting automotive margins faster than the ~1pp/year assumed.</w:t>
      </w:r>
    </w:p>
    <w:p>
      <w:pPr>
        <w:spacing w:after="12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2211E"/>
          <w:sz w:val="21"/>
          <w:szCs w:val="21"/>
        </w:rPr>
        <w:t xml:space="preserve">Downside: a step-devaluation of the pound (raises the discount rate and compresses the auto margin before prices catch up); the effective tax burden staying near H1-2026's 41% instead of normalising; a funding-market shock to the securitisation channel the lending arm depends on; any down-round or write-down at MNT-Halan — the single largest sensitivity in this valuation.</w:t>
      </w:r>
    </w:p>
    <w:p>
      <w:pPr>
        <w:spacing w:after="1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12211E"/>
          <w:sz w:val="21"/>
          <w:szCs w:val="21"/>
        </w:rPr>
        <w:t xml:space="preserve">Known limits stated plainly: MNT-Halan's contribution is recorded by management and qualified by the auditor every period since 2024, because the associate's own financial statements are not provided; per-product unit costs are not disclosed, so segment margins are modelled at segment level; and our own back-testing says five-year revenue points carry roughly ±40–60% bands — which is why years three to five are published as ranges.</w:t>
      </w:r>
    </w:p>
    <w:p>
      <w:pPr>
        <w:pStyle w:val="Heading2"/>
        <w:spacing w:after="140" w:before="240"/>
      </w:pPr>
      <w:r>
        <w:rPr>
          <w:rFonts w:ascii="Georgia" w:cs="Georgia" w:eastAsia="Georgia" w:hAnsi="Georgia"/>
          <w:b/>
          <w:bCs/>
          <w:color w:val="12796B"/>
          <w:sz w:val="24"/>
          <w:szCs w:val="24"/>
        </w:rPr>
        <w:t xml:space="preserve">Basis of preparation</w:t>
      </w:r>
    </w:p>
    <w:p>
      <w:pPr>
        <w:spacing w:after="12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7C78"/>
          <w:sz w:val="19"/>
          <w:szCs w:val="19"/>
        </w:rPr>
        <w:t xml:space="preserve">Historic figures: the company's own audited consolidated financial statements (KPMG Hazem Hassan) 2011–2025 and reviewed interims to 30 June 2026, taken from the company's investor-relations site. Market inputs as of 27–30 August 2026 from the sources named in the cost-of-capital section. Beta: weekly two-stage regression of the stock on the published EGX30 index, 2021–2026. A source and date accompany every input in the published model file.</w:t>
      </w:r>
    </w:p>
    <w:p>
      <w:pPr>
        <w:spacing w:after="120" w:before="2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7C78"/>
          <w:sz w:val="18"/>
          <w:szCs w:val="18"/>
        </w:rPr>
        <w:t xml:space="preserve">© TESTAHIL 2026 · Educational research. Not investment advice, not an offer, not a solicitation. Fair-value ranges and probability statements only; we never publish buy/sell/hold ratings or price targets. Forecasts are graded publicly when they resolve.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2211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2026-08-30T15:27:55.830Z</dcterms:created>
  <dcterms:modified xsi:type="dcterms:W3CDTF">2026-08-30T15:27:55.831Z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