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On the method used here it is 35.79%. The June 2026 edition of this study used 18%, which is below the Egyptian government's own ten-year borrowing cost of 23.00% and therefore cannot be a rate for a company that pays tax to that government. Almost the whole difference between the two editions is this one input, and section 1.9 prices it end to end.</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two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48.83 and EGP 77.58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at book value and proportionally. The cases are not averaged, because averaging two answers to a question nobody has settled produces a number that was true in neither.</w:t>
      </w:r>
    </w:p>
    <w:p>
      <w:pPr>
        <w:spacing w:after="140"/>
      </w:pPr>
      <w:r>
        <w:rPr>
          <w:b w:val="0"/>
          <w:i w:val="0"/>
          <w:color w:val="1A1D21"/>
          <w:sz w:val="20"/>
        </w:rPr>
        <w:t>Run the same model backwards and ask what discount rate would reproduce the traded price, and the answer is 21.8% to 15.6%. That is close to what the Egyptian government itself pays to borrow for ten years, and it is well below the 35.79% this study uses. The gap is the disagreement, and it is reported rather than resolved.</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155"/>
        <w:gridCol w:w="1077"/>
        <w:gridCol w:w="1418"/>
        <w:gridCol w:w="1304"/>
        <w:gridCol w:w="1644"/>
        <w:gridCol w:w="1588"/>
      </w:tblGrid>
      <w:tr>
        <w:trPr>
          <w:tblHeader w:val="true"/>
        </w:trPr>
        <w:tc>
          <w:tcPr>
            <w:tcW w:type="dxa" w:w="2154"/>
          </w:tcPr>
          <w:p>
            <w:r/>
            <w:r>
              <w:rPr>
                <w:b/>
                <w:color w:val="5B6570"/>
                <w:sz w:val="17"/>
              </w:rPr>
              <w:t>Case</w:t>
            </w:r>
          </w:p>
        </w:tc>
        <w:tc>
          <w:tcPr>
            <w:tcW w:type="dxa" w:w="1077"/>
          </w:tcPr>
          <w:p>
            <w:r/>
            <w:r>
              <w:rPr>
                <w:b/>
                <w:color w:val="5B6570"/>
                <w:sz w:val="17"/>
              </w:rPr>
              <w:t>Discount rate</w:t>
            </w:r>
          </w:p>
        </w:tc>
        <w:tc>
          <w:tcPr>
            <w:tcW w:type="dxa" w:w="1417"/>
          </w:tcPr>
          <w:p>
            <w:r/>
            <w:r>
              <w:rPr>
                <w:b/>
                <w:color w:val="5B6570"/>
                <w:sz w:val="17"/>
              </w:rPr>
              <w:t>Enterprise value</w:t>
            </w:r>
          </w:p>
        </w:tc>
        <w:tc>
          <w:tcPr>
            <w:tcW w:type="dxa" w:w="1304"/>
          </w:tcPr>
          <w:p>
            <w:r/>
            <w:r>
              <w:rPr>
                <w:b/>
                <w:color w:val="5B6570"/>
                <w:sz w:val="17"/>
              </w:rPr>
              <w:t>Equity value</w:t>
            </w:r>
          </w:p>
        </w:tc>
        <w:tc>
          <w:tcPr>
            <w:tcW w:type="dxa" w:w="1644"/>
          </w:tcPr>
          <w:p>
            <w:r/>
            <w:r>
              <w:rPr>
                <w:b/>
                <w:color w:val="5B6570"/>
                <w:sz w:val="17"/>
              </w:rPr>
              <w:t>Per share, minority at book</w:t>
            </w:r>
          </w:p>
        </w:tc>
        <w:tc>
          <w:tcPr>
            <w:tcW w:type="dxa" w:w="1587"/>
          </w:tcPr>
          <w:p>
            <w:r/>
            <w:r>
              <w:rPr>
                <w:b/>
                <w:color w:val="5B6570"/>
                <w:sz w:val="17"/>
              </w:rPr>
              <w:t>Per share, minority pro rata</w:t>
            </w:r>
          </w:p>
        </w:tc>
      </w:tr>
      <w:tr>
        <w:trPr>
          <w:cantSplit/>
        </w:trPr>
        <w:tc>
          <w:tcPr>
            <w:tcW w:type="dxa" w:w="2154"/>
          </w:tcPr>
          <w:p>
            <w:r/>
            <w:r>
              <w:rPr>
                <w:color w:val="1A1D21"/>
                <w:sz w:val="17"/>
              </w:rPr>
              <w:t>Rating-based premium, slower conversion</w:t>
            </w:r>
          </w:p>
        </w:tc>
        <w:tc>
          <w:tcPr>
            <w:tcW w:type="dxa" w:w="1077"/>
          </w:tcPr>
          <w:p>
            <w:pPr>
              <w:jc w:val="right"/>
            </w:pPr>
            <w:r/>
            <w:r>
              <w:rPr>
                <w:color w:val="1A1D21"/>
                <w:sz w:val="17"/>
              </w:rPr>
              <w:t>31.57%</w:t>
            </w:r>
          </w:p>
        </w:tc>
        <w:tc>
          <w:tcPr>
            <w:tcW w:type="dxa" w:w="1417"/>
          </w:tcPr>
          <w:p>
            <w:pPr>
              <w:jc w:val="right"/>
            </w:pPr>
            <w:r/>
            <w:r>
              <w:rPr>
                <w:color w:val="1A1D21"/>
                <w:sz w:val="17"/>
              </w:rPr>
              <w:t>96,361</w:t>
            </w:r>
          </w:p>
        </w:tc>
        <w:tc>
          <w:tcPr>
            <w:tcW w:type="dxa" w:w="1304"/>
          </w:tcPr>
          <w:p>
            <w:pPr>
              <w:jc w:val="right"/>
            </w:pPr>
            <w:r/>
            <w:r>
              <w:rPr>
                <w:color w:val="1A1D21"/>
                <w:sz w:val="17"/>
              </w:rPr>
              <w:t>108,002</w:t>
            </w:r>
          </w:p>
        </w:tc>
        <w:tc>
          <w:tcPr>
            <w:tcW w:type="dxa" w:w="1644"/>
          </w:tcPr>
          <w:p>
            <w:pPr>
              <w:jc w:val="right"/>
            </w:pPr>
            <w:r/>
            <w:r>
              <w:rPr>
                <w:color w:val="1A1D21"/>
                <w:sz w:val="17"/>
              </w:rPr>
              <w:t>52.41</w:t>
            </w:r>
          </w:p>
        </w:tc>
        <w:tc>
          <w:tcPr>
            <w:tcW w:type="dxa" w:w="1587"/>
          </w:tcPr>
          <w:p>
            <w:pPr>
              <w:jc w:val="right"/>
            </w:pPr>
            <w:r/>
            <w:r>
              <w:rPr>
                <w:color w:val="1A1D21"/>
                <w:sz w:val="17"/>
              </w:rPr>
              <w:t>48.83</w:t>
            </w:r>
          </w:p>
        </w:tc>
      </w:tr>
      <w:tr>
        <w:trPr>
          <w:cantSplit/>
        </w:trPr>
        <w:tc>
          <w:tcPr>
            <w:tcW w:type="dxa" w:w="2154"/>
          </w:tcPr>
          <w:p>
            <w:r/>
            <w:r>
              <w:rPr>
                <w:color w:val="1A1D21"/>
                <w:sz w:val="17"/>
              </w:rPr>
              <w:t>Rating-based premium, faster conversion</w:t>
            </w:r>
          </w:p>
        </w:tc>
        <w:tc>
          <w:tcPr>
            <w:tcW w:type="dxa" w:w="1077"/>
          </w:tcPr>
          <w:p>
            <w:pPr>
              <w:jc w:val="right"/>
            </w:pPr>
            <w:r/>
            <w:r>
              <w:rPr>
                <w:color w:val="1A1D21"/>
                <w:sz w:val="17"/>
              </w:rPr>
              <w:t>31.57%</w:t>
            </w:r>
          </w:p>
        </w:tc>
        <w:tc>
          <w:tcPr>
            <w:tcW w:type="dxa" w:w="1417"/>
          </w:tcPr>
          <w:p>
            <w:pPr>
              <w:jc w:val="right"/>
            </w:pPr>
            <w:r/>
            <w:r>
              <w:rPr>
                <w:color w:val="1A1D21"/>
                <w:sz w:val="17"/>
              </w:rPr>
              <w:t>133,016</w:t>
            </w:r>
          </w:p>
        </w:tc>
        <w:tc>
          <w:tcPr>
            <w:tcW w:type="dxa" w:w="1304"/>
          </w:tcPr>
          <w:p>
            <w:pPr>
              <w:jc w:val="right"/>
            </w:pPr>
            <w:r/>
            <w:r>
              <w:rPr>
                <w:color w:val="1A1D21"/>
                <w:sz w:val="17"/>
              </w:rPr>
              <w:t>144,657</w:t>
            </w:r>
          </w:p>
        </w:tc>
        <w:tc>
          <w:tcPr>
            <w:tcW w:type="dxa" w:w="1644"/>
          </w:tcPr>
          <w:p>
            <w:pPr>
              <w:jc w:val="right"/>
            </w:pPr>
            <w:r/>
            <w:r>
              <w:rPr>
                <w:color w:val="1A1D21"/>
                <w:sz w:val="17"/>
              </w:rPr>
              <w:t>70.20</w:t>
            </w:r>
          </w:p>
        </w:tc>
        <w:tc>
          <w:tcPr>
            <w:tcW w:type="dxa" w:w="1587"/>
          </w:tcPr>
          <w:p>
            <w:pPr>
              <w:jc w:val="right"/>
            </w:pPr>
            <w:r/>
            <w:r>
              <w:rPr>
                <w:color w:val="1A1D21"/>
                <w:sz w:val="17"/>
              </w:rPr>
              <w:t>58.57</w:t>
            </w:r>
          </w:p>
        </w:tc>
      </w:tr>
      <w:tr>
        <w:trPr>
          <w:cantSplit/>
        </w:trPr>
        <w:tc>
          <w:tcPr>
            <w:tcW w:type="dxa" w:w="2154"/>
          </w:tcPr>
          <w:p>
            <w:r/>
            <w:r>
              <w:rPr>
                <w:color w:val="1A1D21"/>
                <w:sz w:val="17"/>
              </w:rPr>
              <w:t>Credit-default-swap premium, slower conversion</w:t>
            </w:r>
          </w:p>
        </w:tc>
        <w:tc>
          <w:tcPr>
            <w:tcW w:type="dxa" w:w="1077"/>
          </w:tcPr>
          <w:p>
            <w:pPr>
              <w:jc w:val="right"/>
            </w:pPr>
            <w:r/>
            <w:r>
              <w:rPr>
                <w:color w:val="1A1D21"/>
                <w:sz w:val="17"/>
              </w:rPr>
              <w:t>28.49%</w:t>
            </w:r>
          </w:p>
        </w:tc>
        <w:tc>
          <w:tcPr>
            <w:tcW w:type="dxa" w:w="1417"/>
          </w:tcPr>
          <w:p>
            <w:pPr>
              <w:jc w:val="right"/>
            </w:pPr>
            <w:r/>
            <w:r>
              <w:rPr>
                <w:color w:val="1A1D21"/>
                <w:sz w:val="17"/>
              </w:rPr>
              <w:t>106,491</w:t>
            </w:r>
          </w:p>
        </w:tc>
        <w:tc>
          <w:tcPr>
            <w:tcW w:type="dxa" w:w="1304"/>
          </w:tcPr>
          <w:p>
            <w:pPr>
              <w:jc w:val="right"/>
            </w:pPr>
            <w:r/>
            <w:r>
              <w:rPr>
                <w:color w:val="1A1D21"/>
                <w:sz w:val="17"/>
              </w:rPr>
              <w:t>118,132</w:t>
            </w:r>
          </w:p>
        </w:tc>
        <w:tc>
          <w:tcPr>
            <w:tcW w:type="dxa" w:w="1644"/>
          </w:tcPr>
          <w:p>
            <w:pPr>
              <w:jc w:val="right"/>
            </w:pPr>
            <w:r/>
            <w:r>
              <w:rPr>
                <w:color w:val="1A1D21"/>
                <w:sz w:val="17"/>
              </w:rPr>
              <w:t>57.33</w:t>
            </w:r>
          </w:p>
        </w:tc>
        <w:tc>
          <w:tcPr>
            <w:tcW w:type="dxa" w:w="1587"/>
          </w:tcPr>
          <w:p>
            <w:pPr>
              <w:jc w:val="right"/>
            </w:pPr>
            <w:r/>
            <w:r>
              <w:rPr>
                <w:color w:val="1A1D21"/>
                <w:sz w:val="17"/>
              </w:rPr>
              <w:t>51.52</w:t>
            </w:r>
          </w:p>
        </w:tc>
      </w:tr>
      <w:tr>
        <w:trPr>
          <w:cantSplit/>
        </w:trPr>
        <w:tc>
          <w:tcPr>
            <w:tcW w:type="dxa" w:w="2154"/>
          </w:tcPr>
          <w:p>
            <w:r/>
            <w:r>
              <w:rPr>
                <w:color w:val="1A1D21"/>
                <w:sz w:val="17"/>
              </w:rPr>
              <w:t>Credit-default-swap premium, faster conversion</w:t>
            </w:r>
          </w:p>
        </w:tc>
        <w:tc>
          <w:tcPr>
            <w:tcW w:type="dxa" w:w="1077"/>
          </w:tcPr>
          <w:p>
            <w:pPr>
              <w:jc w:val="right"/>
            </w:pPr>
            <w:r/>
            <w:r>
              <w:rPr>
                <w:color w:val="1A1D21"/>
                <w:sz w:val="17"/>
              </w:rPr>
              <w:t>28.49%</w:t>
            </w:r>
          </w:p>
        </w:tc>
        <w:tc>
          <w:tcPr>
            <w:tcW w:type="dxa" w:w="1417"/>
          </w:tcPr>
          <w:p>
            <w:pPr>
              <w:jc w:val="right"/>
            </w:pPr>
            <w:r/>
            <w:r>
              <w:rPr>
                <w:color w:val="1A1D21"/>
                <w:sz w:val="17"/>
              </w:rPr>
              <w:t>148,230</w:t>
            </w:r>
          </w:p>
        </w:tc>
        <w:tc>
          <w:tcPr>
            <w:tcW w:type="dxa" w:w="1304"/>
          </w:tcPr>
          <w:p>
            <w:pPr>
              <w:jc w:val="right"/>
            </w:pPr>
            <w:r/>
            <w:r>
              <w:rPr>
                <w:color w:val="1A1D21"/>
                <w:sz w:val="17"/>
              </w:rPr>
              <w:t>159,871</w:t>
            </w:r>
          </w:p>
        </w:tc>
        <w:tc>
          <w:tcPr>
            <w:tcW w:type="dxa" w:w="1644"/>
          </w:tcPr>
          <w:p>
            <w:pPr>
              <w:jc w:val="right"/>
            </w:pPr>
            <w:r/>
            <w:r>
              <w:rPr>
                <w:color w:val="1A1D21"/>
                <w:sz w:val="17"/>
              </w:rPr>
              <w:t>77.58</w:t>
            </w:r>
          </w:p>
        </w:tc>
        <w:tc>
          <w:tcPr>
            <w:tcW w:type="dxa" w:w="1587"/>
          </w:tcPr>
          <w:p>
            <w:pPr>
              <w:jc w:val="right"/>
            </w:pPr>
            <w:r/>
            <w:r>
              <w:rPr>
                <w:color w:val="1A1D21"/>
                <w:sz w:val="17"/>
              </w:rPr>
              <w:t>62.62</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80,546</w:t>
            </w:r>
          </w:p>
        </w:tc>
        <w:tc>
          <w:tcPr>
            <w:tcW w:type="dxa" w:w="1134"/>
          </w:tcPr>
          <w:p>
            <w:pPr>
              <w:jc w:val="right"/>
            </w:pPr>
            <w:r/>
            <w:r>
              <w:rPr>
                <w:color w:val="1A1D21"/>
                <w:sz w:val="17"/>
              </w:rPr>
              <w:t>95,682</w:t>
            </w:r>
          </w:p>
        </w:tc>
        <w:tc>
          <w:tcPr>
            <w:tcW w:type="dxa" w:w="1134"/>
          </w:tcPr>
          <w:p>
            <w:pPr>
              <w:jc w:val="right"/>
            </w:pPr>
            <w:r/>
            <w:r>
              <w:rPr>
                <w:color w:val="1A1D21"/>
                <w:sz w:val="17"/>
              </w:rPr>
              <w:t>112,134</w:t>
            </w:r>
          </w:p>
        </w:tc>
        <w:tc>
          <w:tcPr>
            <w:tcW w:type="dxa" w:w="1134"/>
          </w:tcPr>
          <w:p>
            <w:pPr>
              <w:jc w:val="right"/>
            </w:pPr>
            <w:r/>
            <w:r>
              <w:rPr>
                <w:color w:val="1A1D21"/>
                <w:sz w:val="17"/>
              </w:rPr>
              <w:t>129,620</w:t>
            </w:r>
          </w:p>
        </w:tc>
        <w:tc>
          <w:tcPr>
            <w:tcW w:type="dxa" w:w="1134"/>
          </w:tcPr>
          <w:p>
            <w:pPr>
              <w:jc w:val="right"/>
            </w:pPr>
            <w:r/>
            <w:r>
              <w:rPr>
                <w:color w:val="1A1D21"/>
                <w:sz w:val="17"/>
              </w:rPr>
              <w:t>147,761</w:t>
            </w:r>
          </w:p>
        </w:tc>
      </w:tr>
      <w:tr>
        <w:trPr>
          <w:cantSplit/>
        </w:trPr>
        <w:tc>
          <w:tcPr>
            <w:tcW w:type="dxa" w:w="3515"/>
          </w:tcPr>
          <w:p>
            <w:r/>
            <w:r>
              <w:rPr>
                <w:color w:val="1A1D21"/>
                <w:sz w:val="17"/>
              </w:rPr>
              <w:t>Cost of revenue</w:t>
            </w:r>
          </w:p>
        </w:tc>
        <w:tc>
          <w:tcPr>
            <w:tcW w:type="dxa" w:w="1134"/>
          </w:tcPr>
          <w:p>
            <w:pPr>
              <w:jc w:val="right"/>
            </w:pPr>
            <w:r/>
            <w:r>
              <w:rPr>
                <w:color w:val="1A1D21"/>
                <w:sz w:val="17"/>
              </w:rPr>
              <w:t>-55,069</w:t>
            </w:r>
          </w:p>
        </w:tc>
        <w:tc>
          <w:tcPr>
            <w:tcW w:type="dxa" w:w="1134"/>
          </w:tcPr>
          <w:p>
            <w:pPr>
              <w:jc w:val="right"/>
            </w:pPr>
            <w:r/>
            <w:r>
              <w:rPr>
                <w:color w:val="1A1D21"/>
                <w:sz w:val="17"/>
              </w:rPr>
              <w:t>-65,417</w:t>
            </w:r>
          </w:p>
        </w:tc>
        <w:tc>
          <w:tcPr>
            <w:tcW w:type="dxa" w:w="1134"/>
          </w:tcPr>
          <w:p>
            <w:pPr>
              <w:jc w:val="right"/>
            </w:pPr>
            <w:r/>
            <w:r>
              <w:rPr>
                <w:color w:val="1A1D21"/>
                <w:sz w:val="17"/>
              </w:rPr>
              <w:t>-76,663</w:t>
            </w:r>
          </w:p>
        </w:tc>
        <w:tc>
          <w:tcPr>
            <w:tcW w:type="dxa" w:w="1134"/>
          </w:tcPr>
          <w:p>
            <w:pPr>
              <w:jc w:val="right"/>
            </w:pPr>
            <w:r/>
            <w:r>
              <w:rPr>
                <w:color w:val="1A1D21"/>
                <w:sz w:val="17"/>
              </w:rPr>
              <w:t>-88,617</w:t>
            </w:r>
          </w:p>
        </w:tc>
        <w:tc>
          <w:tcPr>
            <w:tcW w:type="dxa" w:w="1134"/>
          </w:tcPr>
          <w:p>
            <w:pPr>
              <w:jc w:val="right"/>
            </w:pPr>
            <w:r/>
            <w:r>
              <w:rPr>
                <w:color w:val="1A1D21"/>
                <w:sz w:val="17"/>
              </w:rPr>
              <w:t>-101,017</w:t>
            </w:r>
          </w:p>
        </w:tc>
      </w:tr>
      <w:tr>
        <w:trPr>
          <w:cantSplit/>
        </w:trPr>
        <w:tc>
          <w:tcPr>
            <w:tcW w:type="dxa" w:w="3515"/>
          </w:tcPr>
          <w:p>
            <w:r/>
            <w:r>
              <w:rPr>
                <w:color w:val="1A1D21"/>
                <w:sz w:val="17"/>
              </w:rPr>
              <w:t>Gross profit</w:t>
            </w:r>
          </w:p>
        </w:tc>
        <w:tc>
          <w:tcPr>
            <w:tcW w:type="dxa" w:w="1134"/>
          </w:tcPr>
          <w:p>
            <w:pPr>
              <w:jc w:val="right"/>
            </w:pPr>
            <w:r/>
            <w:r>
              <w:rPr>
                <w:color w:val="1A1D21"/>
                <w:sz w:val="17"/>
              </w:rPr>
              <w:t>25,477</w:t>
            </w:r>
          </w:p>
        </w:tc>
        <w:tc>
          <w:tcPr>
            <w:tcW w:type="dxa" w:w="1134"/>
          </w:tcPr>
          <w:p>
            <w:pPr>
              <w:jc w:val="right"/>
            </w:pPr>
            <w:r/>
            <w:r>
              <w:rPr>
                <w:color w:val="1A1D21"/>
                <w:sz w:val="17"/>
              </w:rPr>
              <w:t>30,266</w:t>
            </w:r>
          </w:p>
        </w:tc>
        <w:tc>
          <w:tcPr>
            <w:tcW w:type="dxa" w:w="1134"/>
          </w:tcPr>
          <w:p>
            <w:pPr>
              <w:jc w:val="right"/>
            </w:pPr>
            <w:r/>
            <w:r>
              <w:rPr>
                <w:color w:val="1A1D21"/>
                <w:sz w:val="17"/>
              </w:rPr>
              <w:t>35,471</w:t>
            </w:r>
          </w:p>
        </w:tc>
        <w:tc>
          <w:tcPr>
            <w:tcW w:type="dxa" w:w="1134"/>
          </w:tcPr>
          <w:p>
            <w:pPr>
              <w:jc w:val="right"/>
            </w:pPr>
            <w:r/>
            <w:r>
              <w:rPr>
                <w:color w:val="1A1D21"/>
                <w:sz w:val="17"/>
              </w:rPr>
              <w:t>41,003</w:t>
            </w:r>
          </w:p>
        </w:tc>
        <w:tc>
          <w:tcPr>
            <w:tcW w:type="dxa" w:w="1134"/>
          </w:tcPr>
          <w:p>
            <w:pPr>
              <w:jc w:val="right"/>
            </w:pPr>
            <w:r/>
            <w:r>
              <w:rPr>
                <w:color w:val="1A1D21"/>
                <w:sz w:val="17"/>
              </w:rPr>
              <w:t>46,743</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31.6%</w:t>
            </w:r>
          </w:p>
        </w:tc>
        <w:tc>
          <w:tcPr>
            <w:tcW w:type="dxa" w:w="1134"/>
          </w:tcPr>
          <w:p>
            <w:pPr>
              <w:jc w:val="right"/>
            </w:pPr>
            <w:r/>
            <w:r>
              <w:rPr>
                <w:color w:val="1A1D21"/>
                <w:sz w:val="17"/>
              </w:rPr>
              <w:t>31.6%</w:t>
            </w:r>
          </w:p>
        </w:tc>
        <w:tc>
          <w:tcPr>
            <w:tcW w:type="dxa" w:w="1134"/>
          </w:tcPr>
          <w:p>
            <w:pPr>
              <w:jc w:val="right"/>
            </w:pPr>
            <w:r/>
            <w:r>
              <w:rPr>
                <w:color w:val="1A1D21"/>
                <w:sz w:val="17"/>
              </w:rPr>
              <w:t>31.6%</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-5,438</w:t>
            </w:r>
          </w:p>
        </w:tc>
        <w:tc>
          <w:tcPr>
            <w:tcW w:type="dxa" w:w="1134"/>
          </w:tcPr>
          <w:p>
            <w:pPr>
              <w:jc w:val="right"/>
            </w:pPr>
            <w:r/>
            <w:r>
              <w:rPr>
                <w:color w:val="1A1D21"/>
                <w:sz w:val="17"/>
              </w:rPr>
              <w:t>-6,460</w:t>
            </w:r>
          </w:p>
        </w:tc>
        <w:tc>
          <w:tcPr>
            <w:tcW w:type="dxa" w:w="1134"/>
          </w:tcPr>
          <w:p>
            <w:pPr>
              <w:jc w:val="right"/>
            </w:pPr>
            <w:r/>
            <w:r>
              <w:rPr>
                <w:color w:val="1A1D21"/>
                <w:sz w:val="17"/>
              </w:rPr>
              <w:t>-7,570</w:t>
            </w:r>
          </w:p>
        </w:tc>
        <w:tc>
          <w:tcPr>
            <w:tcW w:type="dxa" w:w="1134"/>
          </w:tcPr>
          <w:p>
            <w:pPr>
              <w:jc w:val="right"/>
            </w:pPr>
            <w:r/>
            <w:r>
              <w:rPr>
                <w:color w:val="1A1D21"/>
                <w:sz w:val="17"/>
              </w:rPr>
              <w:t>-8,751</w:t>
            </w:r>
          </w:p>
        </w:tc>
        <w:tc>
          <w:tcPr>
            <w:tcW w:type="dxa" w:w="1134"/>
          </w:tcPr>
          <w:p>
            <w:pPr>
              <w:jc w:val="right"/>
            </w:pPr>
            <w:r/>
            <w:r>
              <w:rPr>
                <w:color w:val="1A1D21"/>
                <w:sz w:val="17"/>
              </w:rPr>
              <w:t>-9,975</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-1,201</w:t>
            </w:r>
          </w:p>
        </w:tc>
        <w:tc>
          <w:tcPr>
            <w:tcW w:type="dxa" w:w="1134"/>
          </w:tcPr>
          <w:p>
            <w:pPr>
              <w:jc w:val="right"/>
            </w:pPr>
            <w:r/>
            <w:r>
              <w:rPr>
                <w:color w:val="1A1D21"/>
                <w:sz w:val="17"/>
              </w:rPr>
              <w:t>-1,231</w:t>
            </w:r>
          </w:p>
        </w:tc>
      </w:tr>
      <w:tr>
        <w:trPr>
          <w:cantSplit/>
        </w:trPr>
        <w:tc>
          <w:tcPr>
            <w:tcW w:type="dxa" w:w="3515"/>
          </w:tcPr>
          <w:p>
            <w:r/>
            <w:r>
              <w:rPr>
                <w:color w:val="1A1D21"/>
                <w:sz w:val="17"/>
              </w:rPr>
              <w:t>Operating profit</w:t>
            </w:r>
          </w:p>
        </w:tc>
        <w:tc>
          <w:tcPr>
            <w:tcW w:type="dxa" w:w="1134"/>
          </w:tcPr>
          <w:p>
            <w:pPr>
              <w:jc w:val="right"/>
            </w:pPr>
            <w:r/>
            <w:r>
              <w:rPr>
                <w:color w:val="1A1D21"/>
                <w:sz w:val="17"/>
              </w:rPr>
              <w:t>18,897</w:t>
            </w:r>
          </w:p>
        </w:tc>
        <w:tc>
          <w:tcPr>
            <w:tcW w:type="dxa" w:w="1134"/>
          </w:tcPr>
          <w:p>
            <w:pPr>
              <w:jc w:val="right"/>
            </w:pPr>
            <w:r/>
            <w:r>
              <w:rPr>
                <w:color w:val="1A1D21"/>
                <w:sz w:val="17"/>
              </w:rPr>
              <w:t>22,650</w:t>
            </w:r>
          </w:p>
        </w:tc>
        <w:tc>
          <w:tcPr>
            <w:tcW w:type="dxa" w:w="1134"/>
          </w:tcPr>
          <w:p>
            <w:pPr>
              <w:jc w:val="right"/>
            </w:pPr>
            <w:r/>
            <w:r>
              <w:rPr>
                <w:color w:val="1A1D21"/>
                <w:sz w:val="17"/>
              </w:rPr>
              <w:t>26,724</w:t>
            </w:r>
          </w:p>
        </w:tc>
        <w:tc>
          <w:tcPr>
            <w:tcW w:type="dxa" w:w="1134"/>
          </w:tcPr>
          <w:p>
            <w:pPr>
              <w:jc w:val="right"/>
            </w:pPr>
            <w:r/>
            <w:r>
              <w:rPr>
                <w:color w:val="1A1D21"/>
                <w:sz w:val="17"/>
              </w:rPr>
              <w:t>31,052</w:t>
            </w:r>
          </w:p>
        </w:tc>
        <w:tc>
          <w:tcPr>
            <w:tcW w:type="dxa" w:w="1134"/>
          </w:tcPr>
          <w:p>
            <w:pPr>
              <w:jc w:val="right"/>
            </w:pPr>
            <w:r/>
            <w:r>
              <w:rPr>
                <w:color w:val="1A1D21"/>
                <w:sz w:val="17"/>
              </w:rPr>
              <w:t>35,537</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-4,252</w:t>
            </w:r>
          </w:p>
        </w:tc>
        <w:tc>
          <w:tcPr>
            <w:tcW w:type="dxa" w:w="1134"/>
          </w:tcPr>
          <w:p>
            <w:pPr>
              <w:jc w:val="right"/>
            </w:pPr>
            <w:r/>
            <w:r>
              <w:rPr>
                <w:color w:val="1A1D21"/>
                <w:sz w:val="17"/>
              </w:rPr>
              <w:t>-5,096</w:t>
            </w:r>
          </w:p>
        </w:tc>
        <w:tc>
          <w:tcPr>
            <w:tcW w:type="dxa" w:w="1134"/>
          </w:tcPr>
          <w:p>
            <w:pPr>
              <w:jc w:val="right"/>
            </w:pPr>
            <w:r/>
            <w:r>
              <w:rPr>
                <w:color w:val="1A1D21"/>
                <w:sz w:val="17"/>
              </w:rPr>
              <w:t>-6,013</w:t>
            </w:r>
          </w:p>
        </w:tc>
        <w:tc>
          <w:tcPr>
            <w:tcW w:type="dxa" w:w="1134"/>
          </w:tcPr>
          <w:p>
            <w:pPr>
              <w:jc w:val="right"/>
            </w:pPr>
            <w:r/>
            <w:r>
              <w:rPr>
                <w:color w:val="1A1D21"/>
                <w:sz w:val="17"/>
              </w:rPr>
              <w:t>-6,987</w:t>
            </w:r>
          </w:p>
        </w:tc>
        <w:tc>
          <w:tcPr>
            <w:tcW w:type="dxa" w:w="1134"/>
          </w:tcPr>
          <w:p>
            <w:pPr>
              <w:jc w:val="right"/>
            </w:pPr>
            <w:r/>
            <w:r>
              <w:rPr>
                <w:color w:val="1A1D21"/>
                <w:sz w:val="17"/>
              </w:rPr>
              <w:t>-7,996</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14,645</w:t>
            </w:r>
          </w:p>
        </w:tc>
        <w:tc>
          <w:tcPr>
            <w:tcW w:type="dxa" w:w="1134"/>
          </w:tcPr>
          <w:p>
            <w:pPr>
              <w:jc w:val="right"/>
            </w:pPr>
            <w:r/>
            <w:r>
              <w:rPr>
                <w:color w:val="1A1D21"/>
                <w:sz w:val="17"/>
              </w:rPr>
              <w:t>17,553</w:t>
            </w:r>
          </w:p>
        </w:tc>
        <w:tc>
          <w:tcPr>
            <w:tcW w:type="dxa" w:w="1134"/>
          </w:tcPr>
          <w:p>
            <w:pPr>
              <w:jc w:val="right"/>
            </w:pPr>
            <w:r/>
            <w:r>
              <w:rPr>
                <w:color w:val="1A1D21"/>
                <w:sz w:val="17"/>
              </w:rPr>
              <w:t>20,711</w:t>
            </w:r>
          </w:p>
        </w:tc>
        <w:tc>
          <w:tcPr>
            <w:tcW w:type="dxa" w:w="1134"/>
          </w:tcPr>
          <w:p>
            <w:pPr>
              <w:jc w:val="right"/>
            </w:pPr>
            <w:r/>
            <w:r>
              <w:rPr>
                <w:color w:val="1A1D21"/>
                <w:sz w:val="17"/>
              </w:rPr>
              <w:t>24,065</w:t>
            </w:r>
          </w:p>
        </w:tc>
        <w:tc>
          <w:tcPr>
            <w:tcW w:type="dxa" w:w="1134"/>
          </w:tcPr>
          <w:p>
            <w:pPr>
              <w:jc w:val="right"/>
            </w:pPr>
            <w:r/>
            <w:r>
              <w:rPr>
                <w:color w:val="1A1D21"/>
                <w:sz w:val="17"/>
              </w:rPr>
              <w:t>27,541</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1,201</w:t>
            </w:r>
          </w:p>
        </w:tc>
        <w:tc>
          <w:tcPr>
            <w:tcW w:type="dxa" w:w="1134"/>
          </w:tcPr>
          <w:p>
            <w:pPr>
              <w:jc w:val="right"/>
            </w:pPr>
            <w:r/>
            <w:r>
              <w:rPr>
                <w:color w:val="1A1D21"/>
                <w:sz w:val="17"/>
              </w:rPr>
              <w:t>1,231</w:t>
            </w:r>
          </w:p>
        </w:tc>
      </w:tr>
      <w:tr>
        <w:trPr>
          <w:cantSplit/>
        </w:trPr>
        <w:tc>
          <w:tcPr>
            <w:tcW w:type="dxa" w:w="3515"/>
          </w:tcPr>
          <w:p>
            <w:r/>
            <w:r>
              <w:rPr>
                <w:color w:val="1A1D21"/>
                <w:sz w:val="17"/>
              </w:rPr>
              <w:t>less capital spend</w:t>
            </w:r>
          </w:p>
        </w:tc>
        <w:tc>
          <w:tcPr>
            <w:tcW w:type="dxa" w:w="1134"/>
          </w:tcPr>
          <w:p>
            <w:pPr>
              <w:jc w:val="right"/>
            </w:pPr>
            <w:r/>
            <w:r>
              <w:rPr>
                <w:color w:val="1A1D21"/>
                <w:sz w:val="17"/>
              </w:rPr>
              <w:t>-2,320</w:t>
            </w:r>
          </w:p>
        </w:tc>
        <w:tc>
          <w:tcPr>
            <w:tcW w:type="dxa" w:w="1134"/>
          </w:tcPr>
          <w:p>
            <w:pPr>
              <w:jc w:val="right"/>
            </w:pPr>
            <w:r/>
            <w:r>
              <w:rPr>
                <w:color w:val="1A1D21"/>
                <w:sz w:val="17"/>
              </w:rPr>
              <w:t>-2,760</w:t>
            </w:r>
          </w:p>
        </w:tc>
        <w:tc>
          <w:tcPr>
            <w:tcW w:type="dxa" w:w="1134"/>
          </w:tcPr>
          <w:p>
            <w:pPr>
              <w:jc w:val="right"/>
            </w:pPr>
            <w:r/>
            <w:r>
              <w:rPr>
                <w:color w:val="1A1D21"/>
                <w:sz w:val="17"/>
              </w:rPr>
              <w:t>-3,239</w:t>
            </w:r>
          </w:p>
        </w:tc>
        <w:tc>
          <w:tcPr>
            <w:tcW w:type="dxa" w:w="1134"/>
          </w:tcPr>
          <w:p>
            <w:pPr>
              <w:jc w:val="right"/>
            </w:pPr>
            <w:r/>
            <w:r>
              <w:rPr>
                <w:color w:val="1A1D21"/>
                <w:sz w:val="17"/>
              </w:rPr>
              <w:t>-3,749</w:t>
            </w:r>
          </w:p>
        </w:tc>
        <w:tc>
          <w:tcPr>
            <w:tcW w:type="dxa" w:w="1134"/>
          </w:tcPr>
          <w:p>
            <w:pPr>
              <w:jc w:val="right"/>
            </w:pPr>
            <w:r/>
            <w:r>
              <w:rPr>
                <w:color w:val="1A1D21"/>
                <w:sz w:val="17"/>
              </w:rPr>
              <w:t>-4,279</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-6,024</w:t>
            </w:r>
          </w:p>
        </w:tc>
        <w:tc>
          <w:tcPr>
            <w:tcW w:type="dxa" w:w="1134"/>
          </w:tcPr>
          <w:p>
            <w:pPr>
              <w:jc w:val="right"/>
            </w:pPr>
            <w:r/>
            <w:r>
              <w:rPr>
                <w:color w:val="1A1D21"/>
                <w:sz w:val="17"/>
              </w:rPr>
              <w:t>-11,723</w:t>
            </w:r>
          </w:p>
        </w:tc>
        <w:tc>
          <w:tcPr>
            <w:tcW w:type="dxa" w:w="1134"/>
          </w:tcPr>
          <w:p>
            <w:pPr>
              <w:jc w:val="right"/>
            </w:pPr>
            <w:r/>
            <w:r>
              <w:rPr>
                <w:color w:val="1A1D21"/>
                <w:sz w:val="17"/>
              </w:rPr>
              <w:t>-16,407</w:t>
            </w:r>
          </w:p>
        </w:tc>
        <w:tc>
          <w:tcPr>
            <w:tcW w:type="dxa" w:w="1134"/>
          </w:tcPr>
          <w:p>
            <w:pPr>
              <w:jc w:val="right"/>
            </w:pPr>
            <w:r/>
            <w:r>
              <w:rPr>
                <w:color w:val="1A1D21"/>
                <w:sz w:val="17"/>
              </w:rPr>
              <w:t>-20,154</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-772</w:t>
            </w:r>
          </w:p>
        </w:tc>
        <w:tc>
          <w:tcPr>
            <w:tcW w:type="dxa" w:w="1134"/>
          </w:tcPr>
          <w:p>
            <w:pPr>
              <w:jc w:val="right"/>
            </w:pPr>
            <w:r/>
            <w:r>
              <w:rPr>
                <w:color w:val="1A1D21"/>
                <w:sz w:val="17"/>
              </w:rPr>
              <w:t>5,442</w:t>
            </w:r>
          </w:p>
        </w:tc>
        <w:tc>
          <w:tcPr>
            <w:tcW w:type="dxa" w:w="1134"/>
          </w:tcPr>
          <w:p>
            <w:pPr>
              <w:jc w:val="right"/>
            </w:pPr>
            <w:r/>
            <w:r>
              <w:rPr>
                <w:color w:val="1A1D21"/>
                <w:sz w:val="17"/>
              </w:rPr>
              <w:t>10,591</w:t>
            </w:r>
          </w:p>
        </w:tc>
        <w:tc>
          <w:tcPr>
            <w:tcW w:type="dxa" w:w="1134"/>
          </w:tcPr>
          <w:p>
            <w:pPr>
              <w:jc w:val="right"/>
            </w:pPr>
            <w:r/>
            <w:r>
              <w:rPr>
                <w:color w:val="1A1D21"/>
                <w:sz w:val="17"/>
              </w:rPr>
              <w:t>14,823</w:t>
            </w:r>
          </w:p>
        </w:tc>
        <w:tc>
          <w:tcPr>
            <w:tcW w:type="dxa" w:w="1134"/>
          </w:tcPr>
          <w:p>
            <w:pPr>
              <w:jc w:val="right"/>
            </w:pPr>
            <w:r/>
            <w:r>
              <w:rPr>
                <w:color w:val="1A1D21"/>
                <w:sz w:val="17"/>
              </w:rPr>
              <w:t>18,207</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13,550</w:t>
            </w:r>
          </w:p>
        </w:tc>
        <w:tc>
          <w:tcPr>
            <w:tcW w:type="dxa" w:w="1134"/>
          </w:tcPr>
          <w:p>
            <w:pPr>
              <w:jc w:val="right"/>
            </w:pPr>
            <w:r/>
            <w:r>
              <w:rPr>
                <w:color w:val="1A1D21"/>
                <w:sz w:val="17"/>
              </w:rPr>
              <w:t>15,369</w:t>
            </w:r>
          </w:p>
        </w:tc>
        <w:tc>
          <w:tcPr>
            <w:tcW w:type="dxa" w:w="1134"/>
          </w:tcPr>
          <w:p>
            <w:pPr>
              <w:jc w:val="right"/>
            </w:pPr>
            <w:r/>
            <w:r>
              <w:rPr>
                <w:color w:val="1A1D21"/>
                <w:sz w:val="17"/>
              </w:rPr>
              <w:t>17,517</w:t>
            </w:r>
          </w:p>
        </w:tc>
        <w:tc>
          <w:tcPr>
            <w:tcW w:type="dxa" w:w="1134"/>
          </w:tcPr>
          <w:p>
            <w:pPr>
              <w:jc w:val="right"/>
            </w:pPr>
            <w:r/>
            <w:r>
              <w:rPr>
                <w:color w:val="1A1D21"/>
                <w:sz w:val="17"/>
              </w:rPr>
              <w:t>19,933</w:t>
            </w:r>
          </w:p>
        </w:tc>
        <w:tc>
          <w:tcPr>
            <w:tcW w:type="dxa" w:w="1134"/>
          </w:tcPr>
          <w:p>
            <w:pPr>
              <w:jc w:val="right"/>
            </w:pPr>
            <w:r/>
            <w:r>
              <w:rPr>
                <w:color w:val="1A1D21"/>
                <w:sz w:val="17"/>
              </w:rPr>
              <w:t>22,547</w:t>
            </w:r>
          </w:p>
        </w:tc>
      </w:tr>
      <w:tr>
        <w:trPr>
          <w:cantSplit/>
        </w:trPr>
        <w:tc>
          <w:tcPr>
            <w:tcW w:type="dxa" w:w="3515"/>
          </w:tcPr>
          <w:p>
            <w:r/>
            <w:r>
              <w:rPr>
                <w:color w:val="1A1D21"/>
                <w:sz w:val="17"/>
              </w:rPr>
              <w:t>Discount factor</w:t>
            </w:r>
          </w:p>
        </w:tc>
        <w:tc>
          <w:tcPr>
            <w:tcW w:type="dxa" w:w="1134"/>
          </w:tcPr>
          <w:p>
            <w:pPr>
              <w:jc w:val="right"/>
            </w:pPr>
            <w:r/>
            <w:r>
              <w:rPr>
                <w:color w:val="1A1D21"/>
                <w:sz w:val="17"/>
              </w:rPr>
              <w:t>0.7601</w:t>
            </w:r>
          </w:p>
        </w:tc>
        <w:tc>
          <w:tcPr>
            <w:tcW w:type="dxa" w:w="1134"/>
          </w:tcPr>
          <w:p>
            <w:pPr>
              <w:jc w:val="right"/>
            </w:pPr>
            <w:r/>
            <w:r>
              <w:rPr>
                <w:color w:val="1A1D21"/>
                <w:sz w:val="17"/>
              </w:rPr>
              <w:t>0.5839</w:t>
            </w:r>
          </w:p>
        </w:tc>
        <w:tc>
          <w:tcPr>
            <w:tcW w:type="dxa" w:w="1134"/>
          </w:tcPr>
          <w:p>
            <w:pPr>
              <w:jc w:val="right"/>
            </w:pPr>
            <w:r/>
            <w:r>
              <w:rPr>
                <w:color w:val="1A1D21"/>
                <w:sz w:val="17"/>
              </w:rPr>
              <w:t>0.4535</w:t>
            </w:r>
          </w:p>
        </w:tc>
        <w:tc>
          <w:tcPr>
            <w:tcW w:type="dxa" w:w="1134"/>
          </w:tcPr>
          <w:p>
            <w:pPr>
              <w:jc w:val="right"/>
            </w:pPr>
            <w:r/>
            <w:r>
              <w:rPr>
                <w:color w:val="1A1D21"/>
                <w:sz w:val="17"/>
              </w:rPr>
              <w:t>0.3561</w:t>
            </w:r>
          </w:p>
        </w:tc>
        <w:tc>
          <w:tcPr>
            <w:tcW w:type="dxa" w:w="1134"/>
          </w:tcPr>
          <w:p>
            <w:pPr>
              <w:jc w:val="right"/>
            </w:pPr>
            <w:r/>
            <w:r>
              <w:rPr>
                <w:color w:val="1A1D21"/>
                <w:sz w:val="17"/>
              </w:rPr>
              <w:t>0.2827</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10,299</w:t>
            </w:r>
          </w:p>
        </w:tc>
        <w:tc>
          <w:tcPr>
            <w:tcW w:type="dxa" w:w="1134"/>
          </w:tcPr>
          <w:p>
            <w:pPr>
              <w:jc w:val="right"/>
            </w:pPr>
            <w:r/>
            <w:r>
              <w:rPr>
                <w:color w:val="1A1D21"/>
                <w:sz w:val="17"/>
              </w:rPr>
              <w:t>8,974</w:t>
            </w:r>
          </w:p>
        </w:tc>
        <w:tc>
          <w:tcPr>
            <w:tcW w:type="dxa" w:w="1134"/>
          </w:tcPr>
          <w:p>
            <w:pPr>
              <w:jc w:val="right"/>
            </w:pPr>
            <w:r/>
            <w:r>
              <w:rPr>
                <w:color w:val="1A1D21"/>
                <w:sz w:val="17"/>
              </w:rPr>
              <w:t>7,944</w:t>
            </w:r>
          </w:p>
        </w:tc>
        <w:tc>
          <w:tcPr>
            <w:tcW w:type="dxa" w:w="1134"/>
          </w:tcPr>
          <w:p>
            <w:pPr>
              <w:jc w:val="right"/>
            </w:pPr>
            <w:r/>
            <w:r>
              <w:rPr>
                <w:color w:val="1A1D21"/>
                <w:sz w:val="17"/>
              </w:rPr>
              <w:t>7,098</w:t>
            </w:r>
          </w:p>
        </w:tc>
        <w:tc>
          <w:tcPr>
            <w:tcW w:type="dxa" w:w="1134"/>
          </w:tcPr>
          <w:p>
            <w:pPr>
              <w:jc w:val="right"/>
            </w:pPr>
            <w:r/>
            <w:r>
              <w:rPr>
                <w:color w:val="1A1D21"/>
                <w:sz w:val="17"/>
              </w:rPr>
              <w:t>6,375</w:t>
            </w:r>
          </w:p>
        </w:tc>
      </w:tr>
    </w:tbl>
    <w:p>
      <w:pPr>
        <w:spacing w:after="200"/>
      </w:pPr>
      <w:r>
        <w:rPr>
          <w:b w:val="0"/>
          <w:i/>
          <w:color w:val="5B6570"/>
          <w:sz w:val="16"/>
        </w:rPr>
        <w:t>The first five of the ten explicit years, on the slower-conversion case; the full waterfall is in the workbook.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85,361</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0</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11,000</w:t>
            </w:r>
          </w:p>
        </w:tc>
      </w:tr>
      <w:tr>
        <w:trPr>
          <w:cantSplit/>
        </w:trPr>
        <w:tc>
          <w:tcPr>
            <w:tcW w:type="dxa" w:w="6236"/>
          </w:tcPr>
          <w:p>
            <w:r/>
            <w:r>
              <w:rPr>
                <w:color w:val="1A1D21"/>
                <w:sz w:val="17"/>
              </w:rPr>
              <w:t>Enterprise value</w:t>
            </w:r>
          </w:p>
        </w:tc>
        <w:tc>
          <w:tcPr>
            <w:tcW w:type="dxa" w:w="2948"/>
          </w:tcPr>
          <w:p>
            <w:pPr>
              <w:jc w:val="right"/>
            </w:pPr>
            <w:r/>
            <w:r>
              <w:rPr>
                <w:color w:val="1A1D21"/>
                <w:sz w:val="17"/>
              </w:rPr>
              <w:t>96,361</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183,654</w:t>
            </w:r>
          </w:p>
        </w:tc>
      </w:tr>
      <w:tr>
        <w:trPr>
          <w:cantSplit/>
        </w:trPr>
        <w:tc>
          <w:tcPr>
            <w:tcW w:type="dxa" w:w="6236"/>
          </w:tcPr>
          <w:p>
            <w:r/>
            <w:r>
              <w:rPr>
                <w:color w:val="1A1D21"/>
                <w:sz w:val="17"/>
              </w:rPr>
              <w:t>Non-controlling interests, at book</w:t>
            </w:r>
          </w:p>
        </w:tc>
        <w:tc>
          <w:tcPr>
            <w:tcW w:type="dxa" w:w="2948"/>
          </w:tcPr>
          <w:p>
            <w:pPr>
              <w:jc w:val="right"/>
            </w:pPr>
            <w:r/>
            <w:r>
              <w:rPr>
                <w:color w:val="1A1D21"/>
                <w:sz w:val="17"/>
              </w:rPr>
              <w:t>(75,653)</w:t>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108,002</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52.41</w:t>
            </w:r>
          </w:p>
        </w:tc>
      </w:tr>
    </w:tbl>
    <w:p>
      <w:pPr>
        <w:spacing w:after="200"/>
      </w:pPr>
      <w:r>
        <w:rPr>
          <w:b w:val="0"/>
          <w:i/>
          <w:color w:val="5B6570"/>
          <w:sz w:val="16"/>
        </w:rPr>
        <w:t>The slower-conversion case on the rating-based premium. The other three cases run the same bridge on their own numbers.</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1021"/>
        <w:gridCol w:w="2608"/>
        <w:gridCol w:w="2495"/>
        <w:gridCol w:w="2495"/>
      </w:tblGrid>
      <w:tr>
        <w:trPr>
          <w:tblHeader w:val="true"/>
        </w:trPr>
        <w:tc>
          <w:tcPr>
            <w:tcW w:type="dxa" w:w="1020"/>
          </w:tcPr>
          <w:p>
            <w:r/>
            <w:r>
              <w:rPr>
                <w:b/>
                <w:color w:val="5B6570"/>
                <w:sz w:val="17"/>
              </w:rPr>
              <w:t>Year</w:t>
            </w:r>
          </w:p>
        </w:tc>
        <w:tc>
          <w:tcPr>
            <w:tcW w:type="dxa" w:w="2608"/>
          </w:tcPr>
          <w:p>
            <w:r/>
            <w:r>
              <w:rPr>
                <w:b/>
                <w:color w:val="5B6570"/>
                <w:sz w:val="17"/>
              </w:rPr>
              <w:t>Attributable profit as reported</w:t>
            </w:r>
          </w:p>
        </w:tc>
        <w:tc>
          <w:tcPr>
            <w:tcW w:type="dxa" w:w="2494"/>
          </w:tcPr>
          <w:p>
            <w:r/>
            <w:r>
              <w:rPr>
                <w:b/>
                <w:color w:val="5B6570"/>
                <w:sz w:val="17"/>
              </w:rPr>
              <w:t>Revaluation gain at group level</w:t>
            </w:r>
          </w:p>
        </w:tc>
        <w:tc>
          <w:tcPr>
            <w:tcW w:type="dxa" w:w="2494"/>
          </w:tcPr>
          <w:p>
            <w:r/>
            <w:r>
              <w:rPr>
                <w:b/>
                <w:color w:val="5B6570"/>
                <w:sz w:val="17"/>
              </w:rPr>
              <w:t>Cleaned attributable profit</w:t>
            </w:r>
          </w:p>
        </w:tc>
      </w:tr>
      <w:tr>
        <w:trPr>
          <w:cantSplit/>
        </w:trPr>
        <w:tc>
          <w:tcPr>
            <w:tcW w:type="dxa" w:w="1020"/>
          </w:tcPr>
          <w:p>
            <w:r/>
            <w:r>
              <w:rPr>
                <w:color w:val="1A1D21"/>
                <w:sz w:val="17"/>
              </w:rPr>
              <w:t>2023</w:t>
            </w:r>
          </w:p>
        </w:tc>
        <w:tc>
          <w:tcPr>
            <w:tcW w:type="dxa" w:w="2608"/>
          </w:tcPr>
          <w:p>
            <w:pPr>
              <w:jc w:val="right"/>
            </w:pPr>
            <w:r/>
            <w:r>
              <w:rPr>
                <w:color w:val="1A1D21"/>
                <w:sz w:val="17"/>
              </w:rPr>
              <w:t>3,313</w:t>
            </w:r>
          </w:p>
        </w:tc>
        <w:tc>
          <w:tcPr>
            <w:tcW w:type="dxa" w:w="2494"/>
          </w:tcPr>
          <w:p>
            <w:pPr>
              <w:jc w:val="right"/>
            </w:pPr>
            <w:r/>
            <w:r>
              <w:rPr>
                <w:color w:val="1A1D21"/>
                <w:sz w:val="17"/>
              </w:rPr>
              <w:t>0</w:t>
            </w:r>
          </w:p>
        </w:tc>
        <w:tc>
          <w:tcPr>
            <w:tcW w:type="dxa" w:w="2494"/>
          </w:tcPr>
          <w:p>
            <w:pPr>
              <w:jc w:val="right"/>
            </w:pPr>
            <w:r/>
            <w:r>
              <w:rPr>
                <w:color w:val="1A1D21"/>
                <w:sz w:val="17"/>
              </w:rPr>
              <w:t>3,313</w:t>
            </w:r>
          </w:p>
        </w:tc>
      </w:tr>
      <w:tr>
        <w:trPr>
          <w:cantSplit/>
        </w:trPr>
        <w:tc>
          <w:tcPr>
            <w:tcW w:type="dxa" w:w="1020"/>
          </w:tcPr>
          <w:p>
            <w:r/>
            <w:r>
              <w:rPr>
                <w:color w:val="1A1D21"/>
                <w:sz w:val="17"/>
              </w:rPr>
              <w:t>2024</w:t>
            </w:r>
          </w:p>
        </w:tc>
        <w:tc>
          <w:tcPr>
            <w:tcW w:type="dxa" w:w="2608"/>
          </w:tcPr>
          <w:p>
            <w:pPr>
              <w:jc w:val="right"/>
            </w:pPr>
            <w:r/>
            <w:r>
              <w:rPr>
                <w:color w:val="1A1D21"/>
                <w:sz w:val="17"/>
              </w:rPr>
              <w:t>10,723</w:t>
            </w:r>
          </w:p>
        </w:tc>
        <w:tc>
          <w:tcPr>
            <w:tcW w:type="dxa" w:w="2494"/>
          </w:tcPr>
          <w:p>
            <w:pPr>
              <w:jc w:val="right"/>
            </w:pPr>
            <w:r/>
            <w:r>
              <w:rPr>
                <w:color w:val="1A1D21"/>
                <w:sz w:val="17"/>
              </w:rPr>
              <w:t>4,924</w:t>
            </w:r>
          </w:p>
        </w:tc>
        <w:tc>
          <w:tcPr>
            <w:tcW w:type="dxa" w:w="2494"/>
          </w:tcPr>
          <w:p>
            <w:pPr>
              <w:jc w:val="right"/>
            </w:pPr>
            <w:r/>
            <w:r>
              <w:rPr>
                <w:color w:val="1A1D21"/>
                <w:sz w:val="17"/>
              </w:rPr>
              <w:t>8,025</w:t>
            </w:r>
          </w:p>
        </w:tc>
      </w:tr>
      <w:tr>
        <w:trPr>
          <w:cantSplit/>
        </w:trPr>
        <w:tc>
          <w:tcPr>
            <w:tcW w:type="dxa" w:w="1020"/>
          </w:tcPr>
          <w:p>
            <w:r/>
            <w:r>
              <w:rPr>
                <w:color w:val="1A1D21"/>
                <w:sz w:val="17"/>
              </w:rPr>
              <w:t>2025</w:t>
            </w:r>
          </w:p>
        </w:tc>
        <w:tc>
          <w:tcPr>
            <w:tcW w:type="dxa" w:w="2608"/>
          </w:tcPr>
          <w:p>
            <w:pPr>
              <w:jc w:val="right"/>
            </w:pPr>
            <w:r/>
            <w:r>
              <w:rPr>
                <w:color w:val="1A1D21"/>
                <w:sz w:val="17"/>
              </w:rPr>
              <w:t>14,384</w:t>
            </w:r>
          </w:p>
        </w:tc>
        <w:tc>
          <w:tcPr>
            <w:tcW w:type="dxa" w:w="2494"/>
          </w:tcPr>
          <w:p>
            <w:pPr>
              <w:jc w:val="right"/>
            </w:pPr>
            <w:r/>
            <w:r>
              <w:rPr>
                <w:color w:val="1A1D21"/>
                <w:sz w:val="17"/>
              </w:rPr>
              <w:t>3,952</w:t>
            </w:r>
          </w:p>
        </w:tc>
        <w:tc>
          <w:tcPr>
            <w:tcW w:type="dxa" w:w="2494"/>
          </w:tcPr>
          <w:p>
            <w:pPr>
              <w:jc w:val="right"/>
            </w:pPr>
            <w:r/>
            <w:r>
              <w:rPr>
                <w:color w:val="1A1D21"/>
                <w:sz w:val="17"/>
              </w:rPr>
              <w:t>12,218</w:t>
            </w:r>
          </w:p>
        </w:tc>
      </w:tr>
    </w:tbl>
    <w:p>
      <w:pPr>
        <w:spacing w:after="200"/>
      </w:pPr>
      <w:r>
        <w:rPr>
          <w:b w:val="0"/>
          <w:i/>
          <w:color w:val="5B6570"/>
          <w:sz w:val="16"/>
        </w:rPr>
        <w:t>EGP million.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2268"/>
        <w:gridCol w:w="1361"/>
        <w:gridCol w:w="1474"/>
        <w:gridCol w:w="1814"/>
        <w:gridCol w:w="2268"/>
      </w:tblGrid>
      <w:tr>
        <w:trPr>
          <w:tblHeader w:val="true"/>
        </w:trPr>
        <w:tc>
          <w:tcPr>
            <w:tcW w:type="dxa" w:w="2268"/>
          </w:tcPr>
          <w:p>
            <w:r/>
            <w:r>
              <w:rPr>
                <w:b/>
                <w:color w:val="5B6570"/>
                <w:sz w:val="17"/>
              </w:rPr>
              <w:t>Driver</w:t>
            </w:r>
          </w:p>
        </w:tc>
        <w:tc>
          <w:tcPr>
            <w:tcW w:type="dxa" w:w="1361"/>
          </w:tcPr>
          <w:p>
            <w:r/>
            <w:r>
              <w:rPr>
                <w:b/>
                <w:color w:val="5B6570"/>
                <w:sz w:val="17"/>
              </w:rPr>
              <w:t>Observations</w:t>
            </w:r>
          </w:p>
        </w:tc>
        <w:tc>
          <w:tcPr>
            <w:tcW w:type="dxa" w:w="1474"/>
          </w:tcPr>
          <w:p>
            <w:r/>
            <w:r>
              <w:rPr>
                <w:b/>
                <w:color w:val="5B6570"/>
                <w:sz w:val="17"/>
              </w:rPr>
              <w:t>Average error</w:t>
            </w:r>
          </w:p>
        </w:tc>
        <w:tc>
          <w:tcPr>
            <w:tcW w:type="dxa" w:w="1814"/>
          </w:tcPr>
          <w:p>
            <w:r/>
            <w:r>
              <w:rPr>
                <w:b/>
                <w:color w:val="5B6570"/>
                <w:sz w:val="17"/>
              </w:rPr>
              <w:t>Average size of error</w:t>
            </w:r>
          </w:p>
        </w:tc>
        <w:tc>
          <w:tcPr>
            <w:tcW w:type="dxa" w:w="2268"/>
          </w:tcPr>
          <w:p>
            <w:r/>
            <w:r>
              <w:rPr>
                <w:b/>
                <w:color w:val="5B6570"/>
                <w:sz w:val="17"/>
              </w:rPr>
              <w:t>Consistent across the record</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6% low and a typical error of 28%,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against borrowings of EGP 16,493 million implies a rate of about 44%, against an Egyptian policy rate that peaked near 27.25%.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46.64</w:t>
            </w:r>
          </w:p>
        </w:tc>
      </w:tr>
      <w:tr>
        <w:trPr>
          <w:cantSplit/>
        </w:trPr>
        <w:tc>
          <w:tcPr>
            <w:tcW w:type="dxa" w:w="3969"/>
          </w:tcPr>
          <w:p>
            <w:r/>
            <w:r>
              <w:rPr>
                <w:color w:val="1A1D21"/>
                <w:sz w:val="17"/>
              </w:rPr>
              <w:t>10</w:t>
            </w:r>
          </w:p>
        </w:tc>
        <w:tc>
          <w:tcPr>
            <w:tcW w:type="dxa" w:w="2268"/>
          </w:tcPr>
          <w:p>
            <w:pPr>
              <w:jc w:val="right"/>
            </w:pPr>
            <w:r/>
            <w:r>
              <w:rPr>
                <w:color w:val="1A1D21"/>
                <w:sz w:val="17"/>
              </w:rPr>
              <w:t>46.64</w:t>
            </w:r>
          </w:p>
        </w:tc>
      </w:tr>
      <w:tr>
        <w:trPr>
          <w:cantSplit/>
        </w:trPr>
        <w:tc>
          <w:tcPr>
            <w:tcW w:type="dxa" w:w="3969"/>
          </w:tcPr>
          <w:p>
            <w:r/>
            <w:r>
              <w:rPr>
                <w:color w:val="1A1D21"/>
                <w:sz w:val="17"/>
              </w:rPr>
              <w:t>12</w:t>
            </w:r>
          </w:p>
        </w:tc>
        <w:tc>
          <w:tcPr>
            <w:tcW w:type="dxa" w:w="2268"/>
          </w:tcPr>
          <w:p>
            <w:pPr>
              <w:jc w:val="right"/>
            </w:pPr>
            <w:r/>
            <w:r>
              <w:rPr>
                <w:color w:val="1A1D21"/>
                <w:sz w:val="17"/>
              </w:rPr>
              <w:t>46.64</w:t>
            </w:r>
          </w:p>
        </w:tc>
      </w:tr>
      <w:tr>
        <w:trPr>
          <w:cantSplit/>
        </w:trPr>
        <w:tc>
          <w:tcPr>
            <w:tcW w:type="dxa" w:w="3969"/>
          </w:tcPr>
          <w:p>
            <w:r/>
            <w:r>
              <w:rPr>
                <w:color w:val="1A1D21"/>
                <w:sz w:val="17"/>
              </w:rPr>
              <w:t>14</w:t>
            </w:r>
          </w:p>
        </w:tc>
        <w:tc>
          <w:tcPr>
            <w:tcW w:type="dxa" w:w="2268"/>
          </w:tcPr>
          <w:p>
            <w:pPr>
              <w:jc w:val="right"/>
            </w:pPr>
            <w:r/>
            <w:r>
              <w:rPr>
                <w:color w:val="1A1D21"/>
                <w:sz w:val="17"/>
              </w:rPr>
              <w:t>46.64</w:t>
            </w:r>
          </w:p>
        </w:tc>
      </w:tr>
      <w:tr>
        <w:trPr>
          <w:cantSplit/>
        </w:trPr>
        <w:tc>
          <w:tcPr>
            <w:tcW w:type="dxa" w:w="3969"/>
          </w:tcPr>
          <w:p>
            <w:r/>
            <w:r>
              <w:rPr>
                <w:color w:val="1A1D21"/>
                <w:sz w:val="17"/>
              </w:rPr>
              <w:t>16</w:t>
            </w:r>
          </w:p>
        </w:tc>
        <w:tc>
          <w:tcPr>
            <w:tcW w:type="dxa" w:w="2268"/>
          </w:tcPr>
          <w:p>
            <w:pPr>
              <w:jc w:val="right"/>
            </w:pPr>
            <w:r/>
            <w:r>
              <w:rPr>
                <w:color w:val="1A1D21"/>
                <w:sz w:val="17"/>
              </w:rPr>
              <w:t>46.64</w:t>
            </w:r>
          </w:p>
        </w:tc>
      </w:tr>
      <w:tr>
        <w:trPr>
          <w:cantSplit/>
        </w:trPr>
        <w:tc>
          <w:tcPr>
            <w:tcW w:type="dxa" w:w="3969"/>
          </w:tcPr>
          <w:p>
            <w:r/>
            <w:r>
              <w:rPr>
                <w:color w:val="1A1D21"/>
                <w:sz w:val="17"/>
              </w:rPr>
              <w:t>20</w:t>
            </w:r>
          </w:p>
        </w:tc>
        <w:tc>
          <w:tcPr>
            <w:tcW w:type="dxa" w:w="2268"/>
          </w:tcPr>
          <w:p>
            <w:pPr>
              <w:jc w:val="right"/>
            </w:pPr>
            <w:r/>
            <w:r>
              <w:rPr>
                <w:color w:val="1A1D21"/>
                <w:sz w:val="17"/>
              </w:rPr>
              <w:t>46.64</w:t>
            </w:r>
          </w:p>
        </w:tc>
      </w:tr>
    </w:tbl>
    <w:p>
      <w:pPr>
        <w:spacing w:after="200"/>
      </w:pPr>
      <w:r>
        <w:rPr>
          <w:b w:val="0"/>
          <w:i/>
          <w:color w:val="5B6570"/>
          <w:sz w:val="16"/>
        </w:rPr>
        <w:t>At this study's discount rate, with the minority deducted at book.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a discount rate near 36% that investment does not pay back inside the window. The slower reading is worth EGP 52.41 a share and the faster one EGP 70.20. Both are published, and a reader who believes in the build-out should note that believing in it does not make the shares cheaper.</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Discount rate</w:t>
            </w:r>
          </w:p>
        </w:tc>
        <w:tc>
          <w:tcPr>
            <w:tcW w:type="dxa" w:w="1474"/>
          </w:tcPr>
          <w:p>
            <w:r/>
            <w:r>
              <w:rPr>
                <w:color w:val="1A1D21"/>
                <w:sz w:val="17"/>
              </w:rPr>
              <w:t>35.79% / 32.37%</w:t>
            </w:r>
          </w:p>
        </w:tc>
        <w:tc>
          <w:tcPr>
            <w:tcW w:type="dxa" w:w="5216"/>
          </w:tcPr>
          <w:p>
            <w:r/>
            <w:r>
              <w:rPr>
                <w:color w:val="1A1D21"/>
                <w:sz w:val="17"/>
              </w:rPr>
              <w:t>both bases published, neither averaged</w:t>
            </w:r>
          </w:p>
        </w:tc>
      </w:tr>
    </w:tbl>
    <w:p>
      <w:pPr>
        <w:spacing w:after="80"/>
      </w:pPr>
      <w:r>
        <w:rPr>
          <w:b w:val="0"/>
          <w:i w:val="0"/>
          <w:color w:val="1A1D21"/>
          <w:sz w:val="8"/>
        </w:rPr>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22.00%</w:t>
            </w:r>
          </w:p>
        </w:tc>
        <w:tc>
          <w:tcPr>
            <w:tcW w:type="dxa" w:w="2494"/>
          </w:tcPr>
          <w:p>
            <w:pPr>
              <w:jc w:val="right"/>
            </w:pPr>
            <w:r/>
            <w:r>
              <w:rPr>
                <w:color w:val="1A1D21"/>
                <w:sz w:val="17"/>
              </w:rPr>
              <w:t>70.16</w:t>
            </w:r>
          </w:p>
        </w:tc>
        <w:tc>
          <w:tcPr>
            <w:tcW w:type="dxa" w:w="2494"/>
          </w:tcPr>
          <w:p>
            <w:pPr>
              <w:jc w:val="right"/>
            </w:pPr>
            <w:r/>
            <w:r>
              <w:rPr>
                <w:color w:val="1A1D21"/>
                <w:sz w:val="17"/>
              </w:rPr>
              <w:t>97.01</w:t>
            </w:r>
          </w:p>
        </w:tc>
        <w:tc>
          <w:tcPr>
            <w:tcW w:type="dxa" w:w="2381"/>
          </w:tcPr>
          <w:p>
            <w:pPr>
              <w:jc w:val="right"/>
            </w:pPr>
            <w:r/>
            <w:r>
              <w:rPr>
                <w:color w:val="1A1D21"/>
                <w:sz w:val="17"/>
              </w:rPr>
              <w:t>-28%</w:t>
            </w:r>
          </w:p>
        </w:tc>
      </w:tr>
      <w:tr>
        <w:trPr>
          <w:cantSplit/>
        </w:trPr>
        <w:tc>
          <w:tcPr>
            <w:tcW w:type="dxa" w:w="1814"/>
          </w:tcPr>
          <w:p>
            <w:r/>
            <w:r>
              <w:rPr>
                <w:color w:val="1A1D21"/>
                <w:sz w:val="17"/>
              </w:rPr>
              <w:t>25.00%</w:t>
            </w:r>
          </w:p>
        </w:tc>
        <w:tc>
          <w:tcPr>
            <w:tcW w:type="dxa" w:w="2494"/>
          </w:tcPr>
          <w:p>
            <w:pPr>
              <w:jc w:val="right"/>
            </w:pPr>
            <w:r/>
            <w:r>
              <w:rPr>
                <w:color w:val="1A1D21"/>
                <w:sz w:val="17"/>
              </w:rPr>
              <w:t>63.76</w:t>
            </w:r>
          </w:p>
        </w:tc>
        <w:tc>
          <w:tcPr>
            <w:tcW w:type="dxa" w:w="2494"/>
          </w:tcPr>
          <w:p>
            <w:pPr>
              <w:jc w:val="right"/>
            </w:pPr>
            <w:r/>
            <w:r>
              <w:rPr>
                <w:color w:val="1A1D21"/>
                <w:sz w:val="17"/>
              </w:rPr>
              <w:t>87.30</w:t>
            </w:r>
          </w:p>
        </w:tc>
        <w:tc>
          <w:tcPr>
            <w:tcW w:type="dxa" w:w="2381"/>
          </w:tcPr>
          <w:p>
            <w:pPr>
              <w:jc w:val="right"/>
            </w:pPr>
            <w:r/>
            <w:r>
              <w:rPr>
                <w:color w:val="1A1D21"/>
                <w:sz w:val="17"/>
              </w:rPr>
              <w:t>-35%</w:t>
            </w:r>
          </w:p>
        </w:tc>
      </w:tr>
      <w:tr>
        <w:trPr>
          <w:cantSplit/>
        </w:trPr>
        <w:tc>
          <w:tcPr>
            <w:tcW w:type="dxa" w:w="1814"/>
          </w:tcPr>
          <w:p>
            <w:r/>
            <w:r>
              <w:rPr>
                <w:color w:val="1A1D21"/>
                <w:sz w:val="17"/>
              </w:rPr>
              <w:t>28.49%</w:t>
            </w:r>
          </w:p>
        </w:tc>
        <w:tc>
          <w:tcPr>
            <w:tcW w:type="dxa" w:w="2494"/>
          </w:tcPr>
          <w:p>
            <w:pPr>
              <w:jc w:val="right"/>
            </w:pPr>
            <w:r/>
            <w:r>
              <w:rPr>
                <w:color w:val="1A1D21"/>
                <w:sz w:val="17"/>
              </w:rPr>
              <w:t>57.33</w:t>
            </w:r>
          </w:p>
        </w:tc>
        <w:tc>
          <w:tcPr>
            <w:tcW w:type="dxa" w:w="2494"/>
          </w:tcPr>
          <w:p>
            <w:pPr>
              <w:jc w:val="right"/>
            </w:pPr>
            <w:r/>
            <w:r>
              <w:rPr>
                <w:color w:val="1A1D21"/>
                <w:sz w:val="17"/>
              </w:rPr>
              <w:t>77.58</w:t>
            </w:r>
          </w:p>
        </w:tc>
        <w:tc>
          <w:tcPr>
            <w:tcW w:type="dxa" w:w="2381"/>
          </w:tcPr>
          <w:p>
            <w:pPr>
              <w:jc w:val="right"/>
            </w:pPr>
            <w:r/>
            <w:r>
              <w:rPr>
                <w:color w:val="1A1D21"/>
                <w:sz w:val="17"/>
              </w:rPr>
              <w:t>-41%</w:t>
            </w:r>
          </w:p>
        </w:tc>
      </w:tr>
      <w:tr>
        <w:trPr>
          <w:cantSplit/>
        </w:trPr>
        <w:tc>
          <w:tcPr>
            <w:tcW w:type="dxa" w:w="1814"/>
          </w:tcPr>
          <w:p>
            <w:r/>
            <w:r>
              <w:rPr>
                <w:color w:val="1A1D21"/>
                <w:sz w:val="17"/>
              </w:rPr>
              <w:t>31.57%</w:t>
            </w:r>
          </w:p>
        </w:tc>
        <w:tc>
          <w:tcPr>
            <w:tcW w:type="dxa" w:w="2494"/>
          </w:tcPr>
          <w:p>
            <w:pPr>
              <w:jc w:val="right"/>
            </w:pPr>
            <w:r/>
            <w:r>
              <w:rPr>
                <w:color w:val="1A1D21"/>
                <w:sz w:val="17"/>
              </w:rPr>
              <w:t>52.41</w:t>
            </w:r>
          </w:p>
        </w:tc>
        <w:tc>
          <w:tcPr>
            <w:tcW w:type="dxa" w:w="2494"/>
          </w:tcPr>
          <w:p>
            <w:pPr>
              <w:jc w:val="right"/>
            </w:pPr>
            <w:r/>
            <w:r>
              <w:rPr>
                <w:color w:val="1A1D21"/>
                <w:sz w:val="17"/>
              </w:rPr>
              <w:t>70.20</w:t>
            </w:r>
          </w:p>
        </w:tc>
        <w:tc>
          <w:tcPr>
            <w:tcW w:type="dxa" w:w="2381"/>
          </w:tcPr>
          <w:p>
            <w:pPr>
              <w:jc w:val="right"/>
            </w:pPr>
            <w:r/>
            <w:r>
              <w:rPr>
                <w:color w:val="1A1D21"/>
                <w:sz w:val="17"/>
              </w:rPr>
              <w:t>-46%</w:t>
            </w:r>
          </w:p>
        </w:tc>
      </w:tr>
      <w:tr>
        <w:trPr>
          <w:cantSplit/>
        </w:trPr>
        <w:tc>
          <w:tcPr>
            <w:tcW w:type="dxa" w:w="1814"/>
          </w:tcPr>
          <w:p>
            <w:r/>
            <w:r>
              <w:rPr>
                <w:color w:val="1A1D21"/>
                <w:sz w:val="17"/>
              </w:rPr>
              <w:t>32.37%</w:t>
            </w:r>
          </w:p>
        </w:tc>
        <w:tc>
          <w:tcPr>
            <w:tcW w:type="dxa" w:w="2494"/>
          </w:tcPr>
          <w:p>
            <w:pPr>
              <w:jc w:val="right"/>
            </w:pPr>
            <w:r/>
            <w:r>
              <w:rPr>
                <w:color w:val="1A1D21"/>
                <w:sz w:val="17"/>
              </w:rPr>
              <w:t>51.24</w:t>
            </w:r>
          </w:p>
        </w:tc>
        <w:tc>
          <w:tcPr>
            <w:tcW w:type="dxa" w:w="2494"/>
          </w:tcPr>
          <w:p>
            <w:pPr>
              <w:jc w:val="right"/>
            </w:pPr>
            <w:r/>
            <w:r>
              <w:rPr>
                <w:color w:val="1A1D21"/>
                <w:sz w:val="17"/>
              </w:rPr>
              <w:t>68.44</w:t>
            </w:r>
          </w:p>
        </w:tc>
        <w:tc>
          <w:tcPr>
            <w:tcW w:type="dxa" w:w="2381"/>
          </w:tcPr>
          <w:p>
            <w:pPr>
              <w:jc w:val="right"/>
            </w:pPr>
            <w:r/>
            <w:r>
              <w:rPr>
                <w:color w:val="1A1D21"/>
                <w:sz w:val="17"/>
              </w:rPr>
              <w:t>-48%</w:t>
            </w:r>
          </w:p>
        </w:tc>
      </w:tr>
      <w:tr>
        <w:trPr>
          <w:cantSplit/>
        </w:trPr>
        <w:tc>
          <w:tcPr>
            <w:tcW w:type="dxa" w:w="1814"/>
          </w:tcPr>
          <w:p>
            <w:r/>
            <w:r>
              <w:rPr>
                <w:color w:val="1A1D21"/>
                <w:sz w:val="17"/>
              </w:rPr>
              <w:t>35.79%</w:t>
            </w:r>
          </w:p>
        </w:tc>
        <w:tc>
          <w:tcPr>
            <w:tcW w:type="dxa" w:w="2494"/>
          </w:tcPr>
          <w:p>
            <w:pPr>
              <w:jc w:val="right"/>
            </w:pPr>
            <w:r/>
            <w:r>
              <w:rPr>
                <w:color w:val="1A1D21"/>
                <w:sz w:val="17"/>
              </w:rPr>
              <w:t>46.64</w:t>
            </w:r>
          </w:p>
        </w:tc>
        <w:tc>
          <w:tcPr>
            <w:tcW w:type="dxa" w:w="2494"/>
          </w:tcPr>
          <w:p>
            <w:pPr>
              <w:jc w:val="right"/>
            </w:pPr>
            <w:r/>
            <w:r>
              <w:rPr>
                <w:color w:val="1A1D21"/>
                <w:sz w:val="17"/>
              </w:rPr>
              <w:t>61.59</w:t>
            </w:r>
          </w:p>
        </w:tc>
        <w:tc>
          <w:tcPr>
            <w:tcW w:type="dxa" w:w="2381"/>
          </w:tcPr>
          <w:p>
            <w:pPr>
              <w:jc w:val="right"/>
            </w:pPr>
            <w:r/>
            <w:r>
              <w:rPr>
                <w:color w:val="1A1D21"/>
                <w:sz w:val="17"/>
              </w:rPr>
              <w:t>-52%</w:t>
            </w:r>
          </w:p>
        </w:tc>
      </w:tr>
      <w:tr>
        <w:trPr>
          <w:cantSplit/>
        </w:trPr>
        <w:tc>
          <w:tcPr>
            <w:tcW w:type="dxa" w:w="1814"/>
          </w:tcPr>
          <w:p>
            <w:r/>
            <w:r>
              <w:rPr>
                <w:color w:val="1A1D21"/>
                <w:sz w:val="17"/>
              </w:rPr>
              <w:t>40.00%</w:t>
            </w:r>
          </w:p>
        </w:tc>
        <w:tc>
          <w:tcPr>
            <w:tcW w:type="dxa" w:w="2494"/>
          </w:tcPr>
          <w:p>
            <w:pPr>
              <w:jc w:val="right"/>
            </w:pPr>
            <w:r/>
            <w:r>
              <w:rPr>
                <w:color w:val="1A1D21"/>
                <w:sz w:val="17"/>
              </w:rPr>
              <w:t>41.82</w:t>
            </w:r>
          </w:p>
        </w:tc>
        <w:tc>
          <w:tcPr>
            <w:tcW w:type="dxa" w:w="2494"/>
          </w:tcPr>
          <w:p>
            <w:pPr>
              <w:jc w:val="right"/>
            </w:pPr>
            <w:r/>
            <w:r>
              <w:rPr>
                <w:color w:val="1A1D21"/>
                <w:sz w:val="17"/>
              </w:rPr>
              <w:t>54.43</w:t>
            </w:r>
          </w:p>
        </w:tc>
        <w:tc>
          <w:tcPr>
            <w:tcW w:type="dxa" w:w="2381"/>
          </w:tcPr>
          <w:p>
            <w:pPr>
              <w:jc w:val="right"/>
            </w:pPr>
            <w:r/>
            <w:r>
              <w:rPr>
                <w:color w:val="1A1D21"/>
                <w:sz w:val="17"/>
              </w:rPr>
              <w:t>-57%</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52.41 – 77.58</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At the rate the market appears to be using, the same model gives a value close to the traded price. This study does not claim the market is wrong; it says what the house method produces and shows the difference.</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two ways and both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near 44% on borrowings against a policy rate that peaked near 27.25%;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2495"/>
        <w:gridCol w:w="879"/>
        <w:gridCol w:w="879"/>
        <w:gridCol w:w="879"/>
        <w:gridCol w:w="879"/>
        <w:gridCol w:w="879"/>
        <w:gridCol w:w="879"/>
        <w:gridCol w:w="879"/>
        <w:gridCol w:w="879"/>
      </w:tblGrid>
      <w:tr>
        <w:trPr>
          <w:tblHeader w:val="true"/>
        </w:trPr>
        <w:tc>
          <w:tcPr>
            <w:tcW w:type="dxa" w:w="2494"/>
          </w:tcPr>
          <w:p>
            <w:r/>
            <w:r>
              <w:rPr>
                <w:b/>
                <w:color w:val="5B6570"/>
                <w:sz w:val="17"/>
              </w:rPr>
              <w:t>EGP million</w:t>
            </w:r>
          </w:p>
        </w:tc>
        <w:tc>
          <w:tcPr>
            <w:tcW w:type="dxa" w:w="879"/>
          </w:tcPr>
          <w:p>
            <w:r/>
            <w:r>
              <w:rPr>
                <w:b/>
                <w:color w:val="5B6570"/>
                <w:sz w:val="17"/>
              </w:rPr>
              <w:t>2023</w:t>
            </w:r>
          </w:p>
        </w:tc>
        <w:tc>
          <w:tcPr>
            <w:tcW w:type="dxa" w:w="879"/>
          </w:tcPr>
          <w:p>
            <w:r/>
            <w:r>
              <w:rPr>
                <w:b/>
                <w:color w:val="5B6570"/>
                <w:sz w:val="17"/>
              </w:rPr>
              <w:t>2024</w:t>
            </w:r>
          </w:p>
        </w:tc>
        <w:tc>
          <w:tcPr>
            <w:tcW w:type="dxa" w:w="879"/>
          </w:tcPr>
          <w:p>
            <w:r/>
            <w:r>
              <w:rPr>
                <w:b/>
                <w:color w:val="5B6570"/>
                <w:sz w:val="17"/>
              </w:rPr>
              <w:t>2025</w:t>
            </w:r>
          </w:p>
        </w:tc>
        <w:tc>
          <w:tcPr>
            <w:tcW w:type="dxa" w:w="879"/>
          </w:tcPr>
          <w:p>
            <w:r/>
            <w:r>
              <w:rPr>
                <w:b/>
                <w:color w:val="5B6570"/>
                <w:sz w:val="17"/>
              </w:rPr>
              <w:t>2026</w:t>
            </w:r>
          </w:p>
        </w:tc>
        <w:tc>
          <w:tcPr>
            <w:tcW w:type="dxa" w:w="879"/>
          </w:tcPr>
          <w:p>
            <w:r/>
            <w:r>
              <w:rPr>
                <w:b/>
                <w:color w:val="5B6570"/>
                <w:sz w:val="17"/>
              </w:rPr>
              <w:t>2027</w:t>
            </w:r>
          </w:p>
        </w:tc>
        <w:tc>
          <w:tcPr>
            <w:tcW w:type="dxa" w:w="879"/>
          </w:tcPr>
          <w:p>
            <w:r/>
            <w:r>
              <w:rPr>
                <w:b/>
                <w:color w:val="5B6570"/>
                <w:sz w:val="17"/>
              </w:rPr>
              <w:t>2028</w:t>
            </w:r>
          </w:p>
        </w:tc>
        <w:tc>
          <w:tcPr>
            <w:tcW w:type="dxa" w:w="879"/>
          </w:tcPr>
          <w:p>
            <w:r/>
            <w:r>
              <w:rPr>
                <w:b/>
                <w:color w:val="5B6570"/>
                <w:sz w:val="17"/>
              </w:rPr>
              <w:t>2029</w:t>
            </w:r>
          </w:p>
        </w:tc>
        <w:tc>
          <w:tcPr>
            <w:tcW w:type="dxa" w:w="879"/>
          </w:tcPr>
          <w:p>
            <w:r/>
            <w:r>
              <w:rPr>
                <w:b/>
                <w:color w:val="5B6570"/>
                <w:sz w:val="17"/>
              </w:rPr>
              <w:t>2030</w:t>
            </w:r>
          </w:p>
        </w:tc>
      </w:tr>
      <w:tr>
        <w:trPr>
          <w:cantSplit/>
        </w:trPr>
        <w:tc>
          <w:tcPr>
            <w:tcW w:type="dxa" w:w="2494"/>
          </w:tcPr>
          <w:p>
            <w:r/>
            <w:r>
              <w:rPr>
                <w:color w:val="1A1D21"/>
                <w:sz w:val="17"/>
              </w:rPr>
              <w:t>Development revenue</w:t>
            </w:r>
          </w:p>
        </w:tc>
        <w:tc>
          <w:tcPr>
            <w:tcW w:type="dxa" w:w="879"/>
          </w:tcPr>
          <w:p>
            <w:pPr>
              <w:jc w:val="right"/>
            </w:pPr>
            <w:r/>
            <w:r>
              <w:rPr>
                <w:color w:val="1A1D21"/>
                <w:sz w:val="17"/>
              </w:rPr>
              <w:t>21,579</w:t>
            </w:r>
          </w:p>
        </w:tc>
        <w:tc>
          <w:tcPr>
            <w:tcW w:type="dxa" w:w="879"/>
          </w:tcPr>
          <w:p>
            <w:pPr>
              <w:jc w:val="right"/>
            </w:pPr>
            <w:r/>
            <w:r>
              <w:rPr>
                <w:color w:val="1A1D21"/>
                <w:sz w:val="17"/>
              </w:rPr>
              <w:t>24,518</w:t>
            </w:r>
          </w:p>
        </w:tc>
        <w:tc>
          <w:tcPr>
            <w:tcW w:type="dxa" w:w="879"/>
          </w:tcPr>
          <w:p>
            <w:pPr>
              <w:jc w:val="right"/>
            </w:pPr>
            <w:r/>
            <w:r>
              <w:rPr>
                <w:color w:val="1A1D21"/>
                <w:sz w:val="17"/>
              </w:rPr>
              <w:t>36,706</w:t>
            </w:r>
          </w:p>
        </w:tc>
        <w:tc>
          <w:tcPr>
            <w:tcW w:type="dxa" w:w="879"/>
          </w:tcPr>
          <w:p>
            <w:pPr>
              <w:jc w:val="right"/>
            </w:pPr>
            <w:r/>
            <w:r>
              <w:rPr>
                <w:color w:val="1A1D21"/>
                <w:sz w:val="17"/>
              </w:rPr>
              <w:t>49,337</w:t>
            </w:r>
          </w:p>
        </w:tc>
        <w:tc>
          <w:tcPr>
            <w:tcW w:type="dxa" w:w="879"/>
          </w:tcPr>
          <w:p>
            <w:pPr>
              <w:jc w:val="right"/>
            </w:pPr>
            <w:r/>
            <w:r>
              <w:rPr>
                <w:color w:val="1A1D21"/>
                <w:sz w:val="17"/>
              </w:rPr>
              <w:t>58,415</w:t>
            </w:r>
          </w:p>
        </w:tc>
        <w:tc>
          <w:tcPr>
            <w:tcW w:type="dxa" w:w="879"/>
          </w:tcPr>
          <w:p>
            <w:pPr>
              <w:jc w:val="right"/>
            </w:pPr>
            <w:r/>
            <w:r>
              <w:rPr>
                <w:color w:val="1A1D21"/>
                <w:sz w:val="17"/>
              </w:rPr>
              <w:t>68,229</w:t>
            </w:r>
          </w:p>
        </w:tc>
        <w:tc>
          <w:tcPr>
            <w:tcW w:type="dxa" w:w="879"/>
          </w:tcPr>
          <w:p>
            <w:pPr>
              <w:jc w:val="right"/>
            </w:pPr>
            <w:r/>
            <w:r>
              <w:rPr>
                <w:color w:val="1A1D21"/>
                <w:sz w:val="17"/>
              </w:rPr>
              <w:t>78,600</w:t>
            </w:r>
          </w:p>
        </w:tc>
        <w:tc>
          <w:tcPr>
            <w:tcW w:type="dxa" w:w="879"/>
          </w:tcPr>
          <w:p>
            <w:pPr>
              <w:jc w:val="right"/>
            </w:pPr>
            <w:r/>
            <w:r>
              <w:rPr>
                <w:color w:val="1A1D21"/>
                <w:sz w:val="17"/>
              </w:rPr>
              <w:t>89,289</w:t>
            </w:r>
          </w:p>
        </w:tc>
      </w:tr>
      <w:tr>
        <w:trPr>
          <w:cantSplit/>
        </w:trPr>
        <w:tc>
          <w:tcPr>
            <w:tcW w:type="dxa" w:w="2494"/>
          </w:tcPr>
          <w:p>
            <w:r/>
            <w:r>
              <w:rPr>
                <w:color w:val="1A1D21"/>
                <w:sz w:val="17"/>
              </w:rPr>
              <w:t>Hospitality revenue</w:t>
            </w:r>
          </w:p>
        </w:tc>
        <w:tc>
          <w:tcPr>
            <w:tcW w:type="dxa" w:w="879"/>
          </w:tcPr>
          <w:p>
            <w:pPr>
              <w:jc w:val="right"/>
            </w:pPr>
            <w:r/>
            <w:r>
              <w:rPr>
                <w:color w:val="1A1D21"/>
                <w:sz w:val="17"/>
              </w:rPr>
              <w:t>3,541</w:t>
            </w:r>
          </w:p>
        </w:tc>
        <w:tc>
          <w:tcPr>
            <w:tcW w:type="dxa" w:w="879"/>
          </w:tcPr>
          <w:p>
            <w:pPr>
              <w:jc w:val="right"/>
            </w:pPr>
            <w:r/>
            <w:r>
              <w:rPr>
                <w:color w:val="1A1D21"/>
                <w:sz w:val="17"/>
              </w:rPr>
              <w:t>11,496</w:t>
            </w:r>
          </w:p>
        </w:tc>
        <w:tc>
          <w:tcPr>
            <w:tcW w:type="dxa" w:w="879"/>
          </w:tcPr>
          <w:p>
            <w:pPr>
              <w:jc w:val="right"/>
            </w:pPr>
            <w:r/>
            <w:r>
              <w:rPr>
                <w:color w:val="1A1D21"/>
                <w:sz w:val="17"/>
              </w:rPr>
              <w:t>14,890</w:t>
            </w:r>
          </w:p>
        </w:tc>
        <w:tc>
          <w:tcPr>
            <w:tcW w:type="dxa" w:w="879"/>
          </w:tcPr>
          <w:p>
            <w:pPr>
              <w:jc w:val="right"/>
            </w:pPr>
            <w:r/>
            <w:r>
              <w:rPr>
                <w:color w:val="1A1D21"/>
                <w:sz w:val="17"/>
              </w:rPr>
              <w:t>17,868</w:t>
            </w:r>
          </w:p>
        </w:tc>
        <w:tc>
          <w:tcPr>
            <w:tcW w:type="dxa" w:w="879"/>
          </w:tcPr>
          <w:p>
            <w:pPr>
              <w:jc w:val="right"/>
            </w:pPr>
            <w:r/>
            <w:r>
              <w:rPr>
                <w:color w:val="1A1D21"/>
                <w:sz w:val="17"/>
              </w:rPr>
              <w:t>21,155</w:t>
            </w:r>
          </w:p>
        </w:tc>
        <w:tc>
          <w:tcPr>
            <w:tcW w:type="dxa" w:w="879"/>
          </w:tcPr>
          <w:p>
            <w:pPr>
              <w:jc w:val="right"/>
            </w:pPr>
            <w:r/>
            <w:r>
              <w:rPr>
                <w:color w:val="1A1D21"/>
                <w:sz w:val="17"/>
              </w:rPr>
              <w:t>24,709</w:t>
            </w:r>
          </w:p>
        </w:tc>
        <w:tc>
          <w:tcPr>
            <w:tcW w:type="dxa" w:w="879"/>
          </w:tcPr>
          <w:p>
            <w:pPr>
              <w:jc w:val="right"/>
            </w:pPr>
            <w:r/>
            <w:r>
              <w:rPr>
                <w:color w:val="1A1D21"/>
                <w:sz w:val="17"/>
              </w:rPr>
              <w:t>28,465</w:t>
            </w:r>
          </w:p>
        </w:tc>
        <w:tc>
          <w:tcPr>
            <w:tcW w:type="dxa" w:w="879"/>
          </w:tcPr>
          <w:p>
            <w:pPr>
              <w:jc w:val="right"/>
            </w:pPr>
            <w:r/>
            <w:r>
              <w:rPr>
                <w:color w:val="1A1D21"/>
                <w:sz w:val="17"/>
              </w:rPr>
              <w:t>32,336</w:t>
            </w:r>
          </w:p>
        </w:tc>
      </w:tr>
      <w:tr>
        <w:trPr>
          <w:cantSplit/>
        </w:trPr>
        <w:tc>
          <w:tcPr>
            <w:tcW w:type="dxa" w:w="2494"/>
          </w:tcPr>
          <w:p>
            <w:r/>
            <w:r>
              <w:rPr>
                <w:color w:val="1A1D21"/>
                <w:sz w:val="17"/>
              </w:rPr>
              <w:t>Other recurring revenue</w:t>
            </w:r>
          </w:p>
        </w:tc>
        <w:tc>
          <w:tcPr>
            <w:tcW w:type="dxa" w:w="879"/>
          </w:tcPr>
          <w:p>
            <w:pPr>
              <w:jc w:val="right"/>
            </w:pPr>
            <w:r/>
            <w:r>
              <w:rPr>
                <w:color w:val="1A1D21"/>
                <w:sz w:val="17"/>
              </w:rPr>
              <w:t>3,312</w:t>
            </w:r>
          </w:p>
        </w:tc>
        <w:tc>
          <w:tcPr>
            <w:tcW w:type="dxa" w:w="879"/>
          </w:tcPr>
          <w:p>
            <w:pPr>
              <w:jc w:val="right"/>
            </w:pPr>
            <w:r/>
            <w:r>
              <w:rPr>
                <w:color w:val="1A1D21"/>
                <w:sz w:val="17"/>
              </w:rPr>
              <w:t>6,656</w:t>
            </w:r>
          </w:p>
        </w:tc>
        <w:tc>
          <w:tcPr>
            <w:tcW w:type="dxa" w:w="879"/>
          </w:tcPr>
          <w:p>
            <w:pPr>
              <w:jc w:val="right"/>
            </w:pPr>
            <w:r/>
            <w:r>
              <w:rPr>
                <w:color w:val="1A1D21"/>
                <w:sz w:val="17"/>
              </w:rPr>
              <w:t>10,900</w:t>
            </w:r>
          </w:p>
        </w:tc>
        <w:tc>
          <w:tcPr>
            <w:tcW w:type="dxa" w:w="879"/>
          </w:tcPr>
          <w:p>
            <w:pPr>
              <w:jc w:val="right"/>
            </w:pPr>
            <w:r/>
            <w:r>
              <w:rPr>
                <w:color w:val="1A1D21"/>
                <w:sz w:val="17"/>
              </w:rPr>
              <w:t>13,341</w:t>
            </w:r>
          </w:p>
        </w:tc>
        <w:tc>
          <w:tcPr>
            <w:tcW w:type="dxa" w:w="879"/>
          </w:tcPr>
          <w:p>
            <w:pPr>
              <w:jc w:val="right"/>
            </w:pPr>
            <w:r/>
            <w:r>
              <w:rPr>
                <w:color w:val="1A1D21"/>
                <w:sz w:val="17"/>
              </w:rPr>
              <w:t>16,112</w:t>
            </w:r>
          </w:p>
        </w:tc>
        <w:tc>
          <w:tcPr>
            <w:tcW w:type="dxa" w:w="879"/>
          </w:tcPr>
          <w:p>
            <w:pPr>
              <w:jc w:val="right"/>
            </w:pPr>
            <w:r/>
            <w:r>
              <w:rPr>
                <w:color w:val="1A1D21"/>
                <w:sz w:val="17"/>
              </w:rPr>
              <w:t>19,195</w:t>
            </w:r>
          </w:p>
        </w:tc>
        <w:tc>
          <w:tcPr>
            <w:tcW w:type="dxa" w:w="879"/>
          </w:tcPr>
          <w:p>
            <w:pPr>
              <w:jc w:val="right"/>
            </w:pPr>
            <w:r/>
            <w:r>
              <w:rPr>
                <w:color w:val="1A1D21"/>
                <w:sz w:val="17"/>
              </w:rPr>
              <w:t>22,555</w:t>
            </w:r>
          </w:p>
        </w:tc>
        <w:tc>
          <w:tcPr>
            <w:tcW w:type="dxa" w:w="879"/>
          </w:tcPr>
          <w:p>
            <w:pPr>
              <w:jc w:val="right"/>
            </w:pPr>
            <w:r/>
            <w:r>
              <w:rPr>
                <w:color w:val="1A1D21"/>
                <w:sz w:val="17"/>
              </w:rPr>
              <w:t>26,135</w:t>
            </w:r>
          </w:p>
        </w:tc>
      </w:tr>
      <w:tr>
        <w:trPr>
          <w:cantSplit/>
        </w:trPr>
        <w:tc>
          <w:tcPr>
            <w:tcW w:type="dxa" w:w="2494"/>
          </w:tcPr>
          <w:p>
            <w:r/>
            <w:r>
              <w:rPr>
                <w:color w:val="1A1D21"/>
                <w:sz w:val="17"/>
              </w:rPr>
              <w:t>Gross profit</w:t>
            </w:r>
          </w:p>
        </w:tc>
        <w:tc>
          <w:tcPr>
            <w:tcW w:type="dxa" w:w="879"/>
          </w:tcPr>
          <w:p>
            <w:pPr>
              <w:jc w:val="right"/>
            </w:pPr>
            <w:r/>
            <w:r>
              <w:rPr>
                <w:color w:val="1A1D21"/>
                <w:sz w:val="17"/>
              </w:rPr>
              <w:t>8,637</w:t>
            </w:r>
          </w:p>
        </w:tc>
        <w:tc>
          <w:tcPr>
            <w:tcW w:type="dxa" w:w="879"/>
          </w:tcPr>
          <w:p>
            <w:pPr>
              <w:jc w:val="right"/>
            </w:pPr>
            <w:r/>
            <w:r>
              <w:rPr>
                <w:color w:val="1A1D21"/>
                <w:sz w:val="17"/>
              </w:rPr>
              <w:t>15,300</w:t>
            </w:r>
          </w:p>
        </w:tc>
        <w:tc>
          <w:tcPr>
            <w:tcW w:type="dxa" w:w="879"/>
          </w:tcPr>
          <w:p>
            <w:pPr>
              <w:jc w:val="right"/>
            </w:pPr>
            <w:r/>
            <w:r>
              <w:rPr>
                <w:color w:val="1A1D21"/>
                <w:sz w:val="17"/>
              </w:rPr>
              <w:t>20,855</w:t>
            </w:r>
          </w:p>
        </w:tc>
        <w:tc>
          <w:tcPr>
            <w:tcW w:type="dxa" w:w="879"/>
          </w:tcPr>
          <w:p>
            <w:pPr>
              <w:jc w:val="right"/>
            </w:pPr>
            <w:r/>
            <w:r>
              <w:rPr>
                <w:color w:val="1A1D21"/>
                <w:sz w:val="17"/>
              </w:rPr>
              <w:t>25,477</w:t>
            </w:r>
          </w:p>
        </w:tc>
        <w:tc>
          <w:tcPr>
            <w:tcW w:type="dxa" w:w="879"/>
          </w:tcPr>
          <w:p>
            <w:pPr>
              <w:jc w:val="right"/>
            </w:pPr>
            <w:r/>
            <w:r>
              <w:rPr>
                <w:color w:val="1A1D21"/>
                <w:sz w:val="17"/>
              </w:rPr>
              <w:t>30,266</w:t>
            </w:r>
          </w:p>
        </w:tc>
        <w:tc>
          <w:tcPr>
            <w:tcW w:type="dxa" w:w="879"/>
          </w:tcPr>
          <w:p>
            <w:pPr>
              <w:jc w:val="right"/>
            </w:pPr>
            <w:r/>
            <w:r>
              <w:rPr>
                <w:color w:val="1A1D21"/>
                <w:sz w:val="17"/>
              </w:rPr>
              <w:t>35,471</w:t>
            </w:r>
          </w:p>
        </w:tc>
        <w:tc>
          <w:tcPr>
            <w:tcW w:type="dxa" w:w="879"/>
          </w:tcPr>
          <w:p>
            <w:pPr>
              <w:jc w:val="right"/>
            </w:pPr>
            <w:r/>
            <w:r>
              <w:rPr>
                <w:color w:val="1A1D21"/>
                <w:sz w:val="17"/>
              </w:rPr>
              <w:t>41,003</w:t>
            </w:r>
          </w:p>
        </w:tc>
        <w:tc>
          <w:tcPr>
            <w:tcW w:type="dxa" w:w="879"/>
          </w:tcPr>
          <w:p>
            <w:pPr>
              <w:jc w:val="right"/>
            </w:pPr>
            <w:r/>
            <w:r>
              <w:rPr>
                <w:color w:val="1A1D21"/>
                <w:sz w:val="17"/>
              </w:rPr>
              <w:t>46,743</w:t>
            </w:r>
          </w:p>
        </w:tc>
      </w:tr>
      <w:tr>
        <w:trPr>
          <w:cantSplit/>
        </w:trPr>
        <w:tc>
          <w:tcPr>
            <w:tcW w:type="dxa" w:w="2494"/>
          </w:tcPr>
          <w:p>
            <w:r/>
            <w:r>
              <w:rPr>
                <w:color w:val="1A1D21"/>
                <w:sz w:val="17"/>
              </w:rPr>
              <w:t>Net profit</w:t>
            </w:r>
          </w:p>
        </w:tc>
        <w:tc>
          <w:tcPr>
            <w:tcW w:type="dxa" w:w="879"/>
          </w:tcPr>
          <w:p>
            <w:pPr>
              <w:jc w:val="right"/>
            </w:pPr>
            <w:r/>
            <w:r>
              <w:rPr>
                <w:color w:val="1A1D21"/>
                <w:sz w:val="17"/>
              </w:rPr>
              <w:t>3,347</w:t>
            </w:r>
          </w:p>
        </w:tc>
        <w:tc>
          <w:tcPr>
            <w:tcW w:type="dxa" w:w="879"/>
          </w:tcPr>
          <w:p>
            <w:pPr>
              <w:jc w:val="right"/>
            </w:pPr>
            <w:r/>
            <w:r>
              <w:rPr>
                <w:color w:val="1A1D21"/>
                <w:sz w:val="17"/>
              </w:rPr>
              <w:t>14,468</w:t>
            </w:r>
          </w:p>
        </w:tc>
        <w:tc>
          <w:tcPr>
            <w:tcW w:type="dxa" w:w="879"/>
          </w:tcPr>
          <w:p>
            <w:pPr>
              <w:jc w:val="right"/>
            </w:pPr>
            <w:r/>
            <w:r>
              <w:rPr>
                <w:color w:val="1A1D21"/>
                <w:sz w:val="17"/>
              </w:rPr>
              <w:t>18,202</w:t>
            </w:r>
          </w:p>
        </w:tc>
        <w:tc>
          <w:tcPr>
            <w:tcW w:type="dxa" w:w="879"/>
          </w:tcPr>
          <w:p>
            <w:pPr>
              <w:jc w:val="right"/>
            </w:pPr>
            <w:r/>
            <w:r>
              <w:rPr>
                <w:color w:val="1A1D21"/>
                <w:sz w:val="17"/>
              </w:rPr>
              <w:t>23,131</w:t>
            </w:r>
          </w:p>
        </w:tc>
        <w:tc>
          <w:tcPr>
            <w:tcW w:type="dxa" w:w="879"/>
          </w:tcPr>
          <w:p>
            <w:pPr>
              <w:jc w:val="right"/>
            </w:pPr>
            <w:r/>
            <w:r>
              <w:rPr>
                <w:color w:val="1A1D21"/>
                <w:sz w:val="17"/>
              </w:rPr>
              <w:t>28,865</w:t>
            </w:r>
          </w:p>
        </w:tc>
        <w:tc>
          <w:tcPr>
            <w:tcW w:type="dxa" w:w="879"/>
          </w:tcPr>
          <w:p>
            <w:pPr>
              <w:jc w:val="right"/>
            </w:pPr>
            <w:r/>
            <w:r>
              <w:rPr>
                <w:color w:val="1A1D21"/>
                <w:sz w:val="17"/>
              </w:rPr>
              <w:t>35,423</w:t>
            </w:r>
          </w:p>
        </w:tc>
        <w:tc>
          <w:tcPr>
            <w:tcW w:type="dxa" w:w="879"/>
          </w:tcPr>
          <w:p>
            <w:pPr>
              <w:jc w:val="right"/>
            </w:pPr>
            <w:r/>
            <w:r>
              <w:rPr>
                <w:color w:val="1A1D21"/>
                <w:sz w:val="17"/>
              </w:rPr>
              <w:t>42,870</w:t>
            </w:r>
          </w:p>
        </w:tc>
        <w:tc>
          <w:tcPr>
            <w:tcW w:type="dxa" w:w="879"/>
          </w:tcPr>
          <w:p>
            <w:pPr>
              <w:jc w:val="right"/>
            </w:pPr>
            <w:r/>
            <w:r>
              <w:rPr>
                <w:color w:val="1A1D21"/>
                <w:sz w:val="17"/>
              </w:rPr>
              <w:t>51,258</w:t>
            </w:r>
          </w:p>
        </w:tc>
      </w:tr>
      <w:tr>
        <w:trPr>
          <w:cantSplit/>
        </w:trPr>
        <w:tc>
          <w:tcPr>
            <w:tcW w:type="dxa" w:w="2494"/>
          </w:tcPr>
          <w:p>
            <w:r/>
            <w:r>
              <w:rPr>
                <w:color w:val="1A1D21"/>
                <w:sz w:val="17"/>
              </w:rPr>
              <w:t>Profit attributable to TMG's shareholders</w:t>
            </w:r>
          </w:p>
        </w:tc>
        <w:tc>
          <w:tcPr>
            <w:tcW w:type="dxa" w:w="879"/>
          </w:tcPr>
          <w:p>
            <w:pPr>
              <w:jc w:val="right"/>
            </w:pPr>
            <w:r/>
            <w:r>
              <w:rPr>
                <w:color w:val="1A1D21"/>
                <w:sz w:val="17"/>
              </w:rPr>
              <w:t>3,313</w:t>
            </w:r>
          </w:p>
        </w:tc>
        <w:tc>
          <w:tcPr>
            <w:tcW w:type="dxa" w:w="879"/>
          </w:tcPr>
          <w:p>
            <w:pPr>
              <w:jc w:val="right"/>
            </w:pPr>
            <w:r/>
            <w:r>
              <w:rPr>
                <w:color w:val="1A1D21"/>
                <w:sz w:val="17"/>
              </w:rPr>
              <w:t>10,723</w:t>
            </w:r>
          </w:p>
        </w:tc>
        <w:tc>
          <w:tcPr>
            <w:tcW w:type="dxa" w:w="879"/>
          </w:tcPr>
          <w:p>
            <w:pPr>
              <w:jc w:val="right"/>
            </w:pPr>
            <w:r/>
            <w:r>
              <w:rPr>
                <w:color w:val="1A1D21"/>
                <w:sz w:val="17"/>
              </w:rPr>
              <w:t>14,384</w:t>
            </w:r>
          </w:p>
        </w:tc>
        <w:tc>
          <w:tcPr>
            <w:tcW w:type="dxa" w:w="879"/>
          </w:tcPr>
          <w:p>
            <w:pPr>
              <w:jc w:val="right"/>
            </w:pPr>
            <w:r/>
            <w:r>
              <w:rPr>
                <w:color w:val="1A1D21"/>
                <w:sz w:val="17"/>
              </w:rPr>
              <w:t>12,672</w:t>
            </w:r>
          </w:p>
        </w:tc>
        <w:tc>
          <w:tcPr>
            <w:tcW w:type="dxa" w:w="879"/>
          </w:tcPr>
          <w:p>
            <w:pPr>
              <w:jc w:val="right"/>
            </w:pPr>
            <w:r/>
            <w:r>
              <w:rPr>
                <w:color w:val="1A1D21"/>
                <w:sz w:val="17"/>
              </w:rPr>
              <w:t>15,814</w:t>
            </w:r>
          </w:p>
        </w:tc>
        <w:tc>
          <w:tcPr>
            <w:tcW w:type="dxa" w:w="879"/>
          </w:tcPr>
          <w:p>
            <w:pPr>
              <w:jc w:val="right"/>
            </w:pPr>
            <w:r/>
            <w:r>
              <w:rPr>
                <w:color w:val="1A1D21"/>
                <w:sz w:val="17"/>
              </w:rPr>
              <w:t>19,407</w:t>
            </w:r>
          </w:p>
        </w:tc>
        <w:tc>
          <w:tcPr>
            <w:tcW w:type="dxa" w:w="879"/>
          </w:tcPr>
          <w:p>
            <w:pPr>
              <w:jc w:val="right"/>
            </w:pPr>
            <w:r/>
            <w:r>
              <w:rPr>
                <w:color w:val="1A1D21"/>
                <w:sz w:val="17"/>
              </w:rPr>
              <w:t>23,487</w:t>
            </w:r>
          </w:p>
        </w:tc>
        <w:tc>
          <w:tcPr>
            <w:tcW w:type="dxa" w:w="879"/>
          </w:tcPr>
          <w:p>
            <w:pPr>
              <w:jc w:val="right"/>
            </w:pPr>
            <w:r/>
            <w:r>
              <w:rPr>
                <w:color w:val="1A1D21"/>
                <w:sz w:val="17"/>
              </w:rPr>
              <w:t>28,082</w:t>
            </w:r>
          </w:p>
        </w:tc>
      </w:tr>
      <w:tr>
        <w:trPr>
          <w:cantSplit/>
        </w:trPr>
        <w:tc>
          <w:tcPr>
            <w:tcW w:type="dxa" w:w="2494"/>
          </w:tcPr>
          <w:p>
            <w:r/>
            <w:r>
              <w:rPr>
                <w:color w:val="1A1D21"/>
                <w:sz w:val="17"/>
              </w:rPr>
              <w:t>Earnings per share, EGP</w:t>
            </w:r>
          </w:p>
        </w:tc>
        <w:tc>
          <w:tcPr>
            <w:tcW w:type="dxa" w:w="879"/>
          </w:tcPr>
          <w:p>
            <w:pPr>
              <w:jc w:val="right"/>
            </w:pPr>
            <w:r/>
            <w:r>
              <w:rPr>
                <w:color w:val="1A1D21"/>
                <w:sz w:val="17"/>
              </w:rPr>
              <w:t>1.61</w:t>
            </w:r>
          </w:p>
        </w:tc>
        <w:tc>
          <w:tcPr>
            <w:tcW w:type="dxa" w:w="879"/>
          </w:tcPr>
          <w:p>
            <w:pPr>
              <w:jc w:val="right"/>
            </w:pPr>
            <w:r/>
            <w:r>
              <w:rPr>
                <w:color w:val="1A1D21"/>
                <w:sz w:val="17"/>
              </w:rPr>
              <w:t>5.20</w:t>
            </w:r>
          </w:p>
        </w:tc>
        <w:tc>
          <w:tcPr>
            <w:tcW w:type="dxa" w:w="879"/>
          </w:tcPr>
          <w:p>
            <w:pPr>
              <w:jc w:val="right"/>
            </w:pPr>
            <w:r/>
            <w:r>
              <w:rPr>
                <w:color w:val="1A1D21"/>
                <w:sz w:val="17"/>
              </w:rPr>
              <w:t>6.98</w:t>
            </w:r>
          </w:p>
        </w:tc>
        <w:tc>
          <w:tcPr>
            <w:tcW w:type="dxa" w:w="879"/>
          </w:tcPr>
          <w:p>
            <w:pPr>
              <w:jc w:val="right"/>
            </w:pPr>
            <w:r/>
            <w:r>
              <w:rPr>
                <w:color w:val="1A1D21"/>
                <w:sz w:val="17"/>
              </w:rPr>
              <w:t>6.15</w:t>
            </w:r>
          </w:p>
        </w:tc>
        <w:tc>
          <w:tcPr>
            <w:tcW w:type="dxa" w:w="879"/>
          </w:tcPr>
          <w:p>
            <w:pPr>
              <w:jc w:val="right"/>
            </w:pPr>
            <w:r/>
            <w:r>
              <w:rPr>
                <w:color w:val="1A1D21"/>
                <w:sz w:val="17"/>
              </w:rPr>
              <w:t>7.67</w:t>
            </w:r>
          </w:p>
        </w:tc>
        <w:tc>
          <w:tcPr>
            <w:tcW w:type="dxa" w:w="879"/>
          </w:tcPr>
          <w:p>
            <w:pPr>
              <w:jc w:val="right"/>
            </w:pPr>
            <w:r/>
            <w:r>
              <w:rPr>
                <w:color w:val="1A1D21"/>
                <w:sz w:val="17"/>
              </w:rPr>
              <w:t>9.42</w:t>
            </w:r>
          </w:p>
        </w:tc>
        <w:tc>
          <w:tcPr>
            <w:tcW w:type="dxa" w:w="879"/>
          </w:tcPr>
          <w:p>
            <w:pPr>
              <w:jc w:val="right"/>
            </w:pPr>
            <w:r/>
            <w:r>
              <w:rPr>
                <w:color w:val="1A1D21"/>
                <w:sz w:val="17"/>
              </w:rPr>
              <w:t>11.40</w:t>
            </w:r>
          </w:p>
        </w:tc>
        <w:tc>
          <w:tcPr>
            <w:tcW w:type="dxa" w:w="879"/>
          </w:tcPr>
          <w:p>
            <w:pPr>
              <w:jc w:val="right"/>
            </w:pPr>
            <w:r/>
            <w:r>
              <w:rPr>
                <w:color w:val="1A1D21"/>
                <w:sz w:val="17"/>
              </w:rPr>
              <w:t>13.63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112,134</w:t>
            </w:r>
          </w:p>
        </w:tc>
        <w:tc>
          <w:tcPr>
            <w:tcW w:type="dxa" w:w="2041"/>
          </w:tcPr>
          <w:p>
            <w:r/>
            <w:r>
              <w:rPr>
                <w:color w:val="1A1D21"/>
                <w:sz w:val="17"/>
              </w:rPr>
              <w:t>83,639 – 191,373</w:t>
            </w:r>
          </w:p>
        </w:tc>
        <w:tc>
          <w:tcPr>
            <w:tcW w:type="dxa" w:w="1531"/>
          </w:tcPr>
          <w:p>
            <w:pPr>
              <w:jc w:val="right"/>
            </w:pPr>
            <w:r/>
            <w:r>
              <w:rPr>
                <w:color w:val="1A1D21"/>
                <w:sz w:val="17"/>
              </w:rPr>
              <w:t>35,423</w:t>
            </w:r>
          </w:p>
        </w:tc>
        <w:tc>
          <w:tcPr>
            <w:tcW w:type="dxa" w:w="2041"/>
          </w:tcPr>
          <w:p>
            <w:r/>
            <w:r>
              <w:rPr>
                <w:color w:val="1A1D21"/>
                <w:sz w:val="17"/>
              </w:rPr>
              <w:t>11,921 – 91,595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129,620</w:t>
            </w:r>
          </w:p>
        </w:tc>
        <w:tc>
          <w:tcPr>
            <w:tcW w:type="dxa" w:w="2041"/>
          </w:tcPr>
          <w:p>
            <w:r/>
            <w:r>
              <w:rPr>
                <w:color w:val="1A1D21"/>
                <w:sz w:val="17"/>
              </w:rPr>
              <w:t>105,535 – 295,374</w:t>
            </w:r>
          </w:p>
        </w:tc>
        <w:tc>
          <w:tcPr>
            <w:tcW w:type="dxa" w:w="1531"/>
          </w:tcPr>
          <w:p>
            <w:pPr>
              <w:jc w:val="right"/>
            </w:pPr>
            <w:r/>
            <w:r>
              <w:rPr>
                <w:color w:val="1A1D21"/>
                <w:sz w:val="17"/>
              </w:rPr>
              <w:t>42,870</w:t>
            </w:r>
          </w:p>
        </w:tc>
        <w:tc>
          <w:tcPr>
            <w:tcW w:type="dxa" w:w="2041"/>
          </w:tcPr>
          <w:p>
            <w:r/>
            <w:r>
              <w:rPr>
                <w:color w:val="1A1D21"/>
                <w:sz w:val="17"/>
              </w:rPr>
              <w:t>16,549 – 142,192</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147,761</w:t>
            </w:r>
          </w:p>
        </w:tc>
        <w:tc>
          <w:tcPr>
            <w:tcW w:type="dxa" w:w="2041"/>
          </w:tcPr>
          <w:p>
            <w:r/>
            <w:r>
              <w:rPr>
                <w:color w:val="1A1D21"/>
                <w:sz w:val="17"/>
              </w:rPr>
              <w:t>78,832 – 440,004</w:t>
            </w:r>
          </w:p>
        </w:tc>
        <w:tc>
          <w:tcPr>
            <w:tcW w:type="dxa" w:w="1531"/>
          </w:tcPr>
          <w:p>
            <w:pPr>
              <w:jc w:val="right"/>
            </w:pPr>
            <w:r/>
            <w:r>
              <w:rPr>
                <w:color w:val="1A1D21"/>
                <w:sz w:val="17"/>
              </w:rPr>
              <w:t>51,258</w:t>
            </w:r>
          </w:p>
        </w:tc>
        <w:tc>
          <w:tcPr>
            <w:tcW w:type="dxa" w:w="2041"/>
          </w:tcPr>
          <w:p>
            <w:r/>
            <w:r>
              <w:rPr>
                <w:color w:val="1A1D21"/>
                <w:sz w:val="17"/>
              </w:rPr>
              <w:t>11,206 – 188,755</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24,356</w:t>
            </w:r>
          </w:p>
        </w:tc>
        <w:tc>
          <w:tcPr>
            <w:tcW w:type="dxa" w:w="1134"/>
          </w:tcPr>
          <w:p>
            <w:pPr>
              <w:jc w:val="right"/>
            </w:pPr>
            <w:r/>
            <w:r>
              <w:rPr>
                <w:color w:val="1A1D21"/>
                <w:sz w:val="17"/>
              </w:rPr>
              <w:t>29,440</w:t>
            </w:r>
          </w:p>
        </w:tc>
        <w:tc>
          <w:tcPr>
            <w:tcW w:type="dxa" w:w="1134"/>
          </w:tcPr>
          <w:p>
            <w:pPr>
              <w:jc w:val="right"/>
            </w:pPr>
            <w:r/>
            <w:r>
              <w:rPr>
                <w:color w:val="1A1D21"/>
                <w:sz w:val="17"/>
              </w:rPr>
              <w:t>35,467</w:t>
            </w:r>
          </w:p>
        </w:tc>
        <w:tc>
          <w:tcPr>
            <w:tcW w:type="dxa" w:w="1134"/>
          </w:tcPr>
          <w:p>
            <w:pPr>
              <w:jc w:val="right"/>
            </w:pPr>
            <w:r/>
            <w:r>
              <w:rPr>
                <w:color w:val="1A1D21"/>
                <w:sz w:val="17"/>
              </w:rPr>
              <w:t>42,486</w:t>
            </w:r>
          </w:p>
        </w:tc>
        <w:tc>
          <w:tcPr>
            <w:tcW w:type="dxa" w:w="1134"/>
          </w:tcPr>
          <w:p>
            <w:pPr>
              <w:jc w:val="right"/>
            </w:pPr>
            <w:r/>
            <w:r>
              <w:rPr>
                <w:color w:val="1A1D21"/>
                <w:sz w:val="17"/>
              </w:rPr>
              <w:t>50,543</w:t>
            </w:r>
          </w:p>
        </w:tc>
      </w:tr>
      <w:tr>
        <w:trPr>
          <w:cantSplit/>
        </w:trPr>
        <w:tc>
          <w:tcPr>
            <w:tcW w:type="dxa" w:w="3061"/>
          </w:tcPr>
          <w:p>
            <w:r/>
            <w:r>
              <w:rPr>
                <w:color w:val="1A1D21"/>
                <w:sz w:val="17"/>
              </w:rPr>
              <w:t>Capital spend</w:t>
            </w:r>
          </w:p>
        </w:tc>
        <w:tc>
          <w:tcPr>
            <w:tcW w:type="dxa" w:w="1134"/>
          </w:tcPr>
          <w:p>
            <w:pPr>
              <w:jc w:val="right"/>
            </w:pPr>
            <w:r/>
            <w:r>
              <w:rPr>
                <w:color w:val="1A1D21"/>
                <w:sz w:val="17"/>
              </w:rPr>
              <w:t>-2,320</w:t>
            </w:r>
          </w:p>
        </w:tc>
        <w:tc>
          <w:tcPr>
            <w:tcW w:type="dxa" w:w="1134"/>
          </w:tcPr>
          <w:p>
            <w:pPr>
              <w:jc w:val="right"/>
            </w:pPr>
            <w:r/>
            <w:r>
              <w:rPr>
                <w:color w:val="1A1D21"/>
                <w:sz w:val="17"/>
              </w:rPr>
              <w:t>-2,760</w:t>
            </w:r>
          </w:p>
        </w:tc>
        <w:tc>
          <w:tcPr>
            <w:tcW w:type="dxa" w:w="1134"/>
          </w:tcPr>
          <w:p>
            <w:pPr>
              <w:jc w:val="right"/>
            </w:pPr>
            <w:r/>
            <w:r>
              <w:rPr>
                <w:color w:val="1A1D21"/>
                <w:sz w:val="17"/>
              </w:rPr>
              <w:t>-3,239</w:t>
            </w:r>
          </w:p>
        </w:tc>
        <w:tc>
          <w:tcPr>
            <w:tcW w:type="dxa" w:w="1134"/>
          </w:tcPr>
          <w:p>
            <w:pPr>
              <w:jc w:val="right"/>
            </w:pPr>
            <w:r/>
            <w:r>
              <w:rPr>
                <w:color w:val="1A1D21"/>
                <w:sz w:val="17"/>
              </w:rPr>
              <w:t>-3,749</w:t>
            </w:r>
          </w:p>
        </w:tc>
        <w:tc>
          <w:tcPr>
            <w:tcW w:type="dxa" w:w="1134"/>
          </w:tcPr>
          <w:p>
            <w:pPr>
              <w:jc w:val="right"/>
            </w:pPr>
            <w:r/>
            <w:r>
              <w:rPr>
                <w:color w:val="1A1D21"/>
                <w:sz w:val="17"/>
              </w:rPr>
              <w:t>-4,279</w:t>
            </w:r>
          </w:p>
        </w:tc>
      </w:tr>
      <w:tr>
        <w:trPr>
          <w:cantSplit/>
        </w:trPr>
        <w:tc>
          <w:tcPr>
            <w:tcW w:type="dxa" w:w="3061"/>
          </w:tcPr>
          <w:p>
            <w:r/>
            <w:r>
              <w:rPr>
                <w:color w:val="1A1D21"/>
                <w:sz w:val="17"/>
              </w:rPr>
              <w:t>Dividends</w:t>
            </w:r>
          </w:p>
        </w:tc>
        <w:tc>
          <w:tcPr>
            <w:tcW w:type="dxa" w:w="1134"/>
          </w:tcPr>
          <w:p>
            <w:pPr>
              <w:jc w:val="right"/>
            </w:pPr>
            <w:r/>
            <w:r>
              <w:rPr>
                <w:color w:val="1A1D21"/>
                <w:sz w:val="17"/>
              </w:rPr>
              <w:t>-3,802</w:t>
            </w:r>
          </w:p>
        </w:tc>
        <w:tc>
          <w:tcPr>
            <w:tcW w:type="dxa" w:w="1134"/>
          </w:tcPr>
          <w:p>
            <w:pPr>
              <w:jc w:val="right"/>
            </w:pPr>
            <w:r/>
            <w:r>
              <w:rPr>
                <w:color w:val="1A1D21"/>
                <w:sz w:val="17"/>
              </w:rPr>
              <w:t>-4,744</w:t>
            </w:r>
          </w:p>
        </w:tc>
        <w:tc>
          <w:tcPr>
            <w:tcW w:type="dxa" w:w="1134"/>
          </w:tcPr>
          <w:p>
            <w:pPr>
              <w:jc w:val="right"/>
            </w:pPr>
            <w:r/>
            <w:r>
              <w:rPr>
                <w:color w:val="1A1D21"/>
                <w:sz w:val="17"/>
              </w:rPr>
              <w:t>-5,822</w:t>
            </w:r>
          </w:p>
        </w:tc>
        <w:tc>
          <w:tcPr>
            <w:tcW w:type="dxa" w:w="1134"/>
          </w:tcPr>
          <w:p>
            <w:pPr>
              <w:jc w:val="right"/>
            </w:pPr>
            <w:r/>
            <w:r>
              <w:rPr>
                <w:color w:val="1A1D21"/>
                <w:sz w:val="17"/>
              </w:rPr>
              <w:t>-7,046</w:t>
            </w:r>
          </w:p>
        </w:tc>
        <w:tc>
          <w:tcPr>
            <w:tcW w:type="dxa" w:w="1134"/>
          </w:tcPr>
          <w:p>
            <w:pPr>
              <w:jc w:val="right"/>
            </w:pPr>
            <w:r/>
            <w:r>
              <w:rPr>
                <w:color w:val="1A1D21"/>
                <w:sz w:val="17"/>
              </w:rPr>
              <w:t>-8,425</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-772</w:t>
            </w:r>
          </w:p>
        </w:tc>
        <w:tc>
          <w:tcPr>
            <w:tcW w:type="dxa" w:w="1134"/>
          </w:tcPr>
          <w:p>
            <w:pPr>
              <w:jc w:val="right"/>
            </w:pPr>
            <w:r/>
            <w:r>
              <w:rPr>
                <w:color w:val="1A1D21"/>
                <w:sz w:val="17"/>
              </w:rPr>
              <w:t>5,442</w:t>
            </w:r>
          </w:p>
        </w:tc>
        <w:tc>
          <w:tcPr>
            <w:tcW w:type="dxa" w:w="1134"/>
          </w:tcPr>
          <w:p>
            <w:pPr>
              <w:jc w:val="right"/>
            </w:pPr>
            <w:r/>
            <w:r>
              <w:rPr>
                <w:color w:val="1A1D21"/>
                <w:sz w:val="17"/>
              </w:rPr>
              <w:t>10,591</w:t>
            </w:r>
          </w:p>
        </w:tc>
        <w:tc>
          <w:tcPr>
            <w:tcW w:type="dxa" w:w="1134"/>
          </w:tcPr>
          <w:p>
            <w:pPr>
              <w:jc w:val="right"/>
            </w:pPr>
            <w:r/>
            <w:r>
              <w:rPr>
                <w:color w:val="1A1D21"/>
                <w:sz w:val="17"/>
              </w:rPr>
              <w:t>14,823</w:t>
            </w:r>
          </w:p>
        </w:tc>
        <w:tc>
          <w:tcPr>
            <w:tcW w:type="dxa" w:w="1134"/>
          </w:tcPr>
          <w:p>
            <w:pPr>
              <w:jc w:val="right"/>
            </w:pPr>
            <w:r/>
            <w:r>
              <w:rPr>
                <w:color w:val="1A1D21"/>
                <w:sz w:val="17"/>
              </w:rPr>
              <w:t>18,207</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-6,024</w:t>
            </w:r>
          </w:p>
        </w:tc>
        <w:tc>
          <w:tcPr>
            <w:tcW w:type="dxa" w:w="1134"/>
          </w:tcPr>
          <w:p>
            <w:pPr>
              <w:jc w:val="right"/>
            </w:pPr>
            <w:r/>
            <w:r>
              <w:rPr>
                <w:color w:val="1A1D21"/>
                <w:sz w:val="17"/>
              </w:rPr>
              <w:t>-11,723</w:t>
            </w:r>
          </w:p>
        </w:tc>
        <w:tc>
          <w:tcPr>
            <w:tcW w:type="dxa" w:w="1134"/>
          </w:tcPr>
          <w:p>
            <w:pPr>
              <w:jc w:val="right"/>
            </w:pPr>
            <w:r/>
            <w:r>
              <w:rPr>
                <w:color w:val="1A1D21"/>
                <w:sz w:val="17"/>
              </w:rPr>
              <w:t>-16,407</w:t>
            </w:r>
          </w:p>
        </w:tc>
        <w:tc>
          <w:tcPr>
            <w:tcW w:type="dxa" w:w="1134"/>
          </w:tcPr>
          <w:p>
            <w:pPr>
              <w:jc w:val="right"/>
            </w:pPr>
            <w:r/>
            <w:r>
              <w:rPr>
                <w:color w:val="1A1D21"/>
                <w:sz w:val="17"/>
              </w:rPr>
              <w:t>-20,154</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13,550</w:t>
            </w:r>
          </w:p>
        </w:tc>
        <w:tc>
          <w:tcPr>
            <w:tcW w:type="dxa" w:w="1134"/>
          </w:tcPr>
          <w:p>
            <w:pPr>
              <w:jc w:val="right"/>
            </w:pPr>
            <w:r/>
            <w:r>
              <w:rPr>
                <w:color w:val="1A1D21"/>
                <w:sz w:val="17"/>
              </w:rPr>
              <w:t>15,369</w:t>
            </w:r>
          </w:p>
        </w:tc>
        <w:tc>
          <w:tcPr>
            <w:tcW w:type="dxa" w:w="1134"/>
          </w:tcPr>
          <w:p>
            <w:pPr>
              <w:jc w:val="right"/>
            </w:pPr>
            <w:r/>
            <w:r>
              <w:rPr>
                <w:color w:val="1A1D21"/>
                <w:sz w:val="17"/>
              </w:rPr>
              <w:t>17,517</w:t>
            </w:r>
          </w:p>
        </w:tc>
        <w:tc>
          <w:tcPr>
            <w:tcW w:type="dxa" w:w="1134"/>
          </w:tcPr>
          <w:p>
            <w:pPr>
              <w:jc w:val="right"/>
            </w:pPr>
            <w:r/>
            <w:r>
              <w:rPr>
                <w:color w:val="1A1D21"/>
                <w:sz w:val="17"/>
              </w:rPr>
              <w:t>19,933</w:t>
            </w:r>
          </w:p>
        </w:tc>
        <w:tc>
          <w:tcPr>
            <w:tcW w:type="dxa" w:w="1134"/>
          </w:tcPr>
          <w:p>
            <w:pPr>
              <w:jc w:val="right"/>
            </w:pPr>
            <w:r/>
            <w:r>
              <w:rPr>
                <w:color w:val="1A1D21"/>
                <w:sz w:val="17"/>
              </w:rPr>
              <w:t>22,547</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94,007</w:t>
            </w:r>
          </w:p>
        </w:tc>
        <w:tc>
          <w:tcPr>
            <w:tcW w:type="dxa" w:w="1134"/>
          </w:tcPr>
          <w:p>
            <w:pPr>
              <w:jc w:val="right"/>
            </w:pPr>
            <w:r/>
            <w:r>
              <w:rPr>
                <w:color w:val="1A1D21"/>
                <w:sz w:val="17"/>
              </w:rPr>
              <w:t>115,943</w:t>
            </w:r>
          </w:p>
        </w:tc>
        <w:tc>
          <w:tcPr>
            <w:tcW w:type="dxa" w:w="1134"/>
          </w:tcPr>
          <w:p>
            <w:pPr>
              <w:jc w:val="right"/>
            </w:pPr>
            <w:r/>
            <w:r>
              <w:rPr>
                <w:color w:val="1A1D21"/>
                <w:sz w:val="17"/>
              </w:rPr>
              <w:t>142,349</w:t>
            </w:r>
          </w:p>
        </w:tc>
        <w:tc>
          <w:tcPr>
            <w:tcW w:type="dxa" w:w="1134"/>
          </w:tcPr>
          <w:p>
            <w:pPr>
              <w:jc w:val="right"/>
            </w:pPr>
            <w:r/>
            <w:r>
              <w:rPr>
                <w:color w:val="1A1D21"/>
                <w:sz w:val="17"/>
              </w:rPr>
              <w:t>174,041</w:t>
            </w:r>
          </w:p>
        </w:tc>
        <w:tc>
          <w:tcPr>
            <w:tcW w:type="dxa" w:w="1134"/>
          </w:tcPr>
          <w:p>
            <w:pPr>
              <w:jc w:val="right"/>
            </w:pPr>
            <w:r/>
            <w:r>
              <w:rPr>
                <w:color w:val="1A1D21"/>
                <w:sz w:val="17"/>
              </w:rPr>
              <w:t>211,880</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153,484</w:t>
            </w:r>
          </w:p>
        </w:tc>
        <w:tc>
          <w:tcPr>
            <w:tcW w:type="dxa" w:w="1134"/>
          </w:tcPr>
          <w:p>
            <w:pPr>
              <w:jc w:val="right"/>
            </w:pPr>
            <w:r/>
            <w:r>
              <w:rPr>
                <w:color w:val="1A1D21"/>
                <w:sz w:val="17"/>
              </w:rPr>
              <w:t>165,208</w:t>
            </w:r>
          </w:p>
        </w:tc>
        <w:tc>
          <w:tcPr>
            <w:tcW w:type="dxa" w:w="1134"/>
          </w:tcPr>
          <w:p>
            <w:pPr>
              <w:jc w:val="right"/>
            </w:pPr>
            <w:r/>
            <w:r>
              <w:rPr>
                <w:color w:val="1A1D21"/>
                <w:sz w:val="17"/>
              </w:rPr>
              <w:t>181,615</w:t>
            </w:r>
          </w:p>
        </w:tc>
        <w:tc>
          <w:tcPr>
            <w:tcW w:type="dxa" w:w="1134"/>
          </w:tcPr>
          <w:p>
            <w:pPr>
              <w:jc w:val="right"/>
            </w:pPr>
            <w:r/>
            <w:r>
              <w:rPr>
                <w:color w:val="1A1D21"/>
                <w:sz w:val="17"/>
              </w:rPr>
              <w:t>201,768</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133,221</w:t>
            </w:r>
          </w:p>
        </w:tc>
        <w:tc>
          <w:tcPr>
            <w:tcW w:type="dxa" w:w="1134"/>
          </w:tcPr>
          <w:p>
            <w:pPr>
              <w:jc w:val="right"/>
            </w:pPr>
            <w:r/>
            <w:r>
              <w:rPr>
                <w:color w:val="1A1D21"/>
                <w:sz w:val="17"/>
              </w:rPr>
              <w:t>138,663</w:t>
            </w:r>
          </w:p>
        </w:tc>
        <w:tc>
          <w:tcPr>
            <w:tcW w:type="dxa" w:w="1134"/>
          </w:tcPr>
          <w:p>
            <w:pPr>
              <w:jc w:val="right"/>
            </w:pPr>
            <w:r/>
            <w:r>
              <w:rPr>
                <w:color w:val="1A1D21"/>
                <w:sz w:val="17"/>
              </w:rPr>
              <w:t>149,254</w:t>
            </w:r>
          </w:p>
        </w:tc>
        <w:tc>
          <w:tcPr>
            <w:tcW w:type="dxa" w:w="1134"/>
          </w:tcPr>
          <w:p>
            <w:pPr>
              <w:jc w:val="right"/>
            </w:pPr>
            <w:r/>
            <w:r>
              <w:rPr>
                <w:color w:val="1A1D21"/>
                <w:sz w:val="17"/>
              </w:rPr>
              <w:t>164,077</w:t>
            </w:r>
          </w:p>
        </w:tc>
        <w:tc>
          <w:tcPr>
            <w:tcW w:type="dxa" w:w="1134"/>
          </w:tcPr>
          <w:p>
            <w:pPr>
              <w:jc w:val="right"/>
            </w:pPr>
            <w:r/>
            <w:r>
              <w:rPr>
                <w:color w:val="1A1D21"/>
                <w:sz w:val="17"/>
              </w:rPr>
              <w:t>182,284</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100,542</w:t>
            </w:r>
          </w:p>
        </w:tc>
        <w:tc>
          <w:tcPr>
            <w:tcW w:type="dxa" w:w="1134"/>
          </w:tcPr>
          <w:p>
            <w:pPr>
              <w:jc w:val="right"/>
            </w:pPr>
            <w:r/>
            <w:r>
              <w:rPr>
                <w:color w:val="1A1D21"/>
                <w:sz w:val="17"/>
              </w:rPr>
              <w:t>111,612</w:t>
            </w:r>
          </w:p>
        </w:tc>
        <w:tc>
          <w:tcPr>
            <w:tcW w:type="dxa" w:w="1134"/>
          </w:tcPr>
          <w:p>
            <w:pPr>
              <w:jc w:val="right"/>
            </w:pPr>
            <w:r/>
            <w:r>
              <w:rPr>
                <w:color w:val="1A1D21"/>
                <w:sz w:val="17"/>
              </w:rPr>
              <w:t>125,197</w:t>
            </w:r>
          </w:p>
        </w:tc>
        <w:tc>
          <w:tcPr>
            <w:tcW w:type="dxa" w:w="1134"/>
          </w:tcPr>
          <w:p>
            <w:pPr>
              <w:jc w:val="right"/>
            </w:pPr>
            <w:r/>
            <w:r>
              <w:rPr>
                <w:color w:val="1A1D21"/>
                <w:sz w:val="17"/>
              </w:rPr>
              <w:t>141,637</w:t>
            </w:r>
          </w:p>
        </w:tc>
        <w:tc>
          <w:tcPr>
            <w:tcW w:type="dxa" w:w="1134"/>
          </w:tcPr>
          <w:p>
            <w:pPr>
              <w:jc w:val="right"/>
            </w:pPr>
            <w:r/>
            <w:r>
              <w:rPr>
                <w:color w:val="1A1D21"/>
                <w:sz w:val="17"/>
              </w:rPr>
              <w:t>161,295</w:t>
            </w:r>
          </w:p>
        </w:tc>
      </w:tr>
      <w:tr>
        <w:trPr>
          <w:cantSplit/>
        </w:trPr>
        <w:tc>
          <w:tcPr>
            <w:tcW w:type="dxa" w:w="3061"/>
          </w:tcPr>
          <w:p>
            <w:r/>
            <w:r>
              <w:rPr>
                <w:color w:val="1A1D21"/>
                <w:sz w:val="17"/>
              </w:rPr>
              <w:t>Total assets</w:t>
            </w:r>
          </w:p>
        </w:tc>
        <w:tc>
          <w:tcPr>
            <w:tcW w:type="dxa" w:w="1134"/>
          </w:tcPr>
          <w:p>
            <w:pPr>
              <w:jc w:val="right"/>
            </w:pPr>
            <w:r/>
            <w:r>
              <w:rPr>
                <w:color w:val="1A1D21"/>
                <w:sz w:val="17"/>
              </w:rPr>
              <w:t>496,454</w:t>
            </w:r>
          </w:p>
        </w:tc>
        <w:tc>
          <w:tcPr>
            <w:tcW w:type="dxa" w:w="1134"/>
          </w:tcPr>
          <w:p>
            <w:pPr>
              <w:jc w:val="right"/>
            </w:pPr>
            <w:r/>
            <w:r>
              <w:rPr>
                <w:color w:val="1A1D21"/>
                <w:sz w:val="17"/>
              </w:rPr>
              <w:t>526,017</w:t>
            </w:r>
          </w:p>
        </w:tc>
        <w:tc>
          <w:tcPr>
            <w:tcW w:type="dxa" w:w="1134"/>
          </w:tcPr>
          <w:p>
            <w:pPr>
              <w:jc w:val="right"/>
            </w:pPr>
            <w:r/>
            <w:r>
              <w:rPr>
                <w:color w:val="1A1D21"/>
                <w:sz w:val="17"/>
              </w:rPr>
              <w:t>566,210</w:t>
            </w:r>
          </w:p>
        </w:tc>
        <w:tc>
          <w:tcPr>
            <w:tcW w:type="dxa" w:w="1134"/>
          </w:tcPr>
          <w:p>
            <w:pPr>
              <w:jc w:val="right"/>
            </w:pPr>
            <w:r/>
            <w:r>
              <w:rPr>
                <w:color w:val="1A1D21"/>
                <w:sz w:val="17"/>
              </w:rPr>
              <w:t>616,856</w:t>
            </w:r>
          </w:p>
        </w:tc>
        <w:tc>
          <w:tcPr>
            <w:tcW w:type="dxa" w:w="1134"/>
          </w:tcPr>
          <w:p>
            <w:pPr>
              <w:jc w:val="right"/>
            </w:pPr>
            <w:r/>
            <w:r>
              <w:rPr>
                <w:color w:val="1A1D21"/>
                <w:sz w:val="17"/>
              </w:rPr>
              <w:t>677,897</w:t>
            </w:r>
          </w:p>
        </w:tc>
      </w:tr>
      <w:tr>
        <w:trPr>
          <w:cantSplit/>
        </w:trPr>
        <w:tc>
          <w:tcPr>
            <w:tcW w:type="dxa" w:w="3061"/>
          </w:tcPr>
          <w:p>
            <w:r/>
            <w:r>
              <w:rPr>
                <w:color w:val="1A1D21"/>
                <w:sz w:val="17"/>
              </w:rPr>
              <w:t>Total liabilities</w:t>
            </w:r>
          </w:p>
        </w:tc>
        <w:tc>
          <w:tcPr>
            <w:tcW w:type="dxa" w:w="1134"/>
          </w:tcPr>
          <w:p>
            <w:pPr>
              <w:jc w:val="right"/>
            </w:pPr>
            <w:r/>
            <w:r>
              <w:rPr>
                <w:color w:val="1A1D21"/>
                <w:sz w:val="17"/>
              </w:rPr>
              <w:t>309,802</w:t>
            </w:r>
          </w:p>
        </w:tc>
        <w:tc>
          <w:tcPr>
            <w:tcW w:type="dxa" w:w="1134"/>
          </w:tcPr>
          <w:p>
            <w:pPr>
              <w:jc w:val="right"/>
            </w:pPr>
            <w:r/>
            <w:r>
              <w:rPr>
                <w:color w:val="1A1D21"/>
                <w:sz w:val="17"/>
              </w:rPr>
              <w:t>315,244</w:t>
            </w:r>
          </w:p>
        </w:tc>
        <w:tc>
          <w:tcPr>
            <w:tcW w:type="dxa" w:w="1134"/>
          </w:tcPr>
          <w:p>
            <w:pPr>
              <w:jc w:val="right"/>
            </w:pPr>
            <w:r/>
            <w:r>
              <w:rPr>
                <w:color w:val="1A1D21"/>
                <w:sz w:val="17"/>
              </w:rPr>
              <w:t>325,835</w:t>
            </w:r>
          </w:p>
        </w:tc>
        <w:tc>
          <w:tcPr>
            <w:tcW w:type="dxa" w:w="1134"/>
          </w:tcPr>
          <w:p>
            <w:pPr>
              <w:jc w:val="right"/>
            </w:pPr>
            <w:r/>
            <w:r>
              <w:rPr>
                <w:color w:val="1A1D21"/>
                <w:sz w:val="17"/>
              </w:rPr>
              <w:t>340,658</w:t>
            </w:r>
          </w:p>
        </w:tc>
        <w:tc>
          <w:tcPr>
            <w:tcW w:type="dxa" w:w="1134"/>
          </w:tcPr>
          <w:p>
            <w:pPr>
              <w:jc w:val="right"/>
            </w:pPr>
            <w:r/>
            <w:r>
              <w:rPr>
                <w:color w:val="1A1D21"/>
                <w:sz w:val="17"/>
              </w:rPr>
              <w:t>358,865</w:t>
            </w:r>
          </w:p>
        </w:tc>
      </w:tr>
      <w:tr>
        <w:trPr>
          <w:cantSplit/>
        </w:trPr>
        <w:tc>
          <w:tcPr>
            <w:tcW w:type="dxa" w:w="3061"/>
          </w:tcPr>
          <w:p>
            <w:r/>
            <w:r>
              <w:rPr>
                <w:color w:val="1A1D21"/>
                <w:sz w:val="17"/>
              </w:rPr>
              <w:t>Total equity</w:t>
            </w:r>
          </w:p>
        </w:tc>
        <w:tc>
          <w:tcPr>
            <w:tcW w:type="dxa" w:w="1134"/>
          </w:tcPr>
          <w:p>
            <w:pPr>
              <w:jc w:val="right"/>
            </w:pPr>
            <w:r/>
            <w:r>
              <w:rPr>
                <w:color w:val="1A1D21"/>
                <w:sz w:val="17"/>
              </w:rPr>
              <w:t>186,653</w:t>
            </w:r>
          </w:p>
        </w:tc>
        <w:tc>
          <w:tcPr>
            <w:tcW w:type="dxa" w:w="1134"/>
          </w:tcPr>
          <w:p>
            <w:pPr>
              <w:jc w:val="right"/>
            </w:pPr>
            <w:r/>
            <w:r>
              <w:rPr>
                <w:color w:val="1A1D21"/>
                <w:sz w:val="17"/>
              </w:rPr>
              <w:t>210,773</w:t>
            </w:r>
          </w:p>
        </w:tc>
        <w:tc>
          <w:tcPr>
            <w:tcW w:type="dxa" w:w="1134"/>
          </w:tcPr>
          <w:p>
            <w:pPr>
              <w:jc w:val="right"/>
            </w:pPr>
            <w:r/>
            <w:r>
              <w:rPr>
                <w:color w:val="1A1D21"/>
                <w:sz w:val="17"/>
              </w:rPr>
              <w:t>240,374</w:t>
            </w:r>
          </w:p>
        </w:tc>
        <w:tc>
          <w:tcPr>
            <w:tcW w:type="dxa" w:w="1134"/>
          </w:tcPr>
          <w:p>
            <w:pPr>
              <w:jc w:val="right"/>
            </w:pPr>
            <w:r/>
            <w:r>
              <w:rPr>
                <w:color w:val="1A1D21"/>
                <w:sz w:val="17"/>
              </w:rPr>
              <w:t>276,198</w:t>
            </w:r>
          </w:p>
        </w:tc>
        <w:tc>
          <w:tcPr>
            <w:tcW w:type="dxa" w:w="1134"/>
          </w:tcPr>
          <w:p>
            <w:pPr>
              <w:jc w:val="right"/>
            </w:pPr>
            <w:r/>
            <w:r>
              <w:rPr>
                <w:color w:val="1A1D21"/>
                <w:sz w:val="17"/>
              </w:rPr>
              <w:t>319,031</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2030,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2608"/>
        <w:gridCol w:w="1247"/>
        <w:gridCol w:w="1134"/>
        <w:gridCol w:w="3969"/>
      </w:tblGrid>
      <w:tr>
        <w:trPr>
          <w:tblHeader w:val="true"/>
        </w:trPr>
        <w:tc>
          <w:tcPr>
            <w:tcW w:type="dxa" w:w="2608"/>
          </w:tcPr>
          <w:p>
            <w:r/>
            <w:r>
              <w:rPr>
                <w:b/>
                <w:color w:val="5B6570"/>
                <w:sz w:val="17"/>
              </w:rPr>
              <w:t>Company</w:t>
            </w:r>
          </w:p>
        </w:tc>
        <w:tc>
          <w:tcPr>
            <w:tcW w:type="dxa" w:w="1247"/>
          </w:tcPr>
          <w:p>
            <w:r/>
            <w:r>
              <w:rPr>
                <w:b/>
                <w:color w:val="5B6570"/>
                <w:sz w:val="17"/>
              </w:rPr>
              <w:t>Last close, EGP</w:t>
            </w:r>
          </w:p>
        </w:tc>
        <w:tc>
          <w:tcPr>
            <w:tcW w:type="dxa" w:w="1134"/>
          </w:tcPr>
          <w:p>
            <w:r/>
            <w:r>
              <w:rPr>
                <w:b/>
                <w:color w:val="5B6570"/>
                <w:sz w:val="17"/>
              </w:rPr>
              <w:t>As at</w:t>
            </w:r>
          </w:p>
        </w:tc>
        <w:tc>
          <w:tcPr>
            <w:tcW w:type="dxa" w:w="3969"/>
          </w:tcPr>
          <w:p>
            <w:r/>
            <w:r>
              <w:rPr>
                <w:b/>
                <w:color w:val="5B6570"/>
                <w:sz w:val="17"/>
              </w:rPr>
              <w:t>Why it is a comparator</w:t>
            </w:r>
          </w:p>
        </w:tc>
      </w:tr>
      <w:tr>
        <w:trPr>
          <w:cantSplit/>
        </w:trPr>
        <w:tc>
          <w:tcPr>
            <w:tcW w:type="dxa" w:w="2608"/>
          </w:tcPr>
          <w:p>
            <w:r/>
            <w:r>
              <w:rPr>
                <w:color w:val="1A1D21"/>
                <w:sz w:val="17"/>
              </w:rPr>
              <w:t>Emaar Misr for Development</w:t>
            </w:r>
          </w:p>
        </w:tc>
        <w:tc>
          <w:tcPr>
            <w:tcW w:type="dxa" w:w="1247"/>
          </w:tcPr>
          <w:p>
            <w:pPr>
              <w:jc w:val="right"/>
            </w:pPr>
            <w:r/>
            <w:r>
              <w:rPr>
                <w:color w:val="1A1D21"/>
                <w:sz w:val="17"/>
              </w:rPr>
              <w:t>11.53</w:t>
            </w:r>
          </w:p>
        </w:tc>
        <w:tc>
          <w:tcPr>
            <w:tcW w:type="dxa" w:w="1134"/>
          </w:tcPr>
          <w:p>
            <w:pPr>
              <w:jc w:val="right"/>
            </w:pPr>
            <w:r/>
            <w:r>
              <w:rPr>
                <w:color w:val="1A1D21"/>
                <w:sz w:val="17"/>
              </w:rPr>
              <w:t>2026-07-28</w:t>
            </w:r>
          </w:p>
        </w:tc>
        <w:tc>
          <w:tcPr>
            <w:tcW w:type="dxa" w:w="3969"/>
          </w:tcPr>
          <w:p>
            <w:r/>
            <w:r>
              <w:rPr>
                <w:color w:val="1A1D21"/>
                <w:sz w:val="17"/>
              </w:rPr>
              <w:t>off-plan developer, comparable payment plans and handover clock</w:t>
            </w:r>
          </w:p>
        </w:tc>
      </w:tr>
      <w:tr>
        <w:trPr>
          <w:cantSplit/>
        </w:trPr>
        <w:tc>
          <w:tcPr>
            <w:tcW w:type="dxa" w:w="2608"/>
          </w:tcPr>
          <w:p>
            <w:r/>
            <w:r>
              <w:rPr>
                <w:color w:val="1A1D21"/>
                <w:sz w:val="17"/>
              </w:rPr>
              <w:t>Sixth of October Development &amp; Investment (SODIC)</w:t>
            </w:r>
          </w:p>
        </w:tc>
        <w:tc>
          <w:tcPr>
            <w:tcW w:type="dxa" w:w="1247"/>
          </w:tcPr>
          <w:p>
            <w:pPr>
              <w:jc w:val="right"/>
            </w:pPr>
            <w:r/>
            <w:r>
              <w:rPr>
                <w:color w:val="1A1D21"/>
                <w:sz w:val="17"/>
              </w:rPr>
              <w:t>27.48</w:t>
            </w:r>
          </w:p>
        </w:tc>
        <w:tc>
          <w:tcPr>
            <w:tcW w:type="dxa" w:w="1134"/>
          </w:tcPr>
          <w:p>
            <w:pPr>
              <w:jc w:val="right"/>
            </w:pPr>
            <w:r/>
            <w:r>
              <w:rPr>
                <w:color w:val="1A1D21"/>
                <w:sz w:val="17"/>
              </w:rPr>
              <w:t>2026-07-27</w:t>
            </w:r>
          </w:p>
        </w:tc>
        <w:tc>
          <w:tcPr>
            <w:tcW w:type="dxa" w:w="3969"/>
          </w:tcPr>
          <w:p>
            <w:r/>
            <w:r>
              <w:rPr>
                <w:color w:val="1A1D21"/>
                <w:sz w:val="17"/>
              </w:rPr>
              <w:t>integrated-community developer, similar product mix</w:t>
            </w:r>
          </w:p>
        </w:tc>
      </w:tr>
      <w:tr>
        <w:trPr>
          <w:cantSplit/>
        </w:trPr>
        <w:tc>
          <w:tcPr>
            <w:tcW w:type="dxa" w:w="2608"/>
          </w:tcPr>
          <w:p>
            <w:r/>
            <w:r>
              <w:rPr>
                <w:color w:val="1A1D21"/>
                <w:sz w:val="17"/>
              </w:rPr>
              <w:t>Palm Hills Developments</w:t>
            </w:r>
          </w:p>
        </w:tc>
        <w:tc>
          <w:tcPr>
            <w:tcW w:type="dxa" w:w="1247"/>
          </w:tcPr>
          <w:p>
            <w:pPr>
              <w:jc w:val="right"/>
            </w:pPr>
            <w:r/>
            <w:r>
              <w:rPr>
                <w:color w:val="1A1D21"/>
                <w:sz w:val="17"/>
              </w:rPr>
              <w:t>15.20</w:t>
            </w:r>
          </w:p>
        </w:tc>
        <w:tc>
          <w:tcPr>
            <w:tcW w:type="dxa" w:w="1134"/>
          </w:tcPr>
          <w:p>
            <w:pPr>
              <w:jc w:val="right"/>
            </w:pPr>
            <w:r/>
            <w:r>
              <w:rPr>
                <w:color w:val="1A1D21"/>
                <w:sz w:val="17"/>
              </w:rPr>
              <w:t>2026-08-23</w:t>
            </w:r>
          </w:p>
        </w:tc>
        <w:tc>
          <w:tcPr>
            <w:tcW w:type="dxa" w:w="3969"/>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2608"/>
          </w:tcPr>
          <w:p>
            <w:r/>
            <w:r>
              <w:rPr>
                <w:color w:val="1A1D21"/>
                <w:sz w:val="17"/>
              </w:rPr>
              <w:t>Heliopolis Housing &amp; Development</w:t>
            </w:r>
          </w:p>
        </w:tc>
        <w:tc>
          <w:tcPr>
            <w:tcW w:type="dxa" w:w="1247"/>
          </w:tcPr>
          <w:p>
            <w:pPr>
              <w:jc w:val="right"/>
            </w:pPr>
            <w:r/>
            <w:r>
              <w:rPr>
                <w:color w:val="1A1D21"/>
                <w:sz w:val="17"/>
              </w:rPr>
              <w:t>7.75</w:t>
            </w:r>
          </w:p>
        </w:tc>
        <w:tc>
          <w:tcPr>
            <w:tcW w:type="dxa" w:w="1134"/>
          </w:tcPr>
          <w:p>
            <w:pPr>
              <w:jc w:val="right"/>
            </w:pPr>
            <w:r/>
            <w:r>
              <w:rPr>
                <w:color w:val="1A1D21"/>
                <w:sz w:val="17"/>
              </w:rPr>
              <w:t>2026-08-23</w:t>
            </w:r>
          </w:p>
        </w:tc>
        <w:tc>
          <w:tcPr>
            <w:tcW w:type="dxa" w:w="3969"/>
          </w:tcPr>
          <w:p>
            <w:r/>
            <w:r>
              <w:rPr>
                <w:color w:val="1A1D21"/>
                <w:sz w:val="17"/>
              </w:rPr>
              <w:t>land-rich developer with a comparable legacy landbank</w:t>
            </w:r>
          </w:p>
        </w:tc>
      </w:tr>
      <w:tr>
        <w:trPr>
          <w:cantSplit/>
        </w:trPr>
        <w:tc>
          <w:tcPr>
            <w:tcW w:type="dxa" w:w="2608"/>
          </w:tcPr>
          <w:p>
            <w:r/>
            <w:r>
              <w:rPr>
                <w:color w:val="1A1D21"/>
                <w:sz w:val="17"/>
              </w:rPr>
              <w:t>Orascom Development Egypt</w:t>
            </w:r>
          </w:p>
        </w:tc>
        <w:tc>
          <w:tcPr>
            <w:tcW w:type="dxa" w:w="1247"/>
          </w:tcPr>
          <w:p>
            <w:pPr>
              <w:jc w:val="right"/>
            </w:pPr>
            <w:r/>
            <w:r>
              <w:rPr>
                <w:color w:val="1A1D21"/>
                <w:sz w:val="17"/>
              </w:rPr>
              <w:t>40.16</w:t>
            </w:r>
          </w:p>
        </w:tc>
        <w:tc>
          <w:tcPr>
            <w:tcW w:type="dxa" w:w="1134"/>
          </w:tcPr>
          <w:p>
            <w:pPr>
              <w:jc w:val="right"/>
            </w:pPr>
            <w:r/>
            <w:r>
              <w:rPr>
                <w:color w:val="1A1D21"/>
                <w:sz w:val="17"/>
              </w:rPr>
              <w:t>2026-07-27</w:t>
            </w:r>
          </w:p>
        </w:tc>
        <w:tc>
          <w:tcPr>
            <w:tcW w:type="dxa" w:w="3969"/>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