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6800"/>
        <w:gridCol w:w="2560"/>
      </w:tblGrid>
      <w:tr>
        <w:tc>
          <w:tcPr>
            <w:tcW w:type="dxa" w:w="6800"/>
            <w:shd w:fill="1B5E5E" w:val="clear"/>
            <w:tcMar>
              <w:top w:type="dxa" w:w="40"/>
              <w:left w:type="dxa" w:w="80"/>
              <w:bottom w:type="dxa" w:w="40"/>
              <w:right w:type="dxa" w:w="80"/>
            </w:tcMar>
          </w:tcPr>
          <w:p>
            <w:r>
              <w:rPr>
                <w:b w:val="false"/>
                <w:bCs w:val="false"/>
                <w:color w:val="FFFFFF"/>
                <w:sz w:val="20"/>
                <w:szCs w:val="20"/>
              </w:rPr>
              <w:t xml:space="preserve">Testahil   ·   Independent Valuation Study — Educational Analysis</w:t>
            </w:r>
          </w:p>
        </w:tc>
        <w:tc>
          <w:tcPr>
            <w:tcW w:type="dxa" w:w="2560"/>
            <w:shd w:fill="1B5E5E" w:val="clear"/>
            <w:tcMar>
              <w:top w:type="dxa" w:w="40"/>
              <w:left w:type="dxa" w:w="80"/>
              <w:bottom w:type="dxa" w:w="40"/>
              <w:right w:type="dxa" w:w="80"/>
            </w:tcMar>
          </w:tcPr>
          <w:p>
            <w:pPr>
              <w:jc w:val="right"/>
            </w:pPr>
            <w:r>
              <w:rPr>
                <w:b w:val="false"/>
                <w:bCs w:val="false"/>
                <w:color w:val="FFFFFF"/>
                <w:sz w:val="20"/>
                <w:szCs w:val="20"/>
              </w:rPr>
              <w:t xml:space="preserve">Not investment advice</w:t>
            </w:r>
          </w:p>
        </w:tc>
      </w:tr>
    </w:tbl>
    <w:p>
      <w:pPr>
        <w:spacing w:after="60"/>
      </w:pPr>
    </w:p>
    <w:p>
      <w:pPr>
        <w:spacing w:after="140"/>
      </w:pPr>
      <w:r>
        <w:rPr>
          <w:b/>
          <w:bCs/>
          <w:sz w:val="22"/>
          <w:szCs w:val="22"/>
        </w:rPr>
        <w:t xml:space="preserve">Independent Valuation Study — Educational Analysis</w:t>
      </w:r>
    </w:p>
    <w:p>
      <w:pPr>
        <w:spacing w:after="60"/>
      </w:pPr>
      <w:r>
        <w:rPr>
          <w:b/>
          <w:bCs/>
          <w:color w:val="1B5E5E"/>
          <w:sz w:val="36"/>
          <w:szCs w:val="36"/>
        </w:rPr>
        <w:t xml:space="preserve">Telecom Egypt Company S.A.E.  (EGX: ETEL)</w:t>
      </w:r>
    </w:p>
    <w:p>
      <w:pPr>
        <w:spacing w:after="140"/>
      </w:pPr>
      <w:r>
        <w:rPr>
          <w:i/>
          <w:iCs/>
        </w:rPr>
        <w:t xml:space="preserve">Fundamental analysis · Technical analysis · Monte Carlo simulation — one integrated read</w:t>
      </w:r>
    </w:p>
    <w:p>
      <w:pPr>
        <w:spacing w:after="140"/>
      </w:pPr>
      <w:r>
        <w:rPr>
          <w:b/>
          <w:bCs/>
        </w:rPr>
        <w:t xml:space="preserve">Anchor: </w:t>
      </w:r>
      <w:r>
        <w:t xml:space="preserve">EGP 92.6 (01 Jul 2026 close) · 1,707.1mn shares · mkt cap ~EGP 158.1bn (~US$3.2bn at 49.1) · Egypt's fixed-line and fibre incumbent, its fourth mobile operator (WE), the operator of the Suez subsea-cable corridor, and the holder of a </w:t>
      </w:r>
      <w:r>
        <w:rPr>
          <w:b/>
          <w:bCs/>
        </w:rPr>
        <w:t xml:space="preserve">45% stake in Vodafone Egypt</w:t>
      </w:r>
      <w:r>
        <w:t xml:space="preserve"> · prices and probabilities computed 01 Jul 2026 from the attached daily history · primary lens: sum-of-the-parts on the FY2025 audited numbers (core telecom on EV/EBITDA, the VFE stake on marked earnings) · the VFE mark and the state-control/complexity discount are the swing factors.</w:t>
      </w:r>
    </w:p>
    <w:tbl>
      <w:tblPr>
        <w:tblW w:type="dxa" w:w="9360"/>
        <w:tblBorders>
          <w:top w:val="single" w:color="1B5E5E" w:sz="6"/>
          <w:left w:val="single" w:color="1B5E5E" w:sz="6"/>
          <w:bottom w:val="single" w:color="1B5E5E" w:sz="6"/>
          <w:right w:val="single" w:color="1B5E5E" w:sz="6"/>
          <w:insideH w:val="none"/>
          <w:insideV w:val="none"/>
        </w:tblBorders>
      </w:tblPr>
      <w:tblGrid>
        <w:gridCol w:w="9360"/>
      </w:tblGrid>
      <w:tr>
        <w:tc>
          <w:tcPr>
            <w:tcW w:type="dxa" w:w="9360"/>
            <w:shd w:fill="F4F8F8" w:val="clear"/>
            <w:tcMar>
              <w:top w:type="dxa" w:w="120"/>
              <w:left w:type="dxa" w:w="140"/>
              <w:bottom w:type="dxa" w:w="120"/>
              <w:right w:type="dxa" w:w="140"/>
            </w:tcMar>
          </w:tcPr>
          <w:p>
            <w:r>
              <w:rPr>
                <w:b/>
                <w:bCs/>
                <w:sz w:val="18"/>
                <w:szCs w:val="18"/>
              </w:rPr>
              <w:t xml:space="preserve">READ FIRST — what this document is, and is not.</w:t>
            </w:r>
            <w:r>
              <w:rPr>
                <w:sz w:val="18"/>
                <w:szCs w:val="18"/>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 including Egypt's Financial Regulatory Authority —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audited results, 26 Feb 2026; Q1 2026 release, May 2026); forward-looking inputs — the mark on the Vodafone Egypt stake, the complexity/state-control discount, the multiples, the DCF and the Monte-Carlo factor probabilities — are the preparer's judgments and are flagged throughout. A note on structure: Telecom Egypt is an operating company with a holding-company question inside it — nearly half of the marked value sits in a 45% associate stake that does not consolidate — which is why this study reads it partly through a holdco lens. Consult a licensed financial advisor before any investment decision.</w:t>
            </w:r>
          </w:p>
        </w:tc>
      </w:tr>
    </w:tbl>
    <w:p>
      <w:pPr>
        <w:spacing w:after="160"/>
      </w:pPr>
    </w:p>
    <w:p>
      <w:pPr>
        <w:pStyle w:val="Heading1"/>
        <w:spacing w:after="140" w:before="300"/>
      </w:pPr>
      <w:r>
        <w:t xml:space="preserve">Headline</w:t>
      </w:r>
    </w:p>
    <w:p>
      <w:pPr>
        <w:spacing w:after="140"/>
      </w:pPr>
      <w:r>
        <w:rPr>
          <w:b/>
          <w:bCs/>
        </w:rPr>
        <w:t xml:space="preserve">The model's read: undervalued, with the upside resting on the market crediting the Vodafone Egypt stake and the discount on the wrapper narrowing.</w:t>
      </w:r>
      <w:r>
        <w:t xml:space="preserve"> At EGP 92.6 the shares sit about 27% below our weighted central estimate of EGP 118. The two anchor lenses agree closely — a sum-of-the-parts lands at EGP 118 and a core-cash-flow DCF at EGP 107 — while a conservative relative-multiple read (EGP 103) marks the floor and a normalized-earnings read (EGP 134) marks the ceiling. The whole answer turns on two judgments: what the unlisted 45% of Vodafone Egypt is worth — its FY2025 profit attributable to Telecom Egypt was EGP 14.8bn, up 71% — and how large a discount a 70% state-owned wrapper deserves. At spot the market pays roughly a </w:t>
      </w:r>
      <w:r>
        <w:rPr>
          <w:b/>
          <w:bCs/>
        </w:rPr>
        <w:t xml:space="preserve">33% discount</w:t>
      </w:r>
      <w:r>
        <w:t xml:space="preserve"> to the marked parts; we assume 15% is fair. Operationally the company just printed its best year on record — revenue +31% to EGP 106.7bn, EBITDA margin 45%, FCFF swinging to +EGP 21.1bn, leverage down to 1.3× — and the regulator has since approved 13–15% price adjustments. Technically the tape is consolidating just under its 20/50-day averages after a 148% twelve-month run, with RSI neutral at 47.2. Over three months the Monte Carlo places the 5th–95th percentile band at roughly EGP 78–145, with the median at EGP 106 — above spot, because this name's calibrated engine carries the EGX secular drift.</w:t>
      </w:r>
    </w:p>
    <w:p>
      <w:pPr>
        <w:pStyle w:val="Heading1"/>
        <w:spacing w:after="140" w:before="300"/>
      </w:pPr>
      <w:r>
        <w:t xml:space="preserve">Valuation summary — every read at a glance</w:t>
      </w:r>
    </w:p>
    <w:p>
      <w:pPr>
        <w:spacing w:after="140"/>
      </w:pPr>
      <w: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2650"/>
        <w:gridCol w:w="2900"/>
        <w:gridCol w:w="2000"/>
        <w:gridCol w:w="1810"/>
      </w:tblGrid>
      <w:tr>
        <w:tc>
          <w:tcPr>
            <w:tcW w:type="dxa" w:w="2650"/>
            <w:shd w:fill="1B5E5E" w:val="clear"/>
            <w:tcMar>
              <w:top w:type="dxa" w:w="40"/>
              <w:left w:type="dxa" w:w="80"/>
              <w:bottom w:type="dxa" w:w="40"/>
              <w:right w:type="dxa" w:w="80"/>
            </w:tcMar>
          </w:tcPr>
          <w:p>
            <w:r>
              <w:rPr>
                <w:b/>
                <w:bCs/>
                <w:color w:val="FFFFFF"/>
                <w:sz w:val="18"/>
                <w:szCs w:val="18"/>
              </w:rPr>
              <w:t xml:space="preserve">Lens / read</w:t>
            </w:r>
          </w:p>
        </w:tc>
        <w:tc>
          <w:tcPr>
            <w:tcW w:type="dxa" w:w="2900"/>
            <w:shd w:fill="1B5E5E" w:val="clear"/>
            <w:tcMar>
              <w:top w:type="dxa" w:w="40"/>
              <w:left w:type="dxa" w:w="80"/>
              <w:bottom w:type="dxa" w:w="40"/>
              <w:right w:type="dxa" w:w="80"/>
            </w:tcMar>
          </w:tcPr>
          <w:p>
            <w:r>
              <w:rPr>
                <w:b/>
                <w:bCs/>
                <w:color w:val="FFFFFF"/>
                <w:sz w:val="18"/>
                <w:szCs w:val="18"/>
              </w:rPr>
              <w:t xml:space="preserve">What it measures</w:t>
            </w:r>
          </w:p>
        </w:tc>
        <w:tc>
          <w:tcPr>
            <w:tcW w:type="dxa" w:w="2000"/>
            <w:shd w:fill="1B5E5E" w:val="clear"/>
            <w:tcMar>
              <w:top w:type="dxa" w:w="40"/>
              <w:left w:type="dxa" w:w="80"/>
              <w:bottom w:type="dxa" w:w="40"/>
              <w:right w:type="dxa" w:w="80"/>
            </w:tcMar>
          </w:tcPr>
          <w:p>
            <w:r>
              <w:rPr>
                <w:b/>
                <w:bCs/>
                <w:color w:val="FFFFFF"/>
                <w:sz w:val="18"/>
                <w:szCs w:val="18"/>
              </w:rPr>
              <w:t xml:space="preserve">Output</w:t>
            </w:r>
          </w:p>
        </w:tc>
        <w:tc>
          <w:tcPr>
            <w:tcW w:type="dxa" w:w="1810"/>
            <w:shd w:fill="1B5E5E" w:val="clear"/>
            <w:tcMar>
              <w:top w:type="dxa" w:w="40"/>
              <w:left w:type="dxa" w:w="80"/>
              <w:bottom w:type="dxa" w:w="40"/>
              <w:right w:type="dxa" w:w="80"/>
            </w:tcMar>
          </w:tcPr>
          <w:p>
            <w:r>
              <w:rPr>
                <w:b/>
                <w:bCs/>
                <w:color w:val="FFFFFF"/>
                <w:sz w:val="18"/>
                <w:szCs w:val="18"/>
              </w:rPr>
              <w:t xml:space="preserve">Takeaway</w:t>
            </w:r>
          </w:p>
        </w:tc>
      </w:tr>
      <w:tr>
        <w:tc>
          <w:tcPr>
            <w:tcW w:type="dxa" w:w="9360"/>
            <w:gridSpan w:val="4"/>
            <w:shd w:fill="EAF2F2" w:val="clear"/>
            <w:tcMar>
              <w:top w:type="dxa" w:w="40"/>
              <w:left w:type="dxa" w:w="80"/>
              <w:bottom w:type="dxa" w:w="40"/>
              <w:right w:type="dxa" w:w="80"/>
            </w:tcMar>
          </w:tcPr>
          <w:p>
            <w:r>
              <w:rPr>
                <w:b/>
                <w:bCs/>
                <w:sz w:val="18"/>
                <w:szCs w:val="18"/>
              </w:rPr>
              <w:t xml:space="preserve">FUNDAMENTAL — what the business is worth (the anchor)</w:t>
            </w:r>
          </w:p>
        </w:tc>
      </w:tr>
      <w:tr>
        <w:tc>
          <w:tcPr>
            <w:tcW w:type="dxa" w:w="2650"/>
            <w:tcMar>
              <w:top w:type="dxa" w:w="40"/>
              <w:left w:type="dxa" w:w="80"/>
              <w:bottom w:type="dxa" w:w="40"/>
              <w:right w:type="dxa" w:w="80"/>
            </w:tcMar>
          </w:tcPr>
          <w:p>
            <w:r>
              <w:rPr>
                <w:b/>
                <w:bCs/>
                <w:sz w:val="18"/>
                <w:szCs w:val="18"/>
              </w:rPr>
              <w:t xml:space="preserve">Sum-of-the-parts (primary)</w:t>
            </w:r>
          </w:p>
        </w:tc>
        <w:tc>
          <w:tcPr>
            <w:tcW w:type="dxa" w:w="2900"/>
            <w:tcMar>
              <w:top w:type="dxa" w:w="40"/>
              <w:left w:type="dxa" w:w="80"/>
              <w:bottom w:type="dxa" w:w="40"/>
              <w:right w:type="dxa" w:w="80"/>
            </w:tcMar>
          </w:tcPr>
          <w:p>
            <w:r>
              <w:rPr>
                <w:b w:val="false"/>
                <w:bCs w:val="false"/>
                <w:sz w:val="18"/>
                <w:szCs w:val="18"/>
              </w:rPr>
              <w:t xml:space="preserve">Core telecom + 45% VFE, less debt &amp; discount</w:t>
            </w:r>
          </w:p>
        </w:tc>
        <w:tc>
          <w:tcPr>
            <w:tcW w:type="dxa" w:w="2000"/>
            <w:tcMar>
              <w:top w:type="dxa" w:w="40"/>
              <w:left w:type="dxa" w:w="80"/>
              <w:bottom w:type="dxa" w:w="40"/>
              <w:right w:type="dxa" w:w="80"/>
            </w:tcMar>
          </w:tcPr>
          <w:p>
            <w:r>
              <w:rPr>
                <w:b w:val="false"/>
                <w:bCs w:val="false"/>
                <w:sz w:val="18"/>
                <w:szCs w:val="18"/>
              </w:rPr>
              <w:t xml:space="preserve">EGP 118</w:t>
            </w:r>
          </w:p>
        </w:tc>
        <w:tc>
          <w:tcPr>
            <w:tcW w:type="dxa" w:w="1810"/>
            <w:tcMar>
              <w:top w:type="dxa" w:w="40"/>
              <w:left w:type="dxa" w:w="80"/>
              <w:bottom w:type="dxa" w:w="40"/>
              <w:right w:type="dxa" w:w="80"/>
            </w:tcMar>
          </w:tcPr>
          <w:p>
            <w:r>
              <w:rPr>
                <w:b w:val="false"/>
                <w:bCs w:val="false"/>
                <w:sz w:val="18"/>
                <w:szCs w:val="18"/>
              </w:rPr>
              <w:t xml:space="preserve">+27% vs spot</w:t>
            </w:r>
          </w:p>
        </w:tc>
      </w:tr>
      <w:tr>
        <w:tc>
          <w:tcPr>
            <w:tcW w:type="dxa" w:w="2650"/>
            <w:tcMar>
              <w:top w:type="dxa" w:w="40"/>
              <w:left w:type="dxa" w:w="80"/>
              <w:bottom w:type="dxa" w:w="40"/>
              <w:right w:type="dxa" w:w="80"/>
            </w:tcMar>
          </w:tcPr>
          <w:p>
            <w:r>
              <w:rPr>
                <w:b/>
                <w:bCs/>
                <w:sz w:val="18"/>
                <w:szCs w:val="18"/>
              </w:rPr>
              <w:t xml:space="preserve">Core-FCFF DCF + stake</w:t>
            </w:r>
          </w:p>
        </w:tc>
        <w:tc>
          <w:tcPr>
            <w:tcW w:type="dxa" w:w="2900"/>
            <w:tcMar>
              <w:top w:type="dxa" w:w="40"/>
              <w:left w:type="dxa" w:w="80"/>
              <w:bottom w:type="dxa" w:w="40"/>
              <w:right w:type="dxa" w:w="80"/>
            </w:tcMar>
          </w:tcPr>
          <w:p>
            <w:r>
              <w:rPr>
                <w:b w:val="false"/>
                <w:bCs w:val="false"/>
                <w:sz w:val="18"/>
                <w:szCs w:val="18"/>
              </w:rPr>
              <w:t xml:space="preserve">Discounted 5-yr core cash flows</w:t>
            </w:r>
          </w:p>
        </w:tc>
        <w:tc>
          <w:tcPr>
            <w:tcW w:type="dxa" w:w="2000"/>
            <w:tcMar>
              <w:top w:type="dxa" w:w="40"/>
              <w:left w:type="dxa" w:w="80"/>
              <w:bottom w:type="dxa" w:w="40"/>
              <w:right w:type="dxa" w:w="80"/>
            </w:tcMar>
          </w:tcPr>
          <w:p>
            <w:r>
              <w:rPr>
                <w:b w:val="false"/>
                <w:bCs w:val="false"/>
                <w:sz w:val="18"/>
                <w:szCs w:val="18"/>
              </w:rPr>
              <w:t xml:space="preserve">EGP 107</w:t>
            </w:r>
          </w:p>
        </w:tc>
        <w:tc>
          <w:tcPr>
            <w:tcW w:type="dxa" w:w="1810"/>
            <w:tcMar>
              <w:top w:type="dxa" w:w="40"/>
              <w:left w:type="dxa" w:w="80"/>
              <w:bottom w:type="dxa" w:w="40"/>
              <w:right w:type="dxa" w:w="80"/>
            </w:tcMar>
          </w:tcPr>
          <w:p>
            <w:r>
              <w:rPr>
                <w:b w:val="false"/>
                <w:bCs w:val="false"/>
                <w:sz w:val="18"/>
                <w:szCs w:val="18"/>
              </w:rPr>
              <w:t xml:space="preserve">+16%</w:t>
            </w:r>
          </w:p>
        </w:tc>
      </w:tr>
      <w:tr>
        <w:tc>
          <w:tcPr>
            <w:tcW w:type="dxa" w:w="2650"/>
            <w:tcMar>
              <w:top w:type="dxa" w:w="40"/>
              <w:left w:type="dxa" w:w="80"/>
              <w:bottom w:type="dxa" w:w="40"/>
              <w:right w:type="dxa" w:w="80"/>
            </w:tcMar>
          </w:tcPr>
          <w:p>
            <w:r>
              <w:rPr>
                <w:b/>
                <w:bCs/>
                <w:sz w:val="18"/>
                <w:szCs w:val="18"/>
              </w:rPr>
              <w:t xml:space="preserve">Relative multiples</w:t>
            </w:r>
          </w:p>
        </w:tc>
        <w:tc>
          <w:tcPr>
            <w:tcW w:type="dxa" w:w="2900"/>
            <w:tcMar>
              <w:top w:type="dxa" w:w="40"/>
              <w:left w:type="dxa" w:w="80"/>
              <w:bottom w:type="dxa" w:w="40"/>
              <w:right w:type="dxa" w:w="80"/>
            </w:tcMar>
          </w:tcPr>
          <w:p>
            <w:r>
              <w:rPr>
                <w:b w:val="false"/>
                <w:bCs w:val="false"/>
                <w:sz w:val="18"/>
                <w:szCs w:val="18"/>
              </w:rPr>
              <w:t xml:space="preserve">Justified P/E on blended EPS</w:t>
            </w:r>
          </w:p>
        </w:tc>
        <w:tc>
          <w:tcPr>
            <w:tcW w:type="dxa" w:w="2000"/>
            <w:tcMar>
              <w:top w:type="dxa" w:w="40"/>
              <w:left w:type="dxa" w:w="80"/>
              <w:bottom w:type="dxa" w:w="40"/>
              <w:right w:type="dxa" w:w="80"/>
            </w:tcMar>
          </w:tcPr>
          <w:p>
            <w:r>
              <w:rPr>
                <w:b w:val="false"/>
                <w:bCs w:val="false"/>
                <w:sz w:val="18"/>
                <w:szCs w:val="18"/>
              </w:rPr>
              <w:t xml:space="preserve">EGP 103</w:t>
            </w:r>
          </w:p>
        </w:tc>
        <w:tc>
          <w:tcPr>
            <w:tcW w:type="dxa" w:w="1810"/>
            <w:tcMar>
              <w:top w:type="dxa" w:w="40"/>
              <w:left w:type="dxa" w:w="80"/>
              <w:bottom w:type="dxa" w:w="40"/>
              <w:right w:type="dxa" w:w="80"/>
            </w:tcMar>
          </w:tcPr>
          <w:p>
            <w:r>
              <w:rPr>
                <w:b w:val="false"/>
                <w:bCs w:val="false"/>
                <w:sz w:val="18"/>
                <w:szCs w:val="18"/>
              </w:rPr>
              <w:t xml:space="preserve">+11% · the floor</w:t>
            </w:r>
          </w:p>
        </w:tc>
      </w:tr>
      <w:tr>
        <w:tc>
          <w:tcPr>
            <w:tcW w:type="dxa" w:w="2650"/>
            <w:tcMar>
              <w:top w:type="dxa" w:w="40"/>
              <w:left w:type="dxa" w:w="80"/>
              <w:bottom w:type="dxa" w:w="40"/>
              <w:right w:type="dxa" w:w="80"/>
            </w:tcMar>
          </w:tcPr>
          <w:p>
            <w:r>
              <w:rPr>
                <w:b/>
                <w:bCs/>
                <w:sz w:val="18"/>
                <w:szCs w:val="18"/>
              </w:rPr>
              <w:t xml:space="preserve">Normalized earnings</w:t>
            </w:r>
          </w:p>
        </w:tc>
        <w:tc>
          <w:tcPr>
            <w:tcW w:type="dxa" w:w="2900"/>
            <w:tcMar>
              <w:top w:type="dxa" w:w="40"/>
              <w:left w:type="dxa" w:w="80"/>
              <w:bottom w:type="dxa" w:w="40"/>
              <w:right w:type="dxa" w:w="80"/>
            </w:tcMar>
          </w:tcPr>
          <w:p>
            <w:r>
              <w:rPr>
                <w:b w:val="false"/>
                <w:bCs w:val="false"/>
                <w:sz w:val="18"/>
                <w:szCs w:val="18"/>
              </w:rPr>
              <w:t xml:space="preserve">Mid-cycle NPAT × P/E</w:t>
            </w:r>
          </w:p>
        </w:tc>
        <w:tc>
          <w:tcPr>
            <w:tcW w:type="dxa" w:w="2000"/>
            <w:tcMar>
              <w:top w:type="dxa" w:w="40"/>
              <w:left w:type="dxa" w:w="80"/>
              <w:bottom w:type="dxa" w:w="40"/>
              <w:right w:type="dxa" w:w="80"/>
            </w:tcMar>
          </w:tcPr>
          <w:p>
            <w:r>
              <w:rPr>
                <w:b w:val="false"/>
                <w:bCs w:val="false"/>
                <w:sz w:val="18"/>
                <w:szCs w:val="18"/>
              </w:rPr>
              <w:t xml:space="preserve">EGP 134</w:t>
            </w:r>
          </w:p>
        </w:tc>
        <w:tc>
          <w:tcPr>
            <w:tcW w:type="dxa" w:w="1810"/>
            <w:tcMar>
              <w:top w:type="dxa" w:w="40"/>
              <w:left w:type="dxa" w:w="80"/>
              <w:bottom w:type="dxa" w:w="40"/>
              <w:right w:type="dxa" w:w="80"/>
            </w:tcMar>
          </w:tcPr>
          <w:p>
            <w:r>
              <w:rPr>
                <w:b w:val="false"/>
                <w:bCs w:val="false"/>
                <w:sz w:val="18"/>
                <w:szCs w:val="18"/>
              </w:rPr>
              <w:t xml:space="preserve">+45% · the ceiling</w:t>
            </w:r>
          </w:p>
        </w:tc>
      </w:tr>
      <w:tr>
        <w:tc>
          <w:tcPr>
            <w:tcW w:type="dxa" w:w="2650"/>
            <w:tcMar>
              <w:top w:type="dxa" w:w="40"/>
              <w:left w:type="dxa" w:w="80"/>
              <w:bottom w:type="dxa" w:w="40"/>
              <w:right w:type="dxa" w:w="80"/>
            </w:tcMar>
          </w:tcPr>
          <w:p>
            <w:r>
              <w:rPr>
                <w:b/>
                <w:bCs/>
                <w:sz w:val="18"/>
                <w:szCs w:val="18"/>
              </w:rPr>
              <w:t xml:space="preserve">Weighted central</w:t>
            </w:r>
          </w:p>
        </w:tc>
        <w:tc>
          <w:tcPr>
            <w:tcW w:type="dxa" w:w="2900"/>
            <w:tcMar>
              <w:top w:type="dxa" w:w="40"/>
              <w:left w:type="dxa" w:w="80"/>
              <w:bottom w:type="dxa" w:w="40"/>
              <w:right w:type="dxa" w:w="80"/>
            </w:tcMar>
          </w:tcPr>
          <w:p>
            <w:r>
              <w:rPr>
                <w:b w:val="false"/>
                <w:bCs w:val="false"/>
                <w:sz w:val="18"/>
                <w:szCs w:val="18"/>
              </w:rPr>
              <w:t xml:space="preserve">Blend 40 / 20 / 15 / 25</w:t>
            </w:r>
          </w:p>
        </w:tc>
        <w:tc>
          <w:tcPr>
            <w:tcW w:type="dxa" w:w="2000"/>
            <w:tcMar>
              <w:top w:type="dxa" w:w="40"/>
              <w:left w:type="dxa" w:w="80"/>
              <w:bottom w:type="dxa" w:w="40"/>
              <w:right w:type="dxa" w:w="80"/>
            </w:tcMar>
          </w:tcPr>
          <w:p>
            <w:r>
              <w:rPr>
                <w:b w:val="false"/>
                <w:bCs w:val="false"/>
                <w:sz w:val="18"/>
                <w:szCs w:val="18"/>
              </w:rPr>
              <w:t xml:space="preserve">EGP 118</w:t>
            </w:r>
          </w:p>
        </w:tc>
        <w:tc>
          <w:tcPr>
            <w:tcW w:type="dxa" w:w="1810"/>
            <w:tcMar>
              <w:top w:type="dxa" w:w="40"/>
              <w:left w:type="dxa" w:w="80"/>
              <w:bottom w:type="dxa" w:w="40"/>
              <w:right w:type="dxa" w:w="80"/>
            </w:tcMar>
          </w:tcPr>
          <w:p>
            <w:r>
              <w:rPr>
                <w:b w:val="false"/>
                <w:bCs w:val="false"/>
                <w:sz w:val="18"/>
                <w:szCs w:val="18"/>
              </w:rPr>
              <w:t xml:space="preserve">+27% vs 92.6</w:t>
            </w:r>
          </w:p>
        </w:tc>
      </w:tr>
      <w:tr>
        <w:tc>
          <w:tcPr>
            <w:tcW w:type="dxa" w:w="9360"/>
            <w:gridSpan w:val="4"/>
            <w:shd w:fill="EAF2F2" w:val="clear"/>
            <w:tcMar>
              <w:top w:type="dxa" w:w="40"/>
              <w:left w:type="dxa" w:w="80"/>
              <w:bottom w:type="dxa" w:w="40"/>
              <w:right w:type="dxa" w:w="80"/>
            </w:tcMar>
          </w:tcPr>
          <w:p>
            <w:r>
              <w:rPr>
                <w:b/>
                <w:bCs/>
                <w:sz w:val="18"/>
                <w:szCs w:val="18"/>
              </w:rPr>
              <w:t xml:space="preserve">TECHNICAL — what the tape is doing (timing, not value)</w:t>
            </w:r>
          </w:p>
        </w:tc>
      </w:tr>
      <w:tr>
        <w:tc>
          <w:tcPr>
            <w:tcW w:type="dxa" w:w="2650"/>
            <w:tcMar>
              <w:top w:type="dxa" w:w="40"/>
              <w:left w:type="dxa" w:w="80"/>
              <w:bottom w:type="dxa" w:w="40"/>
              <w:right w:type="dxa" w:w="80"/>
            </w:tcMar>
          </w:tcPr>
          <w:p>
            <w:r>
              <w:rPr>
                <w:b/>
                <w:bCs/>
                <w:sz w:val="18"/>
                <w:szCs w:val="18"/>
              </w:rPr>
              <w:t xml:space="preserve">Trend &amp; momentum</w:t>
            </w:r>
          </w:p>
        </w:tc>
        <w:tc>
          <w:tcPr>
            <w:tcW w:type="dxa" w:w="2900"/>
            <w:tcMar>
              <w:top w:type="dxa" w:w="40"/>
              <w:left w:type="dxa" w:w="80"/>
              <w:bottom w:type="dxa" w:w="40"/>
              <w:right w:type="dxa" w:w="80"/>
            </w:tcMar>
          </w:tcPr>
          <w:p>
            <w:r>
              <w:rPr>
                <w:b w:val="false"/>
                <w:bCs w:val="false"/>
                <w:sz w:val="18"/>
                <w:szCs w:val="18"/>
              </w:rPr>
              <w:t xml:space="preserve">Price vs the 20/50/100/200-day averages</w:t>
            </w:r>
          </w:p>
        </w:tc>
        <w:tc>
          <w:tcPr>
            <w:tcW w:type="dxa" w:w="2000"/>
            <w:tcMar>
              <w:top w:type="dxa" w:w="40"/>
              <w:left w:type="dxa" w:w="80"/>
              <w:bottom w:type="dxa" w:w="40"/>
              <w:right w:type="dxa" w:w="80"/>
            </w:tcMar>
          </w:tcPr>
          <w:p>
            <w:r>
              <w:rPr>
                <w:b w:val="false"/>
                <w:bCs w:val="false"/>
                <w:sz w:val="18"/>
                <w:szCs w:val="18"/>
              </w:rPr>
              <w:t xml:space="preserve">Below 20/50; above 100/200</w:t>
            </w:r>
          </w:p>
        </w:tc>
        <w:tc>
          <w:tcPr>
            <w:tcW w:type="dxa" w:w="1810"/>
            <w:tcMar>
              <w:top w:type="dxa" w:w="40"/>
              <w:left w:type="dxa" w:w="80"/>
              <w:bottom w:type="dxa" w:w="40"/>
              <w:right w:type="dxa" w:w="80"/>
            </w:tcMar>
          </w:tcPr>
          <w:p>
            <w:r>
              <w:rPr>
                <w:b w:val="false"/>
                <w:bCs w:val="false"/>
                <w:sz w:val="18"/>
                <w:szCs w:val="18"/>
              </w:rPr>
              <w:t xml:space="preserve">Pausing inside an uptrend</w:t>
            </w:r>
          </w:p>
        </w:tc>
      </w:tr>
      <w:tr>
        <w:tc>
          <w:tcPr>
            <w:tcW w:type="dxa" w:w="2650"/>
            <w:tcMar>
              <w:top w:type="dxa" w:w="40"/>
              <w:left w:type="dxa" w:w="80"/>
              <w:bottom w:type="dxa" w:w="40"/>
              <w:right w:type="dxa" w:w="80"/>
            </w:tcMar>
          </w:tcPr>
          <w:p>
            <w:r>
              <w:rPr>
                <w:b/>
                <w:bCs/>
                <w:sz w:val="18"/>
                <w:szCs w:val="18"/>
              </w:rPr>
              <w:t xml:space="preserve">Momentum / range</w:t>
            </w:r>
          </w:p>
        </w:tc>
        <w:tc>
          <w:tcPr>
            <w:tcW w:type="dxa" w:w="2900"/>
            <w:tcMar>
              <w:top w:type="dxa" w:w="40"/>
              <w:left w:type="dxa" w:w="80"/>
              <w:bottom w:type="dxa" w:w="40"/>
              <w:right w:type="dxa" w:w="80"/>
            </w:tcMar>
          </w:tcPr>
          <w:p>
            <w:r>
              <w:rPr>
                <w:b w:val="false"/>
                <w:bCs w:val="false"/>
                <w:sz w:val="18"/>
                <w:szCs w:val="18"/>
              </w:rPr>
              <w:t xml:space="preserve">RSI · MACD · 252-session range</w:t>
            </w:r>
          </w:p>
        </w:tc>
        <w:tc>
          <w:tcPr>
            <w:tcW w:type="dxa" w:w="2000"/>
            <w:tcMar>
              <w:top w:type="dxa" w:w="40"/>
              <w:left w:type="dxa" w:w="80"/>
              <w:bottom w:type="dxa" w:w="40"/>
              <w:right w:type="dxa" w:w="80"/>
            </w:tcMar>
          </w:tcPr>
          <w:p>
            <w:r>
              <w:rPr>
                <w:b w:val="false"/>
                <w:bCs w:val="false"/>
                <w:sz w:val="18"/>
                <w:szCs w:val="18"/>
              </w:rPr>
              <w:t xml:space="preserve">RSI 47.2 · MACD -0.19 · 36–113.0</w:t>
            </w:r>
          </w:p>
        </w:tc>
        <w:tc>
          <w:tcPr>
            <w:tcW w:type="dxa" w:w="1810"/>
            <w:tcMar>
              <w:top w:type="dxa" w:w="40"/>
              <w:left w:type="dxa" w:w="80"/>
              <w:bottom w:type="dxa" w:w="40"/>
              <w:right w:type="dxa" w:w="80"/>
            </w:tcMar>
          </w:tcPr>
          <w:p>
            <w:r>
              <w:rPr>
                <w:b w:val="false"/>
                <w:bCs w:val="false"/>
                <w:sz w:val="18"/>
                <w:szCs w:val="18"/>
              </w:rPr>
              <w:t xml:space="preserve">Neutral, post-run consolidation</w:t>
            </w:r>
          </w:p>
        </w:tc>
      </w:tr>
      <w:tr>
        <w:tc>
          <w:tcPr>
            <w:tcW w:type="dxa" w:w="9360"/>
            <w:gridSpan w:val="4"/>
            <w:shd w:fill="EAF2F2" w:val="clear"/>
            <w:tcMar>
              <w:top w:type="dxa" w:w="40"/>
              <w:left w:type="dxa" w:w="80"/>
              <w:bottom w:type="dxa" w:w="40"/>
              <w:right w:type="dxa" w:w="80"/>
            </w:tcMar>
          </w:tcPr>
          <w:p>
            <w:r>
              <w:rPr>
                <w:b/>
                <w:bCs/>
                <w:sz w:val="18"/>
                <w:szCs w:val="18"/>
              </w:rPr>
              <w:t xml:space="preserve">MONTE CARLO — where price could go in 3 months (paths from spot)</w:t>
            </w:r>
          </w:p>
        </w:tc>
      </w:tr>
      <w:tr>
        <w:tc>
          <w:tcPr>
            <w:tcW w:type="dxa" w:w="2650"/>
            <w:tcMar>
              <w:top w:type="dxa" w:w="40"/>
              <w:left w:type="dxa" w:w="80"/>
              <w:bottom w:type="dxa" w:w="40"/>
              <w:right w:type="dxa" w:w="80"/>
            </w:tcMar>
          </w:tcPr>
          <w:p>
            <w:r>
              <w:rPr>
                <w:b/>
                <w:bCs/>
                <w:sz w:val="18"/>
                <w:szCs w:val="18"/>
              </w:rPr>
              <w:t xml:space="preserve">T+20 sessions</w:t>
            </w:r>
          </w:p>
        </w:tc>
        <w:tc>
          <w:tcPr>
            <w:tcW w:type="dxa" w:w="2900"/>
            <w:tcMar>
              <w:top w:type="dxa" w:w="40"/>
              <w:left w:type="dxa" w:w="80"/>
              <w:bottom w:type="dxa" w:w="40"/>
              <w:right w:type="dxa" w:w="80"/>
            </w:tcMar>
          </w:tcPr>
          <w:p>
            <w:r>
              <w:rPr>
                <w:b w:val="false"/>
                <w:bCs w:val="false"/>
                <w:sz w:val="18"/>
                <w:szCs w:val="18"/>
              </w:rPr>
              <w:t xml:space="preserve">50,000 paths · 16 factors</w:t>
            </w:r>
          </w:p>
        </w:tc>
        <w:tc>
          <w:tcPr>
            <w:tcW w:type="dxa" w:w="2000"/>
            <w:tcMar>
              <w:top w:type="dxa" w:w="40"/>
              <w:left w:type="dxa" w:w="80"/>
              <w:bottom w:type="dxa" w:w="40"/>
              <w:right w:type="dxa" w:w="80"/>
            </w:tcMar>
          </w:tcPr>
          <w:p>
            <w:r>
              <w:rPr>
                <w:b w:val="false"/>
                <w:bCs w:val="false"/>
                <w:sz w:val="18"/>
                <w:szCs w:val="18"/>
              </w:rPr>
              <w:t xml:space="preserve">p5 81 · p50 97 · p95 117</w:t>
            </w:r>
          </w:p>
        </w:tc>
        <w:tc>
          <w:tcPr>
            <w:tcW w:type="dxa" w:w="1810"/>
            <w:tcMar>
              <w:top w:type="dxa" w:w="40"/>
              <w:left w:type="dxa" w:w="80"/>
              <w:bottom w:type="dxa" w:w="40"/>
              <w:right w:type="dxa" w:w="80"/>
            </w:tcMar>
          </w:tcPr>
          <w:p>
            <w:r>
              <w:rPr>
                <w:b w:val="false"/>
                <w:bCs w:val="false"/>
                <w:sz w:val="18"/>
                <w:szCs w:val="18"/>
              </w:rPr>
              <w:t xml:space="preserve">Median above spot (class drift)</w:t>
            </w:r>
          </w:p>
        </w:tc>
      </w:tr>
      <w:tr>
        <w:tc>
          <w:tcPr>
            <w:tcW w:type="dxa" w:w="2650"/>
            <w:tcMar>
              <w:top w:type="dxa" w:w="40"/>
              <w:left w:type="dxa" w:w="80"/>
              <w:bottom w:type="dxa" w:w="40"/>
              <w:right w:type="dxa" w:w="80"/>
            </w:tcMar>
          </w:tcPr>
          <w:p>
            <w:r>
              <w:rPr>
                <w:b/>
                <w:bCs/>
                <w:sz w:val="18"/>
                <w:szCs w:val="18"/>
              </w:rPr>
              <w:t xml:space="preserve">T+60 sessions</w:t>
            </w:r>
          </w:p>
        </w:tc>
        <w:tc>
          <w:tcPr>
            <w:tcW w:type="dxa" w:w="2900"/>
            <w:tcMar>
              <w:top w:type="dxa" w:w="40"/>
              <w:left w:type="dxa" w:w="80"/>
              <w:bottom w:type="dxa" w:w="40"/>
              <w:right w:type="dxa" w:w="80"/>
            </w:tcMar>
          </w:tcPr>
          <w:p>
            <w:r>
              <w:rPr>
                <w:b w:val="false"/>
                <w:bCs w:val="false"/>
                <w:sz w:val="18"/>
                <w:szCs w:val="18"/>
              </w:rPr>
              <w:t xml:space="preserve">same engine, longer horizon</w:t>
            </w:r>
          </w:p>
        </w:tc>
        <w:tc>
          <w:tcPr>
            <w:tcW w:type="dxa" w:w="2000"/>
            <w:tcMar>
              <w:top w:type="dxa" w:w="40"/>
              <w:left w:type="dxa" w:w="80"/>
              <w:bottom w:type="dxa" w:w="40"/>
              <w:right w:type="dxa" w:w="80"/>
            </w:tcMar>
          </w:tcPr>
          <w:p>
            <w:r>
              <w:rPr>
                <w:b w:val="false"/>
                <w:bCs w:val="false"/>
                <w:sz w:val="18"/>
                <w:szCs w:val="18"/>
              </w:rPr>
              <w:t xml:space="preserve">p5 78 · p50 106 · p95 145</w:t>
            </w:r>
          </w:p>
        </w:tc>
        <w:tc>
          <w:tcPr>
            <w:tcW w:type="dxa" w:w="1810"/>
            <w:tcMar>
              <w:top w:type="dxa" w:w="40"/>
              <w:left w:type="dxa" w:w="80"/>
              <w:bottom w:type="dxa" w:w="40"/>
              <w:right w:type="dxa" w:w="80"/>
            </w:tcMar>
          </w:tcPr>
          <w:p>
            <w:r>
              <w:rPr>
                <w:b w:val="false"/>
                <w:bCs w:val="false"/>
                <w:sz w:val="18"/>
                <w:szCs w:val="18"/>
              </w:rPr>
              <w:t xml:space="preserve">Wide, right-skewed</w:t>
            </w:r>
          </w:p>
        </w:tc>
      </w:tr>
      <w:tr>
        <w:tc>
          <w:tcPr>
            <w:tcW w:type="dxa" w:w="9360"/>
            <w:gridSpan w:val="4"/>
            <w:shd w:fill="EAF2F2" w:val="clear"/>
            <w:tcMar>
              <w:top w:type="dxa" w:w="40"/>
              <w:left w:type="dxa" w:w="80"/>
              <w:bottom w:type="dxa" w:w="40"/>
              <w:right w:type="dxa" w:w="80"/>
            </w:tcMar>
          </w:tcPr>
          <w:p>
            <w:r>
              <w:rPr>
                <w:b/>
                <w:bCs/>
                <w:sz w:val="18"/>
                <w:szCs w:val="18"/>
              </w:rPr>
              <w:t xml:space="preserve">EXPERT PANEL — three independent methods (Appendix D)</w:t>
            </w:r>
          </w:p>
        </w:tc>
      </w:tr>
      <w:tr>
        <w:tc>
          <w:tcPr>
            <w:tcW w:type="dxa" w:w="2650"/>
            <w:tcMar>
              <w:top w:type="dxa" w:w="40"/>
              <w:left w:type="dxa" w:w="80"/>
              <w:bottom w:type="dxa" w:w="40"/>
              <w:right w:type="dxa" w:w="80"/>
            </w:tcMar>
          </w:tcPr>
          <w:p>
            <w:r>
              <w:rPr>
                <w:b/>
                <w:bCs/>
                <w:sz w:val="18"/>
                <w:szCs w:val="18"/>
              </w:rPr>
              <w:t xml:space="preserve">Expert 1 — NAV &amp; the discount</w:t>
            </w:r>
          </w:p>
        </w:tc>
        <w:tc>
          <w:tcPr>
            <w:tcW w:type="dxa" w:w="2900"/>
            <w:tcMar>
              <w:top w:type="dxa" w:w="40"/>
              <w:left w:type="dxa" w:w="80"/>
              <w:bottom w:type="dxa" w:w="40"/>
              <w:right w:type="dxa" w:w="80"/>
            </w:tcMar>
          </w:tcPr>
          <w:p>
            <w:r>
              <w:rPr>
                <w:b w:val="false"/>
                <w:bCs w:val="false"/>
                <w:sz w:val="18"/>
                <w:szCs w:val="18"/>
              </w:rPr>
              <w:t xml:space="preserve">Marked parts less a fair wrapper discount</w:t>
            </w:r>
          </w:p>
        </w:tc>
        <w:tc>
          <w:tcPr>
            <w:tcW w:type="dxa" w:w="2000"/>
            <w:tcMar>
              <w:top w:type="dxa" w:w="40"/>
              <w:left w:type="dxa" w:w="80"/>
              <w:bottom w:type="dxa" w:w="40"/>
              <w:right w:type="dxa" w:w="80"/>
            </w:tcMar>
          </w:tcPr>
          <w:p>
            <w:r>
              <w:rPr>
                <w:b w:val="false"/>
                <w:bCs w:val="false"/>
                <w:sz w:val="18"/>
                <w:szCs w:val="18"/>
              </w:rPr>
              <w:t xml:space="preserve">EGP 123</w:t>
            </w:r>
          </w:p>
        </w:tc>
        <w:tc>
          <w:tcPr>
            <w:tcW w:type="dxa" w:w="1810"/>
            <w:tcMar>
              <w:top w:type="dxa" w:w="40"/>
              <w:left w:type="dxa" w:w="80"/>
              <w:bottom w:type="dxa" w:w="40"/>
              <w:right w:type="dxa" w:w="80"/>
            </w:tcMar>
          </w:tcPr>
          <w:p>
            <w:r>
              <w:rPr>
                <w:b w:val="false"/>
                <w:bCs w:val="false"/>
                <w:sz w:val="18"/>
                <w:szCs w:val="18"/>
              </w:rPr>
              <w:t xml:space="preserve">The anchor</w:t>
            </w:r>
          </w:p>
        </w:tc>
      </w:tr>
      <w:tr>
        <w:tc>
          <w:tcPr>
            <w:tcW w:type="dxa" w:w="2650"/>
            <w:tcMar>
              <w:top w:type="dxa" w:w="40"/>
              <w:left w:type="dxa" w:w="80"/>
              <w:bottom w:type="dxa" w:w="40"/>
              <w:right w:type="dxa" w:w="80"/>
            </w:tcMar>
          </w:tcPr>
          <w:p>
            <w:r>
              <w:rPr>
                <w:b/>
                <w:bCs/>
                <w:sz w:val="18"/>
                <w:szCs w:val="18"/>
              </w:rPr>
              <w:t xml:space="preserve">Expert 2 — normalized earnings power</w:t>
            </w:r>
          </w:p>
        </w:tc>
        <w:tc>
          <w:tcPr>
            <w:tcW w:type="dxa" w:w="2900"/>
            <w:tcMar>
              <w:top w:type="dxa" w:w="40"/>
              <w:left w:type="dxa" w:w="80"/>
              <w:bottom w:type="dxa" w:w="40"/>
              <w:right w:type="dxa" w:w="80"/>
            </w:tcMar>
          </w:tcPr>
          <w:p>
            <w:r>
              <w:rPr>
                <w:b w:val="false"/>
                <w:bCs w:val="false"/>
                <w:sz w:val="18"/>
                <w:szCs w:val="18"/>
              </w:rPr>
              <w:t xml:space="preserve">Mid-cycle EPS × justified multiple</w:t>
            </w:r>
          </w:p>
        </w:tc>
        <w:tc>
          <w:tcPr>
            <w:tcW w:type="dxa" w:w="2000"/>
            <w:tcMar>
              <w:top w:type="dxa" w:w="40"/>
              <w:left w:type="dxa" w:w="80"/>
              <w:bottom w:type="dxa" w:w="40"/>
              <w:right w:type="dxa" w:w="80"/>
            </w:tcMar>
          </w:tcPr>
          <w:p>
            <w:r>
              <w:rPr>
                <w:b w:val="false"/>
                <w:bCs w:val="false"/>
                <w:sz w:val="18"/>
                <w:szCs w:val="18"/>
              </w:rPr>
              <w:t xml:space="preserve">EGP 134</w:t>
            </w:r>
          </w:p>
        </w:tc>
        <w:tc>
          <w:tcPr>
            <w:tcW w:type="dxa" w:w="1810"/>
            <w:tcMar>
              <w:top w:type="dxa" w:w="40"/>
              <w:left w:type="dxa" w:w="80"/>
              <w:bottom w:type="dxa" w:w="40"/>
              <w:right w:type="dxa" w:w="80"/>
            </w:tcMar>
          </w:tcPr>
          <w:p>
            <w:r>
              <w:rPr>
                <w:b w:val="false"/>
                <w:bCs w:val="false"/>
                <w:sz w:val="18"/>
                <w:szCs w:val="18"/>
              </w:rPr>
              <w:t xml:space="preserve">Most bullish</w:t>
            </w:r>
          </w:p>
        </w:tc>
      </w:tr>
      <w:tr>
        <w:tc>
          <w:tcPr>
            <w:tcW w:type="dxa" w:w="2650"/>
            <w:tcMar>
              <w:top w:type="dxa" w:w="40"/>
              <w:left w:type="dxa" w:w="80"/>
              <w:bottom w:type="dxa" w:w="40"/>
              <w:right w:type="dxa" w:w="80"/>
            </w:tcMar>
          </w:tcPr>
          <w:p>
            <w:r>
              <w:rPr>
                <w:b/>
                <w:bCs/>
                <w:sz w:val="18"/>
                <w:szCs w:val="18"/>
              </w:rPr>
              <w:t xml:space="preserve">Expert 3 — cash returns (ROIC vs WACC)</w:t>
            </w:r>
          </w:p>
        </w:tc>
        <w:tc>
          <w:tcPr>
            <w:tcW w:type="dxa" w:w="2900"/>
            <w:tcMar>
              <w:top w:type="dxa" w:w="40"/>
              <w:left w:type="dxa" w:w="80"/>
              <w:bottom w:type="dxa" w:w="40"/>
              <w:right w:type="dxa" w:w="80"/>
            </w:tcMar>
          </w:tcPr>
          <w:p>
            <w:r>
              <w:rPr>
                <w:b w:val="false"/>
                <w:bCs w:val="false"/>
                <w:sz w:val="18"/>
                <w:szCs w:val="18"/>
              </w:rPr>
              <w:t xml:space="preserve">Economic profit on invested capital</w:t>
            </w:r>
          </w:p>
        </w:tc>
        <w:tc>
          <w:tcPr>
            <w:tcW w:type="dxa" w:w="2000"/>
            <w:tcMar>
              <w:top w:type="dxa" w:w="40"/>
              <w:left w:type="dxa" w:w="80"/>
              <w:bottom w:type="dxa" w:w="40"/>
              <w:right w:type="dxa" w:w="80"/>
            </w:tcMar>
          </w:tcPr>
          <w:p>
            <w:r>
              <w:rPr>
                <w:b w:val="false"/>
                <w:bCs w:val="false"/>
                <w:sz w:val="18"/>
                <w:szCs w:val="18"/>
              </w:rPr>
              <w:t xml:space="preserve">EGP 98</w:t>
            </w:r>
          </w:p>
        </w:tc>
        <w:tc>
          <w:tcPr>
            <w:tcW w:type="dxa" w:w="1810"/>
            <w:tcMar>
              <w:top w:type="dxa" w:w="40"/>
              <w:left w:type="dxa" w:w="80"/>
              <w:bottom w:type="dxa" w:w="40"/>
              <w:right w:type="dxa" w:w="80"/>
            </w:tcMar>
          </w:tcPr>
          <w:p>
            <w:r>
              <w:rPr>
                <w:b w:val="false"/>
                <w:bCs w:val="false"/>
                <w:sz w:val="18"/>
                <w:szCs w:val="18"/>
              </w:rPr>
              <w:t xml:space="preserve">Most conservative</w:t>
            </w:r>
          </w:p>
        </w:tc>
      </w:tr>
      <w:tr>
        <w:tc>
          <w:tcPr>
            <w:tcW w:type="dxa" w:w="2650"/>
            <w:tcMar>
              <w:top w:type="dxa" w:w="40"/>
              <w:left w:type="dxa" w:w="80"/>
              <w:bottom w:type="dxa" w:w="40"/>
              <w:right w:type="dxa" w:w="80"/>
            </w:tcMar>
          </w:tcPr>
          <w:p>
            <w:r>
              <w:rPr>
                <w:b/>
                <w:bCs/>
                <w:sz w:val="18"/>
                <w:szCs w:val="18"/>
              </w:rPr>
              <w:t xml:space="preserve">Panel range</w:t>
            </w:r>
          </w:p>
        </w:tc>
        <w:tc>
          <w:tcPr>
            <w:tcW w:type="dxa" w:w="2900"/>
            <w:tcMar>
              <w:top w:type="dxa" w:w="40"/>
              <w:left w:type="dxa" w:w="80"/>
              <w:bottom w:type="dxa" w:w="40"/>
              <w:right w:type="dxa" w:w="80"/>
            </w:tcMar>
          </w:tcPr>
          <w:p>
            <w:r>
              <w:rPr>
                <w:b w:val="false"/>
                <w:bCs w:val="false"/>
                <w:sz w:val="18"/>
                <w:szCs w:val="18"/>
              </w:rPr>
              <w:t xml:space="preserve">Spread = the VFE-and-discount question</w:t>
            </w:r>
          </w:p>
        </w:tc>
        <w:tc>
          <w:tcPr>
            <w:tcW w:type="dxa" w:w="2000"/>
            <w:tcMar>
              <w:top w:type="dxa" w:w="40"/>
              <w:left w:type="dxa" w:w="80"/>
              <w:bottom w:type="dxa" w:w="40"/>
              <w:right w:type="dxa" w:w="80"/>
            </w:tcMar>
          </w:tcPr>
          <w:p>
            <w:r>
              <w:rPr>
                <w:b w:val="false"/>
                <w:bCs w:val="false"/>
                <w:sz w:val="18"/>
                <w:szCs w:val="18"/>
              </w:rPr>
              <w:t xml:space="preserve">EGP 98–134</w:t>
            </w:r>
          </w:p>
        </w:tc>
        <w:tc>
          <w:tcPr>
            <w:tcW w:type="dxa" w:w="1810"/>
            <w:tcMar>
              <w:top w:type="dxa" w:w="40"/>
              <w:left w:type="dxa" w:w="80"/>
              <w:bottom w:type="dxa" w:w="40"/>
              <w:right w:type="dxa" w:w="80"/>
            </w:tcMar>
          </w:tcPr>
          <w:p>
            <w:r>
              <w:rPr>
                <w:b w:val="false"/>
                <w:bCs w:val="false"/>
                <w:sz w:val="18"/>
                <w:szCs w:val="18"/>
              </w:rPr>
              <w:t xml:space="preserve">Centres ~EGP 118</w:t>
            </w:r>
          </w:p>
        </w:tc>
      </w:tr>
    </w:tbl>
    <w:p>
      <w:pPr>
        <w:spacing w:after="120"/>
      </w:pPr>
    </w:p>
    <w:p>
      <w:pPr>
        <w:spacing w:after="140"/>
      </w:pPr>
      <w:r>
        <w:rPr>
          <w:b/>
          <w:bCs/>
        </w:rPr>
        <w:t xml:space="preserve">Bottom line. </w:t>
      </w:r>
      <w:r>
        <w:t xml:space="preserve">Every fundamental read points the same way and disagrees only on magnitude. The central sits near EGP 118 — about 27% above the EGP 92.6 spot — the three experts span EGP 98–134, and each one turns on the same pair of judgments: the mark on an unlisted associate and the discount on a state-controlled wrapper. Unusually, the probabilistic map leans the same way — the calibrated engine carries this class's secular drift, so the three-month median sits at EGP 106 rather than at spot. The dissent is quieter here than usual: it is the size of the ask, not its direction.</w:t>
      </w:r>
    </w:p>
    <w:p>
      <w:pPr>
        <w:pStyle w:val="Heading1"/>
        <w:spacing w:after="140" w:before="300"/>
      </w:pPr>
      <w:r>
        <w:t xml:space="preserve">Company overview — Telecom Egypt at a glance</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060"/>
        <w:gridCol w:w="6300"/>
      </w:tblGrid>
      <w:tr>
        <w:tc>
          <w:tcPr>
            <w:tcW w:type="dxa" w:w="3060"/>
            <w:shd w:fill="1B5E5E" w:val="clear"/>
            <w:tcMar>
              <w:top w:type="dxa" w:w="40"/>
              <w:left w:type="dxa" w:w="80"/>
              <w:bottom w:type="dxa" w:w="40"/>
              <w:right w:type="dxa" w:w="80"/>
            </w:tcMar>
          </w:tcPr>
          <w:p>
            <w:r>
              <w:rPr>
                <w:b/>
                <w:bCs/>
                <w:color w:val="FFFFFF"/>
                <w:sz w:val="18"/>
                <w:szCs w:val="18"/>
              </w:rPr>
              <w:t xml:space="preserve">Item</w:t>
            </w:r>
          </w:p>
        </w:tc>
        <w:tc>
          <w:tcPr>
            <w:tcW w:type="dxa" w:w="6300"/>
            <w:shd w:fill="1B5E5E" w:val="clear"/>
            <w:tcMar>
              <w:top w:type="dxa" w:w="40"/>
              <w:left w:type="dxa" w:w="80"/>
              <w:bottom w:type="dxa" w:w="40"/>
              <w:right w:type="dxa" w:w="80"/>
            </w:tcMar>
          </w:tcPr>
          <w:p>
            <w:r>
              <w:rPr>
                <w:b/>
                <w:bCs/>
                <w:color w:val="FFFFFF"/>
                <w:sz w:val="18"/>
                <w:szCs w:val="18"/>
              </w:rPr>
              <w:t xml:space="preserve">Value</w:t>
            </w:r>
          </w:p>
        </w:tc>
      </w:tr>
      <w:tr>
        <w:tc>
          <w:tcPr>
            <w:tcW w:type="dxa" w:w="3060"/>
            <w:tcMar>
              <w:top w:type="dxa" w:w="40"/>
              <w:left w:type="dxa" w:w="80"/>
              <w:bottom w:type="dxa" w:w="40"/>
              <w:right w:type="dxa" w:w="80"/>
            </w:tcMar>
          </w:tcPr>
          <w:p>
            <w:r>
              <w:rPr>
                <w:b/>
                <w:bCs/>
                <w:sz w:val="18"/>
                <w:szCs w:val="18"/>
              </w:rPr>
              <w:t xml:space="preserve">Listed entity</w:t>
            </w:r>
          </w:p>
        </w:tc>
        <w:tc>
          <w:tcPr>
            <w:tcW w:type="dxa" w:w="6300"/>
            <w:tcMar>
              <w:top w:type="dxa" w:w="40"/>
              <w:left w:type="dxa" w:w="80"/>
              <w:bottom w:type="dxa" w:w="40"/>
              <w:right w:type="dxa" w:w="80"/>
            </w:tcMar>
          </w:tcPr>
          <w:p>
            <w:r>
              <w:rPr>
                <w:b w:val="false"/>
                <w:bCs w:val="false"/>
                <w:sz w:val="18"/>
                <w:szCs w:val="18"/>
              </w:rPr>
              <w:t xml:space="preserve">Telecom Egypt Company S.A.E. (EGX: ETEL; LSE GDR: TEEG)</w:t>
            </w:r>
          </w:p>
        </w:tc>
      </w:tr>
      <w:tr>
        <w:tc>
          <w:tcPr>
            <w:tcW w:type="dxa" w:w="3060"/>
            <w:tcMar>
              <w:top w:type="dxa" w:w="40"/>
              <w:left w:type="dxa" w:w="80"/>
              <w:bottom w:type="dxa" w:w="40"/>
              <w:right w:type="dxa" w:w="80"/>
            </w:tcMar>
          </w:tcPr>
          <w:p>
            <w:r>
              <w:rPr>
                <w:b/>
                <w:bCs/>
                <w:sz w:val="18"/>
                <w:szCs w:val="18"/>
              </w:rPr>
              <w:t xml:space="preserve">What it owns</w:t>
            </w:r>
          </w:p>
        </w:tc>
        <w:tc>
          <w:tcPr>
            <w:tcW w:type="dxa" w:w="6300"/>
            <w:tcMar>
              <w:top w:type="dxa" w:w="40"/>
              <w:left w:type="dxa" w:w="80"/>
              <w:bottom w:type="dxa" w:w="40"/>
              <w:right w:type="dxa" w:w="80"/>
            </w:tcMar>
          </w:tcPr>
          <w:p>
            <w:r>
              <w:rPr>
                <w:b w:val="false"/>
                <w:bCs w:val="false"/>
                <w:sz w:val="18"/>
                <w:szCs w:val="18"/>
              </w:rPr>
              <w:t xml:space="preserve">Fixed-line &amp; fibre incumbent · WE mobile (4th MNO) · 45% of Vodafone Egypt · the Suez subsea-cable corridor (SEA-ME-WE, AAE, Coral Bridge) · data centres</w:t>
            </w:r>
          </w:p>
        </w:tc>
      </w:tr>
      <w:tr>
        <w:tc>
          <w:tcPr>
            <w:tcW w:type="dxa" w:w="3060"/>
            <w:tcMar>
              <w:top w:type="dxa" w:w="40"/>
              <w:left w:type="dxa" w:w="80"/>
              <w:bottom w:type="dxa" w:w="40"/>
              <w:right w:type="dxa" w:w="80"/>
            </w:tcMar>
          </w:tcPr>
          <w:p>
            <w:r>
              <w:rPr>
                <w:b/>
                <w:bCs/>
                <w:sz w:val="18"/>
                <w:szCs w:val="18"/>
              </w:rPr>
              <w:t xml:space="preserve">Spot / date</w:t>
            </w:r>
          </w:p>
        </w:tc>
        <w:tc>
          <w:tcPr>
            <w:tcW w:type="dxa" w:w="6300"/>
            <w:tcMar>
              <w:top w:type="dxa" w:w="40"/>
              <w:left w:type="dxa" w:w="80"/>
              <w:bottom w:type="dxa" w:w="40"/>
              <w:right w:type="dxa" w:w="80"/>
            </w:tcMar>
          </w:tcPr>
          <w:p>
            <w:r>
              <w:rPr>
                <w:b w:val="false"/>
                <w:bCs w:val="false"/>
                <w:sz w:val="18"/>
                <w:szCs w:val="18"/>
              </w:rPr>
              <w:t xml:space="preserve">EGP 92.6 · 01 Jul 2026 close</w:t>
            </w:r>
          </w:p>
        </w:tc>
      </w:tr>
      <w:tr>
        <w:tc>
          <w:tcPr>
            <w:tcW w:type="dxa" w:w="3060"/>
            <w:tcMar>
              <w:top w:type="dxa" w:w="40"/>
              <w:left w:type="dxa" w:w="80"/>
              <w:bottom w:type="dxa" w:w="40"/>
              <w:right w:type="dxa" w:w="80"/>
            </w:tcMar>
          </w:tcPr>
          <w:p>
            <w:r>
              <w:rPr>
                <w:b/>
                <w:bCs/>
                <w:sz w:val="18"/>
                <w:szCs w:val="18"/>
              </w:rPr>
              <w:t xml:space="preserve">Shares · market cap</w:t>
            </w:r>
          </w:p>
        </w:tc>
        <w:tc>
          <w:tcPr>
            <w:tcW w:type="dxa" w:w="6300"/>
            <w:tcMar>
              <w:top w:type="dxa" w:w="40"/>
              <w:left w:type="dxa" w:w="80"/>
              <w:bottom w:type="dxa" w:w="40"/>
              <w:right w:type="dxa" w:w="80"/>
            </w:tcMar>
          </w:tcPr>
          <w:p>
            <w:r>
              <w:rPr>
                <w:b w:val="false"/>
                <w:bCs w:val="false"/>
                <w:sz w:val="18"/>
                <w:szCs w:val="18"/>
              </w:rPr>
              <w:t xml:space="preserve">1,707.1mn · EGP 158.1bn</w:t>
            </w:r>
          </w:p>
        </w:tc>
      </w:tr>
      <w:tr>
        <w:tc>
          <w:tcPr>
            <w:tcW w:type="dxa" w:w="3060"/>
            <w:tcMar>
              <w:top w:type="dxa" w:w="40"/>
              <w:left w:type="dxa" w:w="80"/>
              <w:bottom w:type="dxa" w:w="40"/>
              <w:right w:type="dxa" w:w="80"/>
            </w:tcMar>
          </w:tcPr>
          <w:p>
            <w:r>
              <w:rPr>
                <w:b/>
                <w:bCs/>
                <w:sz w:val="18"/>
                <w:szCs w:val="18"/>
              </w:rPr>
              <w:t xml:space="preserve">Net debt (latest)</w:t>
            </w:r>
          </w:p>
        </w:tc>
        <w:tc>
          <w:tcPr>
            <w:tcW w:type="dxa" w:w="6300"/>
            <w:tcMar>
              <w:top w:type="dxa" w:w="40"/>
              <w:left w:type="dxa" w:w="80"/>
              <w:bottom w:type="dxa" w:w="40"/>
              <w:right w:type="dxa" w:w="80"/>
            </w:tcMar>
          </w:tcPr>
          <w:p>
            <w:r>
              <w:rPr>
                <w:b w:val="false"/>
                <w:bCs w:val="false"/>
                <w:sz w:val="18"/>
                <w:szCs w:val="18"/>
              </w:rPr>
              <w:t xml:space="preserve">~EGP 58bn (FY25 balance sheet 66.1; Q1-26: −EGP 8bn QoQ; ND/EBITDA 1.3×)</w:t>
            </w:r>
          </w:p>
        </w:tc>
      </w:tr>
      <w:tr>
        <w:tc>
          <w:tcPr>
            <w:tcW w:type="dxa" w:w="3060"/>
            <w:tcMar>
              <w:top w:type="dxa" w:w="40"/>
              <w:left w:type="dxa" w:w="80"/>
              <w:bottom w:type="dxa" w:w="40"/>
              <w:right w:type="dxa" w:w="80"/>
            </w:tcMar>
          </w:tcPr>
          <w:p>
            <w:r>
              <w:rPr>
                <w:b/>
                <w:bCs/>
                <w:sz w:val="18"/>
                <w:szCs w:val="18"/>
              </w:rPr>
              <w:t xml:space="preserve">FY25 revenue / EBITDA margin</w:t>
            </w:r>
          </w:p>
        </w:tc>
        <w:tc>
          <w:tcPr>
            <w:tcW w:type="dxa" w:w="6300"/>
            <w:tcMar>
              <w:top w:type="dxa" w:w="40"/>
              <w:left w:type="dxa" w:w="80"/>
              <w:bottom w:type="dxa" w:w="40"/>
              <w:right w:type="dxa" w:w="80"/>
            </w:tcMar>
          </w:tcPr>
          <w:p>
            <w:r>
              <w:rPr>
                <w:b w:val="false"/>
                <w:bCs w:val="false"/>
                <w:sz w:val="18"/>
                <w:szCs w:val="18"/>
              </w:rPr>
              <w:t xml:space="preserve">EGP 106.7bn (+31% YoY) · 45%</w:t>
            </w:r>
          </w:p>
        </w:tc>
      </w:tr>
      <w:tr>
        <w:tc>
          <w:tcPr>
            <w:tcW w:type="dxa" w:w="3060"/>
            <w:tcMar>
              <w:top w:type="dxa" w:w="40"/>
              <w:left w:type="dxa" w:w="80"/>
              <w:bottom w:type="dxa" w:w="40"/>
              <w:right w:type="dxa" w:w="80"/>
            </w:tcMar>
          </w:tcPr>
          <w:p>
            <w:r>
              <w:rPr>
                <w:b/>
                <w:bCs/>
                <w:sz w:val="18"/>
                <w:szCs w:val="18"/>
              </w:rPr>
              <w:t xml:space="preserve">VFE stake share of value</w:t>
            </w:r>
          </w:p>
        </w:tc>
        <w:tc>
          <w:tcPr>
            <w:tcW w:type="dxa" w:w="6300"/>
            <w:tcMar>
              <w:top w:type="dxa" w:w="40"/>
              <w:left w:type="dxa" w:w="80"/>
              <w:bottom w:type="dxa" w:w="40"/>
              <w:right w:type="dxa" w:w="80"/>
            </w:tcMar>
          </w:tcPr>
          <w:p>
            <w:r>
              <w:rPr>
                <w:b w:val="false"/>
                <w:bCs w:val="false"/>
                <w:sz w:val="18"/>
                <w:szCs w:val="18"/>
              </w:rPr>
              <w:t xml:space="preserve">~40% of the pre-discount marked EV (EGP 118.4bn of 295.4bn)</w:t>
            </w:r>
          </w:p>
        </w:tc>
      </w:tr>
      <w:tr>
        <w:tc>
          <w:tcPr>
            <w:tcW w:type="dxa" w:w="3060"/>
            <w:tcMar>
              <w:top w:type="dxa" w:w="40"/>
              <w:left w:type="dxa" w:w="80"/>
              <w:bottom w:type="dxa" w:w="40"/>
              <w:right w:type="dxa" w:w="80"/>
            </w:tcMar>
          </w:tcPr>
          <w:p>
            <w:r>
              <w:rPr>
                <w:b/>
                <w:bCs/>
                <w:sz w:val="18"/>
                <w:szCs w:val="18"/>
              </w:rPr>
              <w:t xml:space="preserve">252-session range</w:t>
            </w:r>
          </w:p>
        </w:tc>
        <w:tc>
          <w:tcPr>
            <w:tcW w:type="dxa" w:w="6300"/>
            <w:tcMar>
              <w:top w:type="dxa" w:w="40"/>
              <w:left w:type="dxa" w:w="80"/>
              <w:bottom w:type="dxa" w:w="40"/>
              <w:right w:type="dxa" w:w="80"/>
            </w:tcMar>
          </w:tcPr>
          <w:p>
            <w:r>
              <w:rPr>
                <w:b w:val="false"/>
                <w:bCs w:val="false"/>
                <w:sz w:val="18"/>
                <w:szCs w:val="18"/>
              </w:rPr>
              <w:t xml:space="preserve">EGP 36.0 – 113.0 (all-time high 112.98 on 16 Feb 2026)</w:t>
            </w:r>
          </w:p>
        </w:tc>
      </w:tr>
      <w:tr>
        <w:tc>
          <w:tcPr>
            <w:tcW w:type="dxa" w:w="3060"/>
            <w:tcMar>
              <w:top w:type="dxa" w:w="40"/>
              <w:left w:type="dxa" w:w="80"/>
              <w:bottom w:type="dxa" w:w="40"/>
              <w:right w:type="dxa" w:w="80"/>
            </w:tcMar>
          </w:tcPr>
          <w:p>
            <w:r>
              <w:rPr>
                <w:b/>
                <w:bCs/>
                <w:sz w:val="18"/>
                <w:szCs w:val="18"/>
              </w:rPr>
              <w:t xml:space="preserve">Ownership</w:t>
            </w:r>
          </w:p>
        </w:tc>
        <w:tc>
          <w:tcPr>
            <w:tcW w:type="dxa" w:w="6300"/>
            <w:tcMar>
              <w:top w:type="dxa" w:w="40"/>
              <w:left w:type="dxa" w:w="80"/>
              <w:bottom w:type="dxa" w:w="40"/>
              <w:right w:type="dxa" w:w="80"/>
            </w:tcMar>
          </w:tcPr>
          <w:p>
            <w:r>
              <w:rPr>
                <w:b w:val="false"/>
                <w:bCs w:val="false"/>
                <w:sz w:val="18"/>
                <w:szCs w:val="18"/>
              </w:rPr>
              <w:t xml:space="preserve">Ministry of Finance ~70% · free float ~30% (post the May-2023 9.5%+0.5% sale at EGP 23.11)</w:t>
            </w:r>
          </w:p>
        </w:tc>
      </w:tr>
      <w:tr>
        <w:tc>
          <w:tcPr>
            <w:tcW w:type="dxa" w:w="3060"/>
            <w:tcMar>
              <w:top w:type="dxa" w:w="40"/>
              <w:left w:type="dxa" w:w="80"/>
              <w:bottom w:type="dxa" w:w="40"/>
              <w:right w:type="dxa" w:w="80"/>
            </w:tcMar>
          </w:tcPr>
          <w:p>
            <w:r>
              <w:rPr>
                <w:b/>
                <w:bCs/>
                <w:sz w:val="18"/>
                <w:szCs w:val="18"/>
              </w:rPr>
              <w:t xml:space="preserve">MD &amp; CEO · next results</w:t>
            </w:r>
          </w:p>
        </w:tc>
        <w:tc>
          <w:tcPr>
            <w:tcW w:type="dxa" w:w="6300"/>
            <w:tcMar>
              <w:top w:type="dxa" w:w="40"/>
              <w:left w:type="dxa" w:w="80"/>
              <w:bottom w:type="dxa" w:w="40"/>
              <w:right w:type="dxa" w:w="80"/>
            </w:tcMar>
          </w:tcPr>
          <w:p>
            <w:r>
              <w:rPr>
                <w:b w:val="false"/>
                <w:bCs w:val="false"/>
                <w:sz w:val="18"/>
                <w:szCs w:val="18"/>
              </w:rPr>
              <w:t xml:space="preserve">Tamer El Mahdi (since late 2025) · Q2 2026 due 13 Aug 2026</w:t>
            </w:r>
          </w:p>
        </w:tc>
      </w:tr>
      <w:tr>
        <w:tc>
          <w:tcPr>
            <w:tcW w:type="dxa" w:w="3060"/>
            <w:tcMar>
              <w:top w:type="dxa" w:w="40"/>
              <w:left w:type="dxa" w:w="80"/>
              <w:bottom w:type="dxa" w:w="40"/>
              <w:right w:type="dxa" w:w="80"/>
            </w:tcMar>
          </w:tcPr>
          <w:p>
            <w:r>
              <w:rPr>
                <w:b/>
                <w:bCs/>
                <w:sz w:val="18"/>
                <w:szCs w:val="18"/>
              </w:rPr>
              <w:t xml:space="preserve">Dividend</w:t>
            </w:r>
          </w:p>
        </w:tc>
        <w:tc>
          <w:tcPr>
            <w:tcW w:type="dxa" w:w="6300"/>
            <w:tcMar>
              <w:top w:type="dxa" w:w="40"/>
              <w:left w:type="dxa" w:w="80"/>
              <w:bottom w:type="dxa" w:w="40"/>
              <w:right w:type="dxa" w:w="80"/>
            </w:tcMar>
          </w:tcPr>
          <w:p>
            <w:r>
              <w:rPr>
                <w:b w:val="false"/>
                <w:bCs w:val="false"/>
                <w:sz w:val="18"/>
                <w:szCs w:val="18"/>
              </w:rPr>
              <w:t xml:space="preserve">EGP 1.50/share for FY2025, paid 30 Apr 2026 (payout ~13%)</w:t>
            </w:r>
          </w:p>
        </w:tc>
      </w:tr>
    </w:tbl>
    <w:p>
      <w:pPr>
        <w:spacing w:after="120"/>
      </w:pPr>
    </w:p>
    <w:p>
      <w:pPr>
        <w:spacing w:after="180" w:before="60"/>
      </w:pPr>
      <w:r>
        <w:rPr>
          <w:i/>
          <w:iCs/>
          <w:color w:val="666666"/>
          <w:sz w:val="18"/>
          <w:szCs w:val="18"/>
        </w:rPr>
        <w:t xml:space="preserve">Source: company FY2025 audited results (26 Feb 2026), Q1 2026 release (May 2026), EGX/LSE disclosures, exchange data. Values rounded.</w:t>
      </w:r>
    </w:p>
    <w:p>
      <w:pPr>
        <w:pStyle w:val="Heading1"/>
        <w:spacing w:after="140" w:before="300"/>
      </w:pPr>
      <w:r>
        <w:t xml:space="preserve">1  Fundamental valuation</w:t>
      </w:r>
    </w:p>
    <w:p>
      <w:pPr>
        <w:spacing w:after="140"/>
      </w:pPr>
      <w:r>
        <w:t xml:space="preserve">We value Telecom Egypt as an operating incumbent with a holding-company question inside it, and triangulate four lenses. The primary lens is a </w:t>
      </w:r>
      <w:r>
        <w:rPr>
          <w:b/>
          <w:bCs/>
        </w:rPr>
        <w:t xml:space="preserve">sum-of-the-parts (SOTP)</w:t>
      </w:r>
      <w:r>
        <w:t xml:space="preserve"> because the two value engines obey different economics — a capex-heavy, EGP-earning fixed/wholesale operator, and a 45% equity-method stake in the country's most profitable mobile operator, which contributes no revenue line and no EBITDA, only an income pick-up of EGP 14.8bn — and a single group multiple would price the stake at the core's multiple, which is exactly the mistake this structure invites. A core-cash-flow DCF, a relative-multiple cross-check and a normalized-earnings-power read complete the set. The weights and the football field are in §1.5; the swing factors — the VFE mark and the wrapper discount — are dissected in §1.7 and the sensitivity grid in §1.9.</w:t>
      </w:r>
    </w:p>
    <w:p>
      <w:pPr>
        <w:pStyle w:val="Heading2"/>
        <w:spacing w:after="110" w:before="220"/>
      </w:pPr>
      <w:r>
        <w:t xml:space="preserve">1.1  Sum-of-the-parts — the primary lens</w:t>
      </w:r>
    </w:p>
    <w:p>
      <w:pPr>
        <w:spacing w:after="140"/>
      </w:pPr>
      <w:r>
        <w:t xml:space="preserve">Each part is marked on the basis that best fits it. The core business — retail fixed voice and broadband, WE mobile, enterprise, domestic wholesale and the international/subsea franchise — is marked on 2026E EBITDA of EGP 52.6bn (FY25 printed 47.5; Q1-26 annualises above 50 before the NTRA's 13–15% tariff headroom flows through) at 3.25× EV/EBITDA, inside the 3–5.5× band where emerging-market incumbents trade and below the Gulf names, reflecting Egypt cost of capital and a cash-capex ratio still near 30% of sales. The Vodafone Egypt stake is marked on earnings: EGP 14.8bn of FY25 income to TE implies EGP 32.9bn for 100%, and at 8.0× — a discount to Vodacom's own ~10× — the 45% is worth EGP 118.4bn. The cross-check is the only transaction in the stock: Vodacom bought Vodafone Group's 55% in 2022 for ~US$2.7bn, which grosses to ~US$5.0bn — EGP ~245bn at today's 49.1 — putting the 45% at ~EGP 110bn before any growth since; the earnings mark is 8% above that, three record years later. A small residual captures the data-centre/regional-hub build and non-core land. From the summed enterprise value we deduct net debt and apply a complexity/state-control discount.</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600"/>
        <w:gridCol w:w="3760"/>
        <w:gridCol w:w="2000"/>
      </w:tblGrid>
      <w:tr>
        <w:tc>
          <w:tcPr>
            <w:tcW w:type="dxa" w:w="3600"/>
            <w:shd w:fill="1B5E5E" w:val="clear"/>
            <w:tcMar>
              <w:top w:type="dxa" w:w="40"/>
              <w:left w:type="dxa" w:w="80"/>
              <w:bottom w:type="dxa" w:w="40"/>
              <w:right w:type="dxa" w:w="80"/>
            </w:tcMar>
          </w:tcPr>
          <w:p>
            <w:r>
              <w:rPr>
                <w:b/>
                <w:bCs/>
                <w:color w:val="FFFFFF"/>
                <w:sz w:val="18"/>
                <w:szCs w:val="18"/>
              </w:rPr>
              <w:t xml:space="preserve">Part (base case)</w:t>
            </w:r>
          </w:p>
        </w:tc>
        <w:tc>
          <w:tcPr>
            <w:tcW w:type="dxa" w:w="3760"/>
            <w:shd w:fill="1B5E5E" w:val="clear"/>
            <w:tcMar>
              <w:top w:type="dxa" w:w="40"/>
              <w:left w:type="dxa" w:w="80"/>
              <w:bottom w:type="dxa" w:w="40"/>
              <w:right w:type="dxa" w:w="80"/>
            </w:tcMar>
          </w:tcPr>
          <w:p>
            <w:r>
              <w:rPr>
                <w:b/>
                <w:bCs/>
                <w:color w:val="FFFFFF"/>
                <w:sz w:val="18"/>
                <w:szCs w:val="18"/>
              </w:rPr>
              <w:t xml:space="preserve">Basis</w:t>
            </w:r>
          </w:p>
        </w:tc>
        <w:tc>
          <w:tcPr>
            <w:tcW w:type="dxa" w:w="2000"/>
            <w:shd w:fill="1B5E5E" w:val="clear"/>
            <w:tcMar>
              <w:top w:type="dxa" w:w="40"/>
              <w:left w:type="dxa" w:w="80"/>
              <w:bottom w:type="dxa" w:w="40"/>
              <w:right w:type="dxa" w:w="80"/>
            </w:tcMar>
          </w:tcPr>
          <w:p>
            <w:r>
              <w:rPr>
                <w:b/>
                <w:bCs/>
                <w:color w:val="FFFFFF"/>
                <w:sz w:val="18"/>
                <w:szCs w:val="18"/>
              </w:rPr>
              <w:t xml:space="preserve">Value (EGP bn)</w:t>
            </w:r>
          </w:p>
        </w:tc>
      </w:tr>
      <w:tr>
        <w:tc>
          <w:tcPr>
            <w:tcW w:type="dxa" w:w="3600"/>
            <w:tcMar>
              <w:top w:type="dxa" w:w="40"/>
              <w:left w:type="dxa" w:w="80"/>
              <w:bottom w:type="dxa" w:w="40"/>
              <w:right w:type="dxa" w:w="80"/>
            </w:tcMar>
          </w:tcPr>
          <w:p>
            <w:r>
              <w:rPr>
                <w:b/>
                <w:bCs/>
                <w:sz w:val="18"/>
                <w:szCs w:val="18"/>
              </w:rPr>
              <w:t xml:space="preserve">Core Telecom Egypt</w:t>
            </w:r>
          </w:p>
        </w:tc>
        <w:tc>
          <w:tcPr>
            <w:tcW w:type="dxa" w:w="3760"/>
            <w:tcMar>
              <w:top w:type="dxa" w:w="40"/>
              <w:left w:type="dxa" w:w="80"/>
              <w:bottom w:type="dxa" w:w="40"/>
              <w:right w:type="dxa" w:w="80"/>
            </w:tcMar>
          </w:tcPr>
          <w:p>
            <w:r>
              <w:rPr>
                <w:b w:val="false"/>
                <w:bCs w:val="false"/>
                <w:sz w:val="18"/>
                <w:szCs w:val="18"/>
              </w:rPr>
              <w:t xml:space="preserve">EGP 52.6bn 2026E EBITDA × 3.25×</w:t>
            </w:r>
          </w:p>
        </w:tc>
        <w:tc>
          <w:tcPr>
            <w:tcW w:type="dxa" w:w="2000"/>
            <w:tcMar>
              <w:top w:type="dxa" w:w="40"/>
              <w:left w:type="dxa" w:w="80"/>
              <w:bottom w:type="dxa" w:w="40"/>
              <w:right w:type="dxa" w:w="80"/>
            </w:tcMar>
          </w:tcPr>
          <w:p>
            <w:r>
              <w:rPr>
                <w:b w:val="false"/>
                <w:bCs w:val="false"/>
                <w:sz w:val="18"/>
                <w:szCs w:val="18"/>
              </w:rPr>
              <w:t xml:space="preserve">171.0</w:t>
            </w:r>
          </w:p>
        </w:tc>
      </w:tr>
      <w:tr>
        <w:tc>
          <w:tcPr>
            <w:tcW w:type="dxa" w:w="3600"/>
            <w:tcMar>
              <w:top w:type="dxa" w:w="40"/>
              <w:left w:type="dxa" w:w="80"/>
              <w:bottom w:type="dxa" w:w="40"/>
              <w:right w:type="dxa" w:w="80"/>
            </w:tcMar>
          </w:tcPr>
          <w:p>
            <w:r>
              <w:rPr>
                <w:b/>
                <w:bCs/>
                <w:sz w:val="18"/>
                <w:szCs w:val="18"/>
              </w:rPr>
              <w:t xml:space="preserve">Vodafone Egypt, 45%</w:t>
            </w:r>
          </w:p>
        </w:tc>
        <w:tc>
          <w:tcPr>
            <w:tcW w:type="dxa" w:w="3760"/>
            <w:tcMar>
              <w:top w:type="dxa" w:w="40"/>
              <w:left w:type="dxa" w:w="80"/>
              <w:bottom w:type="dxa" w:w="40"/>
              <w:right w:type="dxa" w:w="80"/>
            </w:tcMar>
          </w:tcPr>
          <w:p>
            <w:r>
              <w:rPr>
                <w:b w:val="false"/>
                <w:bCs w:val="false"/>
                <w:sz w:val="18"/>
                <w:szCs w:val="18"/>
              </w:rPr>
              <w:t xml:space="preserve">EGP 32.9bn × 8.0× P/E × 45%</w:t>
            </w:r>
          </w:p>
        </w:tc>
        <w:tc>
          <w:tcPr>
            <w:tcW w:type="dxa" w:w="2000"/>
            <w:tcMar>
              <w:top w:type="dxa" w:w="40"/>
              <w:left w:type="dxa" w:w="80"/>
              <w:bottom w:type="dxa" w:w="40"/>
              <w:right w:type="dxa" w:w="80"/>
            </w:tcMar>
          </w:tcPr>
          <w:p>
            <w:r>
              <w:rPr>
                <w:b w:val="false"/>
                <w:bCs w:val="false"/>
                <w:sz w:val="18"/>
                <w:szCs w:val="18"/>
              </w:rPr>
              <w:t xml:space="preserve">118.4</w:t>
            </w:r>
          </w:p>
        </w:tc>
      </w:tr>
      <w:tr>
        <w:tc>
          <w:tcPr>
            <w:tcW w:type="dxa" w:w="3600"/>
            <w:tcMar>
              <w:top w:type="dxa" w:w="40"/>
              <w:left w:type="dxa" w:w="80"/>
              <w:bottom w:type="dxa" w:w="40"/>
              <w:right w:type="dxa" w:w="80"/>
            </w:tcMar>
          </w:tcPr>
          <w:p>
            <w:r>
              <w:rPr>
                <w:b/>
                <w:bCs/>
                <w:sz w:val="18"/>
                <w:szCs w:val="18"/>
              </w:rPr>
              <w:t xml:space="preserve">Other (data-hub JV, land, non-core)</w:t>
            </w:r>
          </w:p>
        </w:tc>
        <w:tc>
          <w:tcPr>
            <w:tcW w:type="dxa" w:w="3760"/>
            <w:tcMar>
              <w:top w:type="dxa" w:w="40"/>
              <w:left w:type="dxa" w:w="80"/>
              <w:bottom w:type="dxa" w:w="40"/>
              <w:right w:type="dxa" w:w="80"/>
            </w:tcMar>
          </w:tcPr>
          <w:p>
            <w:r>
              <w:rPr>
                <w:b w:val="false"/>
                <w:bCs w:val="false"/>
                <w:sz w:val="18"/>
                <w:szCs w:val="18"/>
              </w:rPr>
              <w:t xml:space="preserve">Judgment residual</w:t>
            </w:r>
          </w:p>
        </w:tc>
        <w:tc>
          <w:tcPr>
            <w:tcW w:type="dxa" w:w="2000"/>
            <w:tcMar>
              <w:top w:type="dxa" w:w="40"/>
              <w:left w:type="dxa" w:w="80"/>
              <w:bottom w:type="dxa" w:w="40"/>
              <w:right w:type="dxa" w:w="80"/>
            </w:tcMar>
          </w:tcPr>
          <w:p>
            <w:r>
              <w:rPr>
                <w:b w:val="false"/>
                <w:bCs w:val="false"/>
                <w:sz w:val="18"/>
                <w:szCs w:val="18"/>
              </w:rPr>
              <w:t xml:space="preserve">6.0</w:t>
            </w:r>
          </w:p>
        </w:tc>
      </w:tr>
      <w:tr>
        <w:tc>
          <w:tcPr>
            <w:tcW w:type="dxa" w:w="3600"/>
            <w:tcMar>
              <w:top w:type="dxa" w:w="40"/>
              <w:left w:type="dxa" w:w="80"/>
              <w:bottom w:type="dxa" w:w="40"/>
              <w:right w:type="dxa" w:w="80"/>
            </w:tcMar>
          </w:tcPr>
          <w:p>
            <w:r>
              <w:rPr>
                <w:b/>
                <w:bCs/>
                <w:sz w:val="18"/>
                <w:szCs w:val="18"/>
              </w:rPr>
              <w:t xml:space="preserve">Σ Enterprise value</w:t>
            </w:r>
          </w:p>
        </w:tc>
        <w:tc>
          <w:tcPr>
            <w:tcW w:type="dxa" w:w="3760"/>
            <w:tcMar>
              <w:top w:type="dxa" w:w="40"/>
              <w:left w:type="dxa" w:w="80"/>
              <w:bottom w:type="dxa" w:w="40"/>
              <w:right w:type="dxa" w:w="80"/>
            </w:tcMar>
          </w:tcPr>
          <w:p/>
        </w:tc>
        <w:tc>
          <w:tcPr>
            <w:tcW w:type="dxa" w:w="2000"/>
            <w:tcMar>
              <w:top w:type="dxa" w:w="40"/>
              <w:left w:type="dxa" w:w="80"/>
              <w:bottom w:type="dxa" w:w="40"/>
              <w:right w:type="dxa" w:w="80"/>
            </w:tcMar>
          </w:tcPr>
          <w:p>
            <w:r>
              <w:rPr>
                <w:b w:val="false"/>
                <w:bCs w:val="false"/>
                <w:sz w:val="18"/>
                <w:szCs w:val="18"/>
              </w:rPr>
              <w:t xml:space="preserve">295.4</w:t>
            </w:r>
          </w:p>
        </w:tc>
      </w:tr>
      <w:tr>
        <w:tc>
          <w:tcPr>
            <w:tcW w:type="dxa" w:w="3600"/>
            <w:tcMar>
              <w:top w:type="dxa" w:w="40"/>
              <w:left w:type="dxa" w:w="80"/>
              <w:bottom w:type="dxa" w:w="40"/>
              <w:right w:type="dxa" w:w="80"/>
            </w:tcMar>
          </w:tcPr>
          <w:p>
            <w:r>
              <w:rPr>
                <w:b/>
                <w:bCs/>
                <w:sz w:val="18"/>
                <w:szCs w:val="18"/>
              </w:rPr>
              <w:t xml:space="preserve">less: net debt</w:t>
            </w:r>
          </w:p>
        </w:tc>
        <w:tc>
          <w:tcPr>
            <w:tcW w:type="dxa" w:w="3760"/>
            <w:tcMar>
              <w:top w:type="dxa" w:w="40"/>
              <w:left w:type="dxa" w:w="80"/>
              <w:bottom w:type="dxa" w:w="40"/>
              <w:right w:type="dxa" w:w="80"/>
            </w:tcMar>
          </w:tcPr>
          <w:p>
            <w:r>
              <w:rPr>
                <w:b w:val="false"/>
                <w:bCs w:val="false"/>
                <w:sz w:val="18"/>
                <w:szCs w:val="18"/>
              </w:rPr>
              <w:t xml:space="preserve">Q1-26 basis</w:t>
            </w:r>
          </w:p>
        </w:tc>
        <w:tc>
          <w:tcPr>
            <w:tcW w:type="dxa" w:w="2000"/>
            <w:tcMar>
              <w:top w:type="dxa" w:w="40"/>
              <w:left w:type="dxa" w:w="80"/>
              <w:bottom w:type="dxa" w:w="40"/>
              <w:right w:type="dxa" w:w="80"/>
            </w:tcMar>
          </w:tcPr>
          <w:p>
            <w:r>
              <w:rPr>
                <w:b w:val="false"/>
                <w:bCs w:val="false"/>
                <w:sz w:val="18"/>
                <w:szCs w:val="18"/>
              </w:rPr>
              <w:t xml:space="preserve">(58.0)</w:t>
            </w:r>
          </w:p>
        </w:tc>
      </w:tr>
      <w:tr>
        <w:tc>
          <w:tcPr>
            <w:tcW w:type="dxa" w:w="3600"/>
            <w:tcMar>
              <w:top w:type="dxa" w:w="40"/>
              <w:left w:type="dxa" w:w="80"/>
              <w:bottom w:type="dxa" w:w="40"/>
              <w:right w:type="dxa" w:w="80"/>
            </w:tcMar>
          </w:tcPr>
          <w:p>
            <w:r>
              <w:rPr>
                <w:b/>
                <w:bCs/>
                <w:sz w:val="18"/>
                <w:szCs w:val="18"/>
              </w:rPr>
              <w:t xml:space="preserve">Equity value (pre-discount)</w:t>
            </w:r>
          </w:p>
        </w:tc>
        <w:tc>
          <w:tcPr>
            <w:tcW w:type="dxa" w:w="3760"/>
            <w:tcMar>
              <w:top w:type="dxa" w:w="40"/>
              <w:left w:type="dxa" w:w="80"/>
              <w:bottom w:type="dxa" w:w="40"/>
              <w:right w:type="dxa" w:w="80"/>
            </w:tcMar>
          </w:tcPr>
          <w:p>
            <w:r>
              <w:rPr>
                <w:b w:val="false"/>
                <w:bCs w:val="false"/>
                <w:sz w:val="18"/>
                <w:szCs w:val="18"/>
              </w:rPr>
              <w:t xml:space="preserve">= EGP 139.0 / share</w:t>
            </w:r>
          </w:p>
        </w:tc>
        <w:tc>
          <w:tcPr>
            <w:tcW w:type="dxa" w:w="2000"/>
            <w:tcMar>
              <w:top w:type="dxa" w:w="40"/>
              <w:left w:type="dxa" w:w="80"/>
              <w:bottom w:type="dxa" w:w="40"/>
              <w:right w:type="dxa" w:w="80"/>
            </w:tcMar>
          </w:tcPr>
          <w:p>
            <w:r>
              <w:rPr>
                <w:b w:val="false"/>
                <w:bCs w:val="false"/>
                <w:sz w:val="18"/>
                <w:szCs w:val="18"/>
              </w:rPr>
              <w:t xml:space="preserve">237.4</w:t>
            </w:r>
          </w:p>
        </w:tc>
      </w:tr>
      <w:tr>
        <w:tc>
          <w:tcPr>
            <w:tcW w:type="dxa" w:w="3600"/>
            <w:tcMar>
              <w:top w:type="dxa" w:w="40"/>
              <w:left w:type="dxa" w:w="80"/>
              <w:bottom w:type="dxa" w:w="40"/>
              <w:right w:type="dxa" w:w="80"/>
            </w:tcMar>
          </w:tcPr>
          <w:p>
            <w:r>
              <w:rPr>
                <w:b/>
                <w:bCs/>
                <w:sz w:val="18"/>
                <w:szCs w:val="18"/>
              </w:rPr>
              <w:t xml:space="preserve">less: complexity / state-control discount</w:t>
            </w:r>
          </w:p>
        </w:tc>
        <w:tc>
          <w:tcPr>
            <w:tcW w:type="dxa" w:w="3760"/>
            <w:tcMar>
              <w:top w:type="dxa" w:w="40"/>
              <w:left w:type="dxa" w:w="80"/>
              <w:bottom w:type="dxa" w:w="40"/>
              <w:right w:type="dxa" w:w="80"/>
            </w:tcMar>
          </w:tcPr>
          <w:p>
            <w:r>
              <w:rPr>
                <w:b w:val="false"/>
                <w:bCs w:val="false"/>
                <w:sz w:val="18"/>
                <w:szCs w:val="18"/>
              </w:rPr>
              <w:t xml:space="preserve">15%</w:t>
            </w:r>
          </w:p>
        </w:tc>
        <w:tc>
          <w:tcPr>
            <w:tcW w:type="dxa" w:w="2000"/>
            <w:tcMar>
              <w:top w:type="dxa" w:w="40"/>
              <w:left w:type="dxa" w:w="80"/>
              <w:bottom w:type="dxa" w:w="40"/>
              <w:right w:type="dxa" w:w="80"/>
            </w:tcMar>
          </w:tcPr>
          <w:p>
            <w:r>
              <w:rPr>
                <w:b w:val="false"/>
                <w:bCs w:val="false"/>
                <w:sz w:val="18"/>
                <w:szCs w:val="18"/>
              </w:rPr>
              <w:t xml:space="preserve">(35.7)</w:t>
            </w:r>
          </w:p>
        </w:tc>
      </w:tr>
      <w:tr>
        <w:tc>
          <w:tcPr>
            <w:tcW w:type="dxa" w:w="3600"/>
            <w:tcMar>
              <w:top w:type="dxa" w:w="40"/>
              <w:left w:type="dxa" w:w="80"/>
              <w:bottom w:type="dxa" w:w="40"/>
              <w:right w:type="dxa" w:w="80"/>
            </w:tcMar>
          </w:tcPr>
          <w:p>
            <w:r>
              <w:rPr>
                <w:b/>
                <w:bCs/>
                <w:sz w:val="18"/>
                <w:szCs w:val="18"/>
              </w:rPr>
              <w:t xml:space="preserve">SOTP equity value</w:t>
            </w:r>
          </w:p>
        </w:tc>
        <w:tc>
          <w:tcPr>
            <w:tcW w:type="dxa" w:w="3760"/>
            <w:tcMar>
              <w:top w:type="dxa" w:w="40"/>
              <w:left w:type="dxa" w:w="80"/>
              <w:bottom w:type="dxa" w:w="40"/>
              <w:right w:type="dxa" w:w="80"/>
            </w:tcMar>
          </w:tcPr>
          <w:p>
            <w:r>
              <w:rPr>
                <w:b w:val="false"/>
                <w:bCs w:val="false"/>
                <w:sz w:val="18"/>
                <w:szCs w:val="18"/>
              </w:rPr>
              <w:t xml:space="preserve">= EGP 118 / share</w:t>
            </w:r>
          </w:p>
        </w:tc>
        <w:tc>
          <w:tcPr>
            <w:tcW w:type="dxa" w:w="2000"/>
            <w:tcMar>
              <w:top w:type="dxa" w:w="40"/>
              <w:left w:type="dxa" w:w="80"/>
              <w:bottom w:type="dxa" w:w="40"/>
              <w:right w:type="dxa" w:w="80"/>
            </w:tcMar>
          </w:tcPr>
          <w:p>
            <w:r>
              <w:rPr>
                <w:b w:val="false"/>
                <w:bCs w:val="false"/>
                <w:sz w:val="18"/>
                <w:szCs w:val="18"/>
              </w:rPr>
              <w:t xml:space="preserve">201.7</w:t>
            </w:r>
          </w:p>
        </w:tc>
      </w:tr>
    </w:tbl>
    <w:p>
      <w:pPr>
        <w:spacing w:after="120"/>
      </w:pPr>
    </w:p>
    <w:p>
      <w:pPr>
        <w:spacing w:after="140"/>
      </w:pPr>
      <w:r>
        <w:rPr>
          <w:b/>
          <w:bCs/>
        </w:rPr>
        <w:t xml:space="preserve">SOTP base ≈ EGP 118/share</w:t>
      </w:r>
      <w:r>
        <w:t xml:space="preserve">, with a bear–bull span of EGP 83–158 driven mainly by the VFE mark and the discount (see §1.9). The pre-discount NAV of EGP 139.0 says the market is paying EGP 92.6 for EGP 139.0 of marked assets — a ~33% implied discount, more than double our assumed 15%, which is the crux of the bull case.</w:t>
      </w:r>
    </w:p>
    <w:p>
      <w:pPr>
        <w:pStyle w:val="Heading2"/>
        <w:spacing w:after="110" w:before="220"/>
      </w:pPr>
      <w:r>
        <w:t xml:space="preserve">1.2  Core-FCFF DCF + the stake — the cash-flow cross-check</w:t>
      </w:r>
    </w:p>
    <w:p>
      <w:pPr>
        <w:spacing w:after="140"/>
      </w:pPr>
      <w:r>
        <w:t xml:space="preserve">A discounted-cash-flow build on the core operations is the natural check on the asset sum, because it shares almost no inputs with the multiple-based marks. </w:t>
      </w:r>
      <w:r>
        <w:rPr>
          <w:b/>
          <w:bCs/>
        </w:rPr>
        <w:t xml:space="preserve">The free cash flow is derived, year by year, from the forecast statements in Appendix A</w:t>
      </w:r>
      <w:r>
        <w:t xml:space="preserve"> — EBITDA less D&amp;A gives EBIT; a 22.5% cash tax gives NOPAT; D&amp;A is added back; in-service capex (the maintainable basis — the 5G licence is treated as a sunk one-off, a flagged judgment; the cash-flow statement still carries full cash capex) and working-capital build (5% of incremental revenue) are deducted. The resulting FCFF path of EGP 18.5bn rising to 27.9bn sits deliberately below the company's own FY25 print of 21.1bn on its broader definition, and squarely inside management's FY26 guide of FCFF/EBITDA in the mid-thirties. Cash flows are discounted at a 23% EGP-nominal WACC against 11% nominal terminal growth (roughly 8–10% long-run inflation plus ~2% real): a 12-point spread that keeps the terminal multiple honest at ~5.4× EBITDA. The full five-year build:</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160"/>
        <w:gridCol w:w="1240"/>
        <w:gridCol w:w="1240"/>
        <w:gridCol w:w="1240"/>
        <w:gridCol w:w="1240"/>
        <w:gridCol w:w="1240"/>
      </w:tblGrid>
      <w:tr>
        <w:tc>
          <w:tcPr>
            <w:tcW w:type="dxa" w:w="3160"/>
            <w:shd w:fill="1B5E5E" w:val="clear"/>
            <w:tcMar>
              <w:top w:type="dxa" w:w="40"/>
              <w:left w:type="dxa" w:w="80"/>
              <w:bottom w:type="dxa" w:w="40"/>
              <w:right w:type="dxa" w:w="80"/>
            </w:tcMar>
          </w:tcPr>
          <w:p>
            <w:r>
              <w:rPr>
                <w:b/>
                <w:bCs/>
                <w:color w:val="FFFFFF"/>
                <w:sz w:val="18"/>
                <w:szCs w:val="18"/>
              </w:rPr>
              <w:t xml:space="preserve">Core DCF build (EGP bn)</w:t>
            </w:r>
          </w:p>
        </w:tc>
        <w:tc>
          <w:tcPr>
            <w:tcW w:type="dxa" w:w="1240"/>
            <w:shd w:fill="1B5E5E" w:val="clear"/>
            <w:tcMar>
              <w:top w:type="dxa" w:w="40"/>
              <w:left w:type="dxa" w:w="80"/>
              <w:bottom w:type="dxa" w:w="40"/>
              <w:right w:type="dxa" w:w="80"/>
            </w:tcMar>
          </w:tcPr>
          <w:p>
            <w:r>
              <w:rPr>
                <w:b/>
                <w:bCs/>
                <w:color w:val="FFFFFF"/>
                <w:sz w:val="18"/>
                <w:szCs w:val="18"/>
              </w:rPr>
              <w:t xml:space="preserve">FY26E</w:t>
            </w:r>
          </w:p>
        </w:tc>
        <w:tc>
          <w:tcPr>
            <w:tcW w:type="dxa" w:w="1240"/>
            <w:shd w:fill="1B5E5E" w:val="clear"/>
            <w:tcMar>
              <w:top w:type="dxa" w:w="40"/>
              <w:left w:type="dxa" w:w="80"/>
              <w:bottom w:type="dxa" w:w="40"/>
              <w:right w:type="dxa" w:w="80"/>
            </w:tcMar>
          </w:tcPr>
          <w:p>
            <w:r>
              <w:rPr>
                <w:b/>
                <w:bCs/>
                <w:color w:val="FFFFFF"/>
                <w:sz w:val="18"/>
                <w:szCs w:val="18"/>
              </w:rPr>
              <w:t xml:space="preserve">FY27E</w:t>
            </w:r>
          </w:p>
        </w:tc>
        <w:tc>
          <w:tcPr>
            <w:tcW w:type="dxa" w:w="1240"/>
            <w:shd w:fill="1B5E5E" w:val="clear"/>
            <w:tcMar>
              <w:top w:type="dxa" w:w="40"/>
              <w:left w:type="dxa" w:w="80"/>
              <w:bottom w:type="dxa" w:w="40"/>
              <w:right w:type="dxa" w:w="80"/>
            </w:tcMar>
          </w:tcPr>
          <w:p>
            <w:r>
              <w:rPr>
                <w:b/>
                <w:bCs/>
                <w:color w:val="FFFFFF"/>
                <w:sz w:val="18"/>
                <w:szCs w:val="18"/>
              </w:rPr>
              <w:t xml:space="preserve">FY28E</w:t>
            </w:r>
          </w:p>
        </w:tc>
        <w:tc>
          <w:tcPr>
            <w:tcW w:type="dxa" w:w="1240"/>
            <w:shd w:fill="1B5E5E" w:val="clear"/>
            <w:tcMar>
              <w:top w:type="dxa" w:w="40"/>
              <w:left w:type="dxa" w:w="80"/>
              <w:bottom w:type="dxa" w:w="40"/>
              <w:right w:type="dxa" w:w="80"/>
            </w:tcMar>
          </w:tcPr>
          <w:p>
            <w:r>
              <w:rPr>
                <w:b/>
                <w:bCs/>
                <w:color w:val="FFFFFF"/>
                <w:sz w:val="18"/>
                <w:szCs w:val="18"/>
              </w:rPr>
              <w:t xml:space="preserve">FY29E</w:t>
            </w:r>
          </w:p>
        </w:tc>
        <w:tc>
          <w:tcPr>
            <w:tcW w:type="dxa" w:w="1240"/>
            <w:shd w:fill="1B5E5E" w:val="clear"/>
            <w:tcMar>
              <w:top w:type="dxa" w:w="40"/>
              <w:left w:type="dxa" w:w="80"/>
              <w:bottom w:type="dxa" w:w="40"/>
              <w:right w:type="dxa" w:w="80"/>
            </w:tcMar>
          </w:tcPr>
          <w:p>
            <w:r>
              <w:rPr>
                <w:b/>
                <w:bCs/>
                <w:color w:val="FFFFFF"/>
                <w:sz w:val="18"/>
                <w:szCs w:val="18"/>
              </w:rPr>
              <w:t xml:space="preserve">FY30E</w:t>
            </w:r>
          </w:p>
        </w:tc>
      </w:tr>
      <w:tr>
        <w:tc>
          <w:tcPr>
            <w:tcW w:type="dxa" w:w="3160"/>
            <w:tcMar>
              <w:top w:type="dxa" w:w="40"/>
              <w:left w:type="dxa" w:w="80"/>
              <w:bottom w:type="dxa" w:w="40"/>
              <w:right w:type="dxa" w:w="80"/>
            </w:tcMar>
          </w:tcPr>
          <w:p>
            <w:r>
              <w:rPr>
                <w:b/>
                <w:bCs/>
                <w:sz w:val="18"/>
                <w:szCs w:val="18"/>
              </w:rPr>
              <w:t xml:space="preserve">Revenue</w:t>
            </w:r>
          </w:p>
        </w:tc>
        <w:tc>
          <w:tcPr>
            <w:tcW w:type="dxa" w:w="1240"/>
            <w:tcMar>
              <w:top w:type="dxa" w:w="40"/>
              <w:left w:type="dxa" w:w="80"/>
              <w:bottom w:type="dxa" w:w="40"/>
              <w:right w:type="dxa" w:w="80"/>
            </w:tcMar>
          </w:tcPr>
          <w:p>
            <w:r>
              <w:rPr>
                <w:b w:val="false"/>
                <w:bCs w:val="false"/>
                <w:sz w:val="18"/>
                <w:szCs w:val="18"/>
              </w:rPr>
              <w:t xml:space="preserve">119.5</w:t>
            </w:r>
          </w:p>
        </w:tc>
        <w:tc>
          <w:tcPr>
            <w:tcW w:type="dxa" w:w="1240"/>
            <w:tcMar>
              <w:top w:type="dxa" w:w="40"/>
              <w:left w:type="dxa" w:w="80"/>
              <w:bottom w:type="dxa" w:w="40"/>
              <w:right w:type="dxa" w:w="80"/>
            </w:tcMar>
          </w:tcPr>
          <w:p>
            <w:r>
              <w:rPr>
                <w:b w:val="false"/>
                <w:bCs w:val="false"/>
                <w:sz w:val="18"/>
                <w:szCs w:val="18"/>
              </w:rPr>
              <w:t xml:space="preserve">131.4</w:t>
            </w:r>
          </w:p>
        </w:tc>
        <w:tc>
          <w:tcPr>
            <w:tcW w:type="dxa" w:w="1240"/>
            <w:tcMar>
              <w:top w:type="dxa" w:w="40"/>
              <w:left w:type="dxa" w:w="80"/>
              <w:bottom w:type="dxa" w:w="40"/>
              <w:right w:type="dxa" w:w="80"/>
            </w:tcMar>
          </w:tcPr>
          <w:p>
            <w:r>
              <w:rPr>
                <w:b w:val="false"/>
                <w:bCs w:val="false"/>
                <w:sz w:val="18"/>
                <w:szCs w:val="18"/>
              </w:rPr>
              <w:t xml:space="preserve">143.3</w:t>
            </w:r>
          </w:p>
        </w:tc>
        <w:tc>
          <w:tcPr>
            <w:tcW w:type="dxa" w:w="1240"/>
            <w:tcMar>
              <w:top w:type="dxa" w:w="40"/>
              <w:left w:type="dxa" w:w="80"/>
              <w:bottom w:type="dxa" w:w="40"/>
              <w:right w:type="dxa" w:w="80"/>
            </w:tcMar>
          </w:tcPr>
          <w:p>
            <w:r>
              <w:rPr>
                <w:b w:val="false"/>
                <w:bCs w:val="false"/>
                <w:sz w:val="18"/>
                <w:szCs w:val="18"/>
              </w:rPr>
              <w:t xml:space="preserve">154.7</w:t>
            </w:r>
          </w:p>
        </w:tc>
        <w:tc>
          <w:tcPr>
            <w:tcW w:type="dxa" w:w="1240"/>
            <w:tcMar>
              <w:top w:type="dxa" w:w="40"/>
              <w:left w:type="dxa" w:w="80"/>
              <w:bottom w:type="dxa" w:w="40"/>
              <w:right w:type="dxa" w:w="80"/>
            </w:tcMar>
          </w:tcPr>
          <w:p>
            <w:r>
              <w:rPr>
                <w:b w:val="false"/>
                <w:bCs w:val="false"/>
                <w:sz w:val="18"/>
                <w:szCs w:val="18"/>
              </w:rPr>
              <w:t xml:space="preserve">165.6</w:t>
            </w:r>
          </w:p>
        </w:tc>
      </w:tr>
      <w:tr>
        <w:tc>
          <w:tcPr>
            <w:tcW w:type="dxa" w:w="3160"/>
            <w:tcMar>
              <w:top w:type="dxa" w:w="40"/>
              <w:left w:type="dxa" w:w="80"/>
              <w:bottom w:type="dxa" w:w="40"/>
              <w:right w:type="dxa" w:w="80"/>
            </w:tcMar>
          </w:tcPr>
          <w:p>
            <w:r>
              <w:rPr>
                <w:b/>
                <w:bCs/>
                <w:sz w:val="18"/>
                <w:szCs w:val="18"/>
              </w:rPr>
              <w:t xml:space="preserve">EBITDA</w:t>
            </w:r>
          </w:p>
        </w:tc>
        <w:tc>
          <w:tcPr>
            <w:tcW w:type="dxa" w:w="1240"/>
            <w:tcMar>
              <w:top w:type="dxa" w:w="40"/>
              <w:left w:type="dxa" w:w="80"/>
              <w:bottom w:type="dxa" w:w="40"/>
              <w:right w:type="dxa" w:w="80"/>
            </w:tcMar>
          </w:tcPr>
          <w:p>
            <w:r>
              <w:rPr>
                <w:b w:val="false"/>
                <w:bCs w:val="false"/>
                <w:sz w:val="18"/>
                <w:szCs w:val="18"/>
              </w:rPr>
              <w:t xml:space="preserve">52.6</w:t>
            </w:r>
          </w:p>
        </w:tc>
        <w:tc>
          <w:tcPr>
            <w:tcW w:type="dxa" w:w="1240"/>
            <w:tcMar>
              <w:top w:type="dxa" w:w="40"/>
              <w:left w:type="dxa" w:w="80"/>
              <w:bottom w:type="dxa" w:w="40"/>
              <w:right w:type="dxa" w:w="80"/>
            </w:tcMar>
          </w:tcPr>
          <w:p>
            <w:r>
              <w:rPr>
                <w:b w:val="false"/>
                <w:bCs w:val="false"/>
                <w:sz w:val="18"/>
                <w:szCs w:val="18"/>
              </w:rPr>
              <w:t xml:space="preserve">57.2</w:t>
            </w:r>
          </w:p>
        </w:tc>
        <w:tc>
          <w:tcPr>
            <w:tcW w:type="dxa" w:w="1240"/>
            <w:tcMar>
              <w:top w:type="dxa" w:w="40"/>
              <w:left w:type="dxa" w:w="80"/>
              <w:bottom w:type="dxa" w:w="40"/>
              <w:right w:type="dxa" w:w="80"/>
            </w:tcMar>
          </w:tcPr>
          <w:p>
            <w:r>
              <w:rPr>
                <w:b w:val="false"/>
                <w:bCs w:val="false"/>
                <w:sz w:val="18"/>
                <w:szCs w:val="18"/>
              </w:rPr>
              <w:t xml:space="preserve">61.6</w:t>
            </w:r>
          </w:p>
        </w:tc>
        <w:tc>
          <w:tcPr>
            <w:tcW w:type="dxa" w:w="1240"/>
            <w:tcMar>
              <w:top w:type="dxa" w:w="40"/>
              <w:left w:type="dxa" w:w="80"/>
              <w:bottom w:type="dxa" w:w="40"/>
              <w:right w:type="dxa" w:w="80"/>
            </w:tcMar>
          </w:tcPr>
          <w:p>
            <w:r>
              <w:rPr>
                <w:b w:val="false"/>
                <w:bCs w:val="false"/>
                <w:sz w:val="18"/>
                <w:szCs w:val="18"/>
              </w:rPr>
              <w:t xml:space="preserve">66.5</w:t>
            </w:r>
          </w:p>
        </w:tc>
        <w:tc>
          <w:tcPr>
            <w:tcW w:type="dxa" w:w="1240"/>
            <w:tcMar>
              <w:top w:type="dxa" w:w="40"/>
              <w:left w:type="dxa" w:w="80"/>
              <w:bottom w:type="dxa" w:w="40"/>
              <w:right w:type="dxa" w:w="80"/>
            </w:tcMar>
          </w:tcPr>
          <w:p>
            <w:r>
              <w:rPr>
                <w:b w:val="false"/>
                <w:bCs w:val="false"/>
                <w:sz w:val="18"/>
                <w:szCs w:val="18"/>
              </w:rPr>
              <w:t xml:space="preserve">71.2</w:t>
            </w:r>
          </w:p>
        </w:tc>
      </w:tr>
      <w:tr>
        <w:tc>
          <w:tcPr>
            <w:tcW w:type="dxa" w:w="3160"/>
            <w:tcMar>
              <w:top w:type="dxa" w:w="40"/>
              <w:left w:type="dxa" w:w="80"/>
              <w:bottom w:type="dxa" w:w="40"/>
              <w:right w:type="dxa" w:w="80"/>
            </w:tcMar>
          </w:tcPr>
          <w:p>
            <w:r>
              <w:rPr>
                <w:b/>
                <w:bCs/>
                <w:sz w:val="18"/>
                <w:szCs w:val="18"/>
              </w:rPr>
              <w:t xml:space="preserve">less: D&amp;A</w:t>
            </w:r>
          </w:p>
        </w:tc>
        <w:tc>
          <w:tcPr>
            <w:tcW w:type="dxa" w:w="1240"/>
            <w:tcMar>
              <w:top w:type="dxa" w:w="40"/>
              <w:left w:type="dxa" w:w="80"/>
              <w:bottom w:type="dxa" w:w="40"/>
              <w:right w:type="dxa" w:w="80"/>
            </w:tcMar>
          </w:tcPr>
          <w:p>
            <w:r>
              <w:rPr>
                <w:b w:val="false"/>
                <w:bCs w:val="false"/>
                <w:sz w:val="18"/>
                <w:szCs w:val="18"/>
              </w:rPr>
              <w:t xml:space="preserve">(15.7)</w:t>
            </w:r>
          </w:p>
        </w:tc>
        <w:tc>
          <w:tcPr>
            <w:tcW w:type="dxa" w:w="1240"/>
            <w:tcMar>
              <w:top w:type="dxa" w:w="40"/>
              <w:left w:type="dxa" w:w="80"/>
              <w:bottom w:type="dxa" w:w="40"/>
              <w:right w:type="dxa" w:w="80"/>
            </w:tcMar>
          </w:tcPr>
          <w:p>
            <w:r>
              <w:rPr>
                <w:b w:val="false"/>
                <w:bCs w:val="false"/>
                <w:sz w:val="18"/>
                <w:szCs w:val="18"/>
              </w:rPr>
              <w:t xml:space="preserve">(17.2)</w:t>
            </w:r>
          </w:p>
        </w:tc>
        <w:tc>
          <w:tcPr>
            <w:tcW w:type="dxa" w:w="1240"/>
            <w:tcMar>
              <w:top w:type="dxa" w:w="40"/>
              <w:left w:type="dxa" w:w="80"/>
              <w:bottom w:type="dxa" w:w="40"/>
              <w:right w:type="dxa" w:w="80"/>
            </w:tcMar>
          </w:tcPr>
          <w:p>
            <w:r>
              <w:rPr>
                <w:b w:val="false"/>
                <w:bCs w:val="false"/>
                <w:sz w:val="18"/>
                <w:szCs w:val="18"/>
              </w:rPr>
              <w:t xml:space="preserve">(18.6)</w:t>
            </w:r>
          </w:p>
        </w:tc>
        <w:tc>
          <w:tcPr>
            <w:tcW w:type="dxa" w:w="1240"/>
            <w:tcMar>
              <w:top w:type="dxa" w:w="40"/>
              <w:left w:type="dxa" w:w="80"/>
              <w:bottom w:type="dxa" w:w="40"/>
              <w:right w:type="dxa" w:w="80"/>
            </w:tcMar>
          </w:tcPr>
          <w:p>
            <w:r>
              <w:rPr>
                <w:b w:val="false"/>
                <w:bCs w:val="false"/>
                <w:sz w:val="18"/>
                <w:szCs w:val="18"/>
              </w:rPr>
              <w:t xml:space="preserve">(19.8)</w:t>
            </w:r>
          </w:p>
        </w:tc>
        <w:tc>
          <w:tcPr>
            <w:tcW w:type="dxa" w:w="1240"/>
            <w:tcMar>
              <w:top w:type="dxa" w:w="40"/>
              <w:left w:type="dxa" w:w="80"/>
              <w:bottom w:type="dxa" w:w="40"/>
              <w:right w:type="dxa" w:w="80"/>
            </w:tcMar>
          </w:tcPr>
          <w:p>
            <w:r>
              <w:rPr>
                <w:b w:val="false"/>
                <w:bCs w:val="false"/>
                <w:sz w:val="18"/>
                <w:szCs w:val="18"/>
              </w:rPr>
              <w:t xml:space="preserve">(21.0)</w:t>
            </w:r>
          </w:p>
        </w:tc>
      </w:tr>
      <w:tr>
        <w:tc>
          <w:tcPr>
            <w:tcW w:type="dxa" w:w="3160"/>
            <w:tcMar>
              <w:top w:type="dxa" w:w="40"/>
              <w:left w:type="dxa" w:w="80"/>
              <w:bottom w:type="dxa" w:w="40"/>
              <w:right w:type="dxa" w:w="80"/>
            </w:tcMar>
          </w:tcPr>
          <w:p>
            <w:r>
              <w:rPr>
                <w:b/>
                <w:bCs/>
                <w:sz w:val="18"/>
                <w:szCs w:val="18"/>
              </w:rPr>
              <w:t xml:space="preserve">EBIT</w:t>
            </w:r>
          </w:p>
        </w:tc>
        <w:tc>
          <w:tcPr>
            <w:tcW w:type="dxa" w:w="1240"/>
            <w:tcMar>
              <w:top w:type="dxa" w:w="40"/>
              <w:left w:type="dxa" w:w="80"/>
              <w:bottom w:type="dxa" w:w="40"/>
              <w:right w:type="dxa" w:w="80"/>
            </w:tcMar>
          </w:tcPr>
          <w:p>
            <w:r>
              <w:rPr>
                <w:b w:val="false"/>
                <w:bCs w:val="false"/>
                <w:sz w:val="18"/>
                <w:szCs w:val="18"/>
              </w:rPr>
              <w:t xml:space="preserve">36.9</w:t>
            </w:r>
          </w:p>
        </w:tc>
        <w:tc>
          <w:tcPr>
            <w:tcW w:type="dxa" w:w="1240"/>
            <w:tcMar>
              <w:top w:type="dxa" w:w="40"/>
              <w:left w:type="dxa" w:w="80"/>
              <w:bottom w:type="dxa" w:w="40"/>
              <w:right w:type="dxa" w:w="80"/>
            </w:tcMar>
          </w:tcPr>
          <w:p>
            <w:r>
              <w:rPr>
                <w:b w:val="false"/>
                <w:bCs w:val="false"/>
                <w:sz w:val="18"/>
                <w:szCs w:val="18"/>
              </w:rPr>
              <w:t xml:space="preserve">40.0</w:t>
            </w:r>
          </w:p>
        </w:tc>
        <w:tc>
          <w:tcPr>
            <w:tcW w:type="dxa" w:w="1240"/>
            <w:tcMar>
              <w:top w:type="dxa" w:w="40"/>
              <w:left w:type="dxa" w:w="80"/>
              <w:bottom w:type="dxa" w:w="40"/>
              <w:right w:type="dxa" w:w="80"/>
            </w:tcMar>
          </w:tcPr>
          <w:p>
            <w:r>
              <w:rPr>
                <w:b w:val="false"/>
                <w:bCs w:val="false"/>
                <w:sz w:val="18"/>
                <w:szCs w:val="18"/>
              </w:rPr>
              <w:t xml:space="preserve">43.0</w:t>
            </w:r>
          </w:p>
        </w:tc>
        <w:tc>
          <w:tcPr>
            <w:tcW w:type="dxa" w:w="1240"/>
            <w:tcMar>
              <w:top w:type="dxa" w:w="40"/>
              <w:left w:type="dxa" w:w="80"/>
              <w:bottom w:type="dxa" w:w="40"/>
              <w:right w:type="dxa" w:w="80"/>
            </w:tcMar>
          </w:tcPr>
          <w:p>
            <w:r>
              <w:rPr>
                <w:b w:val="false"/>
                <w:bCs w:val="false"/>
                <w:sz w:val="18"/>
                <w:szCs w:val="18"/>
              </w:rPr>
              <w:t xml:space="preserve">46.7</w:t>
            </w:r>
          </w:p>
        </w:tc>
        <w:tc>
          <w:tcPr>
            <w:tcW w:type="dxa" w:w="1240"/>
            <w:tcMar>
              <w:top w:type="dxa" w:w="40"/>
              <w:left w:type="dxa" w:w="80"/>
              <w:bottom w:type="dxa" w:w="40"/>
              <w:right w:type="dxa" w:w="80"/>
            </w:tcMar>
          </w:tcPr>
          <w:p>
            <w:r>
              <w:rPr>
                <w:b w:val="false"/>
                <w:bCs w:val="false"/>
                <w:sz w:val="18"/>
                <w:szCs w:val="18"/>
              </w:rPr>
              <w:t xml:space="preserve">50.2</w:t>
            </w:r>
          </w:p>
        </w:tc>
      </w:tr>
      <w:tr>
        <w:tc>
          <w:tcPr>
            <w:tcW w:type="dxa" w:w="3160"/>
            <w:tcMar>
              <w:top w:type="dxa" w:w="40"/>
              <w:left w:type="dxa" w:w="80"/>
              <w:bottom w:type="dxa" w:w="40"/>
              <w:right w:type="dxa" w:w="80"/>
            </w:tcMar>
          </w:tcPr>
          <w:p>
            <w:r>
              <w:rPr>
                <w:b/>
                <w:bCs/>
                <w:sz w:val="18"/>
                <w:szCs w:val="18"/>
              </w:rPr>
              <w:t xml:space="preserve">less: cash tax @ 22.5%</w:t>
            </w:r>
          </w:p>
        </w:tc>
        <w:tc>
          <w:tcPr>
            <w:tcW w:type="dxa" w:w="1240"/>
            <w:tcMar>
              <w:top w:type="dxa" w:w="40"/>
              <w:left w:type="dxa" w:w="80"/>
              <w:bottom w:type="dxa" w:w="40"/>
              <w:right w:type="dxa" w:w="80"/>
            </w:tcMar>
          </w:tcPr>
          <w:p>
            <w:r>
              <w:rPr>
                <w:b w:val="false"/>
                <w:bCs w:val="false"/>
                <w:sz w:val="18"/>
                <w:szCs w:val="18"/>
              </w:rPr>
              <w:t xml:space="preserve">(8.3)</w:t>
            </w:r>
          </w:p>
        </w:tc>
        <w:tc>
          <w:tcPr>
            <w:tcW w:type="dxa" w:w="1240"/>
            <w:tcMar>
              <w:top w:type="dxa" w:w="40"/>
              <w:left w:type="dxa" w:w="80"/>
              <w:bottom w:type="dxa" w:w="40"/>
              <w:right w:type="dxa" w:w="80"/>
            </w:tcMar>
          </w:tcPr>
          <w:p>
            <w:r>
              <w:rPr>
                <w:b w:val="false"/>
                <w:bCs w:val="false"/>
                <w:sz w:val="18"/>
                <w:szCs w:val="18"/>
              </w:rPr>
              <w:t xml:space="preserve">(9.0)</w:t>
            </w:r>
          </w:p>
        </w:tc>
        <w:tc>
          <w:tcPr>
            <w:tcW w:type="dxa" w:w="1240"/>
            <w:tcMar>
              <w:top w:type="dxa" w:w="40"/>
              <w:left w:type="dxa" w:w="80"/>
              <w:bottom w:type="dxa" w:w="40"/>
              <w:right w:type="dxa" w:w="80"/>
            </w:tcMar>
          </w:tcPr>
          <w:p>
            <w:r>
              <w:rPr>
                <w:b w:val="false"/>
                <w:bCs w:val="false"/>
                <w:sz w:val="18"/>
                <w:szCs w:val="18"/>
              </w:rPr>
              <w:t xml:space="preserve">(9.7)</w:t>
            </w:r>
          </w:p>
        </w:tc>
        <w:tc>
          <w:tcPr>
            <w:tcW w:type="dxa" w:w="1240"/>
            <w:tcMar>
              <w:top w:type="dxa" w:w="40"/>
              <w:left w:type="dxa" w:w="80"/>
              <w:bottom w:type="dxa" w:w="40"/>
              <w:right w:type="dxa" w:w="80"/>
            </w:tcMar>
          </w:tcPr>
          <w:p>
            <w:r>
              <w:rPr>
                <w:b w:val="false"/>
                <w:bCs w:val="false"/>
                <w:sz w:val="18"/>
                <w:szCs w:val="18"/>
              </w:rPr>
              <w:t xml:space="preserve">(10.5)</w:t>
            </w:r>
          </w:p>
        </w:tc>
        <w:tc>
          <w:tcPr>
            <w:tcW w:type="dxa" w:w="1240"/>
            <w:tcMar>
              <w:top w:type="dxa" w:w="40"/>
              <w:left w:type="dxa" w:w="80"/>
              <w:bottom w:type="dxa" w:w="40"/>
              <w:right w:type="dxa" w:w="80"/>
            </w:tcMar>
          </w:tcPr>
          <w:p>
            <w:r>
              <w:rPr>
                <w:b w:val="false"/>
                <w:bCs w:val="false"/>
                <w:sz w:val="18"/>
                <w:szCs w:val="18"/>
              </w:rPr>
              <w:t xml:space="preserve">(11.3)</w:t>
            </w:r>
          </w:p>
        </w:tc>
      </w:tr>
      <w:tr>
        <w:tc>
          <w:tcPr>
            <w:tcW w:type="dxa" w:w="3160"/>
            <w:tcMar>
              <w:top w:type="dxa" w:w="40"/>
              <w:left w:type="dxa" w:w="80"/>
              <w:bottom w:type="dxa" w:w="40"/>
              <w:right w:type="dxa" w:w="80"/>
            </w:tcMar>
          </w:tcPr>
          <w:p>
            <w:r>
              <w:rPr>
                <w:b/>
                <w:bCs/>
                <w:sz w:val="18"/>
                <w:szCs w:val="18"/>
              </w:rPr>
              <w:t xml:space="preserve">NOPAT</w:t>
            </w:r>
          </w:p>
        </w:tc>
        <w:tc>
          <w:tcPr>
            <w:tcW w:type="dxa" w:w="1240"/>
            <w:tcMar>
              <w:top w:type="dxa" w:w="40"/>
              <w:left w:type="dxa" w:w="80"/>
              <w:bottom w:type="dxa" w:w="40"/>
              <w:right w:type="dxa" w:w="80"/>
            </w:tcMar>
          </w:tcPr>
          <w:p>
            <w:r>
              <w:rPr>
                <w:b w:val="false"/>
                <w:bCs w:val="false"/>
                <w:sz w:val="18"/>
                <w:szCs w:val="18"/>
              </w:rPr>
              <w:t xml:space="preserve">28.6</w:t>
            </w:r>
          </w:p>
        </w:tc>
        <w:tc>
          <w:tcPr>
            <w:tcW w:type="dxa" w:w="1240"/>
            <w:tcMar>
              <w:top w:type="dxa" w:w="40"/>
              <w:left w:type="dxa" w:w="80"/>
              <w:bottom w:type="dxa" w:w="40"/>
              <w:right w:type="dxa" w:w="80"/>
            </w:tcMar>
          </w:tcPr>
          <w:p>
            <w:r>
              <w:rPr>
                <w:b w:val="false"/>
                <w:bCs w:val="false"/>
                <w:sz w:val="18"/>
                <w:szCs w:val="18"/>
              </w:rPr>
              <w:t xml:space="preserve">31.0</w:t>
            </w:r>
          </w:p>
        </w:tc>
        <w:tc>
          <w:tcPr>
            <w:tcW w:type="dxa" w:w="1240"/>
            <w:tcMar>
              <w:top w:type="dxa" w:w="40"/>
              <w:left w:type="dxa" w:w="80"/>
              <w:bottom w:type="dxa" w:w="40"/>
              <w:right w:type="dxa" w:w="80"/>
            </w:tcMar>
          </w:tcPr>
          <w:p>
            <w:r>
              <w:rPr>
                <w:b w:val="false"/>
                <w:bCs w:val="false"/>
                <w:sz w:val="18"/>
                <w:szCs w:val="18"/>
              </w:rPr>
              <w:t xml:space="preserve">33.3</w:t>
            </w:r>
          </w:p>
        </w:tc>
        <w:tc>
          <w:tcPr>
            <w:tcW w:type="dxa" w:w="1240"/>
            <w:tcMar>
              <w:top w:type="dxa" w:w="40"/>
              <w:left w:type="dxa" w:w="80"/>
              <w:bottom w:type="dxa" w:w="40"/>
              <w:right w:type="dxa" w:w="80"/>
            </w:tcMar>
          </w:tcPr>
          <w:p>
            <w:r>
              <w:rPr>
                <w:b w:val="false"/>
                <w:bCs w:val="false"/>
                <w:sz w:val="18"/>
                <w:szCs w:val="18"/>
              </w:rPr>
              <w:t xml:space="preserve">36.2</w:t>
            </w:r>
          </w:p>
        </w:tc>
        <w:tc>
          <w:tcPr>
            <w:tcW w:type="dxa" w:w="1240"/>
            <w:tcMar>
              <w:top w:type="dxa" w:w="40"/>
              <w:left w:type="dxa" w:w="80"/>
              <w:bottom w:type="dxa" w:w="40"/>
              <w:right w:type="dxa" w:w="80"/>
            </w:tcMar>
          </w:tcPr>
          <w:p>
            <w:r>
              <w:rPr>
                <w:b w:val="false"/>
                <w:bCs w:val="false"/>
                <w:sz w:val="18"/>
                <w:szCs w:val="18"/>
              </w:rPr>
              <w:t xml:space="preserve">38.9</w:t>
            </w:r>
          </w:p>
        </w:tc>
      </w:tr>
      <w:tr>
        <w:tc>
          <w:tcPr>
            <w:tcW w:type="dxa" w:w="3160"/>
            <w:tcMar>
              <w:top w:type="dxa" w:w="40"/>
              <w:left w:type="dxa" w:w="80"/>
              <w:bottom w:type="dxa" w:w="40"/>
              <w:right w:type="dxa" w:w="80"/>
            </w:tcMar>
          </w:tcPr>
          <w:p>
            <w:r>
              <w:rPr>
                <w:b/>
                <w:bCs/>
                <w:sz w:val="18"/>
                <w:szCs w:val="18"/>
              </w:rPr>
              <w:t xml:space="preserve">add: D&amp;A</w:t>
            </w:r>
          </w:p>
        </w:tc>
        <w:tc>
          <w:tcPr>
            <w:tcW w:type="dxa" w:w="1240"/>
            <w:tcMar>
              <w:top w:type="dxa" w:w="40"/>
              <w:left w:type="dxa" w:w="80"/>
              <w:bottom w:type="dxa" w:w="40"/>
              <w:right w:type="dxa" w:w="80"/>
            </w:tcMar>
          </w:tcPr>
          <w:p>
            <w:r>
              <w:rPr>
                <w:b w:val="false"/>
                <w:bCs w:val="false"/>
                <w:sz w:val="18"/>
                <w:szCs w:val="18"/>
              </w:rPr>
              <w:t xml:space="preserve">15.7</w:t>
            </w:r>
          </w:p>
        </w:tc>
        <w:tc>
          <w:tcPr>
            <w:tcW w:type="dxa" w:w="1240"/>
            <w:tcMar>
              <w:top w:type="dxa" w:w="40"/>
              <w:left w:type="dxa" w:w="80"/>
              <w:bottom w:type="dxa" w:w="40"/>
              <w:right w:type="dxa" w:w="80"/>
            </w:tcMar>
          </w:tcPr>
          <w:p>
            <w:r>
              <w:rPr>
                <w:b w:val="false"/>
                <w:bCs w:val="false"/>
                <w:sz w:val="18"/>
                <w:szCs w:val="18"/>
              </w:rPr>
              <w:t xml:space="preserve">17.2</w:t>
            </w:r>
          </w:p>
        </w:tc>
        <w:tc>
          <w:tcPr>
            <w:tcW w:type="dxa" w:w="1240"/>
            <w:tcMar>
              <w:top w:type="dxa" w:w="40"/>
              <w:left w:type="dxa" w:w="80"/>
              <w:bottom w:type="dxa" w:w="40"/>
              <w:right w:type="dxa" w:w="80"/>
            </w:tcMar>
          </w:tcPr>
          <w:p>
            <w:r>
              <w:rPr>
                <w:b w:val="false"/>
                <w:bCs w:val="false"/>
                <w:sz w:val="18"/>
                <w:szCs w:val="18"/>
              </w:rPr>
              <w:t xml:space="preserve">18.6</w:t>
            </w:r>
          </w:p>
        </w:tc>
        <w:tc>
          <w:tcPr>
            <w:tcW w:type="dxa" w:w="1240"/>
            <w:tcMar>
              <w:top w:type="dxa" w:w="40"/>
              <w:left w:type="dxa" w:w="80"/>
              <w:bottom w:type="dxa" w:w="40"/>
              <w:right w:type="dxa" w:w="80"/>
            </w:tcMar>
          </w:tcPr>
          <w:p>
            <w:r>
              <w:rPr>
                <w:b w:val="false"/>
                <w:bCs w:val="false"/>
                <w:sz w:val="18"/>
                <w:szCs w:val="18"/>
              </w:rPr>
              <w:t xml:space="preserve">19.8</w:t>
            </w:r>
          </w:p>
        </w:tc>
        <w:tc>
          <w:tcPr>
            <w:tcW w:type="dxa" w:w="1240"/>
            <w:tcMar>
              <w:top w:type="dxa" w:w="40"/>
              <w:left w:type="dxa" w:w="80"/>
              <w:bottom w:type="dxa" w:w="40"/>
              <w:right w:type="dxa" w:w="80"/>
            </w:tcMar>
          </w:tcPr>
          <w:p>
            <w:r>
              <w:rPr>
                <w:b w:val="false"/>
                <w:bCs w:val="false"/>
                <w:sz w:val="18"/>
                <w:szCs w:val="18"/>
              </w:rPr>
              <w:t xml:space="preserve">21.0</w:t>
            </w:r>
          </w:p>
        </w:tc>
      </w:tr>
      <w:tr>
        <w:tc>
          <w:tcPr>
            <w:tcW w:type="dxa" w:w="3160"/>
            <w:tcMar>
              <w:top w:type="dxa" w:w="40"/>
              <w:left w:type="dxa" w:w="80"/>
              <w:bottom w:type="dxa" w:w="40"/>
              <w:right w:type="dxa" w:w="80"/>
            </w:tcMar>
          </w:tcPr>
          <w:p>
            <w:r>
              <w:rPr>
                <w:b/>
                <w:bCs/>
                <w:sz w:val="18"/>
                <w:szCs w:val="18"/>
              </w:rPr>
              <w:t xml:space="preserve">less: in-service capex (21%→19% of rev.)</w:t>
            </w:r>
          </w:p>
        </w:tc>
        <w:tc>
          <w:tcPr>
            <w:tcW w:type="dxa" w:w="1240"/>
            <w:tcMar>
              <w:top w:type="dxa" w:w="40"/>
              <w:left w:type="dxa" w:w="80"/>
              <w:bottom w:type="dxa" w:w="40"/>
              <w:right w:type="dxa" w:w="80"/>
            </w:tcMar>
          </w:tcPr>
          <w:p>
            <w:r>
              <w:rPr>
                <w:b w:val="false"/>
                <w:bCs w:val="false"/>
                <w:sz w:val="18"/>
                <w:szCs w:val="18"/>
              </w:rPr>
              <w:t xml:space="preserve">(25.1)</w:t>
            </w:r>
          </w:p>
        </w:tc>
        <w:tc>
          <w:tcPr>
            <w:tcW w:type="dxa" w:w="1240"/>
            <w:tcMar>
              <w:top w:type="dxa" w:w="40"/>
              <w:left w:type="dxa" w:w="80"/>
              <w:bottom w:type="dxa" w:w="40"/>
              <w:right w:type="dxa" w:w="80"/>
            </w:tcMar>
          </w:tcPr>
          <w:p>
            <w:r>
              <w:rPr>
                <w:b w:val="false"/>
                <w:bCs w:val="false"/>
                <w:sz w:val="18"/>
                <w:szCs w:val="18"/>
              </w:rPr>
              <w:t xml:space="preserve">(26.9)</w:t>
            </w:r>
          </w:p>
        </w:tc>
        <w:tc>
          <w:tcPr>
            <w:tcW w:type="dxa" w:w="1240"/>
            <w:tcMar>
              <w:top w:type="dxa" w:w="40"/>
              <w:left w:type="dxa" w:w="80"/>
              <w:bottom w:type="dxa" w:w="40"/>
              <w:right w:type="dxa" w:w="80"/>
            </w:tcMar>
          </w:tcPr>
          <w:p>
            <w:r>
              <w:rPr>
                <w:b w:val="false"/>
                <w:bCs w:val="false"/>
                <w:sz w:val="18"/>
                <w:szCs w:val="18"/>
              </w:rPr>
              <w:t xml:space="preserve">(28.7)</w:t>
            </w:r>
          </w:p>
        </w:tc>
        <w:tc>
          <w:tcPr>
            <w:tcW w:type="dxa" w:w="1240"/>
            <w:tcMar>
              <w:top w:type="dxa" w:w="40"/>
              <w:left w:type="dxa" w:w="80"/>
              <w:bottom w:type="dxa" w:w="40"/>
              <w:right w:type="dxa" w:w="80"/>
            </w:tcMar>
          </w:tcPr>
          <w:p>
            <w:r>
              <w:rPr>
                <w:b w:val="false"/>
                <w:bCs w:val="false"/>
                <w:sz w:val="18"/>
                <w:szCs w:val="18"/>
              </w:rPr>
              <w:t xml:space="preserve">(30.2)</w:t>
            </w:r>
          </w:p>
        </w:tc>
        <w:tc>
          <w:tcPr>
            <w:tcW w:type="dxa" w:w="1240"/>
            <w:tcMar>
              <w:top w:type="dxa" w:w="40"/>
              <w:left w:type="dxa" w:w="80"/>
              <w:bottom w:type="dxa" w:w="40"/>
              <w:right w:type="dxa" w:w="80"/>
            </w:tcMar>
          </w:tcPr>
          <w:p>
            <w:r>
              <w:rPr>
                <w:b w:val="false"/>
                <w:bCs w:val="false"/>
                <w:sz w:val="18"/>
                <w:szCs w:val="18"/>
              </w:rPr>
              <w:t xml:space="preserve">(31.5)</w:t>
            </w:r>
          </w:p>
        </w:tc>
      </w:tr>
      <w:tr>
        <w:tc>
          <w:tcPr>
            <w:tcW w:type="dxa" w:w="3160"/>
            <w:tcMar>
              <w:top w:type="dxa" w:w="40"/>
              <w:left w:type="dxa" w:w="80"/>
              <w:bottom w:type="dxa" w:w="40"/>
              <w:right w:type="dxa" w:w="80"/>
            </w:tcMar>
          </w:tcPr>
          <w:p>
            <w:r>
              <w:rPr>
                <w:b/>
                <w:bCs/>
                <w:sz w:val="18"/>
                <w:szCs w:val="18"/>
              </w:rPr>
              <w:t xml:space="preserve">less: ΔWC (5% of Δrevenue)</w:t>
            </w:r>
          </w:p>
        </w:tc>
        <w:tc>
          <w:tcPr>
            <w:tcW w:type="dxa" w:w="1240"/>
            <w:tcMar>
              <w:top w:type="dxa" w:w="40"/>
              <w:left w:type="dxa" w:w="80"/>
              <w:bottom w:type="dxa" w:w="40"/>
              <w:right w:type="dxa" w:w="80"/>
            </w:tcMar>
          </w:tcPr>
          <w:p>
            <w:r>
              <w:rPr>
                <w:b w:val="false"/>
                <w:bCs w:val="false"/>
                <w:sz w:val="18"/>
                <w:szCs w:val="18"/>
              </w:rPr>
              <w:t xml:space="preserve">(0.6)</w:t>
            </w:r>
          </w:p>
        </w:tc>
        <w:tc>
          <w:tcPr>
            <w:tcW w:type="dxa" w:w="1240"/>
            <w:tcMar>
              <w:top w:type="dxa" w:w="40"/>
              <w:left w:type="dxa" w:w="80"/>
              <w:bottom w:type="dxa" w:w="40"/>
              <w:right w:type="dxa" w:w="80"/>
            </w:tcMar>
          </w:tcPr>
          <w:p>
            <w:r>
              <w:rPr>
                <w:b w:val="false"/>
                <w:bCs w:val="false"/>
                <w:sz w:val="18"/>
                <w:szCs w:val="18"/>
              </w:rPr>
              <w:t xml:space="preserve">(0.6)</w:t>
            </w:r>
          </w:p>
        </w:tc>
        <w:tc>
          <w:tcPr>
            <w:tcW w:type="dxa" w:w="1240"/>
            <w:tcMar>
              <w:top w:type="dxa" w:w="40"/>
              <w:left w:type="dxa" w:w="80"/>
              <w:bottom w:type="dxa" w:w="40"/>
              <w:right w:type="dxa" w:w="80"/>
            </w:tcMar>
          </w:tcPr>
          <w:p>
            <w:r>
              <w:rPr>
                <w:b w:val="false"/>
                <w:bCs w:val="false"/>
                <w:sz w:val="18"/>
                <w:szCs w:val="18"/>
              </w:rPr>
              <w:t xml:space="preserve">(0.6)</w:t>
            </w:r>
          </w:p>
        </w:tc>
        <w:tc>
          <w:tcPr>
            <w:tcW w:type="dxa" w:w="1240"/>
            <w:tcMar>
              <w:top w:type="dxa" w:w="40"/>
              <w:left w:type="dxa" w:w="80"/>
              <w:bottom w:type="dxa" w:w="40"/>
              <w:right w:type="dxa" w:w="80"/>
            </w:tcMar>
          </w:tcPr>
          <w:p>
            <w:r>
              <w:rPr>
                <w:b w:val="false"/>
                <w:bCs w:val="false"/>
                <w:sz w:val="18"/>
                <w:szCs w:val="18"/>
              </w:rPr>
              <w:t xml:space="preserve">(0.6)</w:t>
            </w:r>
          </w:p>
        </w:tc>
        <w:tc>
          <w:tcPr>
            <w:tcW w:type="dxa" w:w="1240"/>
            <w:tcMar>
              <w:top w:type="dxa" w:w="40"/>
              <w:left w:type="dxa" w:w="80"/>
              <w:bottom w:type="dxa" w:w="40"/>
              <w:right w:type="dxa" w:w="80"/>
            </w:tcMar>
          </w:tcPr>
          <w:p>
            <w:r>
              <w:rPr>
                <w:b w:val="false"/>
                <w:bCs w:val="false"/>
                <w:sz w:val="18"/>
                <w:szCs w:val="18"/>
              </w:rPr>
              <w:t xml:space="preserve">(0.5)</w:t>
            </w:r>
          </w:p>
        </w:tc>
      </w:tr>
      <w:tr>
        <w:tc>
          <w:tcPr>
            <w:tcW w:type="dxa" w:w="3160"/>
            <w:tcMar>
              <w:top w:type="dxa" w:w="40"/>
              <w:left w:type="dxa" w:w="80"/>
              <w:bottom w:type="dxa" w:w="40"/>
              <w:right w:type="dxa" w:w="80"/>
            </w:tcMar>
          </w:tcPr>
          <w:p>
            <w:r>
              <w:rPr>
                <w:b/>
                <w:bCs/>
                <w:sz w:val="18"/>
                <w:szCs w:val="18"/>
              </w:rPr>
              <w:t xml:space="preserve">Core FCFF (built)</w:t>
            </w:r>
          </w:p>
        </w:tc>
        <w:tc>
          <w:tcPr>
            <w:tcW w:type="dxa" w:w="1240"/>
            <w:tcMar>
              <w:top w:type="dxa" w:w="40"/>
              <w:left w:type="dxa" w:w="80"/>
              <w:bottom w:type="dxa" w:w="40"/>
              <w:right w:type="dxa" w:w="80"/>
            </w:tcMar>
          </w:tcPr>
          <w:p>
            <w:r>
              <w:rPr>
                <w:b w:val="false"/>
                <w:bCs w:val="false"/>
                <w:sz w:val="18"/>
                <w:szCs w:val="18"/>
              </w:rPr>
              <w:t xml:space="preserve">18.5</w:t>
            </w:r>
          </w:p>
        </w:tc>
        <w:tc>
          <w:tcPr>
            <w:tcW w:type="dxa" w:w="1240"/>
            <w:tcMar>
              <w:top w:type="dxa" w:w="40"/>
              <w:left w:type="dxa" w:w="80"/>
              <w:bottom w:type="dxa" w:w="40"/>
              <w:right w:type="dxa" w:w="80"/>
            </w:tcMar>
          </w:tcPr>
          <w:p>
            <w:r>
              <w:rPr>
                <w:b w:val="false"/>
                <w:bCs w:val="false"/>
                <w:sz w:val="18"/>
                <w:szCs w:val="18"/>
              </w:rPr>
              <w:t xml:space="preserve">20.6</w:t>
            </w:r>
          </w:p>
        </w:tc>
        <w:tc>
          <w:tcPr>
            <w:tcW w:type="dxa" w:w="1240"/>
            <w:tcMar>
              <w:top w:type="dxa" w:w="40"/>
              <w:left w:type="dxa" w:w="80"/>
              <w:bottom w:type="dxa" w:w="40"/>
              <w:right w:type="dxa" w:w="80"/>
            </w:tcMar>
          </w:tcPr>
          <w:p>
            <w:r>
              <w:rPr>
                <w:b w:val="false"/>
                <w:bCs w:val="false"/>
                <w:sz w:val="18"/>
                <w:szCs w:val="18"/>
              </w:rPr>
              <w:t xml:space="preserve">22.7</w:t>
            </w:r>
          </w:p>
        </w:tc>
        <w:tc>
          <w:tcPr>
            <w:tcW w:type="dxa" w:w="1240"/>
            <w:tcMar>
              <w:top w:type="dxa" w:w="40"/>
              <w:left w:type="dxa" w:w="80"/>
              <w:bottom w:type="dxa" w:w="40"/>
              <w:right w:type="dxa" w:w="80"/>
            </w:tcMar>
          </w:tcPr>
          <w:p>
            <w:r>
              <w:rPr>
                <w:b w:val="false"/>
                <w:bCs w:val="false"/>
                <w:sz w:val="18"/>
                <w:szCs w:val="18"/>
              </w:rPr>
              <w:t xml:space="preserve">25.3</w:t>
            </w:r>
          </w:p>
        </w:tc>
        <w:tc>
          <w:tcPr>
            <w:tcW w:type="dxa" w:w="1240"/>
            <w:tcMar>
              <w:top w:type="dxa" w:w="40"/>
              <w:left w:type="dxa" w:w="80"/>
              <w:bottom w:type="dxa" w:w="40"/>
              <w:right w:type="dxa" w:w="80"/>
            </w:tcMar>
          </w:tcPr>
          <w:p>
            <w:r>
              <w:rPr>
                <w:b w:val="false"/>
                <w:bCs w:val="false"/>
                <w:sz w:val="18"/>
                <w:szCs w:val="18"/>
              </w:rPr>
              <w:t xml:space="preserve">27.9</w:t>
            </w:r>
          </w:p>
        </w:tc>
      </w:tr>
      <w:tr>
        <w:tc>
          <w:tcPr>
            <w:tcW w:type="dxa" w:w="3160"/>
            <w:tcMar>
              <w:top w:type="dxa" w:w="40"/>
              <w:left w:type="dxa" w:w="80"/>
              <w:bottom w:type="dxa" w:w="40"/>
              <w:right w:type="dxa" w:w="80"/>
            </w:tcMar>
          </w:tcPr>
          <w:p>
            <w:r>
              <w:rPr>
                <w:b/>
                <w:bCs/>
                <w:sz w:val="18"/>
                <w:szCs w:val="18"/>
              </w:rPr>
              <w:t xml:space="preserve">Discount factor @ 23% WACC</w:t>
            </w:r>
          </w:p>
        </w:tc>
        <w:tc>
          <w:tcPr>
            <w:tcW w:type="dxa" w:w="1240"/>
            <w:tcMar>
              <w:top w:type="dxa" w:w="40"/>
              <w:left w:type="dxa" w:w="80"/>
              <w:bottom w:type="dxa" w:w="40"/>
              <w:right w:type="dxa" w:w="80"/>
            </w:tcMar>
          </w:tcPr>
          <w:p>
            <w:r>
              <w:rPr>
                <w:b w:val="false"/>
                <w:bCs w:val="false"/>
                <w:sz w:val="18"/>
                <w:szCs w:val="18"/>
              </w:rPr>
              <w:t xml:space="preserve">0.813</w:t>
            </w:r>
          </w:p>
        </w:tc>
        <w:tc>
          <w:tcPr>
            <w:tcW w:type="dxa" w:w="1240"/>
            <w:tcMar>
              <w:top w:type="dxa" w:w="40"/>
              <w:left w:type="dxa" w:w="80"/>
              <w:bottom w:type="dxa" w:w="40"/>
              <w:right w:type="dxa" w:w="80"/>
            </w:tcMar>
          </w:tcPr>
          <w:p>
            <w:r>
              <w:rPr>
                <w:b w:val="false"/>
                <w:bCs w:val="false"/>
                <w:sz w:val="18"/>
                <w:szCs w:val="18"/>
              </w:rPr>
              <w:t xml:space="preserve">0.661</w:t>
            </w:r>
          </w:p>
        </w:tc>
        <w:tc>
          <w:tcPr>
            <w:tcW w:type="dxa" w:w="1240"/>
            <w:tcMar>
              <w:top w:type="dxa" w:w="40"/>
              <w:left w:type="dxa" w:w="80"/>
              <w:bottom w:type="dxa" w:w="40"/>
              <w:right w:type="dxa" w:w="80"/>
            </w:tcMar>
          </w:tcPr>
          <w:p>
            <w:r>
              <w:rPr>
                <w:b w:val="false"/>
                <w:bCs w:val="false"/>
                <w:sz w:val="18"/>
                <w:szCs w:val="18"/>
              </w:rPr>
              <w:t xml:space="preserve">0.537</w:t>
            </w:r>
          </w:p>
        </w:tc>
        <w:tc>
          <w:tcPr>
            <w:tcW w:type="dxa" w:w="1240"/>
            <w:tcMar>
              <w:top w:type="dxa" w:w="40"/>
              <w:left w:type="dxa" w:w="80"/>
              <w:bottom w:type="dxa" w:w="40"/>
              <w:right w:type="dxa" w:w="80"/>
            </w:tcMar>
          </w:tcPr>
          <w:p>
            <w:r>
              <w:rPr>
                <w:b w:val="false"/>
                <w:bCs w:val="false"/>
                <w:sz w:val="18"/>
                <w:szCs w:val="18"/>
              </w:rPr>
              <w:t xml:space="preserve">0.437</w:t>
            </w:r>
          </w:p>
        </w:tc>
        <w:tc>
          <w:tcPr>
            <w:tcW w:type="dxa" w:w="1240"/>
            <w:tcMar>
              <w:top w:type="dxa" w:w="40"/>
              <w:left w:type="dxa" w:w="80"/>
              <w:bottom w:type="dxa" w:w="40"/>
              <w:right w:type="dxa" w:w="80"/>
            </w:tcMar>
          </w:tcPr>
          <w:p>
            <w:r>
              <w:rPr>
                <w:b w:val="false"/>
                <w:bCs w:val="false"/>
                <w:sz w:val="18"/>
                <w:szCs w:val="18"/>
              </w:rPr>
              <w:t xml:space="preserve">0.355</w:t>
            </w:r>
          </w:p>
        </w:tc>
      </w:tr>
      <w:tr>
        <w:tc>
          <w:tcPr>
            <w:tcW w:type="dxa" w:w="3160"/>
            <w:tcMar>
              <w:top w:type="dxa" w:w="40"/>
              <w:left w:type="dxa" w:w="80"/>
              <w:bottom w:type="dxa" w:w="40"/>
              <w:right w:type="dxa" w:w="80"/>
            </w:tcMar>
          </w:tcPr>
          <w:p>
            <w:r>
              <w:rPr>
                <w:b/>
                <w:bCs/>
                <w:sz w:val="18"/>
                <w:szCs w:val="18"/>
              </w:rPr>
              <w:t xml:space="preserve">PV of FCFF</w:t>
            </w:r>
          </w:p>
        </w:tc>
        <w:tc>
          <w:tcPr>
            <w:tcW w:type="dxa" w:w="1240"/>
            <w:tcMar>
              <w:top w:type="dxa" w:w="40"/>
              <w:left w:type="dxa" w:w="80"/>
              <w:bottom w:type="dxa" w:w="40"/>
              <w:right w:type="dxa" w:w="80"/>
            </w:tcMar>
          </w:tcPr>
          <w:p>
            <w:r>
              <w:rPr>
                <w:b w:val="false"/>
                <w:bCs w:val="false"/>
                <w:sz w:val="18"/>
                <w:szCs w:val="18"/>
              </w:rPr>
              <w:t xml:space="preserve">15.1</w:t>
            </w:r>
          </w:p>
        </w:tc>
        <w:tc>
          <w:tcPr>
            <w:tcW w:type="dxa" w:w="1240"/>
            <w:tcMar>
              <w:top w:type="dxa" w:w="40"/>
              <w:left w:type="dxa" w:w="80"/>
              <w:bottom w:type="dxa" w:w="40"/>
              <w:right w:type="dxa" w:w="80"/>
            </w:tcMar>
          </w:tcPr>
          <w:p>
            <w:r>
              <w:rPr>
                <w:b w:val="false"/>
                <w:bCs w:val="false"/>
                <w:sz w:val="18"/>
                <w:szCs w:val="18"/>
              </w:rPr>
              <w:t xml:space="preserve">13.6</w:t>
            </w:r>
          </w:p>
        </w:tc>
        <w:tc>
          <w:tcPr>
            <w:tcW w:type="dxa" w:w="1240"/>
            <w:tcMar>
              <w:top w:type="dxa" w:w="40"/>
              <w:left w:type="dxa" w:w="80"/>
              <w:bottom w:type="dxa" w:w="40"/>
              <w:right w:type="dxa" w:w="80"/>
            </w:tcMar>
          </w:tcPr>
          <w:p>
            <w:r>
              <w:rPr>
                <w:b w:val="false"/>
                <w:bCs w:val="false"/>
                <w:sz w:val="18"/>
                <w:szCs w:val="18"/>
              </w:rPr>
              <w:t xml:space="preserve">12.2</w:t>
            </w:r>
          </w:p>
        </w:tc>
        <w:tc>
          <w:tcPr>
            <w:tcW w:type="dxa" w:w="1240"/>
            <w:tcMar>
              <w:top w:type="dxa" w:w="40"/>
              <w:left w:type="dxa" w:w="80"/>
              <w:bottom w:type="dxa" w:w="40"/>
              <w:right w:type="dxa" w:w="80"/>
            </w:tcMar>
          </w:tcPr>
          <w:p>
            <w:r>
              <w:rPr>
                <w:b w:val="false"/>
                <w:bCs w:val="false"/>
                <w:sz w:val="18"/>
                <w:szCs w:val="18"/>
              </w:rPr>
              <w:t xml:space="preserve">11.0</w:t>
            </w:r>
          </w:p>
        </w:tc>
        <w:tc>
          <w:tcPr>
            <w:tcW w:type="dxa" w:w="1240"/>
            <w:tcMar>
              <w:top w:type="dxa" w:w="40"/>
              <w:left w:type="dxa" w:w="80"/>
              <w:bottom w:type="dxa" w:w="40"/>
              <w:right w:type="dxa" w:w="80"/>
            </w:tcMar>
          </w:tcPr>
          <w:p>
            <w:r>
              <w:rPr>
                <w:b w:val="false"/>
                <w:bCs w:val="false"/>
                <w:sz w:val="18"/>
                <w:szCs w:val="18"/>
              </w:rPr>
              <w:t xml:space="preserve">9.9</w:t>
            </w:r>
          </w:p>
        </w:tc>
      </w:tr>
    </w:tbl>
    <w:p>
      <w:pPr>
        <w:spacing w:after="120"/>
      </w:pP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5700"/>
        <w:gridCol w:w="1830"/>
        <w:gridCol w:w="1830"/>
      </w:tblGrid>
      <w:tr>
        <w:tc>
          <w:tcPr>
            <w:tcW w:type="dxa" w:w="5700"/>
            <w:shd w:fill="1B5E5E" w:val="clear"/>
            <w:tcMar>
              <w:top w:type="dxa" w:w="40"/>
              <w:left w:type="dxa" w:w="80"/>
              <w:bottom w:type="dxa" w:w="40"/>
              <w:right w:type="dxa" w:w="80"/>
            </w:tcMar>
          </w:tcPr>
          <w:p>
            <w:r>
              <w:rPr>
                <w:b/>
                <w:bCs/>
                <w:color w:val="FFFFFF"/>
                <w:sz w:val="18"/>
                <w:szCs w:val="18"/>
              </w:rPr>
              <w:t xml:space="preserve">Bridge to equity</w:t>
            </w:r>
          </w:p>
        </w:tc>
        <w:tc>
          <w:tcPr>
            <w:tcW w:type="dxa" w:w="1830"/>
            <w:shd w:fill="1B5E5E" w:val="clear"/>
            <w:tcMar>
              <w:top w:type="dxa" w:w="40"/>
              <w:left w:type="dxa" w:w="80"/>
              <w:bottom w:type="dxa" w:w="40"/>
              <w:right w:type="dxa" w:w="80"/>
            </w:tcMar>
          </w:tcPr>
          <w:p>
            <w:r>
              <w:rPr>
                <w:b/>
                <w:bCs/>
                <w:color w:val="FFFFFF"/>
                <w:sz w:val="18"/>
                <w:szCs w:val="18"/>
              </w:rPr>
              <w:t xml:space="preserve">EGP bn</w:t>
            </w:r>
          </w:p>
        </w:tc>
        <w:tc>
          <w:tcPr>
            <w:tcW w:type="dxa" w:w="1830"/>
            <w:shd w:fill="1B5E5E" w:val="clear"/>
            <w:tcMar>
              <w:top w:type="dxa" w:w="40"/>
              <w:left w:type="dxa" w:w="80"/>
              <w:bottom w:type="dxa" w:w="40"/>
              <w:right w:type="dxa" w:w="80"/>
            </w:tcMar>
          </w:tcPr>
          <w:p>
            <w:r>
              <w:rPr>
                <w:b/>
                <w:bCs/>
                <w:color w:val="FFFFFF"/>
                <w:sz w:val="18"/>
                <w:szCs w:val="18"/>
              </w:rPr>
              <w:t xml:space="preserve">EGP/share</w:t>
            </w:r>
          </w:p>
        </w:tc>
      </w:tr>
      <w:tr>
        <w:tc>
          <w:tcPr>
            <w:tcW w:type="dxa" w:w="5700"/>
            <w:tcMar>
              <w:top w:type="dxa" w:w="40"/>
              <w:left w:type="dxa" w:w="80"/>
              <w:bottom w:type="dxa" w:w="40"/>
              <w:right w:type="dxa" w:w="80"/>
            </w:tcMar>
          </w:tcPr>
          <w:p>
            <w:r>
              <w:rPr>
                <w:b/>
                <w:bCs/>
                <w:sz w:val="18"/>
                <w:szCs w:val="18"/>
              </w:rPr>
              <w:t xml:space="preserve">Σ PV of FCFF, FY26E–FY30E</w:t>
            </w:r>
          </w:p>
        </w:tc>
        <w:tc>
          <w:tcPr>
            <w:tcW w:type="dxa" w:w="1830"/>
            <w:tcMar>
              <w:top w:type="dxa" w:w="40"/>
              <w:left w:type="dxa" w:w="80"/>
              <w:bottom w:type="dxa" w:w="40"/>
              <w:right w:type="dxa" w:w="80"/>
            </w:tcMar>
          </w:tcPr>
          <w:p>
            <w:r>
              <w:rPr>
                <w:b w:val="false"/>
                <w:bCs w:val="false"/>
                <w:sz w:val="18"/>
                <w:szCs w:val="18"/>
              </w:rPr>
              <w:t xml:space="preserve">61.9</w:t>
            </w:r>
          </w:p>
        </w:tc>
        <w:tc>
          <w:tcPr>
            <w:tcW w:type="dxa" w:w="1830"/>
            <w:tcMar>
              <w:top w:type="dxa" w:w="40"/>
              <w:left w:type="dxa" w:w="80"/>
              <w:bottom w:type="dxa" w:w="40"/>
              <w:right w:type="dxa" w:w="80"/>
            </w:tcMar>
          </w:tcPr>
          <w:p>
            <w:r>
              <w:rPr>
                <w:b w:val="false"/>
                <w:bCs w:val="false"/>
                <w:sz w:val="18"/>
                <w:szCs w:val="18"/>
              </w:rPr>
              <w:t xml:space="preserve">—</w:t>
            </w:r>
          </w:p>
        </w:tc>
      </w:tr>
      <w:tr>
        <w:tc>
          <w:tcPr>
            <w:tcW w:type="dxa" w:w="5700"/>
            <w:tcMar>
              <w:top w:type="dxa" w:w="40"/>
              <w:left w:type="dxa" w:w="80"/>
              <w:bottom w:type="dxa" w:w="40"/>
              <w:right w:type="dxa" w:w="80"/>
            </w:tcMar>
          </w:tcPr>
          <w:p>
            <w:r>
              <w:rPr>
                <w:b/>
                <w:bCs/>
                <w:sz w:val="18"/>
                <w:szCs w:val="18"/>
              </w:rPr>
              <w:t xml:space="preserve">Terminal value: FY30E FCFF × 1.11 / (23% − 11%) = 258.1, discounted 5 years</w:t>
            </w:r>
          </w:p>
        </w:tc>
        <w:tc>
          <w:tcPr>
            <w:tcW w:type="dxa" w:w="1830"/>
            <w:tcMar>
              <w:top w:type="dxa" w:w="40"/>
              <w:left w:type="dxa" w:w="80"/>
              <w:bottom w:type="dxa" w:w="40"/>
              <w:right w:type="dxa" w:w="80"/>
            </w:tcMar>
          </w:tcPr>
          <w:p>
            <w:r>
              <w:rPr>
                <w:b w:val="false"/>
                <w:bCs w:val="false"/>
                <w:sz w:val="18"/>
                <w:szCs w:val="18"/>
              </w:rPr>
              <w:t xml:space="preserve">91.7</w:t>
            </w:r>
          </w:p>
        </w:tc>
        <w:tc>
          <w:tcPr>
            <w:tcW w:type="dxa" w:w="1830"/>
            <w:tcMar>
              <w:top w:type="dxa" w:w="40"/>
              <w:left w:type="dxa" w:w="80"/>
              <w:bottom w:type="dxa" w:w="40"/>
              <w:right w:type="dxa" w:w="80"/>
            </w:tcMar>
          </w:tcPr>
          <w:p>
            <w:r>
              <w:rPr>
                <w:b w:val="false"/>
                <w:bCs w:val="false"/>
                <w:sz w:val="18"/>
                <w:szCs w:val="18"/>
              </w:rPr>
              <w:t xml:space="preserve">—</w:t>
            </w:r>
          </w:p>
        </w:tc>
      </w:tr>
      <w:tr>
        <w:tc>
          <w:tcPr>
            <w:tcW w:type="dxa" w:w="5700"/>
            <w:tcMar>
              <w:top w:type="dxa" w:w="40"/>
              <w:left w:type="dxa" w:w="80"/>
              <w:bottom w:type="dxa" w:w="40"/>
              <w:right w:type="dxa" w:w="80"/>
            </w:tcMar>
          </w:tcPr>
          <w:p>
            <w:r>
              <w:rPr>
                <w:b/>
                <w:bCs/>
                <w:sz w:val="18"/>
                <w:szCs w:val="18"/>
              </w:rPr>
              <w:t xml:space="preserve">Core enterprise value</w:t>
            </w:r>
          </w:p>
        </w:tc>
        <w:tc>
          <w:tcPr>
            <w:tcW w:type="dxa" w:w="1830"/>
            <w:tcMar>
              <w:top w:type="dxa" w:w="40"/>
              <w:left w:type="dxa" w:w="80"/>
              <w:bottom w:type="dxa" w:w="40"/>
              <w:right w:type="dxa" w:w="80"/>
            </w:tcMar>
          </w:tcPr>
          <w:p>
            <w:r>
              <w:rPr>
                <w:b w:val="false"/>
                <w:bCs w:val="false"/>
                <w:sz w:val="18"/>
                <w:szCs w:val="18"/>
              </w:rPr>
              <w:t xml:space="preserve">153.5</w:t>
            </w:r>
          </w:p>
        </w:tc>
        <w:tc>
          <w:tcPr>
            <w:tcW w:type="dxa" w:w="1830"/>
            <w:tcMar>
              <w:top w:type="dxa" w:w="40"/>
              <w:left w:type="dxa" w:w="80"/>
              <w:bottom w:type="dxa" w:w="40"/>
              <w:right w:type="dxa" w:w="80"/>
            </w:tcMar>
          </w:tcPr>
          <w:p>
            <w:r>
              <w:rPr>
                <w:b w:val="false"/>
                <w:bCs w:val="false"/>
                <w:sz w:val="18"/>
                <w:szCs w:val="18"/>
              </w:rPr>
              <w:t xml:space="preserve">—</w:t>
            </w:r>
          </w:p>
        </w:tc>
      </w:tr>
      <w:tr>
        <w:tc>
          <w:tcPr>
            <w:tcW w:type="dxa" w:w="5700"/>
            <w:tcMar>
              <w:top w:type="dxa" w:w="40"/>
              <w:left w:type="dxa" w:w="80"/>
              <w:bottom w:type="dxa" w:w="40"/>
              <w:right w:type="dxa" w:w="80"/>
            </w:tcMar>
          </w:tcPr>
          <w:p>
            <w:r>
              <w:rPr>
                <w:b/>
                <w:bCs/>
                <w:sz w:val="18"/>
                <w:szCs w:val="18"/>
              </w:rPr>
              <w:t xml:space="preserve">+ VFE stake at the §1.1 mark</w:t>
            </w:r>
          </w:p>
        </w:tc>
        <w:tc>
          <w:tcPr>
            <w:tcW w:type="dxa" w:w="1830"/>
            <w:tcMar>
              <w:top w:type="dxa" w:w="40"/>
              <w:left w:type="dxa" w:w="80"/>
              <w:bottom w:type="dxa" w:w="40"/>
              <w:right w:type="dxa" w:w="80"/>
            </w:tcMar>
          </w:tcPr>
          <w:p>
            <w:r>
              <w:rPr>
                <w:b w:val="false"/>
                <w:bCs w:val="false"/>
                <w:sz w:val="18"/>
                <w:szCs w:val="18"/>
              </w:rPr>
              <w:t xml:space="preserve">118.4</w:t>
            </w:r>
          </w:p>
        </w:tc>
        <w:tc>
          <w:tcPr>
            <w:tcW w:type="dxa" w:w="1830"/>
            <w:tcMar>
              <w:top w:type="dxa" w:w="40"/>
              <w:left w:type="dxa" w:w="80"/>
              <w:bottom w:type="dxa" w:w="40"/>
              <w:right w:type="dxa" w:w="80"/>
            </w:tcMar>
          </w:tcPr>
          <w:p>
            <w:r>
              <w:rPr>
                <w:b w:val="false"/>
                <w:bCs w:val="false"/>
                <w:sz w:val="18"/>
                <w:szCs w:val="18"/>
              </w:rPr>
              <w:t xml:space="preserve">—</w:t>
            </w:r>
          </w:p>
        </w:tc>
      </w:tr>
      <w:tr>
        <w:tc>
          <w:tcPr>
            <w:tcW w:type="dxa" w:w="5700"/>
            <w:tcMar>
              <w:top w:type="dxa" w:w="40"/>
              <w:left w:type="dxa" w:w="80"/>
              <w:bottom w:type="dxa" w:w="40"/>
              <w:right w:type="dxa" w:w="80"/>
            </w:tcMar>
          </w:tcPr>
          <w:p>
            <w:r>
              <w:rPr>
                <w:b/>
                <w:bCs/>
                <w:sz w:val="18"/>
                <w:szCs w:val="18"/>
              </w:rPr>
              <w:t xml:space="preserve">− Net debt</w:t>
            </w:r>
          </w:p>
        </w:tc>
        <w:tc>
          <w:tcPr>
            <w:tcW w:type="dxa" w:w="1830"/>
            <w:tcMar>
              <w:top w:type="dxa" w:w="40"/>
              <w:left w:type="dxa" w:w="80"/>
              <w:bottom w:type="dxa" w:w="40"/>
              <w:right w:type="dxa" w:w="80"/>
            </w:tcMar>
          </w:tcPr>
          <w:p>
            <w:r>
              <w:rPr>
                <w:b w:val="false"/>
                <w:bCs w:val="false"/>
                <w:sz w:val="18"/>
                <w:szCs w:val="18"/>
              </w:rPr>
              <w:t xml:space="preserve">(58.0)</w:t>
            </w:r>
          </w:p>
        </w:tc>
        <w:tc>
          <w:tcPr>
            <w:tcW w:type="dxa" w:w="1830"/>
            <w:tcMar>
              <w:top w:type="dxa" w:w="40"/>
              <w:left w:type="dxa" w:w="80"/>
              <w:bottom w:type="dxa" w:w="40"/>
              <w:right w:type="dxa" w:w="80"/>
            </w:tcMar>
          </w:tcPr>
          <w:p>
            <w:r>
              <w:rPr>
                <w:b w:val="false"/>
                <w:bCs w:val="false"/>
                <w:sz w:val="18"/>
                <w:szCs w:val="18"/>
              </w:rPr>
              <w:t xml:space="preserve">—</w:t>
            </w:r>
          </w:p>
        </w:tc>
      </w:tr>
      <w:tr>
        <w:tc>
          <w:tcPr>
            <w:tcW w:type="dxa" w:w="5700"/>
            <w:tcMar>
              <w:top w:type="dxa" w:w="40"/>
              <w:left w:type="dxa" w:w="80"/>
              <w:bottom w:type="dxa" w:w="40"/>
              <w:right w:type="dxa" w:w="80"/>
            </w:tcMar>
          </w:tcPr>
          <w:p>
            <w:r>
              <w:rPr>
                <w:b/>
                <w:bCs/>
                <w:sz w:val="18"/>
                <w:szCs w:val="18"/>
              </w:rPr>
              <w:t xml:space="preserve">× (1 − 15% complexity discount) → equity</w:t>
            </w:r>
          </w:p>
        </w:tc>
        <w:tc>
          <w:tcPr>
            <w:tcW w:type="dxa" w:w="1830"/>
            <w:tcMar>
              <w:top w:type="dxa" w:w="40"/>
              <w:left w:type="dxa" w:w="80"/>
              <w:bottom w:type="dxa" w:w="40"/>
              <w:right w:type="dxa" w:w="80"/>
            </w:tcMar>
          </w:tcPr>
          <w:p>
            <w:r>
              <w:rPr>
                <w:b w:val="false"/>
                <w:bCs w:val="false"/>
                <w:sz w:val="18"/>
                <w:szCs w:val="18"/>
              </w:rPr>
              <w:t xml:space="preserve">181.8</w:t>
            </w:r>
          </w:p>
        </w:tc>
        <w:tc>
          <w:tcPr>
            <w:tcW w:type="dxa" w:w="1830"/>
            <w:tcMar>
              <w:top w:type="dxa" w:w="40"/>
              <w:left w:type="dxa" w:w="80"/>
              <w:bottom w:type="dxa" w:w="40"/>
              <w:right w:type="dxa" w:w="80"/>
            </w:tcMar>
          </w:tcPr>
          <w:p>
            <w:r>
              <w:rPr>
                <w:b w:val="false"/>
                <w:bCs w:val="false"/>
                <w:sz w:val="18"/>
                <w:szCs w:val="18"/>
              </w:rPr>
              <w:t xml:space="preserve">107</w:t>
            </w:r>
          </w:p>
        </w:tc>
      </w:tr>
    </w:tbl>
    <w:p>
      <w:pPr>
        <w:spacing w:after="120"/>
      </w:pP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600"/>
        <w:gridCol w:w="1920"/>
        <w:gridCol w:w="1920"/>
        <w:gridCol w:w="1920"/>
      </w:tblGrid>
      <w:tr>
        <w:tc>
          <w:tcPr>
            <w:tcW w:type="dxa" w:w="3600"/>
            <w:shd w:fill="1B5E5E" w:val="clear"/>
            <w:tcMar>
              <w:top w:type="dxa" w:w="40"/>
              <w:left w:type="dxa" w:w="80"/>
              <w:bottom w:type="dxa" w:w="40"/>
              <w:right w:type="dxa" w:w="80"/>
            </w:tcMar>
          </w:tcPr>
          <w:p>
            <w:r>
              <w:rPr>
                <w:b/>
                <w:bCs/>
                <w:color w:val="FFFFFF"/>
                <w:sz w:val="18"/>
                <w:szCs w:val="18"/>
              </w:rPr>
              <w:t xml:space="preserve">DCF scenarios</w:t>
            </w:r>
          </w:p>
        </w:tc>
        <w:tc>
          <w:tcPr>
            <w:tcW w:type="dxa" w:w="1920"/>
            <w:shd w:fill="1B5E5E" w:val="clear"/>
            <w:tcMar>
              <w:top w:type="dxa" w:w="40"/>
              <w:left w:type="dxa" w:w="80"/>
              <w:bottom w:type="dxa" w:w="40"/>
              <w:right w:type="dxa" w:w="80"/>
            </w:tcMar>
          </w:tcPr>
          <w:p>
            <w:r>
              <w:rPr>
                <w:b/>
                <w:bCs/>
                <w:color w:val="FFFFFF"/>
                <w:sz w:val="18"/>
                <w:szCs w:val="18"/>
              </w:rPr>
              <w:t xml:space="preserve">Bear</w:t>
            </w:r>
          </w:p>
        </w:tc>
        <w:tc>
          <w:tcPr>
            <w:tcW w:type="dxa" w:w="1920"/>
            <w:shd w:fill="1B5E5E" w:val="clear"/>
            <w:tcMar>
              <w:top w:type="dxa" w:w="40"/>
              <w:left w:type="dxa" w:w="80"/>
              <w:bottom w:type="dxa" w:w="40"/>
              <w:right w:type="dxa" w:w="80"/>
            </w:tcMar>
          </w:tcPr>
          <w:p>
            <w:r>
              <w:rPr>
                <w:b/>
                <w:bCs/>
                <w:color w:val="FFFFFF"/>
                <w:sz w:val="18"/>
                <w:szCs w:val="18"/>
              </w:rPr>
              <w:t xml:space="preserve">Base</w:t>
            </w:r>
          </w:p>
        </w:tc>
        <w:tc>
          <w:tcPr>
            <w:tcW w:type="dxa" w:w="1920"/>
            <w:shd w:fill="1B5E5E" w:val="clear"/>
            <w:tcMar>
              <w:top w:type="dxa" w:w="40"/>
              <w:left w:type="dxa" w:w="80"/>
              <w:bottom w:type="dxa" w:w="40"/>
              <w:right w:type="dxa" w:w="80"/>
            </w:tcMar>
          </w:tcPr>
          <w:p>
            <w:r>
              <w:rPr>
                <w:b/>
                <w:bCs/>
                <w:color w:val="FFFFFF"/>
                <w:sz w:val="18"/>
                <w:szCs w:val="18"/>
              </w:rPr>
              <w:t xml:space="preserve">Bull</w:t>
            </w:r>
          </w:p>
        </w:tc>
      </w:tr>
      <w:tr>
        <w:tc>
          <w:tcPr>
            <w:tcW w:type="dxa" w:w="3600"/>
            <w:tcMar>
              <w:top w:type="dxa" w:w="40"/>
              <w:left w:type="dxa" w:w="80"/>
              <w:bottom w:type="dxa" w:w="40"/>
              <w:right w:type="dxa" w:w="80"/>
            </w:tcMar>
          </w:tcPr>
          <w:p>
            <w:r>
              <w:rPr>
                <w:b/>
                <w:bCs/>
                <w:sz w:val="18"/>
                <w:szCs w:val="18"/>
              </w:rPr>
              <w:t xml:space="preserve">FCFF path (FY26E start, EGP bn)</w:t>
            </w:r>
          </w:p>
        </w:tc>
        <w:tc>
          <w:tcPr>
            <w:tcW w:type="dxa" w:w="1920"/>
            <w:tcMar>
              <w:top w:type="dxa" w:w="40"/>
              <w:left w:type="dxa" w:w="80"/>
              <w:bottom w:type="dxa" w:w="40"/>
              <w:right w:type="dxa" w:w="80"/>
            </w:tcMar>
          </w:tcPr>
          <w:p>
            <w:r>
              <w:rPr>
                <w:b w:val="false"/>
                <w:bCs w:val="false"/>
                <w:sz w:val="18"/>
                <w:szCs w:val="18"/>
              </w:rPr>
              <w:t xml:space="preserve">16.7 (−10%)</w:t>
            </w:r>
          </w:p>
        </w:tc>
        <w:tc>
          <w:tcPr>
            <w:tcW w:type="dxa" w:w="1920"/>
            <w:tcMar>
              <w:top w:type="dxa" w:w="40"/>
              <w:left w:type="dxa" w:w="80"/>
              <w:bottom w:type="dxa" w:w="40"/>
              <w:right w:type="dxa" w:w="80"/>
            </w:tcMar>
          </w:tcPr>
          <w:p>
            <w:r>
              <w:rPr>
                <w:b w:val="false"/>
                <w:bCs w:val="false"/>
                <w:sz w:val="18"/>
                <w:szCs w:val="18"/>
              </w:rPr>
              <w:t xml:space="preserve">18.5</w:t>
            </w:r>
          </w:p>
        </w:tc>
        <w:tc>
          <w:tcPr>
            <w:tcW w:type="dxa" w:w="1920"/>
            <w:tcMar>
              <w:top w:type="dxa" w:w="40"/>
              <w:left w:type="dxa" w:w="80"/>
              <w:bottom w:type="dxa" w:w="40"/>
              <w:right w:type="dxa" w:w="80"/>
            </w:tcMar>
          </w:tcPr>
          <w:p>
            <w:r>
              <w:rPr>
                <w:b w:val="false"/>
                <w:bCs w:val="false"/>
                <w:sz w:val="18"/>
                <w:szCs w:val="18"/>
              </w:rPr>
              <w:t xml:space="preserve">20.4 (+10%)</w:t>
            </w:r>
          </w:p>
        </w:tc>
      </w:tr>
      <w:tr>
        <w:tc>
          <w:tcPr>
            <w:tcW w:type="dxa" w:w="3600"/>
            <w:tcMar>
              <w:top w:type="dxa" w:w="40"/>
              <w:left w:type="dxa" w:w="80"/>
              <w:bottom w:type="dxa" w:w="40"/>
              <w:right w:type="dxa" w:w="80"/>
            </w:tcMar>
          </w:tcPr>
          <w:p>
            <w:r>
              <w:rPr>
                <w:b/>
                <w:bCs/>
                <w:sz w:val="18"/>
                <w:szCs w:val="18"/>
              </w:rPr>
              <w:t xml:space="preserve">WACC (EGP nominal)</w:t>
            </w:r>
          </w:p>
        </w:tc>
        <w:tc>
          <w:tcPr>
            <w:tcW w:type="dxa" w:w="1920"/>
            <w:tcMar>
              <w:top w:type="dxa" w:w="40"/>
              <w:left w:type="dxa" w:w="80"/>
              <w:bottom w:type="dxa" w:w="40"/>
              <w:right w:type="dxa" w:w="80"/>
            </w:tcMar>
          </w:tcPr>
          <w:p>
            <w:r>
              <w:rPr>
                <w:b w:val="false"/>
                <w:bCs w:val="false"/>
                <w:sz w:val="18"/>
                <w:szCs w:val="18"/>
              </w:rPr>
              <w:t xml:space="preserve">25.0%</w:t>
            </w:r>
          </w:p>
        </w:tc>
        <w:tc>
          <w:tcPr>
            <w:tcW w:type="dxa" w:w="1920"/>
            <w:tcMar>
              <w:top w:type="dxa" w:w="40"/>
              <w:left w:type="dxa" w:w="80"/>
              <w:bottom w:type="dxa" w:w="40"/>
              <w:right w:type="dxa" w:w="80"/>
            </w:tcMar>
          </w:tcPr>
          <w:p>
            <w:r>
              <w:rPr>
                <w:b w:val="false"/>
                <w:bCs w:val="false"/>
                <w:sz w:val="18"/>
                <w:szCs w:val="18"/>
              </w:rPr>
              <w:t xml:space="preserve">23.0%</w:t>
            </w:r>
          </w:p>
        </w:tc>
        <w:tc>
          <w:tcPr>
            <w:tcW w:type="dxa" w:w="1920"/>
            <w:tcMar>
              <w:top w:type="dxa" w:w="40"/>
              <w:left w:type="dxa" w:w="80"/>
              <w:bottom w:type="dxa" w:w="40"/>
              <w:right w:type="dxa" w:w="80"/>
            </w:tcMar>
          </w:tcPr>
          <w:p>
            <w:r>
              <w:rPr>
                <w:b w:val="false"/>
                <w:bCs w:val="false"/>
                <w:sz w:val="18"/>
                <w:szCs w:val="18"/>
              </w:rPr>
              <w:t xml:space="preserve">21.5%</w:t>
            </w:r>
          </w:p>
        </w:tc>
      </w:tr>
      <w:tr>
        <w:tc>
          <w:tcPr>
            <w:tcW w:type="dxa" w:w="3600"/>
            <w:tcMar>
              <w:top w:type="dxa" w:w="40"/>
              <w:left w:type="dxa" w:w="80"/>
              <w:bottom w:type="dxa" w:w="40"/>
              <w:right w:type="dxa" w:w="80"/>
            </w:tcMar>
          </w:tcPr>
          <w:p>
            <w:r>
              <w:rPr>
                <w:b/>
                <w:bCs/>
                <w:sz w:val="18"/>
                <w:szCs w:val="18"/>
              </w:rPr>
              <w:t xml:space="preserve">Terminal growth (nominal)</w:t>
            </w:r>
          </w:p>
        </w:tc>
        <w:tc>
          <w:tcPr>
            <w:tcW w:type="dxa" w:w="1920"/>
            <w:tcMar>
              <w:top w:type="dxa" w:w="40"/>
              <w:left w:type="dxa" w:w="80"/>
              <w:bottom w:type="dxa" w:w="40"/>
              <w:right w:type="dxa" w:w="80"/>
            </w:tcMar>
          </w:tcPr>
          <w:p>
            <w:r>
              <w:rPr>
                <w:b w:val="false"/>
                <w:bCs w:val="false"/>
                <w:sz w:val="18"/>
                <w:szCs w:val="18"/>
              </w:rPr>
              <w:t xml:space="preserve">10.0%</w:t>
            </w:r>
          </w:p>
        </w:tc>
        <w:tc>
          <w:tcPr>
            <w:tcW w:type="dxa" w:w="1920"/>
            <w:tcMar>
              <w:top w:type="dxa" w:w="40"/>
              <w:left w:type="dxa" w:w="80"/>
              <w:bottom w:type="dxa" w:w="40"/>
              <w:right w:type="dxa" w:w="80"/>
            </w:tcMar>
          </w:tcPr>
          <w:p>
            <w:r>
              <w:rPr>
                <w:b w:val="false"/>
                <w:bCs w:val="false"/>
                <w:sz w:val="18"/>
                <w:szCs w:val="18"/>
              </w:rPr>
              <w:t xml:space="preserve">11.0%</w:t>
            </w:r>
          </w:p>
        </w:tc>
        <w:tc>
          <w:tcPr>
            <w:tcW w:type="dxa" w:w="1920"/>
            <w:tcMar>
              <w:top w:type="dxa" w:w="40"/>
              <w:left w:type="dxa" w:w="80"/>
              <w:bottom w:type="dxa" w:w="40"/>
              <w:right w:type="dxa" w:w="80"/>
            </w:tcMar>
          </w:tcPr>
          <w:p>
            <w:r>
              <w:rPr>
                <w:b w:val="false"/>
                <w:bCs w:val="false"/>
                <w:sz w:val="18"/>
                <w:szCs w:val="18"/>
              </w:rPr>
              <w:t xml:space="preserve">12.0%</w:t>
            </w:r>
          </w:p>
        </w:tc>
      </w:tr>
      <w:tr>
        <w:tc>
          <w:tcPr>
            <w:tcW w:type="dxa" w:w="3600"/>
            <w:tcMar>
              <w:top w:type="dxa" w:w="40"/>
              <w:left w:type="dxa" w:w="80"/>
              <w:bottom w:type="dxa" w:w="40"/>
              <w:right w:type="dxa" w:w="80"/>
            </w:tcMar>
          </w:tcPr>
          <w:p>
            <w:r>
              <w:rPr>
                <w:b/>
                <w:bCs/>
                <w:sz w:val="18"/>
                <w:szCs w:val="18"/>
              </w:rPr>
              <w:t xml:space="preserve">Core enterprise value (EGP bn)</w:t>
            </w:r>
          </w:p>
        </w:tc>
        <w:tc>
          <w:tcPr>
            <w:tcW w:type="dxa" w:w="1920"/>
            <w:tcMar>
              <w:top w:type="dxa" w:w="40"/>
              <w:left w:type="dxa" w:w="80"/>
              <w:bottom w:type="dxa" w:w="40"/>
              <w:right w:type="dxa" w:w="80"/>
            </w:tcMar>
          </w:tcPr>
          <w:p>
            <w:r>
              <w:rPr>
                <w:b w:val="false"/>
                <w:bCs w:val="false"/>
                <w:sz w:val="18"/>
                <w:szCs w:val="18"/>
              </w:rPr>
              <w:t xml:space="preserve">113.6</w:t>
            </w:r>
          </w:p>
        </w:tc>
        <w:tc>
          <w:tcPr>
            <w:tcW w:type="dxa" w:w="1920"/>
            <w:tcMar>
              <w:top w:type="dxa" w:w="40"/>
              <w:left w:type="dxa" w:w="80"/>
              <w:bottom w:type="dxa" w:w="40"/>
              <w:right w:type="dxa" w:w="80"/>
            </w:tcMar>
          </w:tcPr>
          <w:p>
            <w:r>
              <w:rPr>
                <w:b w:val="false"/>
                <w:bCs w:val="false"/>
                <w:sz w:val="18"/>
                <w:szCs w:val="18"/>
              </w:rPr>
              <w:t xml:space="preserve">153.5</w:t>
            </w:r>
          </w:p>
        </w:tc>
        <w:tc>
          <w:tcPr>
            <w:tcW w:type="dxa" w:w="1920"/>
            <w:tcMar>
              <w:top w:type="dxa" w:w="40"/>
              <w:left w:type="dxa" w:w="80"/>
              <w:bottom w:type="dxa" w:w="40"/>
              <w:right w:type="dxa" w:w="80"/>
            </w:tcMar>
          </w:tcPr>
          <w:p>
            <w:r>
              <w:rPr>
                <w:b w:val="false"/>
                <w:bCs w:val="false"/>
                <w:sz w:val="18"/>
                <w:szCs w:val="18"/>
              </w:rPr>
              <w:t xml:space="preserve">207.1</w:t>
            </w:r>
          </w:p>
        </w:tc>
      </w:tr>
      <w:tr>
        <w:tc>
          <w:tcPr>
            <w:tcW w:type="dxa" w:w="3600"/>
            <w:tcMar>
              <w:top w:type="dxa" w:w="40"/>
              <w:left w:type="dxa" w:w="80"/>
              <w:bottom w:type="dxa" w:w="40"/>
              <w:right w:type="dxa" w:w="80"/>
            </w:tcMar>
          </w:tcPr>
          <w:p>
            <w:r>
              <w:rPr>
                <w:b/>
                <w:bCs/>
                <w:sz w:val="18"/>
                <w:szCs w:val="18"/>
              </w:rPr>
              <w:t xml:space="preserve">Fair value (EGP/share)</w:t>
            </w:r>
          </w:p>
        </w:tc>
        <w:tc>
          <w:tcPr>
            <w:tcW w:type="dxa" w:w="1920"/>
            <w:tcMar>
              <w:top w:type="dxa" w:w="40"/>
              <w:left w:type="dxa" w:w="80"/>
              <w:bottom w:type="dxa" w:w="40"/>
              <w:right w:type="dxa" w:w="80"/>
            </w:tcMar>
          </w:tcPr>
          <w:p>
            <w:r>
              <w:rPr>
                <w:b w:val="false"/>
                <w:bCs w:val="false"/>
                <w:sz w:val="18"/>
                <w:szCs w:val="18"/>
              </w:rPr>
              <w:t xml:space="preserve">70</w:t>
            </w:r>
          </w:p>
        </w:tc>
        <w:tc>
          <w:tcPr>
            <w:tcW w:type="dxa" w:w="1920"/>
            <w:tcMar>
              <w:top w:type="dxa" w:w="40"/>
              <w:left w:type="dxa" w:w="80"/>
              <w:bottom w:type="dxa" w:w="40"/>
              <w:right w:type="dxa" w:w="80"/>
            </w:tcMar>
          </w:tcPr>
          <w:p>
            <w:r>
              <w:rPr>
                <w:b w:val="false"/>
                <w:bCs w:val="false"/>
                <w:sz w:val="18"/>
                <w:szCs w:val="18"/>
              </w:rPr>
              <w:t xml:space="preserve">107</w:t>
            </w:r>
          </w:p>
        </w:tc>
        <w:tc>
          <w:tcPr>
            <w:tcW w:type="dxa" w:w="1920"/>
            <w:tcMar>
              <w:top w:type="dxa" w:w="40"/>
              <w:left w:type="dxa" w:w="80"/>
              <w:bottom w:type="dxa" w:w="40"/>
              <w:right w:type="dxa" w:w="80"/>
            </w:tcMar>
          </w:tcPr>
          <w:p>
            <w:r>
              <w:rPr>
                <w:b w:val="false"/>
                <w:bCs w:val="false"/>
                <w:sz w:val="18"/>
                <w:szCs w:val="18"/>
              </w:rPr>
              <w:t xml:space="preserve">154</w:t>
            </w:r>
          </w:p>
        </w:tc>
      </w:tr>
    </w:tbl>
    <w:p>
      <w:pPr>
        <w:spacing w:after="120"/>
      </w:pPr>
    </w:p>
    <w:p>
      <w:pPr>
        <w:spacing w:after="140"/>
      </w:pPr>
      <w:r>
        <w:t xml:space="preserve">The DCF base of </w:t>
      </w:r>
      <w:r>
        <w:rPr>
          <w:b/>
          <w:bCs/>
        </w:rPr>
        <w:t xml:space="preserve">EGP 107</w:t>
      </w:r>
      <w:r>
        <w:t xml:space="preserve"> lands beside the SOTP's 118 — reassuring, since one prices assets and the other prices cash flows built line-by-line from the same statements. Its width is a fair warning: at Egyptian nominal rates a point of WACC or of terminal growth moves the answer by ten pounds a share, and the capex basis is a live judgment — on full cash capex (licences included) the FCFF path would start nearer EGP 12bn and the DCF nearer EGP 90.</w:t>
      </w:r>
    </w:p>
    <w:p>
      <w:pPr>
        <w:pStyle w:val="Heading2"/>
        <w:spacing w:after="110" w:before="220"/>
      </w:pPr>
      <w:r>
        <w:t xml:space="preserve">1.3  Relative multiples</w:t>
      </w:r>
    </w:p>
    <w:p>
      <w:pPr>
        <w:spacing w:after="140"/>
      </w:pPr>
      <w:r>
        <w:t xml:space="preserve">On its own reported numbers ETEL screens cheap against any incumbent set: EGP 11.93 of FY25 EPS puts the spot P/E at 7.8×, and the core trades near 1.2× trailing EV/EBITDA once the whole market cap is (wrongly) charged to the core alone. Emerging-market incumbents cluster at 6–10× earnings — Turk Telekom at the cheap end of that band is the closest macro analogue, the Gulf names the expensive end — and Vodafone Egypt inside the group deserves a mobile-leader multiple the blend obscures. We mark the relative lens on a blended EPS of EGP 12.9 (between FY25's 11.93 and the model's 2026E ~14.7, holding back some of the tariff-driven jump) and a justified 8.0×.</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600"/>
        <w:gridCol w:w="1920"/>
        <w:gridCol w:w="1920"/>
        <w:gridCol w:w="1920"/>
      </w:tblGrid>
      <w:tr>
        <w:tc>
          <w:tcPr>
            <w:tcW w:type="dxa" w:w="3600"/>
            <w:shd w:fill="1B5E5E" w:val="clear"/>
            <w:tcMar>
              <w:top w:type="dxa" w:w="40"/>
              <w:left w:type="dxa" w:w="80"/>
              <w:bottom w:type="dxa" w:w="40"/>
              <w:right w:type="dxa" w:w="80"/>
            </w:tcMar>
          </w:tcPr>
          <w:p>
            <w:r>
              <w:rPr>
                <w:b/>
                <w:bCs/>
                <w:color w:val="FFFFFF"/>
                <w:sz w:val="18"/>
                <w:szCs w:val="18"/>
              </w:rPr>
              <w:t xml:space="preserve">Relative basis</w:t>
            </w:r>
          </w:p>
        </w:tc>
        <w:tc>
          <w:tcPr>
            <w:tcW w:type="dxa" w:w="1920"/>
            <w:shd w:fill="1B5E5E" w:val="clear"/>
            <w:tcMar>
              <w:top w:type="dxa" w:w="40"/>
              <w:left w:type="dxa" w:w="80"/>
              <w:bottom w:type="dxa" w:w="40"/>
              <w:right w:type="dxa" w:w="80"/>
            </w:tcMar>
          </w:tcPr>
          <w:p>
            <w:r>
              <w:rPr>
                <w:b/>
                <w:bCs/>
                <w:color w:val="FFFFFF"/>
                <w:sz w:val="18"/>
                <w:szCs w:val="18"/>
              </w:rPr>
              <w:t xml:space="preserve">Bear</w:t>
            </w:r>
          </w:p>
        </w:tc>
        <w:tc>
          <w:tcPr>
            <w:tcW w:type="dxa" w:w="1920"/>
            <w:shd w:fill="1B5E5E" w:val="clear"/>
            <w:tcMar>
              <w:top w:type="dxa" w:w="40"/>
              <w:left w:type="dxa" w:w="80"/>
              <w:bottom w:type="dxa" w:w="40"/>
              <w:right w:type="dxa" w:w="80"/>
            </w:tcMar>
          </w:tcPr>
          <w:p>
            <w:r>
              <w:rPr>
                <w:b/>
                <w:bCs/>
                <w:color w:val="FFFFFF"/>
                <w:sz w:val="18"/>
                <w:szCs w:val="18"/>
              </w:rPr>
              <w:t xml:space="preserve">Base</w:t>
            </w:r>
          </w:p>
        </w:tc>
        <w:tc>
          <w:tcPr>
            <w:tcW w:type="dxa" w:w="1920"/>
            <w:shd w:fill="1B5E5E" w:val="clear"/>
            <w:tcMar>
              <w:top w:type="dxa" w:w="40"/>
              <w:left w:type="dxa" w:w="80"/>
              <w:bottom w:type="dxa" w:w="40"/>
              <w:right w:type="dxa" w:w="80"/>
            </w:tcMar>
          </w:tcPr>
          <w:p>
            <w:r>
              <w:rPr>
                <w:b/>
                <w:bCs/>
                <w:color w:val="FFFFFF"/>
                <w:sz w:val="18"/>
                <w:szCs w:val="18"/>
              </w:rPr>
              <w:t xml:space="preserve">Bull</w:t>
            </w:r>
          </w:p>
        </w:tc>
      </w:tr>
      <w:tr>
        <w:tc>
          <w:tcPr>
            <w:tcW w:type="dxa" w:w="3600"/>
            <w:tcMar>
              <w:top w:type="dxa" w:w="40"/>
              <w:left w:type="dxa" w:w="80"/>
              <w:bottom w:type="dxa" w:w="40"/>
              <w:right w:type="dxa" w:w="80"/>
            </w:tcMar>
          </w:tcPr>
          <w:p>
            <w:r>
              <w:rPr>
                <w:b/>
                <w:bCs/>
                <w:sz w:val="18"/>
                <w:szCs w:val="18"/>
              </w:rPr>
              <w:t xml:space="preserve">EPS basis (EGP)</w:t>
            </w:r>
          </w:p>
        </w:tc>
        <w:tc>
          <w:tcPr>
            <w:tcW w:type="dxa" w:w="1920"/>
            <w:tcMar>
              <w:top w:type="dxa" w:w="40"/>
              <w:left w:type="dxa" w:w="80"/>
              <w:bottom w:type="dxa" w:w="40"/>
              <w:right w:type="dxa" w:w="80"/>
            </w:tcMar>
          </w:tcPr>
          <w:p>
            <w:r>
              <w:rPr>
                <w:b w:val="false"/>
                <w:bCs w:val="false"/>
                <w:sz w:val="18"/>
                <w:szCs w:val="18"/>
              </w:rPr>
              <w:t xml:space="preserve">11.93 (FY25 reported)</w:t>
            </w:r>
          </w:p>
        </w:tc>
        <w:tc>
          <w:tcPr>
            <w:tcW w:type="dxa" w:w="1920"/>
            <w:tcMar>
              <w:top w:type="dxa" w:w="40"/>
              <w:left w:type="dxa" w:w="80"/>
              <w:bottom w:type="dxa" w:w="40"/>
              <w:right w:type="dxa" w:w="80"/>
            </w:tcMar>
          </w:tcPr>
          <w:p>
            <w:r>
              <w:rPr>
                <w:b w:val="false"/>
                <w:bCs w:val="false"/>
                <w:sz w:val="18"/>
                <w:szCs w:val="18"/>
              </w:rPr>
              <w:t xml:space="preserve">12.9 (blended)</w:t>
            </w:r>
          </w:p>
        </w:tc>
        <w:tc>
          <w:tcPr>
            <w:tcW w:type="dxa" w:w="1920"/>
            <w:tcMar>
              <w:top w:type="dxa" w:w="40"/>
              <w:left w:type="dxa" w:w="80"/>
              <w:bottom w:type="dxa" w:w="40"/>
              <w:right w:type="dxa" w:w="80"/>
            </w:tcMar>
          </w:tcPr>
          <w:p>
            <w:r>
              <w:rPr>
                <w:b w:val="false"/>
                <w:bCs w:val="false"/>
                <w:sz w:val="18"/>
                <w:szCs w:val="18"/>
              </w:rPr>
              <w:t xml:space="preserve">15.0 (2026E model)</w:t>
            </w:r>
          </w:p>
        </w:tc>
      </w:tr>
      <w:tr>
        <w:tc>
          <w:tcPr>
            <w:tcW w:type="dxa" w:w="3600"/>
            <w:tcMar>
              <w:top w:type="dxa" w:w="40"/>
              <w:left w:type="dxa" w:w="80"/>
              <w:bottom w:type="dxa" w:w="40"/>
              <w:right w:type="dxa" w:w="80"/>
            </w:tcMar>
          </w:tcPr>
          <w:p>
            <w:r>
              <w:rPr>
                <w:b/>
                <w:bCs/>
                <w:sz w:val="18"/>
                <w:szCs w:val="18"/>
              </w:rPr>
              <w:t xml:space="preserve">Justified P/E</w:t>
            </w:r>
          </w:p>
        </w:tc>
        <w:tc>
          <w:tcPr>
            <w:tcW w:type="dxa" w:w="1920"/>
            <w:tcMar>
              <w:top w:type="dxa" w:w="40"/>
              <w:left w:type="dxa" w:w="80"/>
              <w:bottom w:type="dxa" w:w="40"/>
              <w:right w:type="dxa" w:w="80"/>
            </w:tcMar>
          </w:tcPr>
          <w:p>
            <w:r>
              <w:rPr>
                <w:b w:val="false"/>
                <w:bCs w:val="false"/>
                <w:sz w:val="18"/>
                <w:szCs w:val="18"/>
              </w:rPr>
              <w:t xml:space="preserve">6.5×</w:t>
            </w:r>
          </w:p>
        </w:tc>
        <w:tc>
          <w:tcPr>
            <w:tcW w:type="dxa" w:w="1920"/>
            <w:tcMar>
              <w:top w:type="dxa" w:w="40"/>
              <w:left w:type="dxa" w:w="80"/>
              <w:bottom w:type="dxa" w:w="40"/>
              <w:right w:type="dxa" w:w="80"/>
            </w:tcMar>
          </w:tcPr>
          <w:p>
            <w:r>
              <w:rPr>
                <w:b w:val="false"/>
                <w:bCs w:val="false"/>
                <w:sz w:val="18"/>
                <w:szCs w:val="18"/>
              </w:rPr>
              <w:t xml:space="preserve">8.0×</w:t>
            </w:r>
          </w:p>
        </w:tc>
        <w:tc>
          <w:tcPr>
            <w:tcW w:type="dxa" w:w="1920"/>
            <w:tcMar>
              <w:top w:type="dxa" w:w="40"/>
              <w:left w:type="dxa" w:w="80"/>
              <w:bottom w:type="dxa" w:w="40"/>
              <w:right w:type="dxa" w:w="80"/>
            </w:tcMar>
          </w:tcPr>
          <w:p>
            <w:r>
              <w:rPr>
                <w:b w:val="false"/>
                <w:bCs w:val="false"/>
                <w:sz w:val="18"/>
                <w:szCs w:val="18"/>
              </w:rPr>
              <w:t xml:space="preserve">9.5×</w:t>
            </w:r>
          </w:p>
        </w:tc>
      </w:tr>
      <w:tr>
        <w:tc>
          <w:tcPr>
            <w:tcW w:type="dxa" w:w="3600"/>
            <w:tcMar>
              <w:top w:type="dxa" w:w="40"/>
              <w:left w:type="dxa" w:w="80"/>
              <w:bottom w:type="dxa" w:w="40"/>
              <w:right w:type="dxa" w:w="80"/>
            </w:tcMar>
          </w:tcPr>
          <w:p>
            <w:r>
              <w:rPr>
                <w:b/>
                <w:bCs/>
                <w:sz w:val="18"/>
                <w:szCs w:val="18"/>
              </w:rPr>
              <w:t xml:space="preserve">Fair value (EGP/share)</w:t>
            </w:r>
          </w:p>
        </w:tc>
        <w:tc>
          <w:tcPr>
            <w:tcW w:type="dxa" w:w="1920"/>
            <w:tcMar>
              <w:top w:type="dxa" w:w="40"/>
              <w:left w:type="dxa" w:w="80"/>
              <w:bottom w:type="dxa" w:w="40"/>
              <w:right w:type="dxa" w:w="80"/>
            </w:tcMar>
          </w:tcPr>
          <w:p>
            <w:r>
              <w:rPr>
                <w:b w:val="false"/>
                <w:bCs w:val="false"/>
                <w:sz w:val="18"/>
                <w:szCs w:val="18"/>
              </w:rPr>
              <w:t xml:space="preserve">78</w:t>
            </w:r>
          </w:p>
        </w:tc>
        <w:tc>
          <w:tcPr>
            <w:tcW w:type="dxa" w:w="1920"/>
            <w:tcMar>
              <w:top w:type="dxa" w:w="40"/>
              <w:left w:type="dxa" w:w="80"/>
              <w:bottom w:type="dxa" w:w="40"/>
              <w:right w:type="dxa" w:w="80"/>
            </w:tcMar>
          </w:tcPr>
          <w:p>
            <w:r>
              <w:rPr>
                <w:b w:val="false"/>
                <w:bCs w:val="false"/>
                <w:sz w:val="18"/>
                <w:szCs w:val="18"/>
              </w:rPr>
              <w:t xml:space="preserve">103</w:t>
            </w:r>
          </w:p>
        </w:tc>
        <w:tc>
          <w:tcPr>
            <w:tcW w:type="dxa" w:w="1920"/>
            <w:tcMar>
              <w:top w:type="dxa" w:w="40"/>
              <w:left w:type="dxa" w:w="80"/>
              <w:bottom w:type="dxa" w:w="40"/>
              <w:right w:type="dxa" w:w="80"/>
            </w:tcMar>
          </w:tcPr>
          <w:p>
            <w:r>
              <w:rPr>
                <w:b w:val="false"/>
                <w:bCs w:val="false"/>
                <w:sz w:val="18"/>
                <w:szCs w:val="18"/>
              </w:rPr>
              <w:t xml:space="preserve">142</w:t>
            </w:r>
          </w:p>
        </w:tc>
      </w:tr>
    </w:tbl>
    <w:p>
      <w:pPr>
        <w:spacing w:after="120"/>
      </w:pPr>
    </w:p>
    <w:p>
      <w:pPr>
        <w:spacing w:after="140"/>
      </w:pPr>
      <w:r>
        <w:rPr>
          <w:b/>
          <w:bCs/>
        </w:rPr>
        <w:t xml:space="preserve">Relative base ≈ EGP 103</w:t>
      </w:r>
      <w:r>
        <w:t xml:space="preserve"> — the most conservative lens, and probably where a sceptic anchors. It treats the group as one blended EM utility, credits no separate value to the associate stake, and quietly assumes the 2025 earnings step is as good as it gets.</w:t>
      </w:r>
    </w:p>
    <w:p>
      <w:pPr>
        <w:pStyle w:val="Heading2"/>
        <w:spacing w:after="110" w:before="220"/>
      </w:pPr>
      <w:r>
        <w:t xml:space="preserve">1.4  Normalized earnings power</w:t>
      </w:r>
    </w:p>
    <w:p>
      <w:pPr>
        <w:spacing w:after="140"/>
      </w:pPr>
      <w:r>
        <w:t xml:space="preserve">If 2026 merely delivers what is already visible — a full year of the FY25 revenue base, the NTRA's 13–15% price adjustments from mid-year, interest expense falling 25% as the CBE eases, and VFE income compounding — the group's mid-cycle earnings power sits well above the FY25 print, which itself absorbed EGP-appreciation FX losses. We normalize NPAT to EGP 30bn (the 2026–27 run-rate with FX noise stripped; Q1-26 adjusted profit of EGP 5.9bn annualises near 24 before any tariff effect), giving a normalized EPS of EGP 15.8, and apply a justified through-cycle 8.5× — below every Gulf peer and level with the group's own five-year average.</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600"/>
        <w:gridCol w:w="1920"/>
        <w:gridCol w:w="1920"/>
        <w:gridCol w:w="1920"/>
      </w:tblGrid>
      <w:tr>
        <w:tc>
          <w:tcPr>
            <w:tcW w:type="dxa" w:w="3600"/>
            <w:shd w:fill="1B5E5E" w:val="clear"/>
            <w:tcMar>
              <w:top w:type="dxa" w:w="40"/>
              <w:left w:type="dxa" w:w="80"/>
              <w:bottom w:type="dxa" w:w="40"/>
              <w:right w:type="dxa" w:w="80"/>
            </w:tcMar>
          </w:tcPr>
          <w:p>
            <w:r>
              <w:rPr>
                <w:b/>
                <w:bCs/>
                <w:color w:val="FFFFFF"/>
                <w:sz w:val="18"/>
                <w:szCs w:val="18"/>
              </w:rPr>
              <w:t xml:space="preserve">Normalized-earnings basis</w:t>
            </w:r>
          </w:p>
        </w:tc>
        <w:tc>
          <w:tcPr>
            <w:tcW w:type="dxa" w:w="1920"/>
            <w:shd w:fill="1B5E5E" w:val="clear"/>
            <w:tcMar>
              <w:top w:type="dxa" w:w="40"/>
              <w:left w:type="dxa" w:w="80"/>
              <w:bottom w:type="dxa" w:w="40"/>
              <w:right w:type="dxa" w:w="80"/>
            </w:tcMar>
          </w:tcPr>
          <w:p>
            <w:r>
              <w:rPr>
                <w:b/>
                <w:bCs/>
                <w:color w:val="FFFFFF"/>
                <w:sz w:val="18"/>
                <w:szCs w:val="18"/>
              </w:rPr>
              <w:t xml:space="preserve">Bear</w:t>
            </w:r>
          </w:p>
        </w:tc>
        <w:tc>
          <w:tcPr>
            <w:tcW w:type="dxa" w:w="1920"/>
            <w:shd w:fill="1B5E5E" w:val="clear"/>
            <w:tcMar>
              <w:top w:type="dxa" w:w="40"/>
              <w:left w:type="dxa" w:w="80"/>
              <w:bottom w:type="dxa" w:w="40"/>
              <w:right w:type="dxa" w:w="80"/>
            </w:tcMar>
          </w:tcPr>
          <w:p>
            <w:r>
              <w:rPr>
                <w:b/>
                <w:bCs/>
                <w:color w:val="FFFFFF"/>
                <w:sz w:val="18"/>
                <w:szCs w:val="18"/>
              </w:rPr>
              <w:t xml:space="preserve">Base</w:t>
            </w:r>
          </w:p>
        </w:tc>
        <w:tc>
          <w:tcPr>
            <w:tcW w:type="dxa" w:w="1920"/>
            <w:shd w:fill="1B5E5E" w:val="clear"/>
            <w:tcMar>
              <w:top w:type="dxa" w:w="40"/>
              <w:left w:type="dxa" w:w="80"/>
              <w:bottom w:type="dxa" w:w="40"/>
              <w:right w:type="dxa" w:w="80"/>
            </w:tcMar>
          </w:tcPr>
          <w:p>
            <w:r>
              <w:rPr>
                <w:b/>
                <w:bCs/>
                <w:color w:val="FFFFFF"/>
                <w:sz w:val="18"/>
                <w:szCs w:val="18"/>
              </w:rPr>
              <w:t xml:space="preserve">Bull</w:t>
            </w:r>
          </w:p>
        </w:tc>
      </w:tr>
      <w:tr>
        <w:tc>
          <w:tcPr>
            <w:tcW w:type="dxa" w:w="3600"/>
            <w:tcMar>
              <w:top w:type="dxa" w:w="40"/>
              <w:left w:type="dxa" w:w="80"/>
              <w:bottom w:type="dxa" w:w="40"/>
              <w:right w:type="dxa" w:w="80"/>
            </w:tcMar>
          </w:tcPr>
          <w:p>
            <w:r>
              <w:rPr>
                <w:b/>
                <w:bCs/>
                <w:sz w:val="18"/>
                <w:szCs w:val="18"/>
              </w:rPr>
              <w:t xml:space="preserve">Mid-cycle NPAT (EGP bn)</w:t>
            </w:r>
          </w:p>
        </w:tc>
        <w:tc>
          <w:tcPr>
            <w:tcW w:type="dxa" w:w="1920"/>
            <w:tcMar>
              <w:top w:type="dxa" w:w="40"/>
              <w:left w:type="dxa" w:w="80"/>
              <w:bottom w:type="dxa" w:w="40"/>
              <w:right w:type="dxa" w:w="80"/>
            </w:tcMar>
          </w:tcPr>
          <w:p>
            <w:r>
              <w:rPr>
                <w:b w:val="false"/>
                <w:bCs w:val="false"/>
                <w:sz w:val="18"/>
                <w:szCs w:val="18"/>
              </w:rPr>
              <w:t xml:space="preserve">25.0</w:t>
            </w:r>
          </w:p>
        </w:tc>
        <w:tc>
          <w:tcPr>
            <w:tcW w:type="dxa" w:w="1920"/>
            <w:tcMar>
              <w:top w:type="dxa" w:w="40"/>
              <w:left w:type="dxa" w:w="80"/>
              <w:bottom w:type="dxa" w:w="40"/>
              <w:right w:type="dxa" w:w="80"/>
            </w:tcMar>
          </w:tcPr>
          <w:p>
            <w:r>
              <w:rPr>
                <w:b w:val="false"/>
                <w:bCs w:val="false"/>
                <w:sz w:val="18"/>
                <w:szCs w:val="18"/>
              </w:rPr>
              <w:t xml:space="preserve">30.0</w:t>
            </w:r>
          </w:p>
        </w:tc>
        <w:tc>
          <w:tcPr>
            <w:tcW w:type="dxa" w:w="1920"/>
            <w:tcMar>
              <w:top w:type="dxa" w:w="40"/>
              <w:left w:type="dxa" w:w="80"/>
              <w:bottom w:type="dxa" w:w="40"/>
              <w:right w:type="dxa" w:w="80"/>
            </w:tcMar>
          </w:tcPr>
          <w:p>
            <w:r>
              <w:rPr>
                <w:b w:val="false"/>
                <w:bCs w:val="false"/>
                <w:sz w:val="18"/>
                <w:szCs w:val="18"/>
              </w:rPr>
              <w:t xml:space="preserve">34.0</w:t>
            </w:r>
          </w:p>
        </w:tc>
      </w:tr>
      <w:tr>
        <w:tc>
          <w:tcPr>
            <w:tcW w:type="dxa" w:w="3600"/>
            <w:tcMar>
              <w:top w:type="dxa" w:w="40"/>
              <w:left w:type="dxa" w:w="80"/>
              <w:bottom w:type="dxa" w:w="40"/>
              <w:right w:type="dxa" w:w="80"/>
            </w:tcMar>
          </w:tcPr>
          <w:p>
            <w:r>
              <w:rPr>
                <w:b/>
                <w:bCs/>
                <w:sz w:val="18"/>
                <w:szCs w:val="18"/>
              </w:rPr>
              <w:t xml:space="preserve">Normalized EPS (EGP)</w:t>
            </w:r>
          </w:p>
        </w:tc>
        <w:tc>
          <w:tcPr>
            <w:tcW w:type="dxa" w:w="1920"/>
            <w:tcMar>
              <w:top w:type="dxa" w:w="40"/>
              <w:left w:type="dxa" w:w="80"/>
              <w:bottom w:type="dxa" w:w="40"/>
              <w:right w:type="dxa" w:w="80"/>
            </w:tcMar>
          </w:tcPr>
          <w:p>
            <w:r>
              <w:rPr>
                <w:b w:val="false"/>
                <w:bCs w:val="false"/>
                <w:sz w:val="18"/>
                <w:szCs w:val="18"/>
              </w:rPr>
              <w:t xml:space="preserve">13.2</w:t>
            </w:r>
          </w:p>
        </w:tc>
        <w:tc>
          <w:tcPr>
            <w:tcW w:type="dxa" w:w="1920"/>
            <w:tcMar>
              <w:top w:type="dxa" w:w="40"/>
              <w:left w:type="dxa" w:w="80"/>
              <w:bottom w:type="dxa" w:w="40"/>
              <w:right w:type="dxa" w:w="80"/>
            </w:tcMar>
          </w:tcPr>
          <w:p>
            <w:r>
              <w:rPr>
                <w:b w:val="false"/>
                <w:bCs w:val="false"/>
                <w:sz w:val="18"/>
                <w:szCs w:val="18"/>
              </w:rPr>
              <w:t xml:space="preserve">15.8</w:t>
            </w:r>
          </w:p>
        </w:tc>
        <w:tc>
          <w:tcPr>
            <w:tcW w:type="dxa" w:w="1920"/>
            <w:tcMar>
              <w:top w:type="dxa" w:w="40"/>
              <w:left w:type="dxa" w:w="80"/>
              <w:bottom w:type="dxa" w:w="40"/>
              <w:right w:type="dxa" w:w="80"/>
            </w:tcMar>
          </w:tcPr>
          <w:p>
            <w:r>
              <w:rPr>
                <w:b w:val="false"/>
                <w:bCs w:val="false"/>
                <w:sz w:val="18"/>
                <w:szCs w:val="18"/>
              </w:rPr>
              <w:t xml:space="preserve">17.9</w:t>
            </w:r>
          </w:p>
        </w:tc>
      </w:tr>
      <w:tr>
        <w:tc>
          <w:tcPr>
            <w:tcW w:type="dxa" w:w="3600"/>
            <w:tcMar>
              <w:top w:type="dxa" w:w="40"/>
              <w:left w:type="dxa" w:w="80"/>
              <w:bottom w:type="dxa" w:w="40"/>
              <w:right w:type="dxa" w:w="80"/>
            </w:tcMar>
          </w:tcPr>
          <w:p>
            <w:r>
              <w:rPr>
                <w:b/>
                <w:bCs/>
                <w:sz w:val="18"/>
                <w:szCs w:val="18"/>
              </w:rPr>
              <w:t xml:space="preserve">Justified P/E</w:t>
            </w:r>
          </w:p>
        </w:tc>
        <w:tc>
          <w:tcPr>
            <w:tcW w:type="dxa" w:w="1920"/>
            <w:tcMar>
              <w:top w:type="dxa" w:w="40"/>
              <w:left w:type="dxa" w:w="80"/>
              <w:bottom w:type="dxa" w:w="40"/>
              <w:right w:type="dxa" w:w="80"/>
            </w:tcMar>
          </w:tcPr>
          <w:p>
            <w:r>
              <w:rPr>
                <w:b w:val="false"/>
                <w:bCs w:val="false"/>
                <w:sz w:val="18"/>
                <w:szCs w:val="18"/>
              </w:rPr>
              <w:t xml:space="preserve">7.0×</w:t>
            </w:r>
          </w:p>
        </w:tc>
        <w:tc>
          <w:tcPr>
            <w:tcW w:type="dxa" w:w="1920"/>
            <w:tcMar>
              <w:top w:type="dxa" w:w="40"/>
              <w:left w:type="dxa" w:w="80"/>
              <w:bottom w:type="dxa" w:w="40"/>
              <w:right w:type="dxa" w:w="80"/>
            </w:tcMar>
          </w:tcPr>
          <w:p>
            <w:r>
              <w:rPr>
                <w:b w:val="false"/>
                <w:bCs w:val="false"/>
                <w:sz w:val="18"/>
                <w:szCs w:val="18"/>
              </w:rPr>
              <w:t xml:space="preserve">8.5×</w:t>
            </w:r>
          </w:p>
        </w:tc>
        <w:tc>
          <w:tcPr>
            <w:tcW w:type="dxa" w:w="1920"/>
            <w:tcMar>
              <w:top w:type="dxa" w:w="40"/>
              <w:left w:type="dxa" w:w="80"/>
              <w:bottom w:type="dxa" w:w="40"/>
              <w:right w:type="dxa" w:w="80"/>
            </w:tcMar>
          </w:tcPr>
          <w:p>
            <w:r>
              <w:rPr>
                <w:b w:val="false"/>
                <w:bCs w:val="false"/>
                <w:sz w:val="18"/>
                <w:szCs w:val="18"/>
              </w:rPr>
              <w:t xml:space="preserve">10.0×</w:t>
            </w:r>
          </w:p>
        </w:tc>
      </w:tr>
      <w:tr>
        <w:tc>
          <w:tcPr>
            <w:tcW w:type="dxa" w:w="3600"/>
            <w:tcMar>
              <w:top w:type="dxa" w:w="40"/>
              <w:left w:type="dxa" w:w="80"/>
              <w:bottom w:type="dxa" w:w="40"/>
              <w:right w:type="dxa" w:w="80"/>
            </w:tcMar>
          </w:tcPr>
          <w:p>
            <w:r>
              <w:rPr>
                <w:b/>
                <w:bCs/>
                <w:sz w:val="18"/>
                <w:szCs w:val="18"/>
              </w:rPr>
              <w:t xml:space="preserve">Fair value (EGP/share)</w:t>
            </w:r>
          </w:p>
        </w:tc>
        <w:tc>
          <w:tcPr>
            <w:tcW w:type="dxa" w:w="1920"/>
            <w:tcMar>
              <w:top w:type="dxa" w:w="40"/>
              <w:left w:type="dxa" w:w="80"/>
              <w:bottom w:type="dxa" w:w="40"/>
              <w:right w:type="dxa" w:w="80"/>
            </w:tcMar>
          </w:tcPr>
          <w:p>
            <w:r>
              <w:rPr>
                <w:b w:val="false"/>
                <w:bCs w:val="false"/>
                <w:sz w:val="18"/>
                <w:szCs w:val="18"/>
              </w:rPr>
              <w:t xml:space="preserve">92</w:t>
            </w:r>
          </w:p>
        </w:tc>
        <w:tc>
          <w:tcPr>
            <w:tcW w:type="dxa" w:w="1920"/>
            <w:tcMar>
              <w:top w:type="dxa" w:w="40"/>
              <w:left w:type="dxa" w:w="80"/>
              <w:bottom w:type="dxa" w:w="40"/>
              <w:right w:type="dxa" w:w="80"/>
            </w:tcMar>
          </w:tcPr>
          <w:p>
            <w:r>
              <w:rPr>
                <w:b w:val="false"/>
                <w:bCs w:val="false"/>
                <w:sz w:val="18"/>
                <w:szCs w:val="18"/>
              </w:rPr>
              <w:t xml:space="preserve">134</w:t>
            </w:r>
          </w:p>
        </w:tc>
        <w:tc>
          <w:tcPr>
            <w:tcW w:type="dxa" w:w="1920"/>
            <w:tcMar>
              <w:top w:type="dxa" w:w="40"/>
              <w:left w:type="dxa" w:w="80"/>
              <w:bottom w:type="dxa" w:w="40"/>
              <w:right w:type="dxa" w:w="80"/>
            </w:tcMar>
          </w:tcPr>
          <w:p>
            <w:r>
              <w:rPr>
                <w:b w:val="false"/>
                <w:bCs w:val="false"/>
                <w:sz w:val="18"/>
                <w:szCs w:val="18"/>
              </w:rPr>
              <w:t xml:space="preserve">179</w:t>
            </w:r>
          </w:p>
        </w:tc>
      </w:tr>
    </w:tbl>
    <w:p>
      <w:pPr>
        <w:spacing w:after="120"/>
      </w:pPr>
    </w:p>
    <w:p>
      <w:pPr>
        <w:spacing w:after="140"/>
      </w:pPr>
      <w:r>
        <w:rPr>
          <w:b/>
          <w:bCs/>
        </w:rPr>
        <w:t xml:space="preserve">Normalized-earnings base ≈ EGP 134</w:t>
      </w:r>
      <w:r>
        <w:t xml:space="preserve"> — the recovery-of-purchasing-power lens and the ceiling of the central case. It is, in effect, the bet that the 2024–25 repricing of Egyptian telecom services is a level shift, not a spike.</w:t>
      </w:r>
    </w:p>
    <w:p>
      <w:pPr>
        <w:pStyle w:val="Heading2"/>
        <w:spacing w:after="110" w:before="220"/>
      </w:pPr>
      <w:r>
        <w:t xml:space="preserve">1.5  Synthesis — four lenses</w:t>
      </w:r>
    </w:p>
    <w:p>
      <w:pPr>
        <w:spacing w:after="140"/>
      </w:pPr>
      <w:r>
        <w:t xml:space="preserve">We weight the SOTP most heavily because it is the only lens that respects the associate structure; the DCF carries the cash discipline; the normalized lens carries the earnings momentum; the relative lens anchors the floor.</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320"/>
        <w:gridCol w:w="1510"/>
        <w:gridCol w:w="1510"/>
        <w:gridCol w:w="1510"/>
        <w:gridCol w:w="1510"/>
      </w:tblGrid>
      <w:tr>
        <w:tc>
          <w:tcPr>
            <w:tcW w:type="dxa" w:w="3320"/>
            <w:shd w:fill="1B5E5E" w:val="clear"/>
            <w:tcMar>
              <w:top w:type="dxa" w:w="40"/>
              <w:left w:type="dxa" w:w="80"/>
              <w:bottom w:type="dxa" w:w="40"/>
              <w:right w:type="dxa" w:w="80"/>
            </w:tcMar>
          </w:tcPr>
          <w:p>
            <w:r>
              <w:rPr>
                <w:b/>
                <w:bCs/>
                <w:color w:val="FFFFFF"/>
                <w:sz w:val="18"/>
                <w:szCs w:val="18"/>
              </w:rPr>
              <w:t xml:space="preserve">Lens</w:t>
            </w:r>
          </w:p>
        </w:tc>
        <w:tc>
          <w:tcPr>
            <w:tcW w:type="dxa" w:w="1510"/>
            <w:shd w:fill="1B5E5E" w:val="clear"/>
            <w:tcMar>
              <w:top w:type="dxa" w:w="40"/>
              <w:left w:type="dxa" w:w="80"/>
              <w:bottom w:type="dxa" w:w="40"/>
              <w:right w:type="dxa" w:w="80"/>
            </w:tcMar>
          </w:tcPr>
          <w:p>
            <w:r>
              <w:rPr>
                <w:b/>
                <w:bCs/>
                <w:color w:val="FFFFFF"/>
                <w:sz w:val="18"/>
                <w:szCs w:val="18"/>
              </w:rPr>
              <w:t xml:space="preserve">Weight</w:t>
            </w:r>
          </w:p>
        </w:tc>
        <w:tc>
          <w:tcPr>
            <w:tcW w:type="dxa" w:w="1510"/>
            <w:shd w:fill="1B5E5E" w:val="clear"/>
            <w:tcMar>
              <w:top w:type="dxa" w:w="40"/>
              <w:left w:type="dxa" w:w="80"/>
              <w:bottom w:type="dxa" w:w="40"/>
              <w:right w:type="dxa" w:w="80"/>
            </w:tcMar>
          </w:tcPr>
          <w:p>
            <w:r>
              <w:rPr>
                <w:b/>
                <w:bCs/>
                <w:color w:val="FFFFFF"/>
                <w:sz w:val="18"/>
                <w:szCs w:val="18"/>
              </w:rPr>
              <w:t xml:space="preserve">Bear</w:t>
            </w:r>
          </w:p>
        </w:tc>
        <w:tc>
          <w:tcPr>
            <w:tcW w:type="dxa" w:w="1510"/>
            <w:shd w:fill="1B5E5E" w:val="clear"/>
            <w:tcMar>
              <w:top w:type="dxa" w:w="40"/>
              <w:left w:type="dxa" w:w="80"/>
              <w:bottom w:type="dxa" w:w="40"/>
              <w:right w:type="dxa" w:w="80"/>
            </w:tcMar>
          </w:tcPr>
          <w:p>
            <w:r>
              <w:rPr>
                <w:b/>
                <w:bCs/>
                <w:color w:val="FFFFFF"/>
                <w:sz w:val="18"/>
                <w:szCs w:val="18"/>
              </w:rPr>
              <w:t xml:space="preserve">Base</w:t>
            </w:r>
          </w:p>
        </w:tc>
        <w:tc>
          <w:tcPr>
            <w:tcW w:type="dxa" w:w="1510"/>
            <w:shd w:fill="1B5E5E" w:val="clear"/>
            <w:tcMar>
              <w:top w:type="dxa" w:w="40"/>
              <w:left w:type="dxa" w:w="80"/>
              <w:bottom w:type="dxa" w:w="40"/>
              <w:right w:type="dxa" w:w="80"/>
            </w:tcMar>
          </w:tcPr>
          <w:p>
            <w:r>
              <w:rPr>
                <w:b/>
                <w:bCs/>
                <w:color w:val="FFFFFF"/>
                <w:sz w:val="18"/>
                <w:szCs w:val="18"/>
              </w:rPr>
              <w:t xml:space="preserve">Bull</w:t>
            </w:r>
          </w:p>
        </w:tc>
      </w:tr>
      <w:tr>
        <w:tc>
          <w:tcPr>
            <w:tcW w:type="dxa" w:w="3320"/>
            <w:tcMar>
              <w:top w:type="dxa" w:w="40"/>
              <w:left w:type="dxa" w:w="80"/>
              <w:bottom w:type="dxa" w:w="40"/>
              <w:right w:type="dxa" w:w="80"/>
            </w:tcMar>
          </w:tcPr>
          <w:p>
            <w:r>
              <w:rPr>
                <w:b/>
                <w:bCs/>
                <w:sz w:val="18"/>
                <w:szCs w:val="18"/>
              </w:rPr>
              <w:t xml:space="preserve">Sum-of-the-parts</w:t>
            </w:r>
          </w:p>
        </w:tc>
        <w:tc>
          <w:tcPr>
            <w:tcW w:type="dxa" w:w="1510"/>
            <w:tcMar>
              <w:top w:type="dxa" w:w="40"/>
              <w:left w:type="dxa" w:w="80"/>
              <w:bottom w:type="dxa" w:w="40"/>
              <w:right w:type="dxa" w:w="80"/>
            </w:tcMar>
          </w:tcPr>
          <w:p>
            <w:r>
              <w:rPr>
                <w:b w:val="false"/>
                <w:bCs w:val="false"/>
                <w:sz w:val="18"/>
                <w:szCs w:val="18"/>
              </w:rPr>
              <w:t xml:space="preserve">40%</w:t>
            </w:r>
          </w:p>
        </w:tc>
        <w:tc>
          <w:tcPr>
            <w:tcW w:type="dxa" w:w="1510"/>
            <w:tcMar>
              <w:top w:type="dxa" w:w="40"/>
              <w:left w:type="dxa" w:w="80"/>
              <w:bottom w:type="dxa" w:w="40"/>
              <w:right w:type="dxa" w:w="80"/>
            </w:tcMar>
          </w:tcPr>
          <w:p>
            <w:r>
              <w:rPr>
                <w:b w:val="false"/>
                <w:bCs w:val="false"/>
                <w:sz w:val="18"/>
                <w:szCs w:val="18"/>
              </w:rPr>
              <w:t xml:space="preserve">83</w:t>
            </w:r>
          </w:p>
        </w:tc>
        <w:tc>
          <w:tcPr>
            <w:tcW w:type="dxa" w:w="1510"/>
            <w:tcMar>
              <w:top w:type="dxa" w:w="40"/>
              <w:left w:type="dxa" w:w="80"/>
              <w:bottom w:type="dxa" w:w="40"/>
              <w:right w:type="dxa" w:w="80"/>
            </w:tcMar>
          </w:tcPr>
          <w:p>
            <w:r>
              <w:rPr>
                <w:b w:val="false"/>
                <w:bCs w:val="false"/>
                <w:sz w:val="18"/>
                <w:szCs w:val="18"/>
              </w:rPr>
              <w:t xml:space="preserve">118</w:t>
            </w:r>
          </w:p>
        </w:tc>
        <w:tc>
          <w:tcPr>
            <w:tcW w:type="dxa" w:w="1510"/>
            <w:tcMar>
              <w:top w:type="dxa" w:w="40"/>
              <w:left w:type="dxa" w:w="80"/>
              <w:bottom w:type="dxa" w:w="40"/>
              <w:right w:type="dxa" w:w="80"/>
            </w:tcMar>
          </w:tcPr>
          <w:p>
            <w:r>
              <w:rPr>
                <w:b w:val="false"/>
                <w:bCs w:val="false"/>
                <w:sz w:val="18"/>
                <w:szCs w:val="18"/>
              </w:rPr>
              <w:t xml:space="preserve">158</w:t>
            </w:r>
          </w:p>
        </w:tc>
      </w:tr>
      <w:tr>
        <w:tc>
          <w:tcPr>
            <w:tcW w:type="dxa" w:w="3320"/>
            <w:tcMar>
              <w:top w:type="dxa" w:w="40"/>
              <w:left w:type="dxa" w:w="80"/>
              <w:bottom w:type="dxa" w:w="40"/>
              <w:right w:type="dxa" w:w="80"/>
            </w:tcMar>
          </w:tcPr>
          <w:p>
            <w:r>
              <w:rPr>
                <w:b/>
                <w:bCs/>
                <w:sz w:val="18"/>
                <w:szCs w:val="18"/>
              </w:rPr>
              <w:t xml:space="preserve">Core-FCFF DCF + stake</w:t>
            </w:r>
          </w:p>
        </w:tc>
        <w:tc>
          <w:tcPr>
            <w:tcW w:type="dxa" w:w="1510"/>
            <w:tcMar>
              <w:top w:type="dxa" w:w="40"/>
              <w:left w:type="dxa" w:w="80"/>
              <w:bottom w:type="dxa" w:w="40"/>
              <w:right w:type="dxa" w:w="80"/>
            </w:tcMar>
          </w:tcPr>
          <w:p>
            <w:r>
              <w:rPr>
                <w:b w:val="false"/>
                <w:bCs w:val="false"/>
                <w:sz w:val="18"/>
                <w:szCs w:val="18"/>
              </w:rPr>
              <w:t xml:space="preserve">20%</w:t>
            </w:r>
          </w:p>
        </w:tc>
        <w:tc>
          <w:tcPr>
            <w:tcW w:type="dxa" w:w="1510"/>
            <w:tcMar>
              <w:top w:type="dxa" w:w="40"/>
              <w:left w:type="dxa" w:w="80"/>
              <w:bottom w:type="dxa" w:w="40"/>
              <w:right w:type="dxa" w:w="80"/>
            </w:tcMar>
          </w:tcPr>
          <w:p>
            <w:r>
              <w:rPr>
                <w:b w:val="false"/>
                <w:bCs w:val="false"/>
                <w:sz w:val="18"/>
                <w:szCs w:val="18"/>
              </w:rPr>
              <w:t xml:space="preserve">70</w:t>
            </w:r>
          </w:p>
        </w:tc>
        <w:tc>
          <w:tcPr>
            <w:tcW w:type="dxa" w:w="1510"/>
            <w:tcMar>
              <w:top w:type="dxa" w:w="40"/>
              <w:left w:type="dxa" w:w="80"/>
              <w:bottom w:type="dxa" w:w="40"/>
              <w:right w:type="dxa" w:w="80"/>
            </w:tcMar>
          </w:tcPr>
          <w:p>
            <w:r>
              <w:rPr>
                <w:b w:val="false"/>
                <w:bCs w:val="false"/>
                <w:sz w:val="18"/>
                <w:szCs w:val="18"/>
              </w:rPr>
              <w:t xml:space="preserve">107</w:t>
            </w:r>
          </w:p>
        </w:tc>
        <w:tc>
          <w:tcPr>
            <w:tcW w:type="dxa" w:w="1510"/>
            <w:tcMar>
              <w:top w:type="dxa" w:w="40"/>
              <w:left w:type="dxa" w:w="80"/>
              <w:bottom w:type="dxa" w:w="40"/>
              <w:right w:type="dxa" w:w="80"/>
            </w:tcMar>
          </w:tcPr>
          <w:p>
            <w:r>
              <w:rPr>
                <w:b w:val="false"/>
                <w:bCs w:val="false"/>
                <w:sz w:val="18"/>
                <w:szCs w:val="18"/>
              </w:rPr>
              <w:t xml:space="preserve">154</w:t>
            </w:r>
          </w:p>
        </w:tc>
      </w:tr>
      <w:tr>
        <w:tc>
          <w:tcPr>
            <w:tcW w:type="dxa" w:w="3320"/>
            <w:tcMar>
              <w:top w:type="dxa" w:w="40"/>
              <w:left w:type="dxa" w:w="80"/>
              <w:bottom w:type="dxa" w:w="40"/>
              <w:right w:type="dxa" w:w="80"/>
            </w:tcMar>
          </w:tcPr>
          <w:p>
            <w:r>
              <w:rPr>
                <w:b/>
                <w:bCs/>
                <w:sz w:val="18"/>
                <w:szCs w:val="18"/>
              </w:rPr>
              <w:t xml:space="preserve">Relative multiples</w:t>
            </w:r>
          </w:p>
        </w:tc>
        <w:tc>
          <w:tcPr>
            <w:tcW w:type="dxa" w:w="1510"/>
            <w:tcMar>
              <w:top w:type="dxa" w:w="40"/>
              <w:left w:type="dxa" w:w="80"/>
              <w:bottom w:type="dxa" w:w="40"/>
              <w:right w:type="dxa" w:w="80"/>
            </w:tcMar>
          </w:tcPr>
          <w:p>
            <w:r>
              <w:rPr>
                <w:b w:val="false"/>
                <w:bCs w:val="false"/>
                <w:sz w:val="18"/>
                <w:szCs w:val="18"/>
              </w:rPr>
              <w:t xml:space="preserve">15%</w:t>
            </w:r>
          </w:p>
        </w:tc>
        <w:tc>
          <w:tcPr>
            <w:tcW w:type="dxa" w:w="1510"/>
            <w:tcMar>
              <w:top w:type="dxa" w:w="40"/>
              <w:left w:type="dxa" w:w="80"/>
              <w:bottom w:type="dxa" w:w="40"/>
              <w:right w:type="dxa" w:w="80"/>
            </w:tcMar>
          </w:tcPr>
          <w:p>
            <w:r>
              <w:rPr>
                <w:b w:val="false"/>
                <w:bCs w:val="false"/>
                <w:sz w:val="18"/>
                <w:szCs w:val="18"/>
              </w:rPr>
              <w:t xml:space="preserve">78</w:t>
            </w:r>
          </w:p>
        </w:tc>
        <w:tc>
          <w:tcPr>
            <w:tcW w:type="dxa" w:w="1510"/>
            <w:tcMar>
              <w:top w:type="dxa" w:w="40"/>
              <w:left w:type="dxa" w:w="80"/>
              <w:bottom w:type="dxa" w:w="40"/>
              <w:right w:type="dxa" w:w="80"/>
            </w:tcMar>
          </w:tcPr>
          <w:p>
            <w:r>
              <w:rPr>
                <w:b w:val="false"/>
                <w:bCs w:val="false"/>
                <w:sz w:val="18"/>
                <w:szCs w:val="18"/>
              </w:rPr>
              <w:t xml:space="preserve">103</w:t>
            </w:r>
          </w:p>
        </w:tc>
        <w:tc>
          <w:tcPr>
            <w:tcW w:type="dxa" w:w="1510"/>
            <w:tcMar>
              <w:top w:type="dxa" w:w="40"/>
              <w:left w:type="dxa" w:w="80"/>
              <w:bottom w:type="dxa" w:w="40"/>
              <w:right w:type="dxa" w:w="80"/>
            </w:tcMar>
          </w:tcPr>
          <w:p>
            <w:r>
              <w:rPr>
                <w:b w:val="false"/>
                <w:bCs w:val="false"/>
                <w:sz w:val="18"/>
                <w:szCs w:val="18"/>
              </w:rPr>
              <w:t xml:space="preserve">142</w:t>
            </w:r>
          </w:p>
        </w:tc>
      </w:tr>
      <w:tr>
        <w:tc>
          <w:tcPr>
            <w:tcW w:type="dxa" w:w="3320"/>
            <w:tcMar>
              <w:top w:type="dxa" w:w="40"/>
              <w:left w:type="dxa" w:w="80"/>
              <w:bottom w:type="dxa" w:w="40"/>
              <w:right w:type="dxa" w:w="80"/>
            </w:tcMar>
          </w:tcPr>
          <w:p>
            <w:r>
              <w:rPr>
                <w:b/>
                <w:bCs/>
                <w:sz w:val="18"/>
                <w:szCs w:val="18"/>
              </w:rPr>
              <w:t xml:space="preserve">Normalized earnings</w:t>
            </w:r>
          </w:p>
        </w:tc>
        <w:tc>
          <w:tcPr>
            <w:tcW w:type="dxa" w:w="1510"/>
            <w:tcMar>
              <w:top w:type="dxa" w:w="40"/>
              <w:left w:type="dxa" w:w="80"/>
              <w:bottom w:type="dxa" w:w="40"/>
              <w:right w:type="dxa" w:w="80"/>
            </w:tcMar>
          </w:tcPr>
          <w:p>
            <w:r>
              <w:rPr>
                <w:b w:val="false"/>
                <w:bCs w:val="false"/>
                <w:sz w:val="18"/>
                <w:szCs w:val="18"/>
              </w:rPr>
              <w:t xml:space="preserve">25%</w:t>
            </w:r>
          </w:p>
        </w:tc>
        <w:tc>
          <w:tcPr>
            <w:tcW w:type="dxa" w:w="1510"/>
            <w:tcMar>
              <w:top w:type="dxa" w:w="40"/>
              <w:left w:type="dxa" w:w="80"/>
              <w:bottom w:type="dxa" w:w="40"/>
              <w:right w:type="dxa" w:w="80"/>
            </w:tcMar>
          </w:tcPr>
          <w:p>
            <w:r>
              <w:rPr>
                <w:b w:val="false"/>
                <w:bCs w:val="false"/>
                <w:sz w:val="18"/>
                <w:szCs w:val="18"/>
              </w:rPr>
              <w:t xml:space="preserve">92</w:t>
            </w:r>
          </w:p>
        </w:tc>
        <w:tc>
          <w:tcPr>
            <w:tcW w:type="dxa" w:w="1510"/>
            <w:tcMar>
              <w:top w:type="dxa" w:w="40"/>
              <w:left w:type="dxa" w:w="80"/>
              <w:bottom w:type="dxa" w:w="40"/>
              <w:right w:type="dxa" w:w="80"/>
            </w:tcMar>
          </w:tcPr>
          <w:p>
            <w:r>
              <w:rPr>
                <w:b w:val="false"/>
                <w:bCs w:val="false"/>
                <w:sz w:val="18"/>
                <w:szCs w:val="18"/>
              </w:rPr>
              <w:t xml:space="preserve">134</w:t>
            </w:r>
          </w:p>
        </w:tc>
        <w:tc>
          <w:tcPr>
            <w:tcW w:type="dxa" w:w="1510"/>
            <w:tcMar>
              <w:top w:type="dxa" w:w="40"/>
              <w:left w:type="dxa" w:w="80"/>
              <w:bottom w:type="dxa" w:w="40"/>
              <w:right w:type="dxa" w:w="80"/>
            </w:tcMar>
          </w:tcPr>
          <w:p>
            <w:r>
              <w:rPr>
                <w:b w:val="false"/>
                <w:bCs w:val="false"/>
                <w:sz w:val="18"/>
                <w:szCs w:val="18"/>
              </w:rPr>
              <w:t xml:space="preserve">179</w:t>
            </w:r>
          </w:p>
        </w:tc>
      </w:tr>
      <w:tr>
        <w:tc>
          <w:tcPr>
            <w:tcW w:type="dxa" w:w="3320"/>
            <w:tcMar>
              <w:top w:type="dxa" w:w="40"/>
              <w:left w:type="dxa" w:w="80"/>
              <w:bottom w:type="dxa" w:w="40"/>
              <w:right w:type="dxa" w:w="80"/>
            </w:tcMar>
          </w:tcPr>
          <w:p>
            <w:r>
              <w:rPr>
                <w:b/>
                <w:bCs/>
                <w:sz w:val="18"/>
                <w:szCs w:val="18"/>
              </w:rPr>
              <w:t xml:space="preserve">Weighted central</w:t>
            </w:r>
          </w:p>
        </w:tc>
        <w:tc>
          <w:tcPr>
            <w:tcW w:type="dxa" w:w="1510"/>
            <w:tcMar>
              <w:top w:type="dxa" w:w="40"/>
              <w:left w:type="dxa" w:w="80"/>
              <w:bottom w:type="dxa" w:w="40"/>
              <w:right w:type="dxa" w:w="80"/>
            </w:tcMar>
          </w:tcPr>
          <w:p/>
        </w:tc>
        <w:tc>
          <w:tcPr>
            <w:tcW w:type="dxa" w:w="1510"/>
            <w:tcMar>
              <w:top w:type="dxa" w:w="40"/>
              <w:left w:type="dxa" w:w="80"/>
              <w:bottom w:type="dxa" w:w="40"/>
              <w:right w:type="dxa" w:w="80"/>
            </w:tcMar>
          </w:tcPr>
          <w:p>
            <w:r>
              <w:rPr>
                <w:b w:val="false"/>
                <w:bCs w:val="false"/>
                <w:sz w:val="18"/>
                <w:szCs w:val="18"/>
              </w:rPr>
              <w:t xml:space="preserve">82</w:t>
            </w:r>
          </w:p>
        </w:tc>
        <w:tc>
          <w:tcPr>
            <w:tcW w:type="dxa" w:w="1510"/>
            <w:tcMar>
              <w:top w:type="dxa" w:w="40"/>
              <w:left w:type="dxa" w:w="80"/>
              <w:bottom w:type="dxa" w:w="40"/>
              <w:right w:type="dxa" w:w="80"/>
            </w:tcMar>
          </w:tcPr>
          <w:p>
            <w:r>
              <w:rPr>
                <w:b w:val="false"/>
                <w:bCs w:val="false"/>
                <w:sz w:val="18"/>
                <w:szCs w:val="18"/>
              </w:rPr>
              <w:t xml:space="preserve">118</w:t>
            </w:r>
          </w:p>
        </w:tc>
        <w:tc>
          <w:tcPr>
            <w:tcW w:type="dxa" w:w="1510"/>
            <w:tcMar>
              <w:top w:type="dxa" w:w="40"/>
              <w:left w:type="dxa" w:w="80"/>
              <w:bottom w:type="dxa" w:w="40"/>
              <w:right w:type="dxa" w:w="80"/>
            </w:tcMar>
          </w:tcPr>
          <w:p>
            <w:r>
              <w:rPr>
                <w:b w:val="false"/>
                <w:bCs w:val="false"/>
                <w:sz w:val="18"/>
                <w:szCs w:val="18"/>
              </w:rPr>
              <w:t xml:space="preserve">160</w:t>
            </w:r>
          </w:p>
        </w:tc>
      </w:tr>
    </w:tbl>
    <w:p>
      <w:pPr>
        <w:spacing w:after="120"/>
      </w:pPr>
    </w:p>
    <w:p>
      <w:pPr>
        <w:spacing w:before="12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spacing w:after="180" w:before="60"/>
      </w:pPr>
      <w:r>
        <w:rPr>
          <w:i/>
          <w:iCs/>
          <w:color w:val="666666"/>
          <w:sz w:val="18"/>
          <w:szCs w:val="18"/>
        </w:rPr>
        <w:t xml:space="preserve">Figure 1 — Valuation football field. Bars span bear–bull per lens; the brass tick is each base case; the gold band is the blended central range; the dark line is spot.</w:t>
      </w:r>
    </w:p>
    <w:p>
      <w:pPr>
        <w:spacing w:after="140"/>
      </w:pPr>
      <w:r>
        <w:rPr>
          <w:b/>
          <w:bCs/>
        </w:rPr>
        <w:t xml:space="preserve">Central fair value ≈ EGP 118/share</w:t>
      </w:r>
      <w:r>
        <w:t xml:space="preserve">, about 27% above spot. The spread of the lenses (EGP 103 to 134 at base) is itself the message: even the floor lens sits above price, so the question the market is asking is not whether the parts are worth more than EGP 92.6, but whether a 70% state-owned wrapper around an unlisted associate ever gets paid for them.</w:t>
      </w:r>
    </w:p>
    <w:p>
      <w:pPr>
        <w:pStyle w:val="Heading2"/>
        <w:spacing w:after="110" w:before="220"/>
      </w:pPr>
      <w:r>
        <w:t xml:space="preserve">1.6  The two value engines — a deeper look</w:t>
      </w:r>
    </w:p>
    <w:p>
      <w:pPr>
        <w:spacing w:after="140"/>
      </w:pPr>
      <w:r>
        <w:t xml:space="preserve">The core (FY25: revenue EGP 106.7bn, EBITDA 45%, cash capex 28% of sales, ~14.1mn fixed-voice, 11.1mn fixed-broadband and 15.5mn WE mobile customers) is really two businesses. Retail — Home &amp; Consumer plus Enterprise, EGP 61.9bn — is the EGP-denominated engine: data revenue grew 46% in FY25 and the NTRA's mid-2026 tariff round adds 13–15% of headroom on top. Wholesale and international — EGP 44.8bn across domestic infrastructure, International Carrier Affairs and IC&amp;N — is the hard-currency engine: international incoming calls printed EGP 13.1bn (+30%), subsea-cable projects +31%, and the October-2024 EGP 30bn infrastructure agreements with Vodafone Egypt run to 2034. The third engine never touches the P&amp;L above the investment-income line: the 45% of Vodafone Egypt, whose contribution rose 71% to EGP 14.8bn and whose dividends (EGP 3.1bn net in 2024) are becoming a real cash stream. The table scores each on the axes that matter.</w:t>
      </w:r>
    </w:p>
    <w:tbl>
      <w:tblPr>
        <w:tblW w:type="dxa" w:w="10360"/>
        <w:tblBorders>
          <w:top w:val="single" w:color="D9E2E2" w:sz="4"/>
          <w:left w:val="single" w:color="D9E2E2" w:sz="4"/>
          <w:bottom w:val="single" w:color="D9E2E2" w:sz="4"/>
          <w:right w:val="single" w:color="D9E2E2" w:sz="4"/>
          <w:insideH w:val="single" w:color="D9E2E2" w:sz="4"/>
          <w:insideV w:val="single" w:color="D9E2E2" w:sz="4"/>
        </w:tblBorders>
      </w:tblPr>
      <w:tblGrid>
        <w:gridCol w:w="2700"/>
        <w:gridCol w:w="2280"/>
        <w:gridCol w:w="1820"/>
        <w:gridCol w:w="1820"/>
        <w:gridCol w:w="1740"/>
      </w:tblGrid>
      <w:tr>
        <w:tc>
          <w:tcPr>
            <w:tcW w:type="dxa" w:w="2700"/>
            <w:shd w:fill="1B5E5E" w:val="clear"/>
            <w:tcMar>
              <w:top w:type="dxa" w:w="40"/>
              <w:left w:type="dxa" w:w="80"/>
              <w:bottom w:type="dxa" w:w="40"/>
              <w:right w:type="dxa" w:w="80"/>
            </w:tcMar>
          </w:tcPr>
          <w:p>
            <w:r>
              <w:rPr>
                <w:b/>
                <w:bCs/>
                <w:color w:val="FFFFFF"/>
                <w:sz w:val="18"/>
                <w:szCs w:val="18"/>
              </w:rPr>
              <w:t xml:space="preserve">Part</w:t>
            </w:r>
          </w:p>
        </w:tc>
        <w:tc>
          <w:tcPr>
            <w:tcW w:type="dxa" w:w="2280"/>
            <w:shd w:fill="1B5E5E" w:val="clear"/>
            <w:tcMar>
              <w:top w:type="dxa" w:w="40"/>
              <w:left w:type="dxa" w:w="80"/>
              <w:bottom w:type="dxa" w:w="40"/>
              <w:right w:type="dxa" w:w="80"/>
            </w:tcMar>
          </w:tcPr>
          <w:p>
            <w:r>
              <w:rPr>
                <w:b/>
                <w:bCs/>
                <w:color w:val="FFFFFF"/>
                <w:sz w:val="18"/>
                <w:szCs w:val="18"/>
              </w:rPr>
              <w:t xml:space="preserve">Growth</w:t>
            </w:r>
          </w:p>
        </w:tc>
        <w:tc>
          <w:tcPr>
            <w:tcW w:type="dxa" w:w="1820"/>
            <w:shd w:fill="1B5E5E" w:val="clear"/>
            <w:tcMar>
              <w:top w:type="dxa" w:w="40"/>
              <w:left w:type="dxa" w:w="80"/>
              <w:bottom w:type="dxa" w:w="40"/>
              <w:right w:type="dxa" w:w="80"/>
            </w:tcMar>
          </w:tcPr>
          <w:p>
            <w:r>
              <w:rPr>
                <w:b/>
                <w:bCs/>
                <w:color w:val="FFFFFF"/>
                <w:sz w:val="18"/>
                <w:szCs w:val="18"/>
              </w:rPr>
              <w:t xml:space="preserve">FX sensitivity</w:t>
            </w:r>
          </w:p>
        </w:tc>
        <w:tc>
          <w:tcPr>
            <w:tcW w:type="dxa" w:w="1820"/>
            <w:shd w:fill="1B5E5E" w:val="clear"/>
            <w:tcMar>
              <w:top w:type="dxa" w:w="40"/>
              <w:left w:type="dxa" w:w="80"/>
              <w:bottom w:type="dxa" w:w="40"/>
              <w:right w:type="dxa" w:w="80"/>
            </w:tcMar>
          </w:tcPr>
          <w:p>
            <w:r>
              <w:rPr>
                <w:b/>
                <w:bCs/>
                <w:color w:val="FFFFFF"/>
                <w:sz w:val="18"/>
                <w:szCs w:val="18"/>
              </w:rPr>
              <w:t xml:space="preserve">Capital intensity</w:t>
            </w:r>
          </w:p>
        </w:tc>
        <w:tc>
          <w:tcPr>
            <w:tcW w:type="dxa" w:w="1740"/>
            <w:shd w:fill="1B5E5E" w:val="clear"/>
            <w:tcMar>
              <w:top w:type="dxa" w:w="40"/>
              <w:left w:type="dxa" w:w="80"/>
              <w:bottom w:type="dxa" w:w="40"/>
              <w:right w:type="dxa" w:w="80"/>
            </w:tcMar>
          </w:tcPr>
          <w:p>
            <w:r>
              <w:rPr>
                <w:b/>
                <w:bCs/>
                <w:color w:val="FFFFFF"/>
                <w:sz w:val="18"/>
                <w:szCs w:val="18"/>
              </w:rPr>
              <w:t xml:space="preserve">Swing role</w:t>
            </w:r>
          </w:p>
        </w:tc>
      </w:tr>
      <w:tr>
        <w:tc>
          <w:tcPr>
            <w:tcW w:type="dxa" w:w="2700"/>
            <w:tcMar>
              <w:top w:type="dxa" w:w="40"/>
              <w:left w:type="dxa" w:w="80"/>
              <w:bottom w:type="dxa" w:w="40"/>
              <w:right w:type="dxa" w:w="80"/>
            </w:tcMar>
          </w:tcPr>
          <w:p>
            <w:r>
              <w:rPr>
                <w:b/>
                <w:bCs/>
                <w:sz w:val="18"/>
                <w:szCs w:val="18"/>
              </w:rPr>
              <w:t xml:space="preserve">Core retail (H&amp;C + Enterprise)</w:t>
            </w:r>
          </w:p>
        </w:tc>
        <w:tc>
          <w:tcPr>
            <w:tcW w:type="dxa" w:w="2280"/>
            <w:tcMar>
              <w:top w:type="dxa" w:w="40"/>
              <w:left w:type="dxa" w:w="80"/>
              <w:bottom w:type="dxa" w:w="40"/>
              <w:right w:type="dxa" w:w="80"/>
            </w:tcMar>
          </w:tcPr>
          <w:p>
            <w:r>
              <w:rPr>
                <w:b w:val="false"/>
                <w:bCs w:val="false"/>
                <w:sz w:val="18"/>
                <w:szCs w:val="18"/>
              </w:rPr>
              <w:t xml:space="preserve">High — data +46%, tariff round ahead</w:t>
            </w:r>
          </w:p>
        </w:tc>
        <w:tc>
          <w:tcPr>
            <w:tcW w:type="dxa" w:w="1820"/>
            <w:tcMar>
              <w:top w:type="dxa" w:w="40"/>
              <w:left w:type="dxa" w:w="80"/>
              <w:bottom w:type="dxa" w:w="40"/>
              <w:right w:type="dxa" w:w="80"/>
            </w:tcMar>
          </w:tcPr>
          <w:p>
            <w:r>
              <w:rPr>
                <w:b w:val="false"/>
                <w:bCs w:val="false"/>
                <w:sz w:val="18"/>
                <w:szCs w:val="18"/>
              </w:rPr>
              <w:t xml:space="preserve">Low (EGP-priced)</w:t>
            </w:r>
          </w:p>
        </w:tc>
        <w:tc>
          <w:tcPr>
            <w:tcW w:type="dxa" w:w="1820"/>
            <w:tcMar>
              <w:top w:type="dxa" w:w="40"/>
              <w:left w:type="dxa" w:w="80"/>
              <w:bottom w:type="dxa" w:w="40"/>
              <w:right w:type="dxa" w:w="80"/>
            </w:tcMar>
          </w:tcPr>
          <w:p>
            <w:r>
              <w:rPr>
                <w:b w:val="false"/>
                <w:bCs w:val="false"/>
                <w:sz w:val="18"/>
                <w:szCs w:val="18"/>
              </w:rPr>
              <w:t xml:space="preserve">High (fibre, 5G rollout)</w:t>
            </w:r>
          </w:p>
        </w:tc>
        <w:tc>
          <w:tcPr>
            <w:tcW w:type="dxa" w:w="1740"/>
            <w:tcMar>
              <w:top w:type="dxa" w:w="40"/>
              <w:left w:type="dxa" w:w="80"/>
              <w:bottom w:type="dxa" w:w="40"/>
              <w:right w:type="dxa" w:w="80"/>
            </w:tcMar>
          </w:tcPr>
          <w:p>
            <w:r>
              <w:rPr>
                <w:b w:val="false"/>
                <w:bCs w:val="false"/>
                <w:sz w:val="18"/>
                <w:szCs w:val="18"/>
              </w:rPr>
              <w:t xml:space="preserve">Cash engine</w:t>
            </w:r>
          </w:p>
        </w:tc>
      </w:tr>
      <w:tr>
        <w:tc>
          <w:tcPr>
            <w:tcW w:type="dxa" w:w="2700"/>
            <w:tcMar>
              <w:top w:type="dxa" w:w="40"/>
              <w:left w:type="dxa" w:w="80"/>
              <w:bottom w:type="dxa" w:w="40"/>
              <w:right w:type="dxa" w:w="80"/>
            </w:tcMar>
          </w:tcPr>
          <w:p>
            <w:r>
              <w:rPr>
                <w:b/>
                <w:bCs/>
                <w:sz w:val="18"/>
                <w:szCs w:val="18"/>
              </w:rPr>
              <w:t xml:space="preserve">Core wholesale &amp; int’l</w:t>
            </w:r>
          </w:p>
        </w:tc>
        <w:tc>
          <w:tcPr>
            <w:tcW w:type="dxa" w:w="2280"/>
            <w:tcMar>
              <w:top w:type="dxa" w:w="40"/>
              <w:left w:type="dxa" w:w="80"/>
              <w:bottom w:type="dxa" w:w="40"/>
              <w:right w:type="dxa" w:w="80"/>
            </w:tcMar>
          </w:tcPr>
          <w:p>
            <w:r>
              <w:rPr>
                <w:b w:val="false"/>
                <w:bCs w:val="false"/>
                <w:sz w:val="18"/>
                <w:szCs w:val="18"/>
              </w:rPr>
              <w:t xml:space="preserve">High — IIC +30%, cables +31%</w:t>
            </w:r>
          </w:p>
        </w:tc>
        <w:tc>
          <w:tcPr>
            <w:tcW w:type="dxa" w:w="1820"/>
            <w:tcMar>
              <w:top w:type="dxa" w:w="40"/>
              <w:left w:type="dxa" w:w="80"/>
              <w:bottom w:type="dxa" w:w="40"/>
              <w:right w:type="dxa" w:w="80"/>
            </w:tcMar>
          </w:tcPr>
          <w:p>
            <w:r>
              <w:rPr>
                <w:b w:val="false"/>
                <w:bCs w:val="false"/>
                <w:sz w:val="18"/>
                <w:szCs w:val="18"/>
              </w:rPr>
              <w:t xml:space="preserve">High (USD-linked)</w:t>
            </w:r>
          </w:p>
        </w:tc>
        <w:tc>
          <w:tcPr>
            <w:tcW w:type="dxa" w:w="1820"/>
            <w:tcMar>
              <w:top w:type="dxa" w:w="40"/>
              <w:left w:type="dxa" w:w="80"/>
              <w:bottom w:type="dxa" w:w="40"/>
              <w:right w:type="dxa" w:w="80"/>
            </w:tcMar>
          </w:tcPr>
          <w:p>
            <w:r>
              <w:rPr>
                <w:b w:val="false"/>
                <w:bCs w:val="false"/>
                <w:sz w:val="18"/>
                <w:szCs w:val="18"/>
              </w:rPr>
              <w:t xml:space="preserve">Moderate</w:t>
            </w:r>
          </w:p>
        </w:tc>
        <w:tc>
          <w:tcPr>
            <w:tcW w:type="dxa" w:w="1740"/>
            <w:tcMar>
              <w:top w:type="dxa" w:w="40"/>
              <w:left w:type="dxa" w:w="80"/>
              <w:bottom w:type="dxa" w:w="40"/>
              <w:right w:type="dxa" w:w="80"/>
            </w:tcMar>
          </w:tcPr>
          <w:p>
            <w:r>
              <w:rPr>
                <w:b w:val="false"/>
                <w:bCs w:val="false"/>
                <w:sz w:val="18"/>
                <w:szCs w:val="18"/>
              </w:rPr>
              <w:t xml:space="preserve">Growth + natural FX hedge</w:t>
            </w:r>
          </w:p>
        </w:tc>
      </w:tr>
      <w:tr>
        <w:tc>
          <w:tcPr>
            <w:tcW w:type="dxa" w:w="2700"/>
            <w:tcMar>
              <w:top w:type="dxa" w:w="40"/>
              <w:left w:type="dxa" w:w="80"/>
              <w:bottom w:type="dxa" w:w="40"/>
              <w:right w:type="dxa" w:w="80"/>
            </w:tcMar>
          </w:tcPr>
          <w:p>
            <w:r>
              <w:rPr>
                <w:b/>
                <w:bCs/>
                <w:sz w:val="18"/>
                <w:szCs w:val="18"/>
              </w:rPr>
              <w:t xml:space="preserve">Vodafone Egypt, 45%</w:t>
            </w:r>
          </w:p>
        </w:tc>
        <w:tc>
          <w:tcPr>
            <w:tcW w:type="dxa" w:w="2280"/>
            <w:tcMar>
              <w:top w:type="dxa" w:w="40"/>
              <w:left w:type="dxa" w:w="80"/>
              <w:bottom w:type="dxa" w:w="40"/>
              <w:right w:type="dxa" w:w="80"/>
            </w:tcMar>
          </w:tcPr>
          <w:p>
            <w:r>
              <w:rPr>
                <w:b w:val="false"/>
                <w:bCs w:val="false"/>
                <w:sz w:val="18"/>
                <w:szCs w:val="18"/>
              </w:rPr>
              <w:t xml:space="preserve">High — income +71% FY25</w:t>
            </w:r>
          </w:p>
        </w:tc>
        <w:tc>
          <w:tcPr>
            <w:tcW w:type="dxa" w:w="1820"/>
            <w:tcMar>
              <w:top w:type="dxa" w:w="40"/>
              <w:left w:type="dxa" w:w="80"/>
              <w:bottom w:type="dxa" w:w="40"/>
              <w:right w:type="dxa" w:w="80"/>
            </w:tcMar>
          </w:tcPr>
          <w:p>
            <w:r>
              <w:rPr>
                <w:b w:val="false"/>
                <w:bCs w:val="false"/>
                <w:sz w:val="18"/>
                <w:szCs w:val="18"/>
              </w:rPr>
              <w:t xml:space="preserve">Moderate</w:t>
            </w:r>
          </w:p>
        </w:tc>
        <w:tc>
          <w:tcPr>
            <w:tcW w:type="dxa" w:w="1820"/>
            <w:tcMar>
              <w:top w:type="dxa" w:w="40"/>
              <w:left w:type="dxa" w:w="80"/>
              <w:bottom w:type="dxa" w:w="40"/>
              <w:right w:type="dxa" w:w="80"/>
            </w:tcMar>
          </w:tcPr>
          <w:p>
            <w:r>
              <w:rPr>
                <w:b w:val="false"/>
                <w:bCs w:val="false"/>
                <w:sz w:val="18"/>
                <w:szCs w:val="18"/>
              </w:rPr>
              <w:t xml:space="preserve">Nil to TE (associate)</w:t>
            </w:r>
          </w:p>
        </w:tc>
        <w:tc>
          <w:tcPr>
            <w:tcW w:type="dxa" w:w="1740"/>
            <w:tcMar>
              <w:top w:type="dxa" w:w="40"/>
              <w:left w:type="dxa" w:w="80"/>
              <w:bottom w:type="dxa" w:w="40"/>
              <w:right w:type="dxa" w:w="80"/>
            </w:tcMar>
          </w:tcPr>
          <w:p>
            <w:r>
              <w:rPr>
                <w:b w:val="false"/>
                <w:bCs w:val="false"/>
                <w:sz w:val="18"/>
                <w:szCs w:val="18"/>
              </w:rPr>
              <w:t xml:space="preserve">Dominant value swing</w:t>
            </w:r>
          </w:p>
        </w:tc>
      </w:tr>
    </w:tbl>
    <w:p>
      <w:pPr>
        <w:spacing w:after="120"/>
      </w:pPr>
    </w:p>
    <w:p>
      <w:pPr>
        <w:pStyle w:val="Heading2"/>
        <w:spacing w:after="110" w:before="220"/>
      </w:pPr>
      <w:r>
        <w:t xml:space="preserve">1.7  The VFE mark and the wrapper discount — the crux</w:t>
      </w:r>
    </w:p>
    <w:p>
      <w:pPr>
        <w:spacing w:after="140"/>
      </w:pPr>
      <w:r>
        <w:t xml:space="preserve">Two judgments drive the valuation more than any other. First, </w:t>
      </w:r>
      <w:r>
        <w:rPr>
          <w:b/>
          <w:bCs/>
        </w:rPr>
        <w:t xml:space="preserve">what the unlisted 45% of Vodafone Egypt is worth</w:t>
      </w:r>
      <w:r>
        <w:t xml:space="preserve">. There is one hard data point — Vodacom's 2022 purchase of the 55% at ~US$2.7bn, grossing to ~US$5.0bn — and one soft series: the income line ETEL books, which has compounded from EGP 5.3bn (FY23) to 8.7bn (FY24) to 14.8bn (FY25). Our 8.0× mark values the whole of VFE at EGP 263bn, about 7% above the FX-translated deal price despite profits having roughly tripled since; every 1.0× on that multiple moves the SOTP by roughly EGP 7.4/share post-discount. Second, </w:t>
      </w:r>
      <w:r>
        <w:rPr>
          <w:b/>
          <w:bCs/>
        </w:rPr>
        <w:t xml:space="preserve">the discount on the wrapper</w:t>
      </w:r>
      <w:r>
        <w:t xml:space="preserve">: a 70% Ministry-of-Finance holding, an associate stake with no control and no listing, a divestment programme that periodically hangs supply over the float, and a payout ratio of only ~13% all argue for one; the question is size. We apply 15%; the market at spot implies ~33%. Every five points of discount is worth about EGP 7.0/share. The two obvious narrowing mechanisms are both live: a VFE monetization or listing would turn the soft mark into a hard one, and a rising dividend (payout guided upward as leverage falls through 1.3×) shrinks the penalty for minority status. The symmetric risk is that a state placement is done at a discount and resets the anchor lower — 2023's 9.5% sale cleared at EGP 23.11.</w:t>
      </w:r>
    </w:p>
    <w:p>
      <w:pPr>
        <w:pStyle w:val="Heading2"/>
        <w:spacing w:after="110" w:before="220"/>
      </w:pPr>
      <w:r>
        <w:t xml:space="preserve">1.8  Macro and country — the pound, the CBE, the regulator and the canal</w:t>
      </w:r>
    </w:p>
    <w:p>
      <w:pPr>
        <w:spacing w:after="140"/>
      </w:pPr>
      <w:r>
        <w:t xml:space="preserve">ETEL is a rare EGX name that is hedged on both sides of the Egyptian macro question. </w:t>
      </w:r>
      <w:r>
        <w:rPr>
          <w:b/>
          <w:bCs/>
        </w:rPr>
        <w:t xml:space="preserve">The pound</w:t>
      </w:r>
      <w:r>
        <w:t xml:space="preserve"> cuts both ways: the 2022–24 devaluations that took USD/EGP from 15.7 to ~50 repriced its USD-linked wholesale revenue upward (and its USD debt with it — gross debt rose 64% in FY24 on revaluation alone), while 2026's appreciation to 49.1 (from a February peak near 54.9) has done the reverse, generating EGP 5.3bn of non-cash FX losses in Q1 alone even as it deflates the dollar debt. </w:t>
      </w:r>
      <w:r>
        <w:rPr>
          <w:b/>
          <w:bCs/>
        </w:rPr>
        <w:t xml:space="preserve">The CBE's easing cycle</w:t>
      </w:r>
      <w:r>
        <w:t xml:space="preserve"> is a clean tailwind: interest expense fell 25% YoY in Q1-26 and every further cut flows almost directly to the pre-tax line of a company carrying ~EGP 74bn of gross debt. </w:t>
      </w:r>
      <w:r>
        <w:rPr>
          <w:b/>
          <w:bCs/>
        </w:rPr>
        <w:t xml:space="preserve">The regulator</w:t>
      </w:r>
      <w:r>
        <w:t xml:space="preserve"> turned from headwind to tailwind in May 2026, approving 13–15% adjustments on fixed broadband and mobile prices — management now expects to exceed its own FY26 guidance — and the 2026–2030 National Spectrum Strategy frames the next network cycle. </w:t>
      </w:r>
      <w:r>
        <w:rPr>
          <w:b/>
          <w:bCs/>
        </w:rPr>
        <w:t xml:space="preserve">The geography</w:t>
      </w:r>
      <w:r>
        <w:t xml:space="preserve"> is the quiet fourth factor: the Suez corridor carries a dominant share of Europe–Asia data traffic, Red Sea security incidents cut both ways (repair risk against scarcity pricing of intact capacity), and Egypt's IMF-anchored programme keeps the sovereign backdrop — and the divestment pipeline that may include more ETEL paper — in play. These levers set the bear and bull cases in §1.5 and the catalysts in §5.</w:t>
      </w:r>
    </w:p>
    <w:p>
      <w:pPr>
        <w:pStyle w:val="Heading2"/>
        <w:spacing w:after="110" w:before="220"/>
      </w:pPr>
      <w:r>
        <w:t xml:space="preserve">1.9  SOTP sensitivity — how much the two swing inputs move the value</w:t>
      </w:r>
    </w:p>
    <w:p>
      <w:pPr>
        <w:spacing w:after="140"/>
      </w:pPr>
      <w:r>
        <w:t xml:space="preserve">Holding the core and other parts at base, the grid re-prices the SOTP across the VFE earnings multiple and the wrapper discount. The value runs from EGP 95 (6.5× / 25%) to EGP 144 (9.5× / 5%).</w:t>
      </w:r>
    </w:p>
    <w:p>
      <w:pPr>
        <w:spacing w:before="12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38425"/>
                    </a:xfrm>
                    <a:prstGeom prst="rect">
                      <a:avLst/>
                    </a:prstGeom>
                  </pic:spPr>
                </pic:pic>
              </a:graphicData>
            </a:graphic>
          </wp:inline>
        </w:drawing>
      </w:r>
    </w:p>
    <w:p>
      <w:pPr>
        <w:spacing w:after="180" w:before="60"/>
      </w:pPr>
      <w:r>
        <w:rPr>
          <w:i/>
          <w:iCs/>
          <w:color w:val="666666"/>
          <w:sz w:val="18"/>
          <w:szCs w:val="18"/>
        </w:rPr>
        <w:t xml:space="preserve">Figure 2 — SOTP sensitivity to the VFE mark and the complexity/state-control discount (EGP/share, post-discount).</w:t>
      </w:r>
    </w:p>
    <w:p>
      <w:pPr>
        <w:spacing w:after="140"/>
      </w:pPr>
      <w:r>
        <w:t xml:space="preserve">Read it as the bet you are taking: the market price of EGP 92.6 is consistent with roughly a 6.5× VFE mark on a ~20–25% discount — i.e. the deal-price stake with no growth since, inside a heavily penalised wrapper. Anything better than that on either axis is unpaid-for.</w:t>
      </w:r>
    </w:p>
    <w:p>
      <w:pPr>
        <w:pStyle w:val="Heading1"/>
        <w:spacing w:after="140" w:before="300"/>
      </w:pPr>
      <w:r>
        <w:t xml:space="preserve">2  Technical and price structure</w:t>
      </w:r>
    </w:p>
    <w:p>
      <w:pPr>
        <w:spacing w:after="140"/>
      </w:pPr>
      <w:r>
        <w:t xml:space="preserve">The tape is a pause inside a powerful uptrend. ETEL has returned ~148% over twelve months, printed its all-time high of EGP 112.98 on 16 February 2026, corrected ~18% into April, and has since built a range in the low-90s to mid-90s. Price sits a fraction below the 20- and 50-day averages, above the 100-day, and far above a still-rising 200-day at EGP 74.7 — the classic geometry of consolidation, not reversal. RSI is dead neutral and the MACD histogram is fractionally negative: momentum has cooled without breaking.</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120"/>
        <w:gridCol w:w="3620"/>
        <w:gridCol w:w="2620"/>
      </w:tblGrid>
      <w:tr>
        <w:tc>
          <w:tcPr>
            <w:tcW w:type="dxa" w:w="3120"/>
            <w:shd w:fill="1B5E5E" w:val="clear"/>
            <w:tcMar>
              <w:top w:type="dxa" w:w="40"/>
              <w:left w:type="dxa" w:w="80"/>
              <w:bottom w:type="dxa" w:w="40"/>
              <w:right w:type="dxa" w:w="80"/>
            </w:tcMar>
          </w:tcPr>
          <w:p>
            <w:r>
              <w:rPr>
                <w:b/>
                <w:bCs/>
                <w:color w:val="FFFFFF"/>
                <w:sz w:val="18"/>
                <w:szCs w:val="18"/>
              </w:rPr>
              <w:t xml:space="preserve">Indicator</w:t>
            </w:r>
          </w:p>
        </w:tc>
        <w:tc>
          <w:tcPr>
            <w:tcW w:type="dxa" w:w="3620"/>
            <w:shd w:fill="1B5E5E" w:val="clear"/>
            <w:tcMar>
              <w:top w:type="dxa" w:w="40"/>
              <w:left w:type="dxa" w:w="80"/>
              <w:bottom w:type="dxa" w:w="40"/>
              <w:right w:type="dxa" w:w="80"/>
            </w:tcMar>
          </w:tcPr>
          <w:p>
            <w:r>
              <w:rPr>
                <w:b/>
                <w:bCs/>
                <w:color w:val="FFFFFF"/>
                <w:sz w:val="18"/>
                <w:szCs w:val="18"/>
              </w:rPr>
              <w:t xml:space="preserve">Reading</w:t>
            </w:r>
          </w:p>
        </w:tc>
        <w:tc>
          <w:tcPr>
            <w:tcW w:type="dxa" w:w="2620"/>
            <w:shd w:fill="1B5E5E" w:val="clear"/>
            <w:tcMar>
              <w:top w:type="dxa" w:w="40"/>
              <w:left w:type="dxa" w:w="80"/>
              <w:bottom w:type="dxa" w:w="40"/>
              <w:right w:type="dxa" w:w="80"/>
            </w:tcMar>
          </w:tcPr>
          <w:p>
            <w:r>
              <w:rPr>
                <w:b/>
                <w:bCs/>
                <w:color w:val="FFFFFF"/>
                <w:sz w:val="18"/>
                <w:szCs w:val="18"/>
              </w:rPr>
              <w:t xml:space="preserve">Signal</w:t>
            </w:r>
          </w:p>
        </w:tc>
      </w:tr>
      <w:tr>
        <w:tc>
          <w:tcPr>
            <w:tcW w:type="dxa" w:w="3120"/>
            <w:tcMar>
              <w:top w:type="dxa" w:w="40"/>
              <w:left w:type="dxa" w:w="80"/>
              <w:bottom w:type="dxa" w:w="40"/>
              <w:right w:type="dxa" w:w="80"/>
            </w:tcMar>
          </w:tcPr>
          <w:p>
            <w:r>
              <w:rPr>
                <w:b/>
                <w:bCs/>
                <w:sz w:val="18"/>
                <w:szCs w:val="18"/>
              </w:rPr>
              <w:t xml:space="preserve">Spot</w:t>
            </w:r>
          </w:p>
        </w:tc>
        <w:tc>
          <w:tcPr>
            <w:tcW w:type="dxa" w:w="3620"/>
            <w:tcMar>
              <w:top w:type="dxa" w:w="40"/>
              <w:left w:type="dxa" w:w="80"/>
              <w:bottom w:type="dxa" w:w="40"/>
              <w:right w:type="dxa" w:w="80"/>
            </w:tcMar>
          </w:tcPr>
          <w:p>
            <w:r>
              <w:rPr>
                <w:b w:val="false"/>
                <w:bCs w:val="false"/>
                <w:sz w:val="18"/>
                <w:szCs w:val="18"/>
              </w:rPr>
              <w:t xml:space="preserve">EGP 92.6</w:t>
            </w:r>
          </w:p>
        </w:tc>
        <w:tc>
          <w:tcPr>
            <w:tcW w:type="dxa" w:w="2620"/>
            <w:tcMar>
              <w:top w:type="dxa" w:w="40"/>
              <w:left w:type="dxa" w:w="80"/>
              <w:bottom w:type="dxa" w:w="40"/>
              <w:right w:type="dxa" w:w="80"/>
            </w:tcMar>
          </w:tcPr>
          <w:p>
            <w:r>
              <w:rPr>
                <w:b w:val="false"/>
                <w:bCs w:val="false"/>
                <w:sz w:val="18"/>
                <w:szCs w:val="18"/>
              </w:rPr>
              <w:t xml:space="preserve">—</w:t>
            </w:r>
          </w:p>
        </w:tc>
      </w:tr>
      <w:tr>
        <w:tc>
          <w:tcPr>
            <w:tcW w:type="dxa" w:w="3120"/>
            <w:tcMar>
              <w:top w:type="dxa" w:w="40"/>
              <w:left w:type="dxa" w:w="80"/>
              <w:bottom w:type="dxa" w:w="40"/>
              <w:right w:type="dxa" w:w="80"/>
            </w:tcMar>
          </w:tcPr>
          <w:p>
            <w:r>
              <w:rPr>
                <w:b/>
                <w:bCs/>
                <w:sz w:val="18"/>
                <w:szCs w:val="18"/>
              </w:rPr>
              <w:t xml:space="preserve">SMA 20 / 50</w:t>
            </w:r>
          </w:p>
        </w:tc>
        <w:tc>
          <w:tcPr>
            <w:tcW w:type="dxa" w:w="3620"/>
            <w:tcMar>
              <w:top w:type="dxa" w:w="40"/>
              <w:left w:type="dxa" w:w="80"/>
              <w:bottom w:type="dxa" w:w="40"/>
              <w:right w:type="dxa" w:w="80"/>
            </w:tcMar>
          </w:tcPr>
          <w:p>
            <w:r>
              <w:rPr>
                <w:b w:val="false"/>
                <w:bCs w:val="false"/>
                <w:sz w:val="18"/>
                <w:szCs w:val="18"/>
              </w:rPr>
              <w:t xml:space="preserve">EGP 93.3 / 94.6</w:t>
            </w:r>
          </w:p>
        </w:tc>
        <w:tc>
          <w:tcPr>
            <w:tcW w:type="dxa" w:w="2620"/>
            <w:tcMar>
              <w:top w:type="dxa" w:w="40"/>
              <w:left w:type="dxa" w:w="80"/>
              <w:bottom w:type="dxa" w:w="40"/>
              <w:right w:type="dxa" w:w="80"/>
            </w:tcMar>
          </w:tcPr>
          <w:p>
            <w:r>
              <w:rPr>
                <w:b w:val="false"/>
                <w:bCs w:val="false"/>
                <w:sz w:val="18"/>
                <w:szCs w:val="18"/>
              </w:rPr>
              <w:t xml:space="preserve">Just below both — short-term pause</w:t>
            </w:r>
          </w:p>
        </w:tc>
      </w:tr>
      <w:tr>
        <w:tc>
          <w:tcPr>
            <w:tcW w:type="dxa" w:w="3120"/>
            <w:tcMar>
              <w:top w:type="dxa" w:w="40"/>
              <w:left w:type="dxa" w:w="80"/>
              <w:bottom w:type="dxa" w:w="40"/>
              <w:right w:type="dxa" w:w="80"/>
            </w:tcMar>
          </w:tcPr>
          <w:p>
            <w:r>
              <w:rPr>
                <w:b/>
                <w:bCs/>
                <w:sz w:val="18"/>
                <w:szCs w:val="18"/>
              </w:rPr>
              <w:t xml:space="preserve">SMA 100 / 200</w:t>
            </w:r>
          </w:p>
        </w:tc>
        <w:tc>
          <w:tcPr>
            <w:tcW w:type="dxa" w:w="3620"/>
            <w:tcMar>
              <w:top w:type="dxa" w:w="40"/>
              <w:left w:type="dxa" w:w="80"/>
              <w:bottom w:type="dxa" w:w="40"/>
              <w:right w:type="dxa" w:w="80"/>
            </w:tcMar>
          </w:tcPr>
          <w:p>
            <w:r>
              <w:rPr>
                <w:b w:val="false"/>
                <w:bCs w:val="false"/>
                <w:sz w:val="18"/>
                <w:szCs w:val="18"/>
              </w:rPr>
              <w:t xml:space="preserve">EGP 91.3 / 74.7</w:t>
            </w:r>
          </w:p>
        </w:tc>
        <w:tc>
          <w:tcPr>
            <w:tcW w:type="dxa" w:w="2620"/>
            <w:tcMar>
              <w:top w:type="dxa" w:w="40"/>
              <w:left w:type="dxa" w:w="80"/>
              <w:bottom w:type="dxa" w:w="40"/>
              <w:right w:type="dxa" w:w="80"/>
            </w:tcMar>
          </w:tcPr>
          <w:p>
            <w:r>
              <w:rPr>
                <w:b w:val="false"/>
                <w:bCs w:val="false"/>
                <w:sz w:val="18"/>
                <w:szCs w:val="18"/>
              </w:rPr>
              <w:t xml:space="preserve">Above both — primary trend up</w:t>
            </w:r>
          </w:p>
        </w:tc>
      </w:tr>
      <w:tr>
        <w:tc>
          <w:tcPr>
            <w:tcW w:type="dxa" w:w="3120"/>
            <w:tcMar>
              <w:top w:type="dxa" w:w="40"/>
              <w:left w:type="dxa" w:w="80"/>
              <w:bottom w:type="dxa" w:w="40"/>
              <w:right w:type="dxa" w:w="80"/>
            </w:tcMar>
          </w:tcPr>
          <w:p>
            <w:r>
              <w:rPr>
                <w:b/>
                <w:bCs/>
                <w:sz w:val="18"/>
                <w:szCs w:val="18"/>
              </w:rPr>
              <w:t xml:space="preserve">RSI (14)</w:t>
            </w:r>
          </w:p>
        </w:tc>
        <w:tc>
          <w:tcPr>
            <w:tcW w:type="dxa" w:w="3620"/>
            <w:tcMar>
              <w:top w:type="dxa" w:w="40"/>
              <w:left w:type="dxa" w:w="80"/>
              <w:bottom w:type="dxa" w:w="40"/>
              <w:right w:type="dxa" w:w="80"/>
            </w:tcMar>
          </w:tcPr>
          <w:p>
            <w:r>
              <w:rPr>
                <w:b w:val="false"/>
                <w:bCs w:val="false"/>
                <w:sz w:val="18"/>
                <w:szCs w:val="18"/>
              </w:rPr>
              <w:t xml:space="preserve">47.2</w:t>
            </w:r>
          </w:p>
        </w:tc>
        <w:tc>
          <w:tcPr>
            <w:tcW w:type="dxa" w:w="2620"/>
            <w:tcMar>
              <w:top w:type="dxa" w:w="40"/>
              <w:left w:type="dxa" w:w="80"/>
              <w:bottom w:type="dxa" w:w="40"/>
              <w:right w:type="dxa" w:w="80"/>
            </w:tcMar>
          </w:tcPr>
          <w:p>
            <w:r>
              <w:rPr>
                <w:b w:val="false"/>
                <w:bCs w:val="false"/>
                <w:sz w:val="18"/>
                <w:szCs w:val="18"/>
              </w:rPr>
              <w:t xml:space="preserve">Neutral</w:t>
            </w:r>
          </w:p>
        </w:tc>
      </w:tr>
      <w:tr>
        <w:tc>
          <w:tcPr>
            <w:tcW w:type="dxa" w:w="3120"/>
            <w:tcMar>
              <w:top w:type="dxa" w:w="40"/>
              <w:left w:type="dxa" w:w="80"/>
              <w:bottom w:type="dxa" w:w="40"/>
              <w:right w:type="dxa" w:w="80"/>
            </w:tcMar>
          </w:tcPr>
          <w:p>
            <w:r>
              <w:rPr>
                <w:b/>
                <w:bCs/>
                <w:sz w:val="18"/>
                <w:szCs w:val="18"/>
              </w:rPr>
              <w:t xml:space="preserve">MACD (12,26,9)</w:t>
            </w:r>
          </w:p>
        </w:tc>
        <w:tc>
          <w:tcPr>
            <w:tcW w:type="dxa" w:w="3620"/>
            <w:tcMar>
              <w:top w:type="dxa" w:w="40"/>
              <w:left w:type="dxa" w:w="80"/>
              <w:bottom w:type="dxa" w:w="40"/>
              <w:right w:type="dxa" w:w="80"/>
            </w:tcMar>
          </w:tcPr>
          <w:p>
            <w:r>
              <w:rPr>
                <w:b w:val="false"/>
                <w:bCs w:val="false"/>
                <w:sz w:val="18"/>
                <w:szCs w:val="18"/>
              </w:rPr>
              <w:t xml:space="preserve">-0.61 line / -0.43 signal / -0.19 hist</w:t>
            </w:r>
          </w:p>
        </w:tc>
        <w:tc>
          <w:tcPr>
            <w:tcW w:type="dxa" w:w="2620"/>
            <w:tcMar>
              <w:top w:type="dxa" w:w="40"/>
              <w:left w:type="dxa" w:w="80"/>
              <w:bottom w:type="dxa" w:w="40"/>
              <w:right w:type="dxa" w:w="80"/>
            </w:tcMar>
          </w:tcPr>
          <w:p>
            <w:r>
              <w:rPr>
                <w:b w:val="false"/>
                <w:bCs w:val="false"/>
                <w:sz w:val="18"/>
                <w:szCs w:val="18"/>
              </w:rPr>
              <w:t xml:space="preserve">Mildly bearish, flattening</w:t>
            </w:r>
          </w:p>
        </w:tc>
      </w:tr>
      <w:tr>
        <w:tc>
          <w:tcPr>
            <w:tcW w:type="dxa" w:w="3120"/>
            <w:tcMar>
              <w:top w:type="dxa" w:w="40"/>
              <w:left w:type="dxa" w:w="80"/>
              <w:bottom w:type="dxa" w:w="40"/>
              <w:right w:type="dxa" w:w="80"/>
            </w:tcMar>
          </w:tcPr>
          <w:p>
            <w:r>
              <w:rPr>
                <w:b/>
                <w:bCs/>
                <w:sz w:val="18"/>
                <w:szCs w:val="18"/>
              </w:rPr>
              <w:t xml:space="preserve">252-session range</w:t>
            </w:r>
          </w:p>
        </w:tc>
        <w:tc>
          <w:tcPr>
            <w:tcW w:type="dxa" w:w="3620"/>
            <w:tcMar>
              <w:top w:type="dxa" w:w="40"/>
              <w:left w:type="dxa" w:w="80"/>
              <w:bottom w:type="dxa" w:w="40"/>
              <w:right w:type="dxa" w:w="80"/>
            </w:tcMar>
          </w:tcPr>
          <w:p>
            <w:r>
              <w:rPr>
                <w:b w:val="false"/>
                <w:bCs w:val="false"/>
                <w:sz w:val="18"/>
                <w:szCs w:val="18"/>
              </w:rPr>
              <w:t xml:space="preserve">EGP 36.0 – 113.0</w:t>
            </w:r>
          </w:p>
        </w:tc>
        <w:tc>
          <w:tcPr>
            <w:tcW w:type="dxa" w:w="2620"/>
            <w:tcMar>
              <w:top w:type="dxa" w:w="40"/>
              <w:left w:type="dxa" w:w="80"/>
              <w:bottom w:type="dxa" w:w="40"/>
              <w:right w:type="dxa" w:w="80"/>
            </w:tcMar>
          </w:tcPr>
          <w:p>
            <w:r>
              <w:rPr>
                <w:b w:val="false"/>
                <w:bCs w:val="false"/>
                <w:sz w:val="18"/>
                <w:szCs w:val="18"/>
              </w:rPr>
              <w:t xml:space="preserve">Upper-middle of range</w:t>
            </w:r>
          </w:p>
        </w:tc>
      </w:tr>
      <w:tr>
        <w:tc>
          <w:tcPr>
            <w:tcW w:type="dxa" w:w="3120"/>
            <w:tcMar>
              <w:top w:type="dxa" w:w="40"/>
              <w:left w:type="dxa" w:w="80"/>
              <w:bottom w:type="dxa" w:w="40"/>
              <w:right w:type="dxa" w:w="80"/>
            </w:tcMar>
          </w:tcPr>
          <w:p>
            <w:r>
              <w:rPr>
                <w:b/>
                <w:bCs/>
                <w:sz w:val="18"/>
                <w:szCs w:val="18"/>
              </w:rPr>
              <w:t xml:space="preserve">Realized vol (252d)</w:t>
            </w:r>
          </w:p>
        </w:tc>
        <w:tc>
          <w:tcPr>
            <w:tcW w:type="dxa" w:w="3620"/>
            <w:tcMar>
              <w:top w:type="dxa" w:w="40"/>
              <w:left w:type="dxa" w:w="80"/>
              <w:bottom w:type="dxa" w:w="40"/>
              <w:right w:type="dxa" w:w="80"/>
            </w:tcMar>
          </w:tcPr>
          <w:p>
            <w:r>
              <w:rPr>
                <w:b w:val="false"/>
                <w:bCs w:val="false"/>
                <w:sz w:val="18"/>
                <w:szCs w:val="18"/>
              </w:rPr>
              <w:t xml:space="preserve">41.3%</w:t>
            </w:r>
          </w:p>
        </w:tc>
        <w:tc>
          <w:tcPr>
            <w:tcW w:type="dxa" w:w="2620"/>
            <w:tcMar>
              <w:top w:type="dxa" w:w="40"/>
              <w:left w:type="dxa" w:w="80"/>
              <w:bottom w:type="dxa" w:w="40"/>
              <w:right w:type="dxa" w:w="80"/>
            </w:tcMar>
          </w:tcPr>
          <w:p>
            <w:r>
              <w:rPr>
                <w:b w:val="false"/>
                <w:bCs w:val="false"/>
                <w:sz w:val="18"/>
                <w:szCs w:val="18"/>
              </w:rPr>
              <w:t xml:space="preserve">Elevated — a hot tape</w:t>
            </w:r>
          </w:p>
        </w:tc>
      </w:tr>
    </w:tbl>
    <w:p>
      <w:pPr>
        <w:spacing w:after="120"/>
      </w:pPr>
    </w:p>
    <w:p>
      <w:pPr>
        <w:spacing w:before="12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28950"/>
                    </a:xfrm>
                    <a:prstGeom prst="rect">
                      <a:avLst/>
                    </a:prstGeom>
                  </pic:spPr>
                </pic:pic>
              </a:graphicData>
            </a:graphic>
          </wp:inline>
        </w:drawing>
      </w:r>
    </w:p>
    <w:p>
      <w:pPr>
        <w:spacing w:after="180" w:before="60"/>
      </w:pPr>
      <w:r>
        <w:rPr>
          <w:i/>
          <w:iCs/>
          <w:color w:val="666666"/>
          <w:sz w:val="18"/>
          <w:szCs w:val="18"/>
        </w:rPr>
        <w:t xml:space="preserve">Figure 3 — Price versus the moving-average stack, last 260 sessions.</w:t>
      </w:r>
    </w:p>
    <w:p>
      <w:pPr>
        <w:spacing w:after="140"/>
      </w:pPr>
      <w:r>
        <w:t xml:space="preserve">For the probabilistic work this matters in one way: a consolidating, high-volatility tape after a vertical run widens both tails — the up-tail because the primary trend is intact, the down-tail because 41% realized volatility gives back ground quickly. §6 reads the resulting probability zones without forcing a reconciliation.</w:t>
      </w:r>
    </w:p>
    <w:p>
      <w:pPr>
        <w:pStyle w:val="Heading1"/>
        <w:spacing w:after="140" w:before="300"/>
      </w:pPr>
      <w:r>
        <w:t xml:space="preserve">3  Monte Carlo — a probabilistic price map</w:t>
      </w:r>
    </w:p>
    <w:p>
      <w:pPr>
        <w:spacing w:after="140"/>
      </w:pPr>
      <w:r>
        <w:t xml:space="preserve">We simulate 50,000 three-month price paths (seed 42) using a sixteen-factor stack: seven continuous macro/operating drivers contributing a small net forward drift, and nine discrete events that each fire with a probability and an impact. </w:t>
      </w:r>
      <w:r>
        <w:rPr>
          <w:b/>
          <w:bCs/>
        </w:rPr>
        <w:t xml:space="preserve">By design the paths diffuse from spot, and the §1 value gap is kept out of the drift</w:t>
      </w:r>
      <w:r>
        <w:t xml:space="preserve"> — the fundamental NAV gap lives in §1, not here; §3 maps where price could go from today, not where value sits. Width is sized by the YZ-HAR engine calibrated in Appendix B (log-HAR variance cascade on a gap-aware Yang-Zhang proxy; forward path volatility ≈ 38.3% annualized), the shape is a unit-variance Student-t(5) per-path mixture, and — per the Appendix-B result — the EGX secular drift is ON for this name (+9.7% over the quarter, the expanding-window mean of its own history), with the factor stack adding a net +2.3% continuous and +2.2% of expected event skew on top.</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2960"/>
        <w:gridCol w:w="700"/>
        <w:gridCol w:w="3480"/>
        <w:gridCol w:w="1000"/>
        <w:gridCol w:w="1220"/>
      </w:tblGrid>
      <w:tr>
        <w:tc>
          <w:tcPr>
            <w:tcW w:type="dxa" w:w="2960"/>
            <w:shd w:fill="1B5E5E" w:val="clear"/>
            <w:tcMar>
              <w:top w:type="dxa" w:w="40"/>
              <w:left w:type="dxa" w:w="80"/>
              <w:bottom w:type="dxa" w:w="40"/>
              <w:right w:type="dxa" w:w="80"/>
            </w:tcMar>
          </w:tcPr>
          <w:p>
            <w:r>
              <w:rPr>
                <w:b/>
                <w:bCs/>
                <w:color w:val="FFFFFF"/>
                <w:sz w:val="18"/>
                <w:szCs w:val="18"/>
              </w:rPr>
              <w:t xml:space="preserve">Continuous factor (7)</w:t>
            </w:r>
          </w:p>
        </w:tc>
        <w:tc>
          <w:tcPr>
            <w:tcW w:type="dxa" w:w="700"/>
            <w:shd w:fill="1B5E5E" w:val="clear"/>
            <w:tcMar>
              <w:top w:type="dxa" w:w="40"/>
              <w:left w:type="dxa" w:w="80"/>
              <w:bottom w:type="dxa" w:w="40"/>
              <w:right w:type="dxa" w:w="80"/>
            </w:tcMar>
          </w:tcPr>
          <w:p>
            <w:r>
              <w:rPr>
                <w:b/>
                <w:bCs/>
                <w:color w:val="FFFFFF"/>
                <w:sz w:val="18"/>
                <w:szCs w:val="18"/>
              </w:rPr>
              <w:t xml:space="preserve">Dir.</w:t>
            </w:r>
          </w:p>
        </w:tc>
        <w:tc>
          <w:tcPr>
            <w:tcW w:type="dxa" w:w="3480"/>
            <w:shd w:fill="1B5E5E" w:val="clear"/>
            <w:tcMar>
              <w:top w:type="dxa" w:w="40"/>
              <w:left w:type="dxa" w:w="80"/>
              <w:bottom w:type="dxa" w:w="40"/>
              <w:right w:type="dxa" w:w="80"/>
            </w:tcMar>
          </w:tcPr>
          <w:p>
            <w:r>
              <w:rPr>
                <w:b/>
                <w:bCs/>
                <w:color w:val="FFFFFF"/>
                <w:sz w:val="18"/>
                <w:szCs w:val="18"/>
              </w:rPr>
              <w:t xml:space="preserve">Discrete event (9)</w:t>
            </w:r>
          </w:p>
        </w:tc>
        <w:tc>
          <w:tcPr>
            <w:tcW w:type="dxa" w:w="1000"/>
            <w:shd w:fill="1B5E5E" w:val="clear"/>
            <w:tcMar>
              <w:top w:type="dxa" w:w="40"/>
              <w:left w:type="dxa" w:w="80"/>
              <w:bottom w:type="dxa" w:w="40"/>
              <w:right w:type="dxa" w:w="80"/>
            </w:tcMar>
          </w:tcPr>
          <w:p>
            <w:r>
              <w:rPr>
                <w:b/>
                <w:bCs/>
                <w:color w:val="FFFFFF"/>
                <w:sz w:val="18"/>
                <w:szCs w:val="18"/>
              </w:rPr>
              <w:t xml:space="preserve">Prob.</w:t>
            </w:r>
          </w:p>
        </w:tc>
        <w:tc>
          <w:tcPr>
            <w:tcW w:type="dxa" w:w="1220"/>
            <w:shd w:fill="1B5E5E" w:val="clear"/>
            <w:tcMar>
              <w:top w:type="dxa" w:w="40"/>
              <w:left w:type="dxa" w:w="80"/>
              <w:bottom w:type="dxa" w:w="40"/>
              <w:right w:type="dxa" w:w="80"/>
            </w:tcMar>
          </w:tcPr>
          <w:p>
            <w:r>
              <w:rPr>
                <w:b/>
                <w:bCs/>
                <w:color w:val="FFFFFF"/>
                <w:sz w:val="18"/>
                <w:szCs w:val="18"/>
              </w:rPr>
              <w:t xml:space="preserve">Mean impact</w:t>
            </w:r>
          </w:p>
        </w:tc>
      </w:tr>
      <w:tr>
        <w:tc>
          <w:tcPr>
            <w:tcW w:type="dxa" w:w="2960"/>
            <w:tcMar>
              <w:top w:type="dxa" w:w="40"/>
              <w:left w:type="dxa" w:w="80"/>
              <w:bottom w:type="dxa" w:w="40"/>
              <w:right w:type="dxa" w:w="80"/>
            </w:tcMar>
          </w:tcPr>
          <w:p>
            <w:r>
              <w:rPr>
                <w:b w:val="false"/>
                <w:bCs w:val="false"/>
                <w:sz w:val="18"/>
                <w:szCs w:val="18"/>
              </w:rPr>
              <w:t xml:space="preserve">CBE policy-rate path (easing)</w:t>
            </w:r>
          </w:p>
        </w:tc>
        <w:tc>
          <w:tcPr>
            <w:tcW w:type="dxa" w:w="700"/>
            <w:tcMar>
              <w:top w:type="dxa" w:w="40"/>
              <w:left w:type="dxa" w:w="80"/>
              <w:bottom w:type="dxa" w:w="40"/>
              <w:right w:type="dxa" w:w="80"/>
            </w:tcMar>
          </w:tcPr>
          <w:p>
            <w:r>
              <w:rPr>
                <w:b w:val="false"/>
                <w:bCs w:val="false"/>
                <w:sz w:val="18"/>
                <w:szCs w:val="18"/>
              </w:rPr>
              <w:t xml:space="preserve">+</w:t>
            </w:r>
          </w:p>
        </w:tc>
        <w:tc>
          <w:tcPr>
            <w:tcW w:type="dxa" w:w="3480"/>
            <w:tcMar>
              <w:top w:type="dxa" w:w="40"/>
              <w:left w:type="dxa" w:w="80"/>
              <w:bottom w:type="dxa" w:w="40"/>
              <w:right w:type="dxa" w:w="80"/>
            </w:tcMar>
          </w:tcPr>
          <w:p>
            <w:r>
              <w:rPr>
                <w:b w:val="false"/>
                <w:bCs w:val="false"/>
                <w:sz w:val="18"/>
                <w:szCs w:val="18"/>
              </w:rPr>
              <w:t xml:space="preserve">Q2 2026 results (13 Aug)</w:t>
            </w:r>
          </w:p>
        </w:tc>
        <w:tc>
          <w:tcPr>
            <w:tcW w:type="dxa" w:w="1000"/>
            <w:tcMar>
              <w:top w:type="dxa" w:w="40"/>
              <w:left w:type="dxa" w:w="80"/>
              <w:bottom w:type="dxa" w:w="40"/>
              <w:right w:type="dxa" w:w="80"/>
            </w:tcMar>
          </w:tcPr>
          <w:p>
            <w:r>
              <w:rPr>
                <w:b w:val="false"/>
                <w:bCs w:val="false"/>
                <w:sz w:val="18"/>
                <w:szCs w:val="18"/>
              </w:rPr>
              <w:t xml:space="preserve">85%</w:t>
            </w:r>
          </w:p>
        </w:tc>
        <w:tc>
          <w:tcPr>
            <w:tcW w:type="dxa" w:w="1220"/>
            <w:tcMar>
              <w:top w:type="dxa" w:w="40"/>
              <w:left w:type="dxa" w:w="80"/>
              <w:bottom w:type="dxa" w:w="40"/>
              <w:right w:type="dxa" w:w="80"/>
            </w:tcMar>
          </w:tcPr>
          <w:p>
            <w:r>
              <w:rPr>
                <w:b w:val="false"/>
                <w:bCs w:val="false"/>
                <w:sz w:val="18"/>
                <w:szCs w:val="18"/>
              </w:rPr>
              <w:t xml:space="preserve">+0.5%</w:t>
            </w:r>
          </w:p>
        </w:tc>
      </w:tr>
      <w:tr>
        <w:tc>
          <w:tcPr>
            <w:tcW w:type="dxa" w:w="2960"/>
            <w:tcMar>
              <w:top w:type="dxa" w:w="40"/>
              <w:left w:type="dxa" w:w="80"/>
              <w:bottom w:type="dxa" w:w="40"/>
              <w:right w:type="dxa" w:w="80"/>
            </w:tcMar>
          </w:tcPr>
          <w:p>
            <w:r>
              <w:rPr>
                <w:b w:val="false"/>
                <w:bCs w:val="false"/>
                <w:sz w:val="18"/>
                <w:szCs w:val="18"/>
              </w:rPr>
              <w:t xml:space="preserve">EGP/USD path (appreciation)</w:t>
            </w:r>
          </w:p>
        </w:tc>
        <w:tc>
          <w:tcPr>
            <w:tcW w:type="dxa" w:w="700"/>
            <w:tcMar>
              <w:top w:type="dxa" w:w="40"/>
              <w:left w:type="dxa" w:w="80"/>
              <w:bottom w:type="dxa" w:w="40"/>
              <w:right w:type="dxa" w:w="80"/>
            </w:tcMar>
          </w:tcPr>
          <w:p>
            <w:r>
              <w:rPr>
                <w:b w:val="false"/>
                <w:bCs w:val="false"/>
                <w:sz w:val="18"/>
                <w:szCs w:val="18"/>
              </w:rPr>
              <w:t xml:space="preserve">mixed</w:t>
            </w:r>
          </w:p>
        </w:tc>
        <w:tc>
          <w:tcPr>
            <w:tcW w:type="dxa" w:w="3480"/>
            <w:tcMar>
              <w:top w:type="dxa" w:w="40"/>
              <w:left w:type="dxa" w:w="80"/>
              <w:bottom w:type="dxa" w:w="40"/>
              <w:right w:type="dxa" w:w="80"/>
            </w:tcMar>
          </w:tcPr>
          <w:p>
            <w:r>
              <w:rPr>
                <w:b w:val="false"/>
                <w:bCs w:val="false"/>
                <w:sz w:val="18"/>
                <w:szCs w:val="18"/>
              </w:rPr>
              <w:t xml:space="preserve">NTRA tariff implementation read-through</w:t>
            </w:r>
          </w:p>
        </w:tc>
        <w:tc>
          <w:tcPr>
            <w:tcW w:type="dxa" w:w="1000"/>
            <w:tcMar>
              <w:top w:type="dxa" w:w="40"/>
              <w:left w:type="dxa" w:w="80"/>
              <w:bottom w:type="dxa" w:w="40"/>
              <w:right w:type="dxa" w:w="80"/>
            </w:tcMar>
          </w:tcPr>
          <w:p>
            <w:r>
              <w:rPr>
                <w:b w:val="false"/>
                <w:bCs w:val="false"/>
                <w:sz w:val="18"/>
                <w:szCs w:val="18"/>
              </w:rPr>
              <w:t xml:space="preserve">45%</w:t>
            </w:r>
          </w:p>
        </w:tc>
        <w:tc>
          <w:tcPr>
            <w:tcW w:type="dxa" w:w="1220"/>
            <w:tcMar>
              <w:top w:type="dxa" w:w="40"/>
              <w:left w:type="dxa" w:w="80"/>
              <w:bottom w:type="dxa" w:w="40"/>
              <w:right w:type="dxa" w:w="80"/>
            </w:tcMar>
          </w:tcPr>
          <w:p>
            <w:r>
              <w:rPr>
                <w:b w:val="false"/>
                <w:bCs w:val="false"/>
                <w:sz w:val="18"/>
                <w:szCs w:val="18"/>
              </w:rPr>
              <w:t xml:space="preserve">+2.0%</w:t>
            </w:r>
          </w:p>
        </w:tc>
      </w:tr>
      <w:tr>
        <w:tc>
          <w:tcPr>
            <w:tcW w:type="dxa" w:w="2960"/>
            <w:tcMar>
              <w:top w:type="dxa" w:w="40"/>
              <w:left w:type="dxa" w:w="80"/>
              <w:bottom w:type="dxa" w:w="40"/>
              <w:right w:type="dxa" w:w="80"/>
            </w:tcMar>
          </w:tcPr>
          <w:p>
            <w:r>
              <w:rPr>
                <w:b w:val="false"/>
                <w:bCs w:val="false"/>
                <w:sz w:val="18"/>
                <w:szCs w:val="18"/>
              </w:rPr>
              <w:t xml:space="preserve">Inflation / NTRA tariff pass-through</w:t>
            </w:r>
          </w:p>
        </w:tc>
        <w:tc>
          <w:tcPr>
            <w:tcW w:type="dxa" w:w="700"/>
            <w:tcMar>
              <w:top w:type="dxa" w:w="40"/>
              <w:left w:type="dxa" w:w="80"/>
              <w:bottom w:type="dxa" w:w="40"/>
              <w:right w:type="dxa" w:w="80"/>
            </w:tcMar>
          </w:tcPr>
          <w:p>
            <w:r>
              <w:rPr>
                <w:b w:val="false"/>
                <w:bCs w:val="false"/>
                <w:sz w:val="18"/>
                <w:szCs w:val="18"/>
              </w:rPr>
              <w:t xml:space="preserve">+</w:t>
            </w:r>
          </w:p>
        </w:tc>
        <w:tc>
          <w:tcPr>
            <w:tcW w:type="dxa" w:w="3480"/>
            <w:tcMar>
              <w:top w:type="dxa" w:w="40"/>
              <w:left w:type="dxa" w:w="80"/>
              <w:bottom w:type="dxa" w:w="40"/>
              <w:right w:type="dxa" w:w="80"/>
            </w:tcMar>
          </w:tcPr>
          <w:p>
            <w:r>
              <w:rPr>
                <w:b w:val="false"/>
                <w:bCs w:val="false"/>
                <w:sz w:val="18"/>
                <w:szCs w:val="18"/>
              </w:rPr>
              <w:t xml:space="preserve">Government sell-down / placement (overhang)</w:t>
            </w:r>
          </w:p>
        </w:tc>
        <w:tc>
          <w:tcPr>
            <w:tcW w:type="dxa" w:w="1000"/>
            <w:tcMar>
              <w:top w:type="dxa" w:w="40"/>
              <w:left w:type="dxa" w:w="80"/>
              <w:bottom w:type="dxa" w:w="40"/>
              <w:right w:type="dxa" w:w="80"/>
            </w:tcMar>
          </w:tcPr>
          <w:p>
            <w:r>
              <w:rPr>
                <w:b w:val="false"/>
                <w:bCs w:val="false"/>
                <w:sz w:val="18"/>
                <w:szCs w:val="18"/>
              </w:rPr>
              <w:t xml:space="preserve">25%</w:t>
            </w:r>
          </w:p>
        </w:tc>
        <w:tc>
          <w:tcPr>
            <w:tcW w:type="dxa" w:w="1220"/>
            <w:tcMar>
              <w:top w:type="dxa" w:w="40"/>
              <w:left w:type="dxa" w:w="80"/>
              <w:bottom w:type="dxa" w:w="40"/>
              <w:right w:type="dxa" w:w="80"/>
            </w:tcMar>
          </w:tcPr>
          <w:p>
            <w:r>
              <w:rPr>
                <w:b w:val="false"/>
                <w:bCs w:val="false"/>
                <w:sz w:val="18"/>
                <w:szCs w:val="18"/>
              </w:rPr>
              <w:t xml:space="preserve">-4.0%</w:t>
            </w:r>
          </w:p>
        </w:tc>
      </w:tr>
      <w:tr>
        <w:tc>
          <w:tcPr>
            <w:tcW w:type="dxa" w:w="2960"/>
            <w:tcMar>
              <w:top w:type="dxa" w:w="40"/>
              <w:left w:type="dxa" w:w="80"/>
              <w:bottom w:type="dxa" w:w="40"/>
              <w:right w:type="dxa" w:w="80"/>
            </w:tcMar>
          </w:tcPr>
          <w:p>
            <w:r>
              <w:rPr>
                <w:b w:val="false"/>
                <w:bCs w:val="false"/>
                <w:sz w:val="18"/>
                <w:szCs w:val="18"/>
              </w:rPr>
              <w:t xml:space="preserve">EGX30 &amp; foreign flows</w:t>
            </w:r>
          </w:p>
        </w:tc>
        <w:tc>
          <w:tcPr>
            <w:tcW w:type="dxa" w:w="700"/>
            <w:tcMar>
              <w:top w:type="dxa" w:w="40"/>
              <w:left w:type="dxa" w:w="80"/>
              <w:bottom w:type="dxa" w:w="40"/>
              <w:right w:type="dxa" w:w="80"/>
            </w:tcMar>
          </w:tcPr>
          <w:p>
            <w:r>
              <w:rPr>
                <w:b w:val="false"/>
                <w:bCs w:val="false"/>
                <w:sz w:val="18"/>
                <w:szCs w:val="18"/>
              </w:rPr>
              <w:t xml:space="preserve">+</w:t>
            </w:r>
          </w:p>
        </w:tc>
        <w:tc>
          <w:tcPr>
            <w:tcW w:type="dxa" w:w="3480"/>
            <w:tcMar>
              <w:top w:type="dxa" w:w="40"/>
              <w:left w:type="dxa" w:w="80"/>
              <w:bottom w:type="dxa" w:w="40"/>
              <w:right w:type="dxa" w:w="80"/>
            </w:tcMar>
          </w:tcPr>
          <w:p>
            <w:r>
              <w:rPr>
                <w:b w:val="false"/>
                <w:bCs w:val="false"/>
                <w:sz w:val="18"/>
                <w:szCs w:val="18"/>
              </w:rPr>
              <w:t xml:space="preserve">VFE monetization / stake headline</w:t>
            </w:r>
          </w:p>
        </w:tc>
        <w:tc>
          <w:tcPr>
            <w:tcW w:type="dxa" w:w="1000"/>
            <w:tcMar>
              <w:top w:type="dxa" w:w="40"/>
              <w:left w:type="dxa" w:w="80"/>
              <w:bottom w:type="dxa" w:w="40"/>
              <w:right w:type="dxa" w:w="80"/>
            </w:tcMar>
          </w:tcPr>
          <w:p>
            <w:r>
              <w:rPr>
                <w:b w:val="false"/>
                <w:bCs w:val="false"/>
                <w:sz w:val="18"/>
                <w:szCs w:val="18"/>
              </w:rPr>
              <w:t xml:space="preserve">15%</w:t>
            </w:r>
          </w:p>
        </w:tc>
        <w:tc>
          <w:tcPr>
            <w:tcW w:type="dxa" w:w="1220"/>
            <w:tcMar>
              <w:top w:type="dxa" w:w="40"/>
              <w:left w:type="dxa" w:w="80"/>
              <w:bottom w:type="dxa" w:w="40"/>
              <w:right w:type="dxa" w:w="80"/>
            </w:tcMar>
          </w:tcPr>
          <w:p>
            <w:r>
              <w:rPr>
                <w:b w:val="false"/>
                <w:bCs w:val="false"/>
                <w:sz w:val="18"/>
                <w:szCs w:val="18"/>
              </w:rPr>
              <w:t xml:space="preserve">+6.0%</w:t>
            </w:r>
          </w:p>
        </w:tc>
      </w:tr>
      <w:tr>
        <w:tc>
          <w:tcPr>
            <w:tcW w:type="dxa" w:w="2960"/>
            <w:tcMar>
              <w:top w:type="dxa" w:w="40"/>
              <w:left w:type="dxa" w:w="80"/>
              <w:bottom w:type="dxa" w:w="40"/>
              <w:right w:type="dxa" w:w="80"/>
            </w:tcMar>
          </w:tcPr>
          <w:p>
            <w:r>
              <w:rPr>
                <w:b w:val="false"/>
                <w:bCs w:val="false"/>
                <w:sz w:val="18"/>
                <w:szCs w:val="18"/>
              </w:rPr>
              <w:t xml:space="preserve">Data demand / broadband ARPU</w:t>
            </w:r>
          </w:p>
        </w:tc>
        <w:tc>
          <w:tcPr>
            <w:tcW w:type="dxa" w:w="700"/>
            <w:tcMar>
              <w:top w:type="dxa" w:w="40"/>
              <w:left w:type="dxa" w:w="80"/>
              <w:bottom w:type="dxa" w:w="40"/>
              <w:right w:type="dxa" w:w="80"/>
            </w:tcMar>
          </w:tcPr>
          <w:p>
            <w:r>
              <w:rPr>
                <w:b w:val="false"/>
                <w:bCs w:val="false"/>
                <w:sz w:val="18"/>
                <w:szCs w:val="18"/>
              </w:rPr>
              <w:t xml:space="preserve">+</w:t>
            </w:r>
          </w:p>
        </w:tc>
        <w:tc>
          <w:tcPr>
            <w:tcW w:type="dxa" w:w="3480"/>
            <w:tcMar>
              <w:top w:type="dxa" w:w="40"/>
              <w:left w:type="dxa" w:w="80"/>
              <w:bottom w:type="dxa" w:w="40"/>
              <w:right w:type="dxa" w:w="80"/>
            </w:tcMar>
          </w:tcPr>
          <w:p>
            <w:r>
              <w:rPr>
                <w:b w:val="false"/>
                <w:bCs w:val="false"/>
                <w:sz w:val="18"/>
                <w:szCs w:val="18"/>
              </w:rPr>
              <w:t xml:space="preserve">New EGP step-move (either direction)</w:t>
            </w:r>
          </w:p>
        </w:tc>
        <w:tc>
          <w:tcPr>
            <w:tcW w:type="dxa" w:w="1000"/>
            <w:tcMar>
              <w:top w:type="dxa" w:w="40"/>
              <w:left w:type="dxa" w:w="80"/>
              <w:bottom w:type="dxa" w:w="40"/>
              <w:right w:type="dxa" w:w="80"/>
            </w:tcMar>
          </w:tcPr>
          <w:p>
            <w:r>
              <w:rPr>
                <w:b w:val="false"/>
                <w:bCs w:val="false"/>
                <w:sz w:val="18"/>
                <w:szCs w:val="18"/>
              </w:rPr>
              <w:t xml:space="preserve">20%</w:t>
            </w:r>
          </w:p>
        </w:tc>
        <w:tc>
          <w:tcPr>
            <w:tcW w:type="dxa" w:w="1220"/>
            <w:tcMar>
              <w:top w:type="dxa" w:w="40"/>
              <w:left w:type="dxa" w:w="80"/>
              <w:bottom w:type="dxa" w:w="40"/>
              <w:right w:type="dxa" w:w="80"/>
            </w:tcMar>
          </w:tcPr>
          <w:p>
            <w:r>
              <w:rPr>
                <w:b w:val="false"/>
                <w:bCs w:val="false"/>
                <w:sz w:val="18"/>
                <w:szCs w:val="18"/>
              </w:rPr>
              <w:t xml:space="preserve">+1.0%</w:t>
            </w:r>
          </w:p>
        </w:tc>
      </w:tr>
      <w:tr>
        <w:tc>
          <w:tcPr>
            <w:tcW w:type="dxa" w:w="2960"/>
            <w:tcMar>
              <w:top w:type="dxa" w:w="40"/>
              <w:left w:type="dxa" w:w="80"/>
              <w:bottom w:type="dxa" w:w="40"/>
              <w:right w:type="dxa" w:w="80"/>
            </w:tcMar>
          </w:tcPr>
          <w:p>
            <w:r>
              <w:rPr>
                <w:b w:val="false"/>
                <w:bCs w:val="false"/>
                <w:sz w:val="18"/>
                <w:szCs w:val="18"/>
              </w:rPr>
              <w:t xml:space="preserve">VFE earnings momentum</w:t>
            </w:r>
          </w:p>
        </w:tc>
        <w:tc>
          <w:tcPr>
            <w:tcW w:type="dxa" w:w="700"/>
            <w:tcMar>
              <w:top w:type="dxa" w:w="40"/>
              <w:left w:type="dxa" w:w="80"/>
              <w:bottom w:type="dxa" w:w="40"/>
              <w:right w:type="dxa" w:w="80"/>
            </w:tcMar>
          </w:tcPr>
          <w:p>
            <w:r>
              <w:rPr>
                <w:b w:val="false"/>
                <w:bCs w:val="false"/>
                <w:sz w:val="18"/>
                <w:szCs w:val="18"/>
              </w:rPr>
              <w:t xml:space="preserve">+</w:t>
            </w:r>
          </w:p>
        </w:tc>
        <w:tc>
          <w:tcPr>
            <w:tcW w:type="dxa" w:w="3480"/>
            <w:tcMar>
              <w:top w:type="dxa" w:w="40"/>
              <w:left w:type="dxa" w:w="80"/>
              <w:bottom w:type="dxa" w:w="40"/>
              <w:right w:type="dxa" w:w="80"/>
            </w:tcMar>
          </w:tcPr>
          <w:p>
            <w:r>
              <w:rPr>
                <w:b w:val="false"/>
                <w:bCs w:val="false"/>
                <w:sz w:val="18"/>
                <w:szCs w:val="18"/>
              </w:rPr>
              <w:t xml:space="preserve">Dividend-policy / payout surprise</w:t>
            </w:r>
          </w:p>
        </w:tc>
        <w:tc>
          <w:tcPr>
            <w:tcW w:type="dxa" w:w="1000"/>
            <w:tcMar>
              <w:top w:type="dxa" w:w="40"/>
              <w:left w:type="dxa" w:w="80"/>
              <w:bottom w:type="dxa" w:w="40"/>
              <w:right w:type="dxa" w:w="80"/>
            </w:tcMar>
          </w:tcPr>
          <w:p>
            <w:r>
              <w:rPr>
                <w:b w:val="false"/>
                <w:bCs w:val="false"/>
                <w:sz w:val="18"/>
                <w:szCs w:val="18"/>
              </w:rPr>
              <w:t xml:space="preserve">15%</w:t>
            </w:r>
          </w:p>
        </w:tc>
        <w:tc>
          <w:tcPr>
            <w:tcW w:type="dxa" w:w="1220"/>
            <w:tcMar>
              <w:top w:type="dxa" w:w="40"/>
              <w:left w:type="dxa" w:w="80"/>
              <w:bottom w:type="dxa" w:w="40"/>
              <w:right w:type="dxa" w:w="80"/>
            </w:tcMar>
          </w:tcPr>
          <w:p>
            <w:r>
              <w:rPr>
                <w:b w:val="false"/>
                <w:bCs w:val="false"/>
                <w:sz w:val="18"/>
                <w:szCs w:val="18"/>
              </w:rPr>
              <w:t xml:space="preserve">+1.5%</w:t>
            </w:r>
          </w:p>
        </w:tc>
      </w:tr>
      <w:tr>
        <w:tc>
          <w:tcPr>
            <w:tcW w:type="dxa" w:w="2960"/>
            <w:tcMar>
              <w:top w:type="dxa" w:w="40"/>
              <w:left w:type="dxa" w:w="80"/>
              <w:bottom w:type="dxa" w:w="40"/>
              <w:right w:type="dxa" w:w="80"/>
            </w:tcMar>
          </w:tcPr>
          <w:p>
            <w:r>
              <w:rPr>
                <w:b w:val="false"/>
                <w:bCs w:val="false"/>
                <w:sz w:val="18"/>
                <w:szCs w:val="18"/>
              </w:rPr>
              <w:t xml:space="preserve">Capex intensity / FCF drag</w:t>
            </w:r>
          </w:p>
        </w:tc>
        <w:tc>
          <w:tcPr>
            <w:tcW w:type="dxa" w:w="700"/>
            <w:tcMar>
              <w:top w:type="dxa" w:w="40"/>
              <w:left w:type="dxa" w:w="80"/>
              <w:bottom w:type="dxa" w:w="40"/>
              <w:right w:type="dxa" w:w="80"/>
            </w:tcMar>
          </w:tcPr>
          <w:p>
            <w:r>
              <w:rPr>
                <w:b w:val="false"/>
                <w:bCs w:val="false"/>
                <w:sz w:val="18"/>
                <w:szCs w:val="18"/>
              </w:rPr>
              <w:t xml:space="preserve">-</w:t>
            </w:r>
          </w:p>
        </w:tc>
        <w:tc>
          <w:tcPr>
            <w:tcW w:type="dxa" w:w="3480"/>
            <w:tcMar>
              <w:top w:type="dxa" w:w="40"/>
              <w:left w:type="dxa" w:w="80"/>
              <w:bottom w:type="dxa" w:w="40"/>
              <w:right w:type="dxa" w:w="80"/>
            </w:tcMar>
          </w:tcPr>
          <w:p>
            <w:r>
              <w:rPr>
                <w:b w:val="false"/>
                <w:bCs w:val="false"/>
                <w:sz w:val="18"/>
                <w:szCs w:val="18"/>
              </w:rPr>
              <w:t xml:space="preserve">Red Sea / subsea disruption</w:t>
            </w:r>
          </w:p>
        </w:tc>
        <w:tc>
          <w:tcPr>
            <w:tcW w:type="dxa" w:w="1000"/>
            <w:tcMar>
              <w:top w:type="dxa" w:w="40"/>
              <w:left w:type="dxa" w:w="80"/>
              <w:bottom w:type="dxa" w:w="40"/>
              <w:right w:type="dxa" w:w="80"/>
            </w:tcMar>
          </w:tcPr>
          <w:p>
            <w:r>
              <w:rPr>
                <w:b w:val="false"/>
                <w:bCs w:val="false"/>
                <w:sz w:val="18"/>
                <w:szCs w:val="18"/>
              </w:rPr>
              <w:t xml:space="preserve">25%</w:t>
            </w:r>
          </w:p>
        </w:tc>
        <w:tc>
          <w:tcPr>
            <w:tcW w:type="dxa" w:w="1220"/>
            <w:tcMar>
              <w:top w:type="dxa" w:w="40"/>
              <w:left w:type="dxa" w:w="80"/>
              <w:bottom w:type="dxa" w:w="40"/>
              <w:right w:type="dxa" w:w="80"/>
            </w:tcMar>
          </w:tcPr>
          <w:p>
            <w:r>
              <w:rPr>
                <w:b w:val="false"/>
                <w:bCs w:val="false"/>
                <w:sz w:val="18"/>
                <w:szCs w:val="18"/>
              </w:rPr>
              <w:t xml:space="preserve">-2.5%</w:t>
            </w:r>
          </w:p>
        </w:tc>
      </w:tr>
      <w:tr>
        <w:tc>
          <w:tcPr>
            <w:tcW w:type="dxa" w:w="2960"/>
            <w:tcMar>
              <w:top w:type="dxa" w:w="40"/>
              <w:left w:type="dxa" w:w="80"/>
              <w:bottom w:type="dxa" w:w="40"/>
              <w:right w:type="dxa" w:w="80"/>
            </w:tcMar>
          </w:tcPr>
          <w:p/>
        </w:tc>
        <w:tc>
          <w:tcPr>
            <w:tcW w:type="dxa" w:w="700"/>
            <w:tcMar>
              <w:top w:type="dxa" w:w="40"/>
              <w:left w:type="dxa" w:w="80"/>
              <w:bottom w:type="dxa" w:w="40"/>
              <w:right w:type="dxa" w:w="80"/>
            </w:tcMar>
          </w:tcPr>
          <w:p/>
        </w:tc>
        <w:tc>
          <w:tcPr>
            <w:tcW w:type="dxa" w:w="3480"/>
            <w:tcMar>
              <w:top w:type="dxa" w:w="40"/>
              <w:left w:type="dxa" w:w="80"/>
              <w:bottom w:type="dxa" w:w="40"/>
              <w:right w:type="dxa" w:w="80"/>
            </w:tcMar>
          </w:tcPr>
          <w:p>
            <w:r>
              <w:rPr>
                <w:b w:val="false"/>
                <w:bCs w:val="false"/>
                <w:sz w:val="18"/>
                <w:szCs w:val="18"/>
              </w:rPr>
              <w:t xml:space="preserve">New cable / IRU / data-hub deal (Helios close)</w:t>
            </w:r>
          </w:p>
        </w:tc>
        <w:tc>
          <w:tcPr>
            <w:tcW w:type="dxa" w:w="1000"/>
            <w:tcMar>
              <w:top w:type="dxa" w:w="40"/>
              <w:left w:type="dxa" w:w="80"/>
              <w:bottom w:type="dxa" w:w="40"/>
              <w:right w:type="dxa" w:w="80"/>
            </w:tcMar>
          </w:tcPr>
          <w:p>
            <w:r>
              <w:rPr>
                <w:b w:val="false"/>
                <w:bCs w:val="false"/>
                <w:sz w:val="18"/>
                <w:szCs w:val="18"/>
              </w:rPr>
              <w:t xml:space="preserve">45%</w:t>
            </w:r>
          </w:p>
        </w:tc>
        <w:tc>
          <w:tcPr>
            <w:tcW w:type="dxa" w:w="1220"/>
            <w:tcMar>
              <w:top w:type="dxa" w:w="40"/>
              <w:left w:type="dxa" w:w="80"/>
              <w:bottom w:type="dxa" w:w="40"/>
              <w:right w:type="dxa" w:w="80"/>
            </w:tcMar>
          </w:tcPr>
          <w:p>
            <w:r>
              <w:rPr>
                <w:b w:val="false"/>
                <w:bCs w:val="false"/>
                <w:sz w:val="18"/>
                <w:szCs w:val="18"/>
              </w:rPr>
              <w:t xml:space="preserve">+2.0%</w:t>
            </w:r>
          </w:p>
        </w:tc>
      </w:tr>
      <w:tr>
        <w:tc>
          <w:tcPr>
            <w:tcW w:type="dxa" w:w="2960"/>
            <w:tcMar>
              <w:top w:type="dxa" w:w="40"/>
              <w:left w:type="dxa" w:w="80"/>
              <w:bottom w:type="dxa" w:w="40"/>
              <w:right w:type="dxa" w:w="80"/>
            </w:tcMar>
          </w:tcPr>
          <w:p/>
        </w:tc>
        <w:tc>
          <w:tcPr>
            <w:tcW w:type="dxa" w:w="700"/>
            <w:tcMar>
              <w:top w:type="dxa" w:w="40"/>
              <w:left w:type="dxa" w:w="80"/>
              <w:bottom w:type="dxa" w:w="40"/>
              <w:right w:type="dxa" w:w="80"/>
            </w:tcMar>
          </w:tcPr>
          <w:p/>
        </w:tc>
        <w:tc>
          <w:tcPr>
            <w:tcW w:type="dxa" w:w="3480"/>
            <w:tcMar>
              <w:top w:type="dxa" w:w="40"/>
              <w:left w:type="dxa" w:w="80"/>
              <w:bottom w:type="dxa" w:w="40"/>
              <w:right w:type="dxa" w:w="80"/>
            </w:tcMar>
          </w:tcPr>
          <w:p>
            <w:r>
              <w:rPr>
                <w:b w:val="false"/>
                <w:bCs w:val="false"/>
                <w:sz w:val="18"/>
                <w:szCs w:val="18"/>
              </w:rPr>
              <w:t xml:space="preserve">Index / MSCI flow event</w:t>
            </w:r>
          </w:p>
        </w:tc>
        <w:tc>
          <w:tcPr>
            <w:tcW w:type="dxa" w:w="1000"/>
            <w:tcMar>
              <w:top w:type="dxa" w:w="40"/>
              <w:left w:type="dxa" w:w="80"/>
              <w:bottom w:type="dxa" w:w="40"/>
              <w:right w:type="dxa" w:w="80"/>
            </w:tcMar>
          </w:tcPr>
          <w:p>
            <w:r>
              <w:rPr>
                <w:b w:val="false"/>
                <w:bCs w:val="false"/>
                <w:sz w:val="18"/>
                <w:szCs w:val="18"/>
              </w:rPr>
              <w:t xml:space="preserve">25%</w:t>
            </w:r>
          </w:p>
        </w:tc>
        <w:tc>
          <w:tcPr>
            <w:tcW w:type="dxa" w:w="1220"/>
            <w:tcMar>
              <w:top w:type="dxa" w:w="40"/>
              <w:left w:type="dxa" w:w="80"/>
              <w:bottom w:type="dxa" w:w="40"/>
              <w:right w:type="dxa" w:w="80"/>
            </w:tcMar>
          </w:tcPr>
          <w:p>
            <w:r>
              <w:rPr>
                <w:b w:val="false"/>
                <w:bCs w:val="false"/>
                <w:sz w:val="18"/>
                <w:szCs w:val="18"/>
              </w:rPr>
              <w:t xml:space="preserve">+1.2%</w:t>
            </w:r>
          </w:p>
        </w:tc>
      </w:tr>
    </w:tbl>
    <w:p>
      <w:pPr>
        <w:spacing w:after="120"/>
      </w:pPr>
    </w:p>
    <w:p>
      <w:pPr>
        <w:spacing w:after="180" w:before="60"/>
      </w:pPr>
      <w:r>
        <w:rPr>
          <w:i/>
          <w:iCs/>
          <w:color w:val="666666"/>
          <w:sz w:val="18"/>
          <w:szCs w:val="18"/>
        </w:rPr>
        <w:t xml:space="preserve">All factor magnitudes and probabilities are the preparer’s judgments (a first-pass egx_telecom set, flagged calibrated=false pending sign-off); the diffusion width and drift are the calibrated engine.</w:t>
      </w:r>
    </w:p>
    <w:p>
      <w:pPr>
        <w:spacing w:after="140"/>
      </w:pPr>
      <w:r>
        <w:rPr>
          <w:b/>
          <w:bCs/>
        </w:rPr>
        <w:t xml:space="preserve">Percentile map (EGP/share):</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3160"/>
        <w:gridCol w:w="1240"/>
        <w:gridCol w:w="1240"/>
        <w:gridCol w:w="1240"/>
        <w:gridCol w:w="1240"/>
        <w:gridCol w:w="1240"/>
      </w:tblGrid>
      <w:tr>
        <w:tc>
          <w:tcPr>
            <w:tcW w:type="dxa" w:w="3160"/>
            <w:shd w:fill="1B5E5E" w:val="clear"/>
            <w:tcMar>
              <w:top w:type="dxa" w:w="40"/>
              <w:left w:type="dxa" w:w="80"/>
              <w:bottom w:type="dxa" w:w="40"/>
              <w:right w:type="dxa" w:w="80"/>
            </w:tcMar>
          </w:tcPr>
          <w:p>
            <w:r>
              <w:rPr>
                <w:b/>
                <w:bCs/>
                <w:color w:val="FFFFFF"/>
                <w:sz w:val="18"/>
                <w:szCs w:val="18"/>
              </w:rPr>
              <w:t xml:space="preserve">Horizon</w:t>
            </w:r>
          </w:p>
        </w:tc>
        <w:tc>
          <w:tcPr>
            <w:tcW w:type="dxa" w:w="1240"/>
            <w:shd w:fill="1B5E5E" w:val="clear"/>
            <w:tcMar>
              <w:top w:type="dxa" w:w="40"/>
              <w:left w:type="dxa" w:w="80"/>
              <w:bottom w:type="dxa" w:w="40"/>
              <w:right w:type="dxa" w:w="80"/>
            </w:tcMar>
          </w:tcPr>
          <w:p>
            <w:r>
              <w:rPr>
                <w:b/>
                <w:bCs/>
                <w:color w:val="FFFFFF"/>
                <w:sz w:val="18"/>
                <w:szCs w:val="18"/>
              </w:rPr>
              <w:t xml:space="preserve">p5</w:t>
            </w:r>
          </w:p>
        </w:tc>
        <w:tc>
          <w:tcPr>
            <w:tcW w:type="dxa" w:w="1240"/>
            <w:shd w:fill="1B5E5E" w:val="clear"/>
            <w:tcMar>
              <w:top w:type="dxa" w:w="40"/>
              <w:left w:type="dxa" w:w="80"/>
              <w:bottom w:type="dxa" w:w="40"/>
              <w:right w:type="dxa" w:w="80"/>
            </w:tcMar>
          </w:tcPr>
          <w:p>
            <w:r>
              <w:rPr>
                <w:b/>
                <w:bCs/>
                <w:color w:val="FFFFFF"/>
                <w:sz w:val="18"/>
                <w:szCs w:val="18"/>
              </w:rPr>
              <w:t xml:space="preserve">p25</w:t>
            </w:r>
          </w:p>
        </w:tc>
        <w:tc>
          <w:tcPr>
            <w:tcW w:type="dxa" w:w="1240"/>
            <w:shd w:fill="1B5E5E" w:val="clear"/>
            <w:tcMar>
              <w:top w:type="dxa" w:w="40"/>
              <w:left w:type="dxa" w:w="80"/>
              <w:bottom w:type="dxa" w:w="40"/>
              <w:right w:type="dxa" w:w="80"/>
            </w:tcMar>
          </w:tcPr>
          <w:p>
            <w:r>
              <w:rPr>
                <w:b/>
                <w:bCs/>
                <w:color w:val="FFFFFF"/>
                <w:sz w:val="18"/>
                <w:szCs w:val="18"/>
              </w:rPr>
              <w:t xml:space="preserve">p50</w:t>
            </w:r>
          </w:p>
        </w:tc>
        <w:tc>
          <w:tcPr>
            <w:tcW w:type="dxa" w:w="1240"/>
            <w:shd w:fill="1B5E5E" w:val="clear"/>
            <w:tcMar>
              <w:top w:type="dxa" w:w="40"/>
              <w:left w:type="dxa" w:w="80"/>
              <w:bottom w:type="dxa" w:w="40"/>
              <w:right w:type="dxa" w:w="80"/>
            </w:tcMar>
          </w:tcPr>
          <w:p>
            <w:r>
              <w:rPr>
                <w:b/>
                <w:bCs/>
                <w:color w:val="FFFFFF"/>
                <w:sz w:val="18"/>
                <w:szCs w:val="18"/>
              </w:rPr>
              <w:t xml:space="preserve">p75</w:t>
            </w:r>
          </w:p>
        </w:tc>
        <w:tc>
          <w:tcPr>
            <w:tcW w:type="dxa" w:w="1240"/>
            <w:shd w:fill="1B5E5E" w:val="clear"/>
            <w:tcMar>
              <w:top w:type="dxa" w:w="40"/>
              <w:left w:type="dxa" w:w="80"/>
              <w:bottom w:type="dxa" w:w="40"/>
              <w:right w:type="dxa" w:w="80"/>
            </w:tcMar>
          </w:tcPr>
          <w:p>
            <w:r>
              <w:rPr>
                <w:b/>
                <w:bCs/>
                <w:color w:val="FFFFFF"/>
                <w:sz w:val="18"/>
                <w:szCs w:val="18"/>
              </w:rPr>
              <w:t xml:space="preserve">p95</w:t>
            </w:r>
          </w:p>
        </w:tc>
      </w:tr>
      <w:tr>
        <w:tc>
          <w:tcPr>
            <w:tcW w:type="dxa" w:w="3160"/>
            <w:tcMar>
              <w:top w:type="dxa" w:w="40"/>
              <w:left w:type="dxa" w:w="80"/>
              <w:bottom w:type="dxa" w:w="40"/>
              <w:right w:type="dxa" w:w="80"/>
            </w:tcMar>
          </w:tcPr>
          <w:p>
            <w:r>
              <w:rPr>
                <w:b/>
                <w:bCs/>
                <w:sz w:val="18"/>
                <w:szCs w:val="18"/>
              </w:rPr>
              <w:t xml:space="preserve">T+20 sessions</w:t>
            </w:r>
          </w:p>
        </w:tc>
        <w:tc>
          <w:tcPr>
            <w:tcW w:type="dxa" w:w="1240"/>
            <w:tcMar>
              <w:top w:type="dxa" w:w="40"/>
              <w:left w:type="dxa" w:w="80"/>
              <w:bottom w:type="dxa" w:w="40"/>
              <w:right w:type="dxa" w:w="80"/>
            </w:tcMar>
          </w:tcPr>
          <w:p>
            <w:r>
              <w:rPr>
                <w:b w:val="false"/>
                <w:bCs w:val="false"/>
                <w:sz w:val="18"/>
                <w:szCs w:val="18"/>
              </w:rPr>
              <w:t xml:space="preserve">81</w:t>
            </w:r>
          </w:p>
        </w:tc>
        <w:tc>
          <w:tcPr>
            <w:tcW w:type="dxa" w:w="1240"/>
            <w:tcMar>
              <w:top w:type="dxa" w:w="40"/>
              <w:left w:type="dxa" w:w="80"/>
              <w:bottom w:type="dxa" w:w="40"/>
              <w:right w:type="dxa" w:w="80"/>
            </w:tcMar>
          </w:tcPr>
          <w:p>
            <w:r>
              <w:rPr>
                <w:b w:val="false"/>
                <w:bCs w:val="false"/>
                <w:sz w:val="18"/>
                <w:szCs w:val="18"/>
              </w:rPr>
              <w:t xml:space="preserve">91</w:t>
            </w:r>
          </w:p>
        </w:tc>
        <w:tc>
          <w:tcPr>
            <w:tcW w:type="dxa" w:w="1240"/>
            <w:tcMar>
              <w:top w:type="dxa" w:w="40"/>
              <w:left w:type="dxa" w:w="80"/>
              <w:bottom w:type="dxa" w:w="40"/>
              <w:right w:type="dxa" w:w="80"/>
            </w:tcMar>
          </w:tcPr>
          <w:p>
            <w:r>
              <w:rPr>
                <w:b w:val="false"/>
                <w:bCs w:val="false"/>
                <w:sz w:val="18"/>
                <w:szCs w:val="18"/>
              </w:rPr>
              <w:t xml:space="preserve">97</w:t>
            </w:r>
          </w:p>
        </w:tc>
        <w:tc>
          <w:tcPr>
            <w:tcW w:type="dxa" w:w="1240"/>
            <w:tcMar>
              <w:top w:type="dxa" w:w="40"/>
              <w:left w:type="dxa" w:w="80"/>
              <w:bottom w:type="dxa" w:w="40"/>
              <w:right w:type="dxa" w:w="80"/>
            </w:tcMar>
          </w:tcPr>
          <w:p>
            <w:r>
              <w:rPr>
                <w:b w:val="false"/>
                <w:bCs w:val="false"/>
                <w:sz w:val="18"/>
                <w:szCs w:val="18"/>
              </w:rPr>
              <w:t xml:space="preserve">104</w:t>
            </w:r>
          </w:p>
        </w:tc>
        <w:tc>
          <w:tcPr>
            <w:tcW w:type="dxa" w:w="1240"/>
            <w:tcMar>
              <w:top w:type="dxa" w:w="40"/>
              <w:left w:type="dxa" w:w="80"/>
              <w:bottom w:type="dxa" w:w="40"/>
              <w:right w:type="dxa" w:w="80"/>
            </w:tcMar>
          </w:tcPr>
          <w:p>
            <w:r>
              <w:rPr>
                <w:b w:val="false"/>
                <w:bCs w:val="false"/>
                <w:sz w:val="18"/>
                <w:szCs w:val="18"/>
              </w:rPr>
              <w:t xml:space="preserve">117</w:t>
            </w:r>
          </w:p>
        </w:tc>
      </w:tr>
      <w:tr>
        <w:tc>
          <w:tcPr>
            <w:tcW w:type="dxa" w:w="3160"/>
            <w:tcMar>
              <w:top w:type="dxa" w:w="40"/>
              <w:left w:type="dxa" w:w="80"/>
              <w:bottom w:type="dxa" w:w="40"/>
              <w:right w:type="dxa" w:w="80"/>
            </w:tcMar>
          </w:tcPr>
          <w:p>
            <w:r>
              <w:rPr>
                <w:b/>
                <w:bCs/>
                <w:sz w:val="18"/>
                <w:szCs w:val="18"/>
              </w:rPr>
              <w:t xml:space="preserve">T+60 sessions</w:t>
            </w:r>
          </w:p>
        </w:tc>
        <w:tc>
          <w:tcPr>
            <w:tcW w:type="dxa" w:w="1240"/>
            <w:tcMar>
              <w:top w:type="dxa" w:w="40"/>
              <w:left w:type="dxa" w:w="80"/>
              <w:bottom w:type="dxa" w:w="40"/>
              <w:right w:type="dxa" w:w="80"/>
            </w:tcMar>
          </w:tcPr>
          <w:p>
            <w:r>
              <w:rPr>
                <w:b w:val="false"/>
                <w:bCs w:val="false"/>
                <w:sz w:val="18"/>
                <w:szCs w:val="18"/>
              </w:rPr>
              <w:t xml:space="preserve">78</w:t>
            </w:r>
          </w:p>
        </w:tc>
        <w:tc>
          <w:tcPr>
            <w:tcW w:type="dxa" w:w="1240"/>
            <w:tcMar>
              <w:top w:type="dxa" w:w="40"/>
              <w:left w:type="dxa" w:w="80"/>
              <w:bottom w:type="dxa" w:w="40"/>
              <w:right w:type="dxa" w:w="80"/>
            </w:tcMar>
          </w:tcPr>
          <w:p>
            <w:r>
              <w:rPr>
                <w:b w:val="false"/>
                <w:bCs w:val="false"/>
                <w:sz w:val="18"/>
                <w:szCs w:val="18"/>
              </w:rPr>
              <w:t xml:space="preserve">94</w:t>
            </w:r>
          </w:p>
        </w:tc>
        <w:tc>
          <w:tcPr>
            <w:tcW w:type="dxa" w:w="1240"/>
            <w:tcMar>
              <w:top w:type="dxa" w:w="40"/>
              <w:left w:type="dxa" w:w="80"/>
              <w:bottom w:type="dxa" w:w="40"/>
              <w:right w:type="dxa" w:w="80"/>
            </w:tcMar>
          </w:tcPr>
          <w:p>
            <w:r>
              <w:rPr>
                <w:b w:val="false"/>
                <w:bCs w:val="false"/>
                <w:sz w:val="18"/>
                <w:szCs w:val="18"/>
              </w:rPr>
              <w:t xml:space="preserve">106</w:t>
            </w:r>
          </w:p>
        </w:tc>
        <w:tc>
          <w:tcPr>
            <w:tcW w:type="dxa" w:w="1240"/>
            <w:tcMar>
              <w:top w:type="dxa" w:w="40"/>
              <w:left w:type="dxa" w:w="80"/>
              <w:bottom w:type="dxa" w:w="40"/>
              <w:right w:type="dxa" w:w="80"/>
            </w:tcMar>
          </w:tcPr>
          <w:p>
            <w:r>
              <w:rPr>
                <w:b w:val="false"/>
                <w:bCs w:val="false"/>
                <w:sz w:val="18"/>
                <w:szCs w:val="18"/>
              </w:rPr>
              <w:t xml:space="preserve">119</w:t>
            </w:r>
          </w:p>
        </w:tc>
        <w:tc>
          <w:tcPr>
            <w:tcW w:type="dxa" w:w="1240"/>
            <w:tcMar>
              <w:top w:type="dxa" w:w="40"/>
              <w:left w:type="dxa" w:w="80"/>
              <w:bottom w:type="dxa" w:w="40"/>
              <w:right w:type="dxa" w:w="80"/>
            </w:tcMar>
          </w:tcPr>
          <w:p>
            <w:r>
              <w:rPr>
                <w:b w:val="false"/>
                <w:bCs w:val="false"/>
                <w:sz w:val="18"/>
                <w:szCs w:val="18"/>
              </w:rPr>
              <w:t xml:space="preserve">145</w:t>
            </w:r>
          </w:p>
        </w:tc>
      </w:tr>
    </w:tbl>
    <w:p>
      <w:pPr>
        <w:spacing w:after="120"/>
      </w:pPr>
    </w:p>
    <w:p>
      <w:pPr>
        <w:spacing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81350"/>
                    </a:xfrm>
                    <a:prstGeom prst="rect">
                      <a:avLst/>
                    </a:prstGeom>
                  </pic:spPr>
                </pic:pic>
              </a:graphicData>
            </a:graphic>
          </wp:inline>
        </w:drawing>
      </w:r>
    </w:p>
    <w:p>
      <w:pPr>
        <w:spacing w:after="180" w:before="60"/>
      </w:pPr>
      <w:r>
        <w:rPr>
          <w:i/>
          <w:iCs/>
          <w:color w:val="666666"/>
          <w:sz w:val="18"/>
          <w:szCs w:val="18"/>
        </w:rPr>
        <w:t xml:space="preserve">Figure 4 — Forward price cone to T+60. The median carries the calibrated class drift; the gold dotted line marks the EGP 118 fundamental central value, still above the cone's middle.</w:t>
      </w:r>
    </w:p>
    <w:p>
      <w:pPr>
        <w:spacing w:before="12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38425"/>
                    </a:xfrm>
                    <a:prstGeom prst="rect">
                      <a:avLst/>
                    </a:prstGeom>
                  </pic:spPr>
                </pic:pic>
              </a:graphicData>
            </a:graphic>
          </wp:inline>
        </w:drawing>
      </w:r>
    </w:p>
    <w:p>
      <w:pPr>
        <w:spacing w:after="180" w:before="60"/>
      </w:pPr>
      <w:r>
        <w:rPr>
          <w:i/>
          <w:iCs/>
          <w:color w:val="666666"/>
          <w:sz w:val="18"/>
          <w:szCs w:val="18"/>
        </w:rPr>
        <w:t xml:space="preserve">Figure 5 — Price distribution at T+20.</w:t>
      </w:r>
    </w:p>
    <w:p>
      <w:pPr>
        <w:spacing w:before="12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38425"/>
                    </a:xfrm>
                    <a:prstGeom prst="rect">
                      <a:avLst/>
                    </a:prstGeom>
                  </pic:spPr>
                </pic:pic>
              </a:graphicData>
            </a:graphic>
          </wp:inline>
        </w:drawing>
      </w:r>
    </w:p>
    <w:p>
      <w:pPr>
        <w:spacing w:after="180" w:before="60"/>
      </w:pPr>
      <w:r>
        <w:rPr>
          <w:i/>
          <w:iCs/>
          <w:color w:val="666666"/>
          <w:sz w:val="18"/>
          <w:szCs w:val="18"/>
        </w:rPr>
        <w:t xml:space="preserve">Figure 6 — Price distribution at T+60.</w:t>
      </w:r>
    </w:p>
    <w:p>
      <w:pPr>
        <w:spacing w:after="140"/>
      </w:pPr>
      <w:r>
        <w:rPr>
          <w:b/>
          <w:bCs/>
        </w:rPr>
        <w:t xml:space="preserve">Level-touch ladder</w:t>
      </w:r>
      <w:r>
        <w:t xml:space="preserve"> — the probability that price touches a level at any point by the horizon (running max for upside, running min for downside):</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1760"/>
        <w:gridCol w:w="1760"/>
        <w:gridCol w:w="1760"/>
        <w:gridCol w:w="4080"/>
      </w:tblGrid>
      <w:tr>
        <w:tc>
          <w:tcPr>
            <w:tcW w:type="dxa" w:w="1760"/>
            <w:shd w:fill="1B5E5E" w:val="clear"/>
            <w:tcMar>
              <w:top w:type="dxa" w:w="40"/>
              <w:left w:type="dxa" w:w="80"/>
              <w:bottom w:type="dxa" w:w="40"/>
              <w:right w:type="dxa" w:w="80"/>
            </w:tcMar>
          </w:tcPr>
          <w:p>
            <w:r>
              <w:rPr>
                <w:b/>
                <w:bCs/>
                <w:color w:val="FFFFFF"/>
                <w:sz w:val="18"/>
                <w:szCs w:val="18"/>
              </w:rPr>
              <w:t xml:space="preserve">Level</w:t>
            </w:r>
          </w:p>
        </w:tc>
        <w:tc>
          <w:tcPr>
            <w:tcW w:type="dxa" w:w="1760"/>
            <w:shd w:fill="1B5E5E" w:val="clear"/>
            <w:tcMar>
              <w:top w:type="dxa" w:w="40"/>
              <w:left w:type="dxa" w:w="80"/>
              <w:bottom w:type="dxa" w:w="40"/>
              <w:right w:type="dxa" w:w="80"/>
            </w:tcMar>
          </w:tcPr>
          <w:p>
            <w:r>
              <w:rPr>
                <w:b/>
                <w:bCs/>
                <w:color w:val="FFFFFF"/>
                <w:sz w:val="18"/>
                <w:szCs w:val="18"/>
              </w:rPr>
              <w:t xml:space="preserve">T+20 touch</w:t>
            </w:r>
          </w:p>
        </w:tc>
        <w:tc>
          <w:tcPr>
            <w:tcW w:type="dxa" w:w="1760"/>
            <w:shd w:fill="1B5E5E" w:val="clear"/>
            <w:tcMar>
              <w:top w:type="dxa" w:w="40"/>
              <w:left w:type="dxa" w:w="80"/>
              <w:bottom w:type="dxa" w:w="40"/>
              <w:right w:type="dxa" w:w="80"/>
            </w:tcMar>
          </w:tcPr>
          <w:p>
            <w:r>
              <w:rPr>
                <w:b/>
                <w:bCs/>
                <w:color w:val="FFFFFF"/>
                <w:sz w:val="18"/>
                <w:szCs w:val="18"/>
              </w:rPr>
              <w:t xml:space="preserve">T+60 touch</w:t>
            </w:r>
          </w:p>
        </w:tc>
        <w:tc>
          <w:tcPr>
            <w:tcW w:type="dxa" w:w="4080"/>
            <w:shd w:fill="1B5E5E" w:val="clear"/>
            <w:tcMar>
              <w:top w:type="dxa" w:w="40"/>
              <w:left w:type="dxa" w:w="80"/>
              <w:bottom w:type="dxa" w:w="40"/>
              <w:right w:type="dxa" w:w="80"/>
            </w:tcMar>
          </w:tcPr>
          <w:p>
            <w:r>
              <w:rPr>
                <w:b/>
                <w:bCs/>
                <w:color w:val="FFFFFF"/>
                <w:sz w:val="18"/>
                <w:szCs w:val="18"/>
              </w:rPr>
              <w:t xml:space="preserve">Note</w:t>
            </w:r>
          </w:p>
        </w:tc>
      </w:tr>
      <w:tr>
        <w:tc>
          <w:tcPr>
            <w:tcW w:type="dxa" w:w="1760"/>
            <w:tcMar>
              <w:top w:type="dxa" w:w="40"/>
              <w:left w:type="dxa" w:w="80"/>
              <w:bottom w:type="dxa" w:w="40"/>
              <w:right w:type="dxa" w:w="80"/>
            </w:tcMar>
          </w:tcPr>
          <w:p>
            <w:r>
              <w:rPr>
                <w:b w:val="false"/>
                <w:bCs w:val="false"/>
                <w:sz w:val="18"/>
                <w:szCs w:val="18"/>
              </w:rPr>
              <w:t xml:space="preserve">EGP 120</w:t>
            </w:r>
          </w:p>
        </w:tc>
        <w:tc>
          <w:tcPr>
            <w:tcW w:type="dxa" w:w="1760"/>
            <w:tcMar>
              <w:top w:type="dxa" w:w="40"/>
              <w:left w:type="dxa" w:w="80"/>
              <w:bottom w:type="dxa" w:w="40"/>
              <w:right w:type="dxa" w:w="80"/>
            </w:tcMar>
          </w:tcPr>
          <w:p>
            <w:r>
              <w:rPr>
                <w:b w:val="false"/>
                <w:bCs w:val="false"/>
                <w:sz w:val="18"/>
                <w:szCs w:val="18"/>
              </w:rPr>
              <w:t xml:space="preserve">5%</w:t>
            </w:r>
          </w:p>
        </w:tc>
        <w:tc>
          <w:tcPr>
            <w:tcW w:type="dxa" w:w="1760"/>
            <w:tcMar>
              <w:top w:type="dxa" w:w="40"/>
              <w:left w:type="dxa" w:w="80"/>
              <w:bottom w:type="dxa" w:w="40"/>
              <w:right w:type="dxa" w:w="80"/>
            </w:tcMar>
          </w:tcPr>
          <w:p>
            <w:r>
              <w:rPr>
                <w:b w:val="false"/>
                <w:bCs w:val="false"/>
                <w:sz w:val="18"/>
                <w:szCs w:val="18"/>
              </w:rPr>
              <w:t xml:space="preserve">33%</w:t>
            </w:r>
          </w:p>
        </w:tc>
        <w:tc>
          <w:tcPr>
            <w:tcW w:type="dxa" w:w="4080"/>
            <w:tcMar>
              <w:top w:type="dxa" w:w="40"/>
              <w:left w:type="dxa" w:w="80"/>
              <w:bottom w:type="dxa" w:w="40"/>
              <w:right w:type="dxa" w:w="80"/>
            </w:tcMar>
          </w:tcPr>
          <w:p>
            <w:r>
              <w:rPr>
                <w:b w:val="false"/>
                <w:bCs w:val="false"/>
                <w:sz w:val="18"/>
                <w:szCs w:val="18"/>
              </w:rPr>
              <w:t xml:space="preserve">Above the central fair value</w:t>
            </w:r>
          </w:p>
        </w:tc>
      </w:tr>
      <w:tr>
        <w:tc>
          <w:tcPr>
            <w:tcW w:type="dxa" w:w="1760"/>
            <w:tcMar>
              <w:top w:type="dxa" w:w="40"/>
              <w:left w:type="dxa" w:w="80"/>
              <w:bottom w:type="dxa" w:w="40"/>
              <w:right w:type="dxa" w:w="80"/>
            </w:tcMar>
          </w:tcPr>
          <w:p>
            <w:r>
              <w:rPr>
                <w:b w:val="false"/>
                <w:bCs w:val="false"/>
                <w:sz w:val="18"/>
                <w:szCs w:val="18"/>
              </w:rPr>
              <w:t xml:space="preserve">EGP 113</w:t>
            </w:r>
          </w:p>
        </w:tc>
        <w:tc>
          <w:tcPr>
            <w:tcW w:type="dxa" w:w="1760"/>
            <w:tcMar>
              <w:top w:type="dxa" w:w="40"/>
              <w:left w:type="dxa" w:w="80"/>
              <w:bottom w:type="dxa" w:w="40"/>
              <w:right w:type="dxa" w:w="80"/>
            </w:tcMar>
          </w:tcPr>
          <w:p>
            <w:r>
              <w:rPr>
                <w:b w:val="false"/>
                <w:bCs w:val="false"/>
                <w:sz w:val="18"/>
                <w:szCs w:val="18"/>
              </w:rPr>
              <w:t xml:space="preserve">11%</w:t>
            </w:r>
          </w:p>
        </w:tc>
        <w:tc>
          <w:tcPr>
            <w:tcW w:type="dxa" w:w="1760"/>
            <w:tcMar>
              <w:top w:type="dxa" w:w="40"/>
              <w:left w:type="dxa" w:w="80"/>
              <w:bottom w:type="dxa" w:w="40"/>
              <w:right w:type="dxa" w:w="80"/>
            </w:tcMar>
          </w:tcPr>
          <w:p>
            <w:r>
              <w:rPr>
                <w:b w:val="false"/>
                <w:bCs w:val="false"/>
                <w:sz w:val="18"/>
                <w:szCs w:val="18"/>
              </w:rPr>
              <w:t xml:space="preserve">49%</w:t>
            </w:r>
          </w:p>
        </w:tc>
        <w:tc>
          <w:tcPr>
            <w:tcW w:type="dxa" w:w="4080"/>
            <w:tcMar>
              <w:top w:type="dxa" w:w="40"/>
              <w:left w:type="dxa" w:w="80"/>
              <w:bottom w:type="dxa" w:w="40"/>
              <w:right w:type="dxa" w:w="80"/>
            </w:tcMar>
          </w:tcPr>
          <w:p>
            <w:r>
              <w:rPr>
                <w:b w:val="false"/>
                <w:bCs w:val="false"/>
                <w:sz w:val="18"/>
                <w:szCs w:val="18"/>
              </w:rPr>
              <w:t xml:space="preserve">The all-time high</w:t>
            </w:r>
          </w:p>
        </w:tc>
      </w:tr>
      <w:tr>
        <w:tc>
          <w:tcPr>
            <w:tcW w:type="dxa" w:w="1760"/>
            <w:tcMar>
              <w:top w:type="dxa" w:w="40"/>
              <w:left w:type="dxa" w:w="80"/>
              <w:bottom w:type="dxa" w:w="40"/>
              <w:right w:type="dxa" w:w="80"/>
            </w:tcMar>
          </w:tcPr>
          <w:p>
            <w:r>
              <w:rPr>
                <w:b w:val="false"/>
                <w:bCs w:val="false"/>
                <w:sz w:val="18"/>
                <w:szCs w:val="18"/>
              </w:rPr>
              <w:t xml:space="preserve">EGP 105</w:t>
            </w:r>
          </w:p>
        </w:tc>
        <w:tc>
          <w:tcPr>
            <w:tcW w:type="dxa" w:w="1760"/>
            <w:tcMar>
              <w:top w:type="dxa" w:w="40"/>
              <w:left w:type="dxa" w:w="80"/>
              <w:bottom w:type="dxa" w:w="40"/>
              <w:right w:type="dxa" w:w="80"/>
            </w:tcMar>
          </w:tcPr>
          <w:p>
            <w:r>
              <w:rPr>
                <w:b w:val="false"/>
                <w:bCs w:val="false"/>
                <w:sz w:val="18"/>
                <w:szCs w:val="18"/>
              </w:rPr>
              <w:t xml:space="preserve">30%</w:t>
            </w:r>
          </w:p>
        </w:tc>
        <w:tc>
          <w:tcPr>
            <w:tcW w:type="dxa" w:w="1760"/>
            <w:tcMar>
              <w:top w:type="dxa" w:w="40"/>
              <w:left w:type="dxa" w:w="80"/>
              <w:bottom w:type="dxa" w:w="40"/>
              <w:right w:type="dxa" w:w="80"/>
            </w:tcMar>
          </w:tcPr>
          <w:p>
            <w:r>
              <w:rPr>
                <w:b w:val="false"/>
                <w:bCs w:val="false"/>
                <w:sz w:val="18"/>
                <w:szCs w:val="18"/>
              </w:rPr>
              <w:t xml:space="preserve">70%</w:t>
            </w:r>
          </w:p>
        </w:tc>
        <w:tc>
          <w:tcPr>
            <w:tcW w:type="dxa" w:w="4080"/>
            <w:tcMar>
              <w:top w:type="dxa" w:w="40"/>
              <w:left w:type="dxa" w:w="80"/>
              <w:bottom w:type="dxa" w:w="40"/>
              <w:right w:type="dxa" w:w="80"/>
            </w:tcMar>
          </w:tcPr>
          <w:p>
            <w:r>
              <w:rPr>
                <w:b w:val="false"/>
                <w:bCs w:val="false"/>
                <w:sz w:val="18"/>
                <w:szCs w:val="18"/>
              </w:rPr>
              <w:t xml:space="preserve">Mid up-band</w:t>
            </w:r>
          </w:p>
        </w:tc>
      </w:tr>
      <w:tr>
        <w:tc>
          <w:tcPr>
            <w:tcW w:type="dxa" w:w="1760"/>
            <w:tcMar>
              <w:top w:type="dxa" w:w="40"/>
              <w:left w:type="dxa" w:w="80"/>
              <w:bottom w:type="dxa" w:w="40"/>
              <w:right w:type="dxa" w:w="80"/>
            </w:tcMar>
          </w:tcPr>
          <w:p>
            <w:r>
              <w:rPr>
                <w:b w:val="false"/>
                <w:bCs w:val="false"/>
                <w:sz w:val="18"/>
                <w:szCs w:val="18"/>
              </w:rPr>
              <w:t xml:space="preserve">EGP 100</w:t>
            </w:r>
          </w:p>
        </w:tc>
        <w:tc>
          <w:tcPr>
            <w:tcW w:type="dxa" w:w="1760"/>
            <w:tcMar>
              <w:top w:type="dxa" w:w="40"/>
              <w:left w:type="dxa" w:w="80"/>
              <w:bottom w:type="dxa" w:w="40"/>
              <w:right w:type="dxa" w:w="80"/>
            </w:tcMar>
          </w:tcPr>
          <w:p>
            <w:r>
              <w:rPr>
                <w:b w:val="false"/>
                <w:bCs w:val="false"/>
                <w:sz w:val="18"/>
                <w:szCs w:val="18"/>
              </w:rPr>
              <w:t xml:space="preserve">53%</w:t>
            </w:r>
          </w:p>
        </w:tc>
        <w:tc>
          <w:tcPr>
            <w:tcW w:type="dxa" w:w="1760"/>
            <w:tcMar>
              <w:top w:type="dxa" w:w="40"/>
              <w:left w:type="dxa" w:w="80"/>
              <w:bottom w:type="dxa" w:w="40"/>
              <w:right w:type="dxa" w:w="80"/>
            </w:tcMar>
          </w:tcPr>
          <w:p>
            <w:r>
              <w:rPr>
                <w:b w:val="false"/>
                <w:bCs w:val="false"/>
                <w:sz w:val="18"/>
                <w:szCs w:val="18"/>
              </w:rPr>
              <w:t xml:space="preserve">83%</w:t>
            </w:r>
          </w:p>
        </w:tc>
        <w:tc>
          <w:tcPr>
            <w:tcW w:type="dxa" w:w="4080"/>
            <w:tcMar>
              <w:top w:type="dxa" w:w="40"/>
              <w:left w:type="dxa" w:w="80"/>
              <w:bottom w:type="dxa" w:w="40"/>
              <w:right w:type="dxa" w:w="80"/>
            </w:tcMar>
          </w:tcPr>
          <w:p>
            <w:r>
              <w:rPr>
                <w:b w:val="false"/>
                <w:bCs w:val="false"/>
                <w:sz w:val="18"/>
                <w:szCs w:val="18"/>
              </w:rPr>
              <w:t xml:space="preserve">Round number, p50 zone</w:t>
            </w:r>
          </w:p>
        </w:tc>
      </w:tr>
      <w:tr>
        <w:tc>
          <w:tcPr>
            <w:tcW w:type="dxa" w:w="1760"/>
            <w:tcMar>
              <w:top w:type="dxa" w:w="40"/>
              <w:left w:type="dxa" w:w="80"/>
              <w:bottom w:type="dxa" w:w="40"/>
              <w:right w:type="dxa" w:w="80"/>
            </w:tcMar>
          </w:tcPr>
          <w:p>
            <w:r>
              <w:rPr>
                <w:b w:val="false"/>
                <w:bCs w:val="false"/>
                <w:sz w:val="18"/>
                <w:szCs w:val="18"/>
              </w:rPr>
              <w:t xml:space="preserve">EGP 95</w:t>
            </w:r>
          </w:p>
        </w:tc>
        <w:tc>
          <w:tcPr>
            <w:tcW w:type="dxa" w:w="1760"/>
            <w:tcMar>
              <w:top w:type="dxa" w:w="40"/>
              <w:left w:type="dxa" w:w="80"/>
              <w:bottom w:type="dxa" w:w="40"/>
              <w:right w:type="dxa" w:w="80"/>
            </w:tcMar>
          </w:tcPr>
          <w:p>
            <w:r>
              <w:rPr>
                <w:b w:val="false"/>
                <w:bCs w:val="false"/>
                <w:sz w:val="18"/>
                <w:szCs w:val="18"/>
              </w:rPr>
              <w:t xml:space="preserve">81%</w:t>
            </w:r>
          </w:p>
        </w:tc>
        <w:tc>
          <w:tcPr>
            <w:tcW w:type="dxa" w:w="1760"/>
            <w:tcMar>
              <w:top w:type="dxa" w:w="40"/>
              <w:left w:type="dxa" w:w="80"/>
              <w:bottom w:type="dxa" w:w="40"/>
              <w:right w:type="dxa" w:w="80"/>
            </w:tcMar>
          </w:tcPr>
          <w:p>
            <w:r>
              <w:rPr>
                <w:b w:val="false"/>
                <w:bCs w:val="false"/>
                <w:sz w:val="18"/>
                <w:szCs w:val="18"/>
              </w:rPr>
              <w:t xml:space="preserve">94%</w:t>
            </w:r>
          </w:p>
        </w:tc>
        <w:tc>
          <w:tcPr>
            <w:tcW w:type="dxa" w:w="4080"/>
            <w:tcMar>
              <w:top w:type="dxa" w:w="40"/>
              <w:left w:type="dxa" w:w="80"/>
              <w:bottom w:type="dxa" w:w="40"/>
              <w:right w:type="dxa" w:w="80"/>
            </w:tcMar>
          </w:tcPr>
          <w:p>
            <w:r>
              <w:rPr>
                <w:b w:val="false"/>
                <w:bCs w:val="false"/>
                <w:sz w:val="18"/>
                <w:szCs w:val="18"/>
              </w:rPr>
              <w:t xml:space="preserve">Just above spot</w:t>
            </w:r>
          </w:p>
        </w:tc>
      </w:tr>
      <w:tr>
        <w:tc>
          <w:tcPr>
            <w:tcW w:type="dxa" w:w="1760"/>
            <w:tcMar>
              <w:top w:type="dxa" w:w="40"/>
              <w:left w:type="dxa" w:w="80"/>
              <w:bottom w:type="dxa" w:w="40"/>
              <w:right w:type="dxa" w:w="80"/>
            </w:tcMar>
          </w:tcPr>
          <w:p>
            <w:r>
              <w:rPr>
                <w:b w:val="false"/>
                <w:bCs w:val="false"/>
                <w:sz w:val="18"/>
                <w:szCs w:val="18"/>
              </w:rPr>
              <w:t xml:space="preserve">EGP 90</w:t>
            </w:r>
          </w:p>
        </w:tc>
        <w:tc>
          <w:tcPr>
            <w:tcW w:type="dxa" w:w="1760"/>
            <w:tcMar>
              <w:top w:type="dxa" w:w="40"/>
              <w:left w:type="dxa" w:w="80"/>
              <w:bottom w:type="dxa" w:w="40"/>
              <w:right w:type="dxa" w:w="80"/>
            </w:tcMar>
          </w:tcPr>
          <w:p>
            <w:r>
              <w:rPr>
                <w:b w:val="false"/>
                <w:bCs w:val="false"/>
                <w:sz w:val="18"/>
                <w:szCs w:val="18"/>
              </w:rPr>
              <w:t xml:space="preserve">53%</w:t>
            </w:r>
          </w:p>
        </w:tc>
        <w:tc>
          <w:tcPr>
            <w:tcW w:type="dxa" w:w="1760"/>
            <w:tcMar>
              <w:top w:type="dxa" w:w="40"/>
              <w:left w:type="dxa" w:w="80"/>
              <w:bottom w:type="dxa" w:w="40"/>
              <w:right w:type="dxa" w:w="80"/>
            </w:tcMar>
          </w:tcPr>
          <w:p>
            <w:r>
              <w:rPr>
                <w:b w:val="false"/>
                <w:bCs w:val="false"/>
                <w:sz w:val="18"/>
                <w:szCs w:val="18"/>
              </w:rPr>
              <w:t xml:space="preserve">62%</w:t>
            </w:r>
          </w:p>
        </w:tc>
        <w:tc>
          <w:tcPr>
            <w:tcW w:type="dxa" w:w="4080"/>
            <w:tcMar>
              <w:top w:type="dxa" w:w="40"/>
              <w:left w:type="dxa" w:w="80"/>
              <w:bottom w:type="dxa" w:w="40"/>
              <w:right w:type="dxa" w:w="80"/>
            </w:tcMar>
          </w:tcPr>
          <w:p>
            <w:r>
              <w:rPr>
                <w:b w:val="false"/>
                <w:bCs w:val="false"/>
                <w:sz w:val="18"/>
                <w:szCs w:val="18"/>
              </w:rPr>
              <w:t xml:space="preserve">Just below spot</w:t>
            </w:r>
          </w:p>
        </w:tc>
      </w:tr>
      <w:tr>
        <w:tc>
          <w:tcPr>
            <w:tcW w:type="dxa" w:w="1760"/>
            <w:tcMar>
              <w:top w:type="dxa" w:w="40"/>
              <w:left w:type="dxa" w:w="80"/>
              <w:bottom w:type="dxa" w:w="40"/>
              <w:right w:type="dxa" w:w="80"/>
            </w:tcMar>
          </w:tcPr>
          <w:p>
            <w:r>
              <w:rPr>
                <w:b w:val="false"/>
                <w:bCs w:val="false"/>
                <w:sz w:val="18"/>
                <w:szCs w:val="18"/>
              </w:rPr>
              <w:t xml:space="preserve">EGP 85</w:t>
            </w:r>
          </w:p>
        </w:tc>
        <w:tc>
          <w:tcPr>
            <w:tcW w:type="dxa" w:w="1760"/>
            <w:tcMar>
              <w:top w:type="dxa" w:w="40"/>
              <w:left w:type="dxa" w:w="80"/>
              <w:bottom w:type="dxa" w:w="40"/>
              <w:right w:type="dxa" w:w="80"/>
            </w:tcMar>
          </w:tcPr>
          <w:p>
            <w:r>
              <w:rPr>
                <w:b w:val="false"/>
                <w:bCs w:val="false"/>
                <w:sz w:val="18"/>
                <w:szCs w:val="18"/>
              </w:rPr>
              <w:t xml:space="preserve">22%</w:t>
            </w:r>
          </w:p>
        </w:tc>
        <w:tc>
          <w:tcPr>
            <w:tcW w:type="dxa" w:w="1760"/>
            <w:tcMar>
              <w:top w:type="dxa" w:w="40"/>
              <w:left w:type="dxa" w:w="80"/>
              <w:bottom w:type="dxa" w:w="40"/>
              <w:right w:type="dxa" w:w="80"/>
            </w:tcMar>
          </w:tcPr>
          <w:p>
            <w:r>
              <w:rPr>
                <w:b w:val="false"/>
                <w:bCs w:val="false"/>
                <w:sz w:val="18"/>
                <w:szCs w:val="18"/>
              </w:rPr>
              <w:t xml:space="preserve">34%</w:t>
            </w:r>
          </w:p>
        </w:tc>
        <w:tc>
          <w:tcPr>
            <w:tcW w:type="dxa" w:w="4080"/>
            <w:tcMar>
              <w:top w:type="dxa" w:w="40"/>
              <w:left w:type="dxa" w:w="80"/>
              <w:bottom w:type="dxa" w:w="40"/>
              <w:right w:type="dxa" w:w="80"/>
            </w:tcMar>
          </w:tcPr>
          <w:p>
            <w:r>
              <w:rPr>
                <w:b w:val="false"/>
                <w:bCs w:val="false"/>
                <w:sz w:val="18"/>
                <w:szCs w:val="18"/>
              </w:rPr>
              <w:t xml:space="preserve">April consolidation floor</w:t>
            </w:r>
          </w:p>
        </w:tc>
      </w:tr>
      <w:tr>
        <w:tc>
          <w:tcPr>
            <w:tcW w:type="dxa" w:w="1760"/>
            <w:tcMar>
              <w:top w:type="dxa" w:w="40"/>
              <w:left w:type="dxa" w:w="80"/>
              <w:bottom w:type="dxa" w:w="40"/>
              <w:right w:type="dxa" w:w="80"/>
            </w:tcMar>
          </w:tcPr>
          <w:p>
            <w:r>
              <w:rPr>
                <w:b w:val="false"/>
                <w:bCs w:val="false"/>
                <w:sz w:val="18"/>
                <w:szCs w:val="18"/>
              </w:rPr>
              <w:t xml:space="preserve">EGP 80</w:t>
            </w:r>
          </w:p>
        </w:tc>
        <w:tc>
          <w:tcPr>
            <w:tcW w:type="dxa" w:w="1760"/>
            <w:tcMar>
              <w:top w:type="dxa" w:w="40"/>
              <w:left w:type="dxa" w:w="80"/>
              <w:bottom w:type="dxa" w:w="40"/>
              <w:right w:type="dxa" w:w="80"/>
            </w:tcMar>
          </w:tcPr>
          <w:p>
            <w:r>
              <w:rPr>
                <w:b w:val="false"/>
                <w:bCs w:val="false"/>
                <w:sz w:val="18"/>
                <w:szCs w:val="18"/>
              </w:rPr>
              <w:t xml:space="preserve">8%</w:t>
            </w:r>
          </w:p>
        </w:tc>
        <w:tc>
          <w:tcPr>
            <w:tcW w:type="dxa" w:w="1760"/>
            <w:tcMar>
              <w:top w:type="dxa" w:w="40"/>
              <w:left w:type="dxa" w:w="80"/>
              <w:bottom w:type="dxa" w:w="40"/>
              <w:right w:type="dxa" w:w="80"/>
            </w:tcMar>
          </w:tcPr>
          <w:p>
            <w:r>
              <w:rPr>
                <w:b w:val="false"/>
                <w:bCs w:val="false"/>
                <w:sz w:val="18"/>
                <w:szCs w:val="18"/>
              </w:rPr>
              <w:t xml:space="preserve">18%</w:t>
            </w:r>
          </w:p>
        </w:tc>
        <w:tc>
          <w:tcPr>
            <w:tcW w:type="dxa" w:w="4080"/>
            <w:tcMar>
              <w:top w:type="dxa" w:w="40"/>
              <w:left w:type="dxa" w:w="80"/>
              <w:bottom w:type="dxa" w:w="40"/>
              <w:right w:type="dxa" w:w="80"/>
            </w:tcMar>
          </w:tcPr>
          <w:p>
            <w:r>
              <w:rPr>
                <w:b w:val="false"/>
                <w:bCs w:val="false"/>
                <w:sz w:val="18"/>
                <w:szCs w:val="18"/>
              </w:rPr>
              <w:t xml:space="preserve">Near the p5</w:t>
            </w:r>
          </w:p>
        </w:tc>
      </w:tr>
      <w:tr>
        <w:tc>
          <w:tcPr>
            <w:tcW w:type="dxa" w:w="1760"/>
            <w:tcMar>
              <w:top w:type="dxa" w:w="40"/>
              <w:left w:type="dxa" w:w="80"/>
              <w:bottom w:type="dxa" w:w="40"/>
              <w:right w:type="dxa" w:w="80"/>
            </w:tcMar>
          </w:tcPr>
          <w:p>
            <w:r>
              <w:rPr>
                <w:b w:val="false"/>
                <w:bCs w:val="false"/>
                <w:sz w:val="18"/>
                <w:szCs w:val="18"/>
              </w:rPr>
              <w:t xml:space="preserve">EGP 75</w:t>
            </w:r>
          </w:p>
        </w:tc>
        <w:tc>
          <w:tcPr>
            <w:tcW w:type="dxa" w:w="1760"/>
            <w:tcMar>
              <w:top w:type="dxa" w:w="40"/>
              <w:left w:type="dxa" w:w="80"/>
              <w:bottom w:type="dxa" w:w="40"/>
              <w:right w:type="dxa" w:w="80"/>
            </w:tcMar>
          </w:tcPr>
          <w:p>
            <w:r>
              <w:rPr>
                <w:b w:val="false"/>
                <w:bCs w:val="false"/>
                <w:sz w:val="18"/>
                <w:szCs w:val="18"/>
              </w:rPr>
              <w:t xml:space="preserve">3%</w:t>
            </w:r>
          </w:p>
        </w:tc>
        <w:tc>
          <w:tcPr>
            <w:tcW w:type="dxa" w:w="1760"/>
            <w:tcMar>
              <w:top w:type="dxa" w:w="40"/>
              <w:left w:type="dxa" w:w="80"/>
              <w:bottom w:type="dxa" w:w="40"/>
              <w:right w:type="dxa" w:w="80"/>
            </w:tcMar>
          </w:tcPr>
          <w:p>
            <w:r>
              <w:rPr>
                <w:b w:val="false"/>
                <w:bCs w:val="false"/>
                <w:sz w:val="18"/>
                <w:szCs w:val="18"/>
              </w:rPr>
              <w:t xml:space="preserve">10%</w:t>
            </w:r>
          </w:p>
        </w:tc>
        <w:tc>
          <w:tcPr>
            <w:tcW w:type="dxa" w:w="4080"/>
            <w:tcMar>
              <w:top w:type="dxa" w:w="40"/>
              <w:left w:type="dxa" w:w="80"/>
              <w:bottom w:type="dxa" w:w="40"/>
              <w:right w:type="dxa" w:w="80"/>
            </w:tcMar>
          </w:tcPr>
          <w:p>
            <w:r>
              <w:rPr>
                <w:b w:val="false"/>
                <w:bCs w:val="false"/>
                <w:sz w:val="18"/>
                <w:szCs w:val="18"/>
              </w:rPr>
              <w:t xml:space="preserve">Deep-retrace zone</w:t>
            </w:r>
          </w:p>
        </w:tc>
      </w:tr>
    </w:tbl>
    <w:p>
      <w:pPr>
        <w:spacing w:after="120"/>
      </w:pPr>
    </w:p>
    <w:p>
      <w:pPr>
        <w:pStyle w:val="Heading1"/>
        <w:spacing w:after="140" w:before="300"/>
      </w:pPr>
      <w:r>
        <w:t xml:space="preserve">4  Comparison of the lenses, and a verdict</w:t>
      </w:r>
    </w:p>
    <w:p>
      <w:pPr>
        <w:spacing w:after="140"/>
      </w:pPr>
      <w:r>
        <w:t xml:space="preserve">Three readings sit side by side. The </w:t>
      </w:r>
      <w:r>
        <w:rPr>
          <w:b/>
          <w:bCs/>
        </w:rPr>
        <w:t xml:space="preserve">fundamental</w:t>
      </w:r>
      <w:r>
        <w:t xml:space="preserve"> lenses cluster at EGP 103–134 with a central of 118 — well above spot, contingent on the market paying for an associate stake it can see but not touch. The </w:t>
      </w:r>
      <w:r>
        <w:rPr>
          <w:b/>
          <w:bCs/>
        </w:rPr>
        <w:t xml:space="preserve">technical</w:t>
      </w:r>
      <w:r>
        <w:t xml:space="preserve"> picture is constructive-neutral: a pause under the short averages inside a primary uptrend, with 41% realized volatility. The </w:t>
      </w:r>
      <w:r>
        <w:rPr>
          <w:b/>
          <w:bCs/>
        </w:rPr>
        <w:t xml:space="preserve">probabilistic</w:t>
      </w:r>
      <w:r>
        <w:t xml:space="preserve"> map leans up rather than sitting flat: because this name's calibrated engine carries the EGX secular drift, the three-month median is EGP 106, with an interquartile band of 94–119 and a 5–95 band of 78–145.</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2560"/>
        <w:gridCol w:w="3200"/>
        <w:gridCol w:w="3600"/>
      </w:tblGrid>
      <w:tr>
        <w:tc>
          <w:tcPr>
            <w:tcW w:type="dxa" w:w="2560"/>
            <w:shd w:fill="1B5E5E" w:val="clear"/>
            <w:tcMar>
              <w:top w:type="dxa" w:w="40"/>
              <w:left w:type="dxa" w:w="80"/>
              <w:bottom w:type="dxa" w:w="40"/>
              <w:right w:type="dxa" w:w="80"/>
            </w:tcMar>
          </w:tcPr>
          <w:p>
            <w:r>
              <w:rPr>
                <w:b/>
                <w:bCs/>
                <w:color w:val="FFFFFF"/>
                <w:sz w:val="18"/>
                <w:szCs w:val="18"/>
              </w:rPr>
              <w:t xml:space="preserve">Lens</w:t>
            </w:r>
          </w:p>
        </w:tc>
        <w:tc>
          <w:tcPr>
            <w:tcW w:type="dxa" w:w="3200"/>
            <w:shd w:fill="1B5E5E" w:val="clear"/>
            <w:tcMar>
              <w:top w:type="dxa" w:w="40"/>
              <w:left w:type="dxa" w:w="80"/>
              <w:bottom w:type="dxa" w:w="40"/>
              <w:right w:type="dxa" w:w="80"/>
            </w:tcMar>
          </w:tcPr>
          <w:p>
            <w:r>
              <w:rPr>
                <w:b/>
                <w:bCs/>
                <w:color w:val="FFFFFF"/>
                <w:sz w:val="18"/>
                <w:szCs w:val="18"/>
              </w:rPr>
              <w:t xml:space="preserve">Reads</w:t>
            </w:r>
          </w:p>
        </w:tc>
        <w:tc>
          <w:tcPr>
            <w:tcW w:type="dxa" w:w="3600"/>
            <w:shd w:fill="1B5E5E" w:val="clear"/>
            <w:tcMar>
              <w:top w:type="dxa" w:w="40"/>
              <w:left w:type="dxa" w:w="80"/>
              <w:bottom w:type="dxa" w:w="40"/>
              <w:right w:type="dxa" w:w="80"/>
            </w:tcMar>
          </w:tcPr>
          <w:p>
            <w:r>
              <w:rPr>
                <w:b/>
                <w:bCs/>
                <w:color w:val="FFFFFF"/>
                <w:sz w:val="18"/>
                <w:szCs w:val="18"/>
              </w:rPr>
              <w:t xml:space="preserve">Central / implication</w:t>
            </w:r>
          </w:p>
        </w:tc>
      </w:tr>
      <w:tr>
        <w:tc>
          <w:tcPr>
            <w:tcW w:type="dxa" w:w="2560"/>
            <w:tcMar>
              <w:top w:type="dxa" w:w="40"/>
              <w:left w:type="dxa" w:w="80"/>
              <w:bottom w:type="dxa" w:w="40"/>
              <w:right w:type="dxa" w:w="80"/>
            </w:tcMar>
          </w:tcPr>
          <w:p>
            <w:r>
              <w:rPr>
                <w:b/>
                <w:bCs/>
                <w:sz w:val="18"/>
                <w:szCs w:val="18"/>
              </w:rPr>
              <w:t xml:space="preserve">Fundamental (4-lens)</w:t>
            </w:r>
          </w:p>
        </w:tc>
        <w:tc>
          <w:tcPr>
            <w:tcW w:type="dxa" w:w="3200"/>
            <w:tcMar>
              <w:top w:type="dxa" w:w="40"/>
              <w:left w:type="dxa" w:w="80"/>
              <w:bottom w:type="dxa" w:w="40"/>
              <w:right w:type="dxa" w:w="80"/>
            </w:tcMar>
          </w:tcPr>
          <w:p>
            <w:r>
              <w:rPr>
                <w:b w:val="false"/>
                <w:bCs w:val="false"/>
                <w:sz w:val="18"/>
                <w:szCs w:val="18"/>
              </w:rPr>
              <w:t xml:space="preserve">Clearly cheap on marked parts</w:t>
            </w:r>
          </w:p>
        </w:tc>
        <w:tc>
          <w:tcPr>
            <w:tcW w:type="dxa" w:w="3600"/>
            <w:tcMar>
              <w:top w:type="dxa" w:w="40"/>
              <w:left w:type="dxa" w:w="80"/>
              <w:bottom w:type="dxa" w:w="40"/>
              <w:right w:type="dxa" w:w="80"/>
            </w:tcMar>
          </w:tcPr>
          <w:p>
            <w:r>
              <w:rPr>
                <w:b w:val="false"/>
                <w:bCs w:val="false"/>
                <w:sz w:val="18"/>
                <w:szCs w:val="18"/>
              </w:rPr>
              <w:t xml:space="preserve">EGP 118 (~+27%)</w:t>
            </w:r>
          </w:p>
        </w:tc>
      </w:tr>
      <w:tr>
        <w:tc>
          <w:tcPr>
            <w:tcW w:type="dxa" w:w="2560"/>
            <w:tcMar>
              <w:top w:type="dxa" w:w="40"/>
              <w:left w:type="dxa" w:w="80"/>
              <w:bottom w:type="dxa" w:w="40"/>
              <w:right w:type="dxa" w:w="80"/>
            </w:tcMar>
          </w:tcPr>
          <w:p>
            <w:r>
              <w:rPr>
                <w:b/>
                <w:bCs/>
                <w:sz w:val="18"/>
                <w:szCs w:val="18"/>
              </w:rPr>
              <w:t xml:space="preserve">Technical</w:t>
            </w:r>
          </w:p>
        </w:tc>
        <w:tc>
          <w:tcPr>
            <w:tcW w:type="dxa" w:w="3200"/>
            <w:tcMar>
              <w:top w:type="dxa" w:w="40"/>
              <w:left w:type="dxa" w:w="80"/>
              <w:bottom w:type="dxa" w:w="40"/>
              <w:right w:type="dxa" w:w="80"/>
            </w:tcMar>
          </w:tcPr>
          <w:p>
            <w:r>
              <w:rPr>
                <w:b w:val="false"/>
                <w:bCs w:val="false"/>
                <w:sz w:val="18"/>
                <w:szCs w:val="18"/>
              </w:rPr>
              <w:t xml:space="preserve">Consolidating inside an uptrend</w:t>
            </w:r>
          </w:p>
        </w:tc>
        <w:tc>
          <w:tcPr>
            <w:tcW w:type="dxa" w:w="3600"/>
            <w:tcMar>
              <w:top w:type="dxa" w:w="40"/>
              <w:left w:type="dxa" w:w="80"/>
              <w:bottom w:type="dxa" w:w="40"/>
              <w:right w:type="dxa" w:w="80"/>
            </w:tcMar>
          </w:tcPr>
          <w:p>
            <w:r>
              <w:rPr>
                <w:b w:val="false"/>
                <w:bCs w:val="false"/>
                <w:sz w:val="18"/>
                <w:szCs w:val="18"/>
              </w:rPr>
              <w:t xml:space="preserve">Support 91 (SMA100) and 85; resistance 93–95 then 105/113</w:t>
            </w:r>
          </w:p>
        </w:tc>
      </w:tr>
      <w:tr>
        <w:tc>
          <w:tcPr>
            <w:tcW w:type="dxa" w:w="2560"/>
            <w:tcMar>
              <w:top w:type="dxa" w:w="40"/>
              <w:left w:type="dxa" w:w="80"/>
              <w:bottom w:type="dxa" w:w="40"/>
              <w:right w:type="dxa" w:w="80"/>
            </w:tcMar>
          </w:tcPr>
          <w:p>
            <w:r>
              <w:rPr>
                <w:b/>
                <w:bCs/>
                <w:sz w:val="18"/>
                <w:szCs w:val="18"/>
              </w:rPr>
              <w:t xml:space="preserve">Monte Carlo (3-month)</w:t>
            </w:r>
          </w:p>
        </w:tc>
        <w:tc>
          <w:tcPr>
            <w:tcW w:type="dxa" w:w="3200"/>
            <w:tcMar>
              <w:top w:type="dxa" w:w="40"/>
              <w:left w:type="dxa" w:w="80"/>
              <w:bottom w:type="dxa" w:w="40"/>
              <w:right w:type="dxa" w:w="80"/>
            </w:tcMar>
          </w:tcPr>
          <w:p>
            <w:r>
              <w:rPr>
                <w:b w:val="false"/>
                <w:bCs w:val="false"/>
                <w:sz w:val="18"/>
                <w:szCs w:val="18"/>
              </w:rPr>
              <w:t xml:space="preserve">Right-leaning, wide</w:t>
            </w:r>
          </w:p>
        </w:tc>
        <w:tc>
          <w:tcPr>
            <w:tcW w:type="dxa" w:w="3600"/>
            <w:tcMar>
              <w:top w:type="dxa" w:w="40"/>
              <w:left w:type="dxa" w:w="80"/>
              <w:bottom w:type="dxa" w:w="40"/>
              <w:right w:type="dxa" w:w="80"/>
            </w:tcMar>
          </w:tcPr>
          <w:p>
            <w:r>
              <w:rPr>
                <w:b w:val="false"/>
                <w:bCs w:val="false"/>
                <w:sz w:val="18"/>
                <w:szCs w:val="18"/>
              </w:rPr>
              <w:t xml:space="preserve">Median 106; IQR 94–119; p5–p95 78–145</w:t>
            </w:r>
          </w:p>
        </w:tc>
      </w:tr>
    </w:tbl>
    <w:p>
      <w:pPr>
        <w:spacing w:after="120"/>
      </w:pPr>
    </w:p>
    <w:p>
      <w:pPr>
        <w:spacing w:after="140"/>
      </w:pPr>
      <w:r>
        <w:rPr>
          <w:b/>
          <w:bCs/>
        </w:rPr>
        <w:t xml:space="preserve">Verdict (a fair-value read, not a recommendation). </w:t>
      </w:r>
      <w:r>
        <w:t xml:space="preserve">ETEL looks genuinely undervalued on fundamentals, with an unusually legible pair of swing factors: the mark on 45% of Vodafone Egypt, and the discount a state wrapper deserves. Unlike most value cases, the operating story needs no recovery — FY25 was a record and FY26 guidance is already being raised — so the gap is a pricing question, not an earnings one. The honest summary is a value near EGP 118, a three-month distribution whose median (106) covers only part of that gap, and a fat left tail (p5 78) that prices exactly the two hazards the discount exists for: a state placement into the float and an FX-loss-heavy print. Readers should weigh the lenses themselves; we publish the distribution, not a target.</w:t>
      </w:r>
    </w:p>
    <w:p>
      <w:pPr>
        <w:pStyle w:val="Heading1"/>
        <w:spacing w:after="140" w:before="300"/>
      </w:pPr>
      <w:r>
        <w:t xml:space="preserve">5  Catalysts to watch</w:t>
      </w:r>
    </w:p>
    <w:p>
      <w:pPr>
        <w:pStyle w:val="ListParagraph"/>
        <w:numPr>
          <w:ilvl w:val="0"/>
          <w:numId w:val="2"/>
        </w:numPr>
        <w:spacing w:after="100"/>
      </w:pPr>
      <w:r>
        <w:rPr>
          <w:b/>
          <w:bCs/>
        </w:rPr>
        <w:t xml:space="preserve">Q2 2026 results (13 Aug 2026). </w:t>
      </w:r>
      <w:r>
        <w:t xml:space="preserve">First quarter carrying the NTRA tariff adjustments; watch whether management formally raises the “exceed high-single-digit” FY26 guide.</w:t>
      </w:r>
    </w:p>
    <w:p>
      <w:pPr>
        <w:pStyle w:val="ListParagraph"/>
        <w:numPr>
          <w:ilvl w:val="0"/>
          <w:numId w:val="2"/>
        </w:numPr>
        <w:spacing w:after="100"/>
      </w:pPr>
      <w:r>
        <w:rPr>
          <w:b/>
          <w:bCs/>
        </w:rPr>
        <w:t xml:space="preserve">NTRA tariff implementation. </w:t>
      </w:r>
      <w:r>
        <w:t xml:space="preserve">The pace at which the approved 13–15% fixed-broadband and mobile adjustments reach the bill — the cleanest EPS lever of 2026–27.</w:t>
      </w:r>
    </w:p>
    <w:p>
      <w:pPr>
        <w:pStyle w:val="ListParagraph"/>
        <w:numPr>
          <w:ilvl w:val="0"/>
          <w:numId w:val="2"/>
        </w:numPr>
        <w:spacing w:after="100"/>
      </w:pPr>
      <w:r>
        <w:rPr>
          <w:b/>
          <w:bCs/>
        </w:rPr>
        <w:t xml:space="preserve">VFE monetization or listing signals. </w:t>
      </w:r>
      <w:r>
        <w:t xml:space="preserve">Any revival of the 2023 QIA/PIF interest, or an IPO of Vodafone Egypt, converts the study’s soft mark into a market one.</w:t>
      </w:r>
    </w:p>
    <w:p>
      <w:pPr>
        <w:pStyle w:val="ListParagraph"/>
        <w:numPr>
          <w:ilvl w:val="0"/>
          <w:numId w:val="2"/>
        </w:numPr>
        <w:spacing w:after="100"/>
      </w:pPr>
      <w:r>
        <w:rPr>
          <w:b/>
          <w:bCs/>
        </w:rPr>
        <w:t xml:space="preserve">State sell-down / placement. </w:t>
      </w:r>
      <w:r>
        <w:t xml:space="preserve">The MoF’s 70% sits inside the divestment programme; a placement adds float and an overhang print in the same event.</w:t>
      </w:r>
    </w:p>
    <w:p>
      <w:pPr>
        <w:pStyle w:val="ListParagraph"/>
        <w:numPr>
          <w:ilvl w:val="0"/>
          <w:numId w:val="2"/>
        </w:numPr>
        <w:spacing w:after="100"/>
      </w:pPr>
      <w:r>
        <w:rPr>
          <w:b/>
          <w:bCs/>
        </w:rPr>
        <w:t xml:space="preserve">Dividend policy. </w:t>
      </w:r>
      <w:r>
        <w:t xml:space="preserve">Payout is ~13% on a 1.3× levered balance sheet generating EGP 21bn of FCFF; any step toward a formal payout ratio narrows the wrapper discount directly.</w:t>
      </w:r>
    </w:p>
    <w:p>
      <w:pPr>
        <w:pStyle w:val="ListParagraph"/>
        <w:numPr>
          <w:ilvl w:val="0"/>
          <w:numId w:val="2"/>
        </w:numPr>
        <w:spacing w:after="100"/>
      </w:pPr>
      <w:r>
        <w:rPr>
          <w:b/>
          <w:bCs/>
        </w:rPr>
        <w:t xml:space="preserve">CBE rate path. </w:t>
      </w:r>
      <w:r>
        <w:t xml:space="preserve">Each cut flows to a gross-debt-heavy P&amp;L (interest already −25% YoY) and lowers the 23% WACC every lens leans on.</w:t>
      </w:r>
    </w:p>
    <w:p>
      <w:pPr>
        <w:pStyle w:val="ListParagraph"/>
        <w:numPr>
          <w:ilvl w:val="0"/>
          <w:numId w:val="2"/>
        </w:numPr>
        <w:spacing w:after="100"/>
      </w:pPr>
      <w:r>
        <w:rPr>
          <w:b/>
          <w:bCs/>
        </w:rPr>
        <w:t xml:space="preserve">EGP regime. </w:t>
      </w:r>
      <w:r>
        <w:t xml:space="preserve">Appreciation keeps generating non-cash FX losses (EGP 5.3bn in Q1) while flattering the debt; a new step-devaluation reverses both signs.</w:t>
      </w:r>
    </w:p>
    <w:p>
      <w:pPr>
        <w:pStyle w:val="ListParagraph"/>
        <w:numPr>
          <w:ilvl w:val="0"/>
          <w:numId w:val="2"/>
        </w:numPr>
        <w:spacing w:after="100"/>
      </w:pPr>
      <w:r>
        <w:rPr>
          <w:b/>
          <w:bCs/>
        </w:rPr>
        <w:t xml:space="preserve">Subsea milestones. </w:t>
      </w:r>
      <w:r>
        <w:t xml:space="preserve">New cable landings, IRU sales and the Red Sea security situation reprice the hard-currency wholesale engine in both directions.</w:t>
      </w:r>
    </w:p>
    <w:p>
      <w:pPr>
        <w:pStyle w:val="Heading1"/>
        <w:spacing w:after="140" w:before="300"/>
      </w:pPr>
      <w:r>
        <w:t xml:space="preserve">6  Reading the probability zones</w:t>
      </w:r>
    </w:p>
    <w:p>
      <w:pPr>
        <w:spacing w:after="140"/>
      </w:pPr>
      <w:r>
        <w:t xml:space="preserve">Translating the three-month distribution into plain zones, anchored on spot EGP 92.6 and the fair-value cluster:</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1900"/>
        <w:gridCol w:w="1700"/>
        <w:gridCol w:w="1960"/>
        <w:gridCol w:w="3800"/>
      </w:tblGrid>
      <w:tr>
        <w:tc>
          <w:tcPr>
            <w:tcW w:type="dxa" w:w="1900"/>
            <w:shd w:fill="1B5E5E" w:val="clear"/>
            <w:tcMar>
              <w:top w:type="dxa" w:w="40"/>
              <w:left w:type="dxa" w:w="80"/>
              <w:bottom w:type="dxa" w:w="40"/>
              <w:right w:type="dxa" w:w="80"/>
            </w:tcMar>
          </w:tcPr>
          <w:p>
            <w:r>
              <w:rPr>
                <w:b/>
                <w:bCs/>
                <w:color w:val="FFFFFF"/>
                <w:sz w:val="18"/>
                <w:szCs w:val="18"/>
              </w:rPr>
              <w:t xml:space="preserve">Zone (T+60)</w:t>
            </w:r>
          </w:p>
        </w:tc>
        <w:tc>
          <w:tcPr>
            <w:tcW w:type="dxa" w:w="1700"/>
            <w:shd w:fill="1B5E5E" w:val="clear"/>
            <w:tcMar>
              <w:top w:type="dxa" w:w="40"/>
              <w:left w:type="dxa" w:w="80"/>
              <w:bottom w:type="dxa" w:w="40"/>
              <w:right w:type="dxa" w:w="80"/>
            </w:tcMar>
          </w:tcPr>
          <w:p>
            <w:r>
              <w:rPr>
                <w:b/>
                <w:bCs/>
                <w:color w:val="FFFFFF"/>
                <w:sz w:val="18"/>
                <w:szCs w:val="18"/>
              </w:rPr>
              <w:t xml:space="preserve">Range</w:t>
            </w:r>
          </w:p>
        </w:tc>
        <w:tc>
          <w:tcPr>
            <w:tcW w:type="dxa" w:w="1960"/>
            <w:shd w:fill="1B5E5E" w:val="clear"/>
            <w:tcMar>
              <w:top w:type="dxa" w:w="40"/>
              <w:left w:type="dxa" w:w="80"/>
              <w:bottom w:type="dxa" w:w="40"/>
              <w:right w:type="dxa" w:w="80"/>
            </w:tcMar>
          </w:tcPr>
          <w:p>
            <w:r>
              <w:rPr>
                <w:b/>
                <w:bCs/>
                <w:color w:val="FFFFFF"/>
                <w:sz w:val="18"/>
                <w:szCs w:val="18"/>
              </w:rPr>
              <w:t xml:space="preserve">Approx. probability</w:t>
            </w:r>
          </w:p>
        </w:tc>
        <w:tc>
          <w:tcPr>
            <w:tcW w:type="dxa" w:w="3800"/>
            <w:shd w:fill="1B5E5E" w:val="clear"/>
            <w:tcMar>
              <w:top w:type="dxa" w:w="40"/>
              <w:left w:type="dxa" w:w="80"/>
              <w:bottom w:type="dxa" w:w="40"/>
              <w:right w:type="dxa" w:w="80"/>
            </w:tcMar>
          </w:tcPr>
          <w:p>
            <w:r>
              <w:rPr>
                <w:b/>
                <w:bCs/>
                <w:color w:val="FFFFFF"/>
                <w:sz w:val="18"/>
                <w:szCs w:val="18"/>
              </w:rPr>
              <w:t xml:space="preserve">What it would mean</w:t>
            </w:r>
          </w:p>
        </w:tc>
      </w:tr>
      <w:tr>
        <w:tc>
          <w:tcPr>
            <w:tcW w:type="dxa" w:w="1900"/>
            <w:tcMar>
              <w:top w:type="dxa" w:w="40"/>
              <w:left w:type="dxa" w:w="80"/>
              <w:bottom w:type="dxa" w:w="40"/>
              <w:right w:type="dxa" w:w="80"/>
            </w:tcMar>
          </w:tcPr>
          <w:p>
            <w:r>
              <w:rPr>
                <w:b w:val="false"/>
                <w:bCs w:val="false"/>
                <w:sz w:val="18"/>
                <w:szCs w:val="18"/>
              </w:rPr>
              <w:t xml:space="preserve">Deep downside</w:t>
            </w:r>
          </w:p>
        </w:tc>
        <w:tc>
          <w:tcPr>
            <w:tcW w:type="dxa" w:w="1700"/>
            <w:tcMar>
              <w:top w:type="dxa" w:w="40"/>
              <w:left w:type="dxa" w:w="80"/>
              <w:bottom w:type="dxa" w:w="40"/>
              <w:right w:type="dxa" w:w="80"/>
            </w:tcMar>
          </w:tcPr>
          <w:p>
            <w:r>
              <w:rPr>
                <w:b w:val="false"/>
                <w:bCs w:val="false"/>
                <w:sz w:val="18"/>
                <w:szCs w:val="18"/>
              </w:rPr>
              <w:t xml:space="preserve">&lt; EGP 75</w:t>
            </w:r>
          </w:p>
        </w:tc>
        <w:tc>
          <w:tcPr>
            <w:tcW w:type="dxa" w:w="1960"/>
            <w:tcMar>
              <w:top w:type="dxa" w:w="40"/>
              <w:left w:type="dxa" w:w="80"/>
              <w:bottom w:type="dxa" w:w="40"/>
              <w:right w:type="dxa" w:w="80"/>
            </w:tcMar>
          </w:tcPr>
          <w:p>
            <w:r>
              <w:rPr>
                <w:b w:val="false"/>
                <w:bCs w:val="false"/>
                <w:sz w:val="18"/>
                <w:szCs w:val="18"/>
              </w:rPr>
              <w:t xml:space="preserve">~4%</w:t>
            </w:r>
          </w:p>
        </w:tc>
        <w:tc>
          <w:tcPr>
            <w:tcW w:type="dxa" w:w="3800"/>
            <w:tcMar>
              <w:top w:type="dxa" w:w="40"/>
              <w:left w:type="dxa" w:w="80"/>
              <w:bottom w:type="dxa" w:w="40"/>
              <w:right w:type="dxa" w:w="80"/>
            </w:tcMar>
          </w:tcPr>
          <w:p>
            <w:r>
              <w:rPr>
                <w:b w:val="false"/>
                <w:bCs w:val="false"/>
                <w:sz w:val="18"/>
                <w:szCs w:val="18"/>
              </w:rPr>
              <w:t xml:space="preserve">Placement into the float + FX losses; retests the April base</w:t>
            </w:r>
          </w:p>
        </w:tc>
      </w:tr>
      <w:tr>
        <w:tc>
          <w:tcPr>
            <w:tcW w:type="dxa" w:w="1900"/>
            <w:tcMar>
              <w:top w:type="dxa" w:w="40"/>
              <w:left w:type="dxa" w:w="80"/>
              <w:bottom w:type="dxa" w:w="40"/>
              <w:right w:type="dxa" w:w="80"/>
            </w:tcMar>
          </w:tcPr>
          <w:p>
            <w:r>
              <w:rPr>
                <w:b w:val="false"/>
                <w:bCs w:val="false"/>
                <w:sz w:val="18"/>
                <w:szCs w:val="18"/>
              </w:rPr>
              <w:t xml:space="preserve">Lower band</w:t>
            </w:r>
          </w:p>
        </w:tc>
        <w:tc>
          <w:tcPr>
            <w:tcW w:type="dxa" w:w="1700"/>
            <w:tcMar>
              <w:top w:type="dxa" w:w="40"/>
              <w:left w:type="dxa" w:w="80"/>
              <w:bottom w:type="dxa" w:w="40"/>
              <w:right w:type="dxa" w:w="80"/>
            </w:tcMar>
          </w:tcPr>
          <w:p>
            <w:r>
              <w:rPr>
                <w:b w:val="false"/>
                <w:bCs w:val="false"/>
                <w:sz w:val="18"/>
                <w:szCs w:val="18"/>
              </w:rPr>
              <w:t xml:space="preserve">EGP 75–87</w:t>
            </w:r>
          </w:p>
        </w:tc>
        <w:tc>
          <w:tcPr>
            <w:tcW w:type="dxa" w:w="1960"/>
            <w:tcMar>
              <w:top w:type="dxa" w:w="40"/>
              <w:left w:type="dxa" w:w="80"/>
              <w:bottom w:type="dxa" w:w="40"/>
              <w:right w:type="dxa" w:w="80"/>
            </w:tcMar>
          </w:tcPr>
          <w:p>
            <w:r>
              <w:rPr>
                <w:b w:val="false"/>
                <w:bCs w:val="false"/>
                <w:sz w:val="18"/>
                <w:szCs w:val="18"/>
              </w:rPr>
              <w:t xml:space="preserve">~10%</w:t>
            </w:r>
          </w:p>
        </w:tc>
        <w:tc>
          <w:tcPr>
            <w:tcW w:type="dxa" w:w="3800"/>
            <w:tcMar>
              <w:top w:type="dxa" w:w="40"/>
              <w:left w:type="dxa" w:w="80"/>
              <w:bottom w:type="dxa" w:w="40"/>
              <w:right w:type="dxa" w:w="80"/>
            </w:tcMar>
          </w:tcPr>
          <w:p>
            <w:r>
              <w:rPr>
                <w:b w:val="false"/>
                <w:bCs w:val="false"/>
                <w:sz w:val="18"/>
                <w:szCs w:val="18"/>
              </w:rPr>
              <w:t xml:space="preserve">Tariff delay or a soft Q2; consolidation extends</w:t>
            </w:r>
          </w:p>
        </w:tc>
      </w:tr>
      <w:tr>
        <w:tc>
          <w:tcPr>
            <w:tcW w:type="dxa" w:w="1900"/>
            <w:tcMar>
              <w:top w:type="dxa" w:w="40"/>
              <w:left w:type="dxa" w:w="80"/>
              <w:bottom w:type="dxa" w:w="40"/>
              <w:right w:type="dxa" w:w="80"/>
            </w:tcMar>
          </w:tcPr>
          <w:p>
            <w:r>
              <w:rPr>
                <w:b w:val="false"/>
                <w:bCs w:val="false"/>
                <w:sz w:val="18"/>
                <w:szCs w:val="18"/>
              </w:rPr>
              <w:t xml:space="preserve">Around spot</w:t>
            </w:r>
          </w:p>
        </w:tc>
        <w:tc>
          <w:tcPr>
            <w:tcW w:type="dxa" w:w="1700"/>
            <w:tcMar>
              <w:top w:type="dxa" w:w="40"/>
              <w:left w:type="dxa" w:w="80"/>
              <w:bottom w:type="dxa" w:w="40"/>
              <w:right w:type="dxa" w:w="80"/>
            </w:tcMar>
          </w:tcPr>
          <w:p>
            <w:r>
              <w:rPr>
                <w:b w:val="false"/>
                <w:bCs w:val="false"/>
                <w:sz w:val="18"/>
                <w:szCs w:val="18"/>
              </w:rPr>
              <w:t xml:space="preserve">EGP 87–100</w:t>
            </w:r>
          </w:p>
        </w:tc>
        <w:tc>
          <w:tcPr>
            <w:tcW w:type="dxa" w:w="1960"/>
            <w:tcMar>
              <w:top w:type="dxa" w:w="40"/>
              <w:left w:type="dxa" w:w="80"/>
              <w:bottom w:type="dxa" w:w="40"/>
              <w:right w:type="dxa" w:w="80"/>
            </w:tcMar>
          </w:tcPr>
          <w:p>
            <w:r>
              <w:rPr>
                <w:b w:val="false"/>
                <w:bCs w:val="false"/>
                <w:sz w:val="18"/>
                <w:szCs w:val="18"/>
              </w:rPr>
              <w:t xml:space="preserve">~23%</w:t>
            </w:r>
          </w:p>
        </w:tc>
        <w:tc>
          <w:tcPr>
            <w:tcW w:type="dxa" w:w="3800"/>
            <w:tcMar>
              <w:top w:type="dxa" w:w="40"/>
              <w:left w:type="dxa" w:w="80"/>
              <w:bottom w:type="dxa" w:w="40"/>
              <w:right w:type="dxa" w:w="80"/>
            </w:tcMar>
          </w:tcPr>
          <w:p>
            <w:r>
              <w:rPr>
                <w:b w:val="false"/>
                <w:bCs w:val="false"/>
                <w:sz w:val="18"/>
                <w:szCs w:val="18"/>
              </w:rPr>
              <w:t xml:space="preserve">Status quo; value gap unclosed</w:t>
            </w:r>
          </w:p>
        </w:tc>
      </w:tr>
      <w:tr>
        <w:tc>
          <w:tcPr>
            <w:tcW w:type="dxa" w:w="1900"/>
            <w:tcMar>
              <w:top w:type="dxa" w:w="40"/>
              <w:left w:type="dxa" w:w="80"/>
              <w:bottom w:type="dxa" w:w="40"/>
              <w:right w:type="dxa" w:w="80"/>
            </w:tcMar>
          </w:tcPr>
          <w:p>
            <w:r>
              <w:rPr>
                <w:b w:val="false"/>
                <w:bCs w:val="false"/>
                <w:sz w:val="18"/>
                <w:szCs w:val="18"/>
              </w:rPr>
              <w:t xml:space="preserve">Upper band</w:t>
            </w:r>
          </w:p>
        </w:tc>
        <w:tc>
          <w:tcPr>
            <w:tcW w:type="dxa" w:w="1700"/>
            <w:tcMar>
              <w:top w:type="dxa" w:w="40"/>
              <w:left w:type="dxa" w:w="80"/>
              <w:bottom w:type="dxa" w:w="40"/>
              <w:right w:type="dxa" w:w="80"/>
            </w:tcMar>
          </w:tcPr>
          <w:p>
            <w:r>
              <w:rPr>
                <w:b w:val="false"/>
                <w:bCs w:val="false"/>
                <w:sz w:val="18"/>
                <w:szCs w:val="18"/>
              </w:rPr>
              <w:t xml:space="preserve">EGP 100–115</w:t>
            </w:r>
          </w:p>
        </w:tc>
        <w:tc>
          <w:tcPr>
            <w:tcW w:type="dxa" w:w="1960"/>
            <w:tcMar>
              <w:top w:type="dxa" w:w="40"/>
              <w:left w:type="dxa" w:w="80"/>
              <w:bottom w:type="dxa" w:w="40"/>
              <w:right w:type="dxa" w:w="80"/>
            </w:tcMar>
          </w:tcPr>
          <w:p>
            <w:r>
              <w:rPr>
                <w:b w:val="false"/>
                <w:bCs w:val="false"/>
                <w:sz w:val="18"/>
                <w:szCs w:val="18"/>
              </w:rPr>
              <w:t xml:space="preserve">~31%</w:t>
            </w:r>
          </w:p>
        </w:tc>
        <w:tc>
          <w:tcPr>
            <w:tcW w:type="dxa" w:w="3800"/>
            <w:tcMar>
              <w:top w:type="dxa" w:w="40"/>
              <w:left w:type="dxa" w:w="80"/>
              <w:bottom w:type="dxa" w:w="40"/>
              <w:right w:type="dxa" w:w="80"/>
            </w:tcMar>
          </w:tcPr>
          <w:p>
            <w:r>
              <w:rPr>
                <w:b w:val="false"/>
                <w:bCs w:val="false"/>
                <w:sz w:val="18"/>
                <w:szCs w:val="18"/>
              </w:rPr>
              <w:t xml:space="preserve">Tariff flow-through credited; toward the relative lens</w:t>
            </w:r>
          </w:p>
        </w:tc>
      </w:tr>
      <w:tr>
        <w:tc>
          <w:tcPr>
            <w:tcW w:type="dxa" w:w="1900"/>
            <w:tcMar>
              <w:top w:type="dxa" w:w="40"/>
              <w:left w:type="dxa" w:w="80"/>
              <w:bottom w:type="dxa" w:w="40"/>
              <w:right w:type="dxa" w:w="80"/>
            </w:tcMar>
          </w:tcPr>
          <w:p>
            <w:r>
              <w:rPr>
                <w:b w:val="false"/>
                <w:bCs w:val="false"/>
                <w:sz w:val="18"/>
                <w:szCs w:val="18"/>
              </w:rPr>
              <w:t xml:space="preserve">Strong upside</w:t>
            </w:r>
          </w:p>
        </w:tc>
        <w:tc>
          <w:tcPr>
            <w:tcW w:type="dxa" w:w="1700"/>
            <w:tcMar>
              <w:top w:type="dxa" w:w="40"/>
              <w:left w:type="dxa" w:w="80"/>
              <w:bottom w:type="dxa" w:w="40"/>
              <w:right w:type="dxa" w:w="80"/>
            </w:tcMar>
          </w:tcPr>
          <w:p>
            <w:r>
              <w:rPr>
                <w:b w:val="false"/>
                <w:bCs w:val="false"/>
                <w:sz w:val="18"/>
                <w:szCs w:val="18"/>
              </w:rPr>
              <w:t xml:space="preserve">&gt; EGP 115</w:t>
            </w:r>
          </w:p>
        </w:tc>
        <w:tc>
          <w:tcPr>
            <w:tcW w:type="dxa" w:w="1960"/>
            <w:tcMar>
              <w:top w:type="dxa" w:w="40"/>
              <w:left w:type="dxa" w:w="80"/>
              <w:bottom w:type="dxa" w:w="40"/>
              <w:right w:type="dxa" w:w="80"/>
            </w:tcMar>
          </w:tcPr>
          <w:p>
            <w:r>
              <w:rPr>
                <w:b w:val="false"/>
                <w:bCs w:val="false"/>
                <w:sz w:val="18"/>
                <w:szCs w:val="18"/>
              </w:rPr>
              <w:t xml:space="preserve">~32%</w:t>
            </w:r>
          </w:p>
        </w:tc>
        <w:tc>
          <w:tcPr>
            <w:tcW w:type="dxa" w:w="3800"/>
            <w:tcMar>
              <w:top w:type="dxa" w:w="40"/>
              <w:left w:type="dxa" w:w="80"/>
              <w:bottom w:type="dxa" w:w="40"/>
              <w:right w:type="dxa" w:w="80"/>
            </w:tcMar>
          </w:tcPr>
          <w:p>
            <w:r>
              <w:rPr>
                <w:b w:val="false"/>
                <w:bCs w:val="false"/>
                <w:sz w:val="18"/>
                <w:szCs w:val="18"/>
              </w:rPr>
              <w:t xml:space="preserve">Discount narrows / VFE headline; toward the central and the high</w:t>
            </w:r>
          </w:p>
        </w:tc>
      </w:tr>
    </w:tbl>
    <w:p>
      <w:pPr>
        <w:spacing w:after="120"/>
      </w:pPr>
    </w:p>
    <w:p>
      <w:pPr>
        <w:spacing w:after="140"/>
      </w:pPr>
      <w:r>
        <w:t xml:space="preserve">The distribution leans right — roughly 63% of paths finish above EGP 100 — because the calibrated engine carries the class's secular drift and the event stack is mildly positive; the left tail is fattened by the placement-overhang and Red-Sea events. It is not a forecast; it is the spread of outcomes consistent with the stock's own volatility, its calibrated drift class, and the factor stack.</w:t>
      </w:r>
    </w:p>
    <w:p>
      <w:pPr>
        <w:pStyle w:val="Heading1"/>
        <w:spacing w:after="140" w:before="300"/>
      </w:pPr>
      <w:r>
        <w:t xml:space="preserve">7  Caveats and what would change our mind</w:t>
      </w:r>
    </w:p>
    <w:p>
      <w:pPr>
        <w:pStyle w:val="ListParagraph"/>
        <w:numPr>
          <w:ilvl w:val="0"/>
          <w:numId w:val="2"/>
        </w:numPr>
        <w:spacing w:after="100"/>
      </w:pPr>
      <w:r>
        <w:rPr>
          <w:b/>
          <w:bCs/>
        </w:rPr>
        <w:t xml:space="preserve">The VFE mark is the model. </w:t>
      </w:r>
      <w:r>
        <w:t xml:space="preserve">Nearly half the pre-discount value rests on an unlisted associate marked off one 2022 transaction and an income line; a monetization at a materially lower price would pull the central value toward — or below — spot.</w:t>
      </w:r>
    </w:p>
    <w:p>
      <w:pPr>
        <w:pStyle w:val="ListParagraph"/>
        <w:numPr>
          <w:ilvl w:val="0"/>
          <w:numId w:val="2"/>
        </w:numPr>
        <w:spacing w:after="100"/>
      </w:pPr>
      <w:r>
        <w:rPr>
          <w:b/>
          <w:bCs/>
        </w:rPr>
        <w:t xml:space="preserve">The discount can widen, not just narrow. </w:t>
      </w:r>
      <w:r>
        <w:t xml:space="preserve">A discounted state placement, governance friction, or a payout that stays token could push the market’s ~33% implied discount wider still, and our 15% would then be the error.</w:t>
      </w:r>
    </w:p>
    <w:p>
      <w:pPr>
        <w:pStyle w:val="ListParagraph"/>
        <w:numPr>
          <w:ilvl w:val="0"/>
          <w:numId w:val="2"/>
        </w:numPr>
        <w:spacing w:after="100"/>
      </w:pPr>
      <w:r>
        <w:rPr>
          <w:b/>
          <w:bCs/>
        </w:rPr>
        <w:t xml:space="preserve">FX cuts both ways. </w:t>
      </w:r>
      <w:r>
        <w:t xml:space="preserve">The wholesale engine and the debt stack are both USD-linked; the study is struck at 49.1. Appreciation keeps hitting reported profit (non-cash), while a new devaluation would reflate revenue and debt together.</w:t>
      </w:r>
    </w:p>
    <w:p>
      <w:pPr>
        <w:pStyle w:val="ListParagraph"/>
        <w:numPr>
          <w:ilvl w:val="0"/>
          <w:numId w:val="2"/>
        </w:numPr>
        <w:spacing w:after="100"/>
      </w:pPr>
      <w:r>
        <w:rPr>
          <w:b/>
          <w:bCs/>
        </w:rPr>
        <w:t xml:space="preserve">Capex history. </w:t>
      </w:r>
      <w:r>
        <w:t xml:space="preserve">Cash capex ran 43% of sales as recently as FY24; the FCFF path assumes the 2025 discipline holds through a 5G and fibre cycle. It might not.</w:t>
      </w:r>
    </w:p>
    <w:p>
      <w:pPr>
        <w:pStyle w:val="ListParagraph"/>
        <w:numPr>
          <w:ilvl w:val="0"/>
          <w:numId w:val="2"/>
        </w:numPr>
        <w:spacing w:after="100"/>
      </w:pPr>
      <w:r>
        <w:rPr>
          <w:b/>
          <w:bCs/>
        </w:rPr>
        <w:t xml:space="preserve">The secular drift is a class property, not a promise. </w:t>
      </w:r>
      <w:r>
        <w:t xml:space="preserve">The +9.7%/quarter drift is the five-year mean of a period containing two devaluations; a genuine FX-regime change would break it — the same failure that killed drift for international names in our backtests. Appendix B’s PIT is the tripwire to watch at re-run.</w:t>
      </w:r>
    </w:p>
    <w:p>
      <w:pPr>
        <w:pStyle w:val="ListParagraph"/>
        <w:numPr>
          <w:ilvl w:val="0"/>
          <w:numId w:val="2"/>
        </w:numPr>
        <w:spacing w:after="100"/>
      </w:pPr>
      <w:r>
        <w:rPr>
          <w:b/>
          <w:bCs/>
        </w:rPr>
        <w:t xml:space="preserve">Technical reminder. </w:t>
      </w:r>
      <w:r>
        <w:t xml:space="preserve">A neutral-RSI consolidation after a 148% year says nothing about value; ranges resolve both ways. The technical read is context, not a trigger.</w:t>
      </w:r>
    </w:p>
    <w:p>
      <w:pPr>
        <w:pStyle w:val="Heading1"/>
        <w:spacing w:after="140" w:before="300"/>
      </w:pPr>
      <w:r>
        <w:t xml:space="preserve">Appendix A  Financial statements</w:t>
      </w:r>
    </w:p>
    <w:p>
      <w:pPr>
        <w:spacing w:after="140"/>
      </w:pPr>
      <w:r>
        <w:t xml:space="preserve">Selected consolidated figures: FY23–FY25 as reported (FY2025 audited results, 26 Feb 2026, Egyptian Accounting Standards; FY2024 and FY2023 company releases), FY26E–FY30E per the model — every forecast cell below mirrors the companion workbook, whose Assumptions sheet drives it. FY23 balance-sheet lines not disclosed in the summary format are derived from stated anchors (cash per the FY25 cash-flow statement; gross debt per the FY24 release’s “+64%”; ND/EBITDA 1.7×) and flagged. EBIT here = EBITDA − D&amp;A (model definition; the EAS summary line differs).</w:t>
      </w:r>
    </w:p>
    <w:p>
      <w:pPr>
        <w:pStyle w:val="Heading2"/>
        <w:spacing w:after="110" w:before="220"/>
      </w:pPr>
      <w:r>
        <w:t xml:space="preserve">A.1  Income statement (consolidated, EGP bn)</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2480"/>
        <w:gridCol w:w="860"/>
        <w:gridCol w:w="860"/>
        <w:gridCol w:w="860"/>
        <w:gridCol w:w="860"/>
        <w:gridCol w:w="860"/>
        <w:gridCol w:w="860"/>
        <w:gridCol w:w="860"/>
        <w:gridCol w:w="860"/>
      </w:tblGrid>
      <w:tr>
        <w:tc>
          <w:tcPr>
            <w:tcW w:type="dxa" w:w="2480"/>
            <w:shd w:fill="1B5E5E" w:val="clear"/>
            <w:tcMar>
              <w:top w:type="dxa" w:w="40"/>
              <w:left w:type="dxa" w:w="80"/>
              <w:bottom w:type="dxa" w:w="40"/>
              <w:right w:type="dxa" w:w="80"/>
            </w:tcMar>
          </w:tcPr>
          <w:p>
            <w:r>
              <w:rPr>
                <w:b/>
                <w:bCs/>
                <w:color w:val="FFFFFF"/>
                <w:sz w:val="18"/>
                <w:szCs w:val="18"/>
              </w:rPr>
              <w:t xml:space="preserve">Line</w:t>
            </w:r>
          </w:p>
        </w:tc>
        <w:tc>
          <w:tcPr>
            <w:tcW w:type="dxa" w:w="860"/>
            <w:shd w:fill="1B5E5E" w:val="clear"/>
            <w:tcMar>
              <w:top w:type="dxa" w:w="40"/>
              <w:left w:type="dxa" w:w="80"/>
              <w:bottom w:type="dxa" w:w="40"/>
              <w:right w:type="dxa" w:w="80"/>
            </w:tcMar>
          </w:tcPr>
          <w:p>
            <w:r>
              <w:rPr>
                <w:b/>
                <w:bCs/>
                <w:color w:val="FFFFFF"/>
                <w:sz w:val="18"/>
                <w:szCs w:val="18"/>
              </w:rPr>
              <w:t xml:space="preserve">FY23</w:t>
            </w:r>
          </w:p>
        </w:tc>
        <w:tc>
          <w:tcPr>
            <w:tcW w:type="dxa" w:w="860"/>
            <w:shd w:fill="1B5E5E" w:val="clear"/>
            <w:tcMar>
              <w:top w:type="dxa" w:w="40"/>
              <w:left w:type="dxa" w:w="80"/>
              <w:bottom w:type="dxa" w:w="40"/>
              <w:right w:type="dxa" w:w="80"/>
            </w:tcMar>
          </w:tcPr>
          <w:p>
            <w:r>
              <w:rPr>
                <w:b/>
                <w:bCs/>
                <w:color w:val="FFFFFF"/>
                <w:sz w:val="18"/>
                <w:szCs w:val="18"/>
              </w:rPr>
              <w:t xml:space="preserve">FY24</w:t>
            </w:r>
          </w:p>
        </w:tc>
        <w:tc>
          <w:tcPr>
            <w:tcW w:type="dxa" w:w="860"/>
            <w:shd w:fill="1B5E5E" w:val="clear"/>
            <w:tcMar>
              <w:top w:type="dxa" w:w="40"/>
              <w:left w:type="dxa" w:w="80"/>
              <w:bottom w:type="dxa" w:w="40"/>
              <w:right w:type="dxa" w:w="80"/>
            </w:tcMar>
          </w:tcPr>
          <w:p>
            <w:r>
              <w:rPr>
                <w:b/>
                <w:bCs/>
                <w:color w:val="FFFFFF"/>
                <w:sz w:val="18"/>
                <w:szCs w:val="18"/>
              </w:rPr>
              <w:t xml:space="preserve">FY25</w:t>
            </w:r>
          </w:p>
        </w:tc>
        <w:tc>
          <w:tcPr>
            <w:tcW w:type="dxa" w:w="860"/>
            <w:shd w:fill="1B5E5E" w:val="clear"/>
            <w:tcMar>
              <w:top w:type="dxa" w:w="40"/>
              <w:left w:type="dxa" w:w="80"/>
              <w:bottom w:type="dxa" w:w="40"/>
              <w:right w:type="dxa" w:w="80"/>
            </w:tcMar>
          </w:tcPr>
          <w:p>
            <w:r>
              <w:rPr>
                <w:b/>
                <w:bCs/>
                <w:color w:val="FFFFFF"/>
                <w:sz w:val="18"/>
                <w:szCs w:val="18"/>
              </w:rPr>
              <w:t xml:space="preserve">FY26E</w:t>
            </w:r>
          </w:p>
        </w:tc>
        <w:tc>
          <w:tcPr>
            <w:tcW w:type="dxa" w:w="860"/>
            <w:shd w:fill="1B5E5E" w:val="clear"/>
            <w:tcMar>
              <w:top w:type="dxa" w:w="40"/>
              <w:left w:type="dxa" w:w="80"/>
              <w:bottom w:type="dxa" w:w="40"/>
              <w:right w:type="dxa" w:w="80"/>
            </w:tcMar>
          </w:tcPr>
          <w:p>
            <w:r>
              <w:rPr>
                <w:b/>
                <w:bCs/>
                <w:color w:val="FFFFFF"/>
                <w:sz w:val="18"/>
                <w:szCs w:val="18"/>
              </w:rPr>
              <w:t xml:space="preserve">FY27E</w:t>
            </w:r>
          </w:p>
        </w:tc>
        <w:tc>
          <w:tcPr>
            <w:tcW w:type="dxa" w:w="860"/>
            <w:shd w:fill="1B5E5E" w:val="clear"/>
            <w:tcMar>
              <w:top w:type="dxa" w:w="40"/>
              <w:left w:type="dxa" w:w="80"/>
              <w:bottom w:type="dxa" w:w="40"/>
              <w:right w:type="dxa" w:w="80"/>
            </w:tcMar>
          </w:tcPr>
          <w:p>
            <w:r>
              <w:rPr>
                <w:b/>
                <w:bCs/>
                <w:color w:val="FFFFFF"/>
                <w:sz w:val="18"/>
                <w:szCs w:val="18"/>
              </w:rPr>
              <w:t xml:space="preserve">FY28E</w:t>
            </w:r>
          </w:p>
        </w:tc>
        <w:tc>
          <w:tcPr>
            <w:tcW w:type="dxa" w:w="860"/>
            <w:shd w:fill="1B5E5E" w:val="clear"/>
            <w:tcMar>
              <w:top w:type="dxa" w:w="40"/>
              <w:left w:type="dxa" w:w="80"/>
              <w:bottom w:type="dxa" w:w="40"/>
              <w:right w:type="dxa" w:w="80"/>
            </w:tcMar>
          </w:tcPr>
          <w:p>
            <w:r>
              <w:rPr>
                <w:b/>
                <w:bCs/>
                <w:color w:val="FFFFFF"/>
                <w:sz w:val="18"/>
                <w:szCs w:val="18"/>
              </w:rPr>
              <w:t xml:space="preserve">FY29E</w:t>
            </w:r>
          </w:p>
        </w:tc>
        <w:tc>
          <w:tcPr>
            <w:tcW w:type="dxa" w:w="860"/>
            <w:shd w:fill="1B5E5E" w:val="clear"/>
            <w:tcMar>
              <w:top w:type="dxa" w:w="40"/>
              <w:left w:type="dxa" w:w="80"/>
              <w:bottom w:type="dxa" w:w="40"/>
              <w:right w:type="dxa" w:w="80"/>
            </w:tcMar>
          </w:tcPr>
          <w:p>
            <w:r>
              <w:rPr>
                <w:b/>
                <w:bCs/>
                <w:color w:val="FFFFFF"/>
                <w:sz w:val="18"/>
                <w:szCs w:val="18"/>
              </w:rPr>
              <w:t xml:space="preserve">FY30E</w:t>
            </w:r>
          </w:p>
        </w:tc>
      </w:tr>
      <w:tr>
        <w:tc>
          <w:tcPr>
            <w:tcW w:type="dxa" w:w="2480"/>
            <w:tcMar>
              <w:top w:type="dxa" w:w="40"/>
              <w:left w:type="dxa" w:w="80"/>
              <w:bottom w:type="dxa" w:w="40"/>
              <w:right w:type="dxa" w:w="80"/>
            </w:tcMar>
          </w:tcPr>
          <w:p>
            <w:r>
              <w:rPr>
                <w:b/>
                <w:bCs/>
                <w:sz w:val="18"/>
                <w:szCs w:val="18"/>
              </w:rPr>
              <w:t xml:space="preserve">Revenue</w:t>
            </w:r>
          </w:p>
        </w:tc>
        <w:tc>
          <w:tcPr>
            <w:tcW w:type="dxa" w:w="860"/>
            <w:tcMar>
              <w:top w:type="dxa" w:w="40"/>
              <w:left w:type="dxa" w:w="80"/>
              <w:bottom w:type="dxa" w:w="40"/>
              <w:right w:type="dxa" w:w="80"/>
            </w:tcMar>
          </w:tcPr>
          <w:p>
            <w:r>
              <w:rPr>
                <w:b w:val="false"/>
                <w:bCs w:val="false"/>
                <w:sz w:val="18"/>
                <w:szCs w:val="18"/>
              </w:rPr>
              <w:t xml:space="preserve">56.7</w:t>
            </w:r>
          </w:p>
        </w:tc>
        <w:tc>
          <w:tcPr>
            <w:tcW w:type="dxa" w:w="860"/>
            <w:tcMar>
              <w:top w:type="dxa" w:w="40"/>
              <w:left w:type="dxa" w:w="80"/>
              <w:bottom w:type="dxa" w:w="40"/>
              <w:right w:type="dxa" w:w="80"/>
            </w:tcMar>
          </w:tcPr>
          <w:p>
            <w:r>
              <w:rPr>
                <w:b w:val="false"/>
                <w:bCs w:val="false"/>
                <w:sz w:val="18"/>
                <w:szCs w:val="18"/>
              </w:rPr>
              <w:t xml:space="preserve">81.7</w:t>
            </w:r>
          </w:p>
        </w:tc>
        <w:tc>
          <w:tcPr>
            <w:tcW w:type="dxa" w:w="860"/>
            <w:tcMar>
              <w:top w:type="dxa" w:w="40"/>
              <w:left w:type="dxa" w:w="80"/>
              <w:bottom w:type="dxa" w:w="40"/>
              <w:right w:type="dxa" w:w="80"/>
            </w:tcMar>
          </w:tcPr>
          <w:p>
            <w:r>
              <w:rPr>
                <w:b w:val="false"/>
                <w:bCs w:val="false"/>
                <w:sz w:val="18"/>
                <w:szCs w:val="18"/>
              </w:rPr>
              <w:t xml:space="preserve">106.7</w:t>
            </w:r>
          </w:p>
        </w:tc>
        <w:tc>
          <w:tcPr>
            <w:tcW w:type="dxa" w:w="860"/>
            <w:tcMar>
              <w:top w:type="dxa" w:w="40"/>
              <w:left w:type="dxa" w:w="80"/>
              <w:bottom w:type="dxa" w:w="40"/>
              <w:right w:type="dxa" w:w="80"/>
            </w:tcMar>
          </w:tcPr>
          <w:p>
            <w:r>
              <w:rPr>
                <w:b w:val="false"/>
                <w:bCs w:val="false"/>
                <w:sz w:val="18"/>
                <w:szCs w:val="18"/>
              </w:rPr>
              <w:t xml:space="preserve">119.5</w:t>
            </w:r>
          </w:p>
        </w:tc>
        <w:tc>
          <w:tcPr>
            <w:tcW w:type="dxa" w:w="860"/>
            <w:tcMar>
              <w:top w:type="dxa" w:w="40"/>
              <w:left w:type="dxa" w:w="80"/>
              <w:bottom w:type="dxa" w:w="40"/>
              <w:right w:type="dxa" w:w="80"/>
            </w:tcMar>
          </w:tcPr>
          <w:p>
            <w:r>
              <w:rPr>
                <w:b w:val="false"/>
                <w:bCs w:val="false"/>
                <w:sz w:val="18"/>
                <w:szCs w:val="18"/>
              </w:rPr>
              <w:t xml:space="preserve">131.4</w:t>
            </w:r>
          </w:p>
        </w:tc>
        <w:tc>
          <w:tcPr>
            <w:tcW w:type="dxa" w:w="860"/>
            <w:tcMar>
              <w:top w:type="dxa" w:w="40"/>
              <w:left w:type="dxa" w:w="80"/>
              <w:bottom w:type="dxa" w:w="40"/>
              <w:right w:type="dxa" w:w="80"/>
            </w:tcMar>
          </w:tcPr>
          <w:p>
            <w:r>
              <w:rPr>
                <w:b w:val="false"/>
                <w:bCs w:val="false"/>
                <w:sz w:val="18"/>
                <w:szCs w:val="18"/>
              </w:rPr>
              <w:t xml:space="preserve">143.2</w:t>
            </w:r>
          </w:p>
        </w:tc>
        <w:tc>
          <w:tcPr>
            <w:tcW w:type="dxa" w:w="860"/>
            <w:tcMar>
              <w:top w:type="dxa" w:w="40"/>
              <w:left w:type="dxa" w:w="80"/>
              <w:bottom w:type="dxa" w:w="40"/>
              <w:right w:type="dxa" w:w="80"/>
            </w:tcMar>
          </w:tcPr>
          <w:p>
            <w:r>
              <w:rPr>
                <w:b w:val="false"/>
                <w:bCs w:val="false"/>
                <w:sz w:val="18"/>
                <w:szCs w:val="18"/>
              </w:rPr>
              <w:t xml:space="preserve">154.7</w:t>
            </w:r>
          </w:p>
        </w:tc>
        <w:tc>
          <w:tcPr>
            <w:tcW w:type="dxa" w:w="860"/>
            <w:tcMar>
              <w:top w:type="dxa" w:w="40"/>
              <w:left w:type="dxa" w:w="80"/>
              <w:bottom w:type="dxa" w:w="40"/>
              <w:right w:type="dxa" w:w="80"/>
            </w:tcMar>
          </w:tcPr>
          <w:p>
            <w:r>
              <w:rPr>
                <w:b w:val="false"/>
                <w:bCs w:val="false"/>
                <w:sz w:val="18"/>
                <w:szCs w:val="18"/>
              </w:rPr>
              <w:t xml:space="preserve">165.5</w:t>
            </w:r>
          </w:p>
        </w:tc>
      </w:tr>
      <w:tr>
        <w:tc>
          <w:tcPr>
            <w:tcW w:type="dxa" w:w="2480"/>
            <w:tcMar>
              <w:top w:type="dxa" w:w="40"/>
              <w:left w:type="dxa" w:w="80"/>
              <w:bottom w:type="dxa" w:w="40"/>
              <w:right w:type="dxa" w:w="80"/>
            </w:tcMar>
          </w:tcPr>
          <w:p>
            <w:r>
              <w:rPr>
                <w:b/>
                <w:bCs/>
                <w:sz w:val="18"/>
                <w:szCs w:val="18"/>
              </w:rPr>
              <w:t xml:space="preserve">  growth %</w:t>
            </w:r>
          </w:p>
        </w:tc>
        <w:tc>
          <w:tcPr>
            <w:tcW w:type="dxa" w:w="860"/>
            <w:tcMar>
              <w:top w:type="dxa" w:w="40"/>
              <w:left w:type="dxa" w:w="80"/>
              <w:bottom w:type="dxa" w:w="40"/>
              <w:right w:type="dxa" w:w="80"/>
            </w:tcMar>
          </w:tcPr>
          <w:p>
            <w:r>
              <w:rPr>
                <w:b w:val="false"/>
                <w:bCs w:val="false"/>
                <w:sz w:val="18"/>
                <w:szCs w:val="18"/>
              </w:rPr>
              <w:t xml:space="preserve">+28%</w:t>
            </w:r>
          </w:p>
        </w:tc>
        <w:tc>
          <w:tcPr>
            <w:tcW w:type="dxa" w:w="860"/>
            <w:tcMar>
              <w:top w:type="dxa" w:w="40"/>
              <w:left w:type="dxa" w:w="80"/>
              <w:bottom w:type="dxa" w:w="40"/>
              <w:right w:type="dxa" w:w="80"/>
            </w:tcMar>
          </w:tcPr>
          <w:p>
            <w:r>
              <w:rPr>
                <w:b w:val="false"/>
                <w:bCs w:val="false"/>
                <w:sz w:val="18"/>
                <w:szCs w:val="18"/>
              </w:rPr>
              <w:t xml:space="preserve">+45%</w:t>
            </w:r>
          </w:p>
        </w:tc>
        <w:tc>
          <w:tcPr>
            <w:tcW w:type="dxa" w:w="860"/>
            <w:tcMar>
              <w:top w:type="dxa" w:w="40"/>
              <w:left w:type="dxa" w:w="80"/>
              <w:bottom w:type="dxa" w:w="40"/>
              <w:right w:type="dxa" w:w="80"/>
            </w:tcMar>
          </w:tcPr>
          <w:p>
            <w:r>
              <w:rPr>
                <w:b w:val="false"/>
                <w:bCs w:val="false"/>
                <w:sz w:val="18"/>
                <w:szCs w:val="18"/>
              </w:rPr>
              <w:t xml:space="preserve">+31%</w:t>
            </w:r>
          </w:p>
        </w:tc>
        <w:tc>
          <w:tcPr>
            <w:tcW w:type="dxa" w:w="860"/>
            <w:tcMar>
              <w:top w:type="dxa" w:w="40"/>
              <w:left w:type="dxa" w:w="80"/>
              <w:bottom w:type="dxa" w:w="40"/>
              <w:right w:type="dxa" w:w="80"/>
            </w:tcMar>
          </w:tcPr>
          <w:p>
            <w:r>
              <w:rPr>
                <w:b w:val="false"/>
                <w:bCs w:val="false"/>
                <w:sz w:val="18"/>
                <w:szCs w:val="18"/>
              </w:rPr>
              <w:t xml:space="preserve">+12%</w:t>
            </w:r>
          </w:p>
        </w:tc>
        <w:tc>
          <w:tcPr>
            <w:tcW w:type="dxa" w:w="860"/>
            <w:tcMar>
              <w:top w:type="dxa" w:w="40"/>
              <w:left w:type="dxa" w:w="80"/>
              <w:bottom w:type="dxa" w:w="40"/>
              <w:right w:type="dxa" w:w="80"/>
            </w:tcMar>
          </w:tcPr>
          <w:p>
            <w:r>
              <w:rPr>
                <w:b w:val="false"/>
                <w:bCs w:val="false"/>
                <w:sz w:val="18"/>
                <w:szCs w:val="18"/>
              </w:rPr>
              <w:t xml:space="preserve">+10%</w:t>
            </w:r>
          </w:p>
        </w:tc>
        <w:tc>
          <w:tcPr>
            <w:tcW w:type="dxa" w:w="860"/>
            <w:tcMar>
              <w:top w:type="dxa" w:w="40"/>
              <w:left w:type="dxa" w:w="80"/>
              <w:bottom w:type="dxa" w:w="40"/>
              <w:right w:type="dxa" w:w="80"/>
            </w:tcMar>
          </w:tcPr>
          <w:p>
            <w:r>
              <w:rPr>
                <w:b w:val="false"/>
                <w:bCs w:val="false"/>
                <w:sz w:val="18"/>
                <w:szCs w:val="18"/>
              </w:rPr>
              <w:t xml:space="preserve">+9%</w:t>
            </w:r>
          </w:p>
        </w:tc>
        <w:tc>
          <w:tcPr>
            <w:tcW w:type="dxa" w:w="860"/>
            <w:tcMar>
              <w:top w:type="dxa" w:w="40"/>
              <w:left w:type="dxa" w:w="80"/>
              <w:bottom w:type="dxa" w:w="40"/>
              <w:right w:type="dxa" w:w="80"/>
            </w:tcMar>
          </w:tcPr>
          <w:p>
            <w:r>
              <w:rPr>
                <w:b w:val="false"/>
                <w:bCs w:val="false"/>
                <w:sz w:val="18"/>
                <w:szCs w:val="18"/>
              </w:rPr>
              <w:t xml:space="preserve">+8%</w:t>
            </w:r>
          </w:p>
        </w:tc>
        <w:tc>
          <w:tcPr>
            <w:tcW w:type="dxa" w:w="860"/>
            <w:tcMar>
              <w:top w:type="dxa" w:w="40"/>
              <w:left w:type="dxa" w:w="80"/>
              <w:bottom w:type="dxa" w:w="40"/>
              <w:right w:type="dxa" w:w="80"/>
            </w:tcMar>
          </w:tcPr>
          <w:p>
            <w:r>
              <w:rPr>
                <w:b w:val="false"/>
                <w:bCs w:val="false"/>
                <w:sz w:val="18"/>
                <w:szCs w:val="18"/>
              </w:rPr>
              <w:t xml:space="preserve">+7%</w:t>
            </w:r>
          </w:p>
        </w:tc>
      </w:tr>
      <w:tr>
        <w:tc>
          <w:tcPr>
            <w:tcW w:type="dxa" w:w="2480"/>
            <w:tcMar>
              <w:top w:type="dxa" w:w="40"/>
              <w:left w:type="dxa" w:w="80"/>
              <w:bottom w:type="dxa" w:w="40"/>
              <w:right w:type="dxa" w:w="80"/>
            </w:tcMar>
          </w:tcPr>
          <w:p>
            <w:r>
              <w:rPr>
                <w:b/>
                <w:bCs/>
                <w:sz w:val="18"/>
                <w:szCs w:val="18"/>
              </w:rPr>
              <w:t xml:space="preserve">EBITDA</w:t>
            </w:r>
          </w:p>
        </w:tc>
        <w:tc>
          <w:tcPr>
            <w:tcW w:type="dxa" w:w="860"/>
            <w:tcMar>
              <w:top w:type="dxa" w:w="40"/>
              <w:left w:type="dxa" w:w="80"/>
              <w:bottom w:type="dxa" w:w="40"/>
              <w:right w:type="dxa" w:w="80"/>
            </w:tcMar>
          </w:tcPr>
          <w:p>
            <w:r>
              <w:rPr>
                <w:b w:val="false"/>
                <w:bCs w:val="false"/>
                <w:sz w:val="18"/>
                <w:szCs w:val="18"/>
              </w:rPr>
              <w:t xml:space="preserve">22.5 (d)</w:t>
            </w:r>
          </w:p>
        </w:tc>
        <w:tc>
          <w:tcPr>
            <w:tcW w:type="dxa" w:w="860"/>
            <w:tcMar>
              <w:top w:type="dxa" w:w="40"/>
              <w:left w:type="dxa" w:w="80"/>
              <w:bottom w:type="dxa" w:w="40"/>
              <w:right w:type="dxa" w:w="80"/>
            </w:tcMar>
          </w:tcPr>
          <w:p>
            <w:r>
              <w:rPr>
                <w:b w:val="false"/>
                <w:bCs w:val="false"/>
                <w:sz w:val="18"/>
                <w:szCs w:val="18"/>
              </w:rPr>
              <w:t xml:space="preserve">32.6</w:t>
            </w:r>
          </w:p>
        </w:tc>
        <w:tc>
          <w:tcPr>
            <w:tcW w:type="dxa" w:w="860"/>
            <w:tcMar>
              <w:top w:type="dxa" w:w="40"/>
              <w:left w:type="dxa" w:w="80"/>
              <w:bottom w:type="dxa" w:w="40"/>
              <w:right w:type="dxa" w:w="80"/>
            </w:tcMar>
          </w:tcPr>
          <w:p>
            <w:r>
              <w:rPr>
                <w:b w:val="false"/>
                <w:bCs w:val="false"/>
                <w:sz w:val="18"/>
                <w:szCs w:val="18"/>
              </w:rPr>
              <w:t xml:space="preserve">47.5</w:t>
            </w:r>
          </w:p>
        </w:tc>
        <w:tc>
          <w:tcPr>
            <w:tcW w:type="dxa" w:w="860"/>
            <w:tcMar>
              <w:top w:type="dxa" w:w="40"/>
              <w:left w:type="dxa" w:w="80"/>
              <w:bottom w:type="dxa" w:w="40"/>
              <w:right w:type="dxa" w:w="80"/>
            </w:tcMar>
          </w:tcPr>
          <w:p>
            <w:r>
              <w:rPr>
                <w:b w:val="false"/>
                <w:bCs w:val="false"/>
                <w:sz w:val="18"/>
                <w:szCs w:val="18"/>
              </w:rPr>
              <w:t xml:space="preserve">52.6</w:t>
            </w:r>
          </w:p>
        </w:tc>
        <w:tc>
          <w:tcPr>
            <w:tcW w:type="dxa" w:w="860"/>
            <w:tcMar>
              <w:top w:type="dxa" w:w="40"/>
              <w:left w:type="dxa" w:w="80"/>
              <w:bottom w:type="dxa" w:w="40"/>
              <w:right w:type="dxa" w:w="80"/>
            </w:tcMar>
          </w:tcPr>
          <w:p>
            <w:r>
              <w:rPr>
                <w:b w:val="false"/>
                <w:bCs w:val="false"/>
                <w:sz w:val="18"/>
                <w:szCs w:val="18"/>
              </w:rPr>
              <w:t xml:space="preserve">57.2</w:t>
            </w:r>
          </w:p>
        </w:tc>
        <w:tc>
          <w:tcPr>
            <w:tcW w:type="dxa" w:w="860"/>
            <w:tcMar>
              <w:top w:type="dxa" w:w="40"/>
              <w:left w:type="dxa" w:w="80"/>
              <w:bottom w:type="dxa" w:w="40"/>
              <w:right w:type="dxa" w:w="80"/>
            </w:tcMar>
          </w:tcPr>
          <w:p>
            <w:r>
              <w:rPr>
                <w:b w:val="false"/>
                <w:bCs w:val="false"/>
                <w:sz w:val="18"/>
                <w:szCs w:val="18"/>
              </w:rPr>
              <w:t xml:space="preserve">61.6</w:t>
            </w:r>
          </w:p>
        </w:tc>
        <w:tc>
          <w:tcPr>
            <w:tcW w:type="dxa" w:w="860"/>
            <w:tcMar>
              <w:top w:type="dxa" w:w="40"/>
              <w:left w:type="dxa" w:w="80"/>
              <w:bottom w:type="dxa" w:w="40"/>
              <w:right w:type="dxa" w:w="80"/>
            </w:tcMar>
          </w:tcPr>
          <w:p>
            <w:r>
              <w:rPr>
                <w:b w:val="false"/>
                <w:bCs w:val="false"/>
                <w:sz w:val="18"/>
                <w:szCs w:val="18"/>
              </w:rPr>
              <w:t xml:space="preserve">66.5</w:t>
            </w:r>
          </w:p>
        </w:tc>
        <w:tc>
          <w:tcPr>
            <w:tcW w:type="dxa" w:w="860"/>
            <w:tcMar>
              <w:top w:type="dxa" w:w="40"/>
              <w:left w:type="dxa" w:w="80"/>
              <w:bottom w:type="dxa" w:w="40"/>
              <w:right w:type="dxa" w:w="80"/>
            </w:tcMar>
          </w:tcPr>
          <w:p>
            <w:r>
              <w:rPr>
                <w:b w:val="false"/>
                <w:bCs w:val="false"/>
                <w:sz w:val="18"/>
                <w:szCs w:val="18"/>
              </w:rPr>
              <w:t xml:space="preserve">71.2</w:t>
            </w:r>
          </w:p>
        </w:tc>
      </w:tr>
      <w:tr>
        <w:tc>
          <w:tcPr>
            <w:tcW w:type="dxa" w:w="2480"/>
            <w:tcMar>
              <w:top w:type="dxa" w:w="40"/>
              <w:left w:type="dxa" w:w="80"/>
              <w:bottom w:type="dxa" w:w="40"/>
              <w:right w:type="dxa" w:w="80"/>
            </w:tcMar>
          </w:tcPr>
          <w:p>
            <w:r>
              <w:rPr>
                <w:b/>
                <w:bCs/>
                <w:sz w:val="18"/>
                <w:szCs w:val="18"/>
              </w:rPr>
              <w:t xml:space="preserve">  margin</w:t>
            </w:r>
          </w:p>
        </w:tc>
        <w:tc>
          <w:tcPr>
            <w:tcW w:type="dxa" w:w="860"/>
            <w:tcMar>
              <w:top w:type="dxa" w:w="40"/>
              <w:left w:type="dxa" w:w="80"/>
              <w:bottom w:type="dxa" w:w="40"/>
              <w:right w:type="dxa" w:w="80"/>
            </w:tcMar>
          </w:tcPr>
          <w:p>
            <w:r>
              <w:rPr>
                <w:b w:val="false"/>
                <w:bCs w:val="false"/>
                <w:sz w:val="18"/>
                <w:szCs w:val="18"/>
              </w:rPr>
              <w:t xml:space="preserve">40%</w:t>
            </w:r>
          </w:p>
        </w:tc>
        <w:tc>
          <w:tcPr>
            <w:tcW w:type="dxa" w:w="860"/>
            <w:tcMar>
              <w:top w:type="dxa" w:w="40"/>
              <w:left w:type="dxa" w:w="80"/>
              <w:bottom w:type="dxa" w:w="40"/>
              <w:right w:type="dxa" w:w="80"/>
            </w:tcMar>
          </w:tcPr>
          <w:p>
            <w:r>
              <w:rPr>
                <w:b w:val="false"/>
                <w:bCs w:val="false"/>
                <w:sz w:val="18"/>
                <w:szCs w:val="18"/>
              </w:rPr>
              <w:t xml:space="preserve">40%</w:t>
            </w:r>
          </w:p>
        </w:tc>
        <w:tc>
          <w:tcPr>
            <w:tcW w:type="dxa" w:w="860"/>
            <w:tcMar>
              <w:top w:type="dxa" w:w="40"/>
              <w:left w:type="dxa" w:w="80"/>
              <w:bottom w:type="dxa" w:w="40"/>
              <w:right w:type="dxa" w:w="80"/>
            </w:tcMar>
          </w:tcPr>
          <w:p>
            <w:r>
              <w:rPr>
                <w:b w:val="false"/>
                <w:bCs w:val="false"/>
                <w:sz w:val="18"/>
                <w:szCs w:val="18"/>
              </w:rPr>
              <w:t xml:space="preserve">45%</w:t>
            </w:r>
          </w:p>
        </w:tc>
        <w:tc>
          <w:tcPr>
            <w:tcW w:type="dxa" w:w="860"/>
            <w:tcMar>
              <w:top w:type="dxa" w:w="40"/>
              <w:left w:type="dxa" w:w="80"/>
              <w:bottom w:type="dxa" w:w="40"/>
              <w:right w:type="dxa" w:w="80"/>
            </w:tcMar>
          </w:tcPr>
          <w:p>
            <w:r>
              <w:rPr>
                <w:b w:val="false"/>
                <w:bCs w:val="false"/>
                <w:sz w:val="18"/>
                <w:szCs w:val="18"/>
              </w:rPr>
              <w:t xml:space="preserve">44%</w:t>
            </w:r>
          </w:p>
        </w:tc>
        <w:tc>
          <w:tcPr>
            <w:tcW w:type="dxa" w:w="860"/>
            <w:tcMar>
              <w:top w:type="dxa" w:w="40"/>
              <w:left w:type="dxa" w:w="80"/>
              <w:bottom w:type="dxa" w:w="40"/>
              <w:right w:type="dxa" w:w="80"/>
            </w:tcMar>
          </w:tcPr>
          <w:p>
            <w:r>
              <w:rPr>
                <w:b w:val="false"/>
                <w:bCs w:val="false"/>
                <w:sz w:val="18"/>
                <w:szCs w:val="18"/>
              </w:rPr>
              <w:t xml:space="preserve">44%</w:t>
            </w:r>
          </w:p>
        </w:tc>
        <w:tc>
          <w:tcPr>
            <w:tcW w:type="dxa" w:w="860"/>
            <w:tcMar>
              <w:top w:type="dxa" w:w="40"/>
              <w:left w:type="dxa" w:w="80"/>
              <w:bottom w:type="dxa" w:w="40"/>
              <w:right w:type="dxa" w:w="80"/>
            </w:tcMar>
          </w:tcPr>
          <w:p>
            <w:r>
              <w:rPr>
                <w:b w:val="false"/>
                <w:bCs w:val="false"/>
                <w:sz w:val="18"/>
                <w:szCs w:val="18"/>
              </w:rPr>
              <w:t xml:space="preserve">43%</w:t>
            </w:r>
          </w:p>
        </w:tc>
        <w:tc>
          <w:tcPr>
            <w:tcW w:type="dxa" w:w="860"/>
            <w:tcMar>
              <w:top w:type="dxa" w:w="40"/>
              <w:left w:type="dxa" w:w="80"/>
              <w:bottom w:type="dxa" w:w="40"/>
              <w:right w:type="dxa" w:w="80"/>
            </w:tcMar>
          </w:tcPr>
          <w:p>
            <w:r>
              <w:rPr>
                <w:b w:val="false"/>
                <w:bCs w:val="false"/>
                <w:sz w:val="18"/>
                <w:szCs w:val="18"/>
              </w:rPr>
              <w:t xml:space="preserve">43%</w:t>
            </w:r>
          </w:p>
        </w:tc>
        <w:tc>
          <w:tcPr>
            <w:tcW w:type="dxa" w:w="860"/>
            <w:tcMar>
              <w:top w:type="dxa" w:w="40"/>
              <w:left w:type="dxa" w:w="80"/>
              <w:bottom w:type="dxa" w:w="40"/>
              <w:right w:type="dxa" w:w="80"/>
            </w:tcMar>
          </w:tcPr>
          <w:p>
            <w:r>
              <w:rPr>
                <w:b w:val="false"/>
                <w:bCs w:val="false"/>
                <w:sz w:val="18"/>
                <w:szCs w:val="18"/>
              </w:rPr>
              <w:t xml:space="preserve">43%</w:t>
            </w:r>
          </w:p>
        </w:tc>
      </w:tr>
      <w:tr>
        <w:tc>
          <w:tcPr>
            <w:tcW w:type="dxa" w:w="2480"/>
            <w:tcMar>
              <w:top w:type="dxa" w:w="40"/>
              <w:left w:type="dxa" w:w="80"/>
              <w:bottom w:type="dxa" w:w="40"/>
              <w:right w:type="dxa" w:w="80"/>
            </w:tcMar>
          </w:tcPr>
          <w:p>
            <w:r>
              <w:rPr>
                <w:b/>
                <w:bCs/>
                <w:sz w:val="18"/>
                <w:szCs w:val="18"/>
              </w:rPr>
              <w:t xml:space="preserve">D&amp;A</w:t>
            </w:r>
          </w:p>
        </w:tc>
        <w:tc>
          <w:tcPr>
            <w:tcW w:type="dxa" w:w="860"/>
            <w:tcMar>
              <w:top w:type="dxa" w:w="40"/>
              <w:left w:type="dxa" w:w="80"/>
              <w:bottom w:type="dxa" w:w="40"/>
              <w:right w:type="dxa" w:w="80"/>
            </w:tcMar>
          </w:tcPr>
          <w:p>
            <w:r>
              <w:rPr>
                <w:b w:val="false"/>
                <w:bCs w:val="false"/>
                <w:sz w:val="18"/>
                <w:szCs w:val="18"/>
              </w:rPr>
              <w:t xml:space="preserve">7.9 (d)</w:t>
            </w:r>
          </w:p>
        </w:tc>
        <w:tc>
          <w:tcPr>
            <w:tcW w:type="dxa" w:w="860"/>
            <w:tcMar>
              <w:top w:type="dxa" w:w="40"/>
              <w:left w:type="dxa" w:w="80"/>
              <w:bottom w:type="dxa" w:w="40"/>
              <w:right w:type="dxa" w:w="80"/>
            </w:tcMar>
          </w:tcPr>
          <w:p>
            <w:r>
              <w:rPr>
                <w:b w:val="false"/>
                <w:bCs w:val="false"/>
                <w:sz w:val="18"/>
                <w:szCs w:val="18"/>
              </w:rPr>
              <w:t xml:space="preserve">11.7 (d)</w:t>
            </w:r>
          </w:p>
        </w:tc>
        <w:tc>
          <w:tcPr>
            <w:tcW w:type="dxa" w:w="860"/>
            <w:tcMar>
              <w:top w:type="dxa" w:w="40"/>
              <w:left w:type="dxa" w:w="80"/>
              <w:bottom w:type="dxa" w:w="40"/>
              <w:right w:type="dxa" w:w="80"/>
            </w:tcMar>
          </w:tcPr>
          <w:p>
            <w:r>
              <w:rPr>
                <w:b w:val="false"/>
                <w:bCs w:val="false"/>
                <w:sz w:val="18"/>
                <w:szCs w:val="18"/>
              </w:rPr>
              <w:t xml:space="preserve">13.6 (d)</w:t>
            </w:r>
          </w:p>
        </w:tc>
        <w:tc>
          <w:tcPr>
            <w:tcW w:type="dxa" w:w="860"/>
            <w:tcMar>
              <w:top w:type="dxa" w:w="40"/>
              <w:left w:type="dxa" w:w="80"/>
              <w:bottom w:type="dxa" w:w="40"/>
              <w:right w:type="dxa" w:w="80"/>
            </w:tcMar>
          </w:tcPr>
          <w:p>
            <w:r>
              <w:rPr>
                <w:b w:val="false"/>
                <w:bCs w:val="false"/>
                <w:sz w:val="18"/>
                <w:szCs w:val="18"/>
              </w:rPr>
              <w:t xml:space="preserve">15.7</w:t>
            </w:r>
          </w:p>
        </w:tc>
        <w:tc>
          <w:tcPr>
            <w:tcW w:type="dxa" w:w="860"/>
            <w:tcMar>
              <w:top w:type="dxa" w:w="40"/>
              <w:left w:type="dxa" w:w="80"/>
              <w:bottom w:type="dxa" w:w="40"/>
              <w:right w:type="dxa" w:w="80"/>
            </w:tcMar>
          </w:tcPr>
          <w:p>
            <w:r>
              <w:rPr>
                <w:b w:val="false"/>
                <w:bCs w:val="false"/>
                <w:sz w:val="18"/>
                <w:szCs w:val="18"/>
              </w:rPr>
              <w:t xml:space="preserve">17.2</w:t>
            </w:r>
          </w:p>
        </w:tc>
        <w:tc>
          <w:tcPr>
            <w:tcW w:type="dxa" w:w="860"/>
            <w:tcMar>
              <w:top w:type="dxa" w:w="40"/>
              <w:left w:type="dxa" w:w="80"/>
              <w:bottom w:type="dxa" w:w="40"/>
              <w:right w:type="dxa" w:w="80"/>
            </w:tcMar>
          </w:tcPr>
          <w:p>
            <w:r>
              <w:rPr>
                <w:b w:val="false"/>
                <w:bCs w:val="false"/>
                <w:sz w:val="18"/>
                <w:szCs w:val="18"/>
              </w:rPr>
              <w:t xml:space="preserve">18.6</w:t>
            </w:r>
          </w:p>
        </w:tc>
        <w:tc>
          <w:tcPr>
            <w:tcW w:type="dxa" w:w="860"/>
            <w:tcMar>
              <w:top w:type="dxa" w:w="40"/>
              <w:left w:type="dxa" w:w="80"/>
              <w:bottom w:type="dxa" w:w="40"/>
              <w:right w:type="dxa" w:w="80"/>
            </w:tcMar>
          </w:tcPr>
          <w:p>
            <w:r>
              <w:rPr>
                <w:b w:val="false"/>
                <w:bCs w:val="false"/>
                <w:sz w:val="18"/>
                <w:szCs w:val="18"/>
              </w:rPr>
              <w:t xml:space="preserve">19.8</w:t>
            </w:r>
          </w:p>
        </w:tc>
        <w:tc>
          <w:tcPr>
            <w:tcW w:type="dxa" w:w="860"/>
            <w:tcMar>
              <w:top w:type="dxa" w:w="40"/>
              <w:left w:type="dxa" w:w="80"/>
              <w:bottom w:type="dxa" w:w="40"/>
              <w:right w:type="dxa" w:w="80"/>
            </w:tcMar>
          </w:tcPr>
          <w:p>
            <w:r>
              <w:rPr>
                <w:b w:val="false"/>
                <w:bCs w:val="false"/>
                <w:sz w:val="18"/>
                <w:szCs w:val="18"/>
              </w:rPr>
              <w:t xml:space="preserve">21.0</w:t>
            </w:r>
          </w:p>
        </w:tc>
      </w:tr>
      <w:tr>
        <w:tc>
          <w:tcPr>
            <w:tcW w:type="dxa" w:w="2480"/>
            <w:tcMar>
              <w:top w:type="dxa" w:w="40"/>
              <w:left w:type="dxa" w:w="80"/>
              <w:bottom w:type="dxa" w:w="40"/>
              <w:right w:type="dxa" w:w="80"/>
            </w:tcMar>
          </w:tcPr>
          <w:p>
            <w:r>
              <w:rPr>
                <w:b/>
                <w:bCs/>
                <w:sz w:val="18"/>
                <w:szCs w:val="18"/>
              </w:rPr>
              <w:t xml:space="preserve">VFE investment income</w:t>
            </w:r>
          </w:p>
        </w:tc>
        <w:tc>
          <w:tcPr>
            <w:tcW w:type="dxa" w:w="860"/>
            <w:tcMar>
              <w:top w:type="dxa" w:w="40"/>
              <w:left w:type="dxa" w:w="80"/>
              <w:bottom w:type="dxa" w:w="40"/>
              <w:right w:type="dxa" w:w="80"/>
            </w:tcMar>
          </w:tcPr>
          <w:p>
            <w:r>
              <w:rPr>
                <w:b w:val="false"/>
                <w:bCs w:val="false"/>
                <w:sz w:val="18"/>
                <w:szCs w:val="18"/>
              </w:rPr>
              <w:t xml:space="preserve">5.3 (d)</w:t>
            </w:r>
          </w:p>
        </w:tc>
        <w:tc>
          <w:tcPr>
            <w:tcW w:type="dxa" w:w="860"/>
            <w:tcMar>
              <w:top w:type="dxa" w:w="40"/>
              <w:left w:type="dxa" w:w="80"/>
              <w:bottom w:type="dxa" w:w="40"/>
              <w:right w:type="dxa" w:w="80"/>
            </w:tcMar>
          </w:tcPr>
          <w:p>
            <w:r>
              <w:rPr>
                <w:b w:val="false"/>
                <w:bCs w:val="false"/>
                <w:sz w:val="18"/>
                <w:szCs w:val="18"/>
              </w:rPr>
              <w:t xml:space="preserve">8.7 (d)</w:t>
            </w:r>
          </w:p>
        </w:tc>
        <w:tc>
          <w:tcPr>
            <w:tcW w:type="dxa" w:w="860"/>
            <w:tcMar>
              <w:top w:type="dxa" w:w="40"/>
              <w:left w:type="dxa" w:w="80"/>
              <w:bottom w:type="dxa" w:w="40"/>
              <w:right w:type="dxa" w:w="80"/>
            </w:tcMar>
          </w:tcPr>
          <w:p>
            <w:r>
              <w:rPr>
                <w:b w:val="false"/>
                <w:bCs w:val="false"/>
                <w:sz w:val="18"/>
                <w:szCs w:val="18"/>
              </w:rPr>
              <w:t xml:space="preserve">14.8</w:t>
            </w:r>
          </w:p>
        </w:tc>
        <w:tc>
          <w:tcPr>
            <w:tcW w:type="dxa" w:w="860"/>
            <w:tcMar>
              <w:top w:type="dxa" w:w="40"/>
              <w:left w:type="dxa" w:w="80"/>
              <w:bottom w:type="dxa" w:w="40"/>
              <w:right w:type="dxa" w:w="80"/>
            </w:tcMar>
          </w:tcPr>
          <w:p>
            <w:r>
              <w:rPr>
                <w:b w:val="false"/>
                <w:bCs w:val="false"/>
                <w:sz w:val="18"/>
                <w:szCs w:val="18"/>
              </w:rPr>
              <w:t xml:space="preserve">17.8</w:t>
            </w:r>
          </w:p>
        </w:tc>
        <w:tc>
          <w:tcPr>
            <w:tcW w:type="dxa" w:w="860"/>
            <w:tcMar>
              <w:top w:type="dxa" w:w="40"/>
              <w:left w:type="dxa" w:w="80"/>
              <w:bottom w:type="dxa" w:w="40"/>
              <w:right w:type="dxa" w:w="80"/>
            </w:tcMar>
          </w:tcPr>
          <w:p>
            <w:r>
              <w:rPr>
                <w:b w:val="false"/>
                <w:bCs w:val="false"/>
                <w:sz w:val="18"/>
                <w:szCs w:val="18"/>
              </w:rPr>
              <w:t xml:space="preserve">20.4</w:t>
            </w:r>
          </w:p>
        </w:tc>
        <w:tc>
          <w:tcPr>
            <w:tcW w:type="dxa" w:w="860"/>
            <w:tcMar>
              <w:top w:type="dxa" w:w="40"/>
              <w:left w:type="dxa" w:w="80"/>
              <w:bottom w:type="dxa" w:w="40"/>
              <w:right w:type="dxa" w:w="80"/>
            </w:tcMar>
          </w:tcPr>
          <w:p>
            <w:r>
              <w:rPr>
                <w:b w:val="false"/>
                <w:bCs w:val="false"/>
                <w:sz w:val="18"/>
                <w:szCs w:val="18"/>
              </w:rPr>
              <w:t xml:space="preserve">22.9</w:t>
            </w:r>
          </w:p>
        </w:tc>
        <w:tc>
          <w:tcPr>
            <w:tcW w:type="dxa" w:w="860"/>
            <w:tcMar>
              <w:top w:type="dxa" w:w="40"/>
              <w:left w:type="dxa" w:w="80"/>
              <w:bottom w:type="dxa" w:w="40"/>
              <w:right w:type="dxa" w:w="80"/>
            </w:tcMar>
          </w:tcPr>
          <w:p>
            <w:r>
              <w:rPr>
                <w:b w:val="false"/>
                <w:bCs w:val="false"/>
                <w:sz w:val="18"/>
                <w:szCs w:val="18"/>
              </w:rPr>
              <w:t xml:space="preserve">25.2</w:t>
            </w:r>
          </w:p>
        </w:tc>
        <w:tc>
          <w:tcPr>
            <w:tcW w:type="dxa" w:w="860"/>
            <w:tcMar>
              <w:top w:type="dxa" w:w="40"/>
              <w:left w:type="dxa" w:w="80"/>
              <w:bottom w:type="dxa" w:w="40"/>
              <w:right w:type="dxa" w:w="80"/>
            </w:tcMar>
          </w:tcPr>
          <w:p>
            <w:r>
              <w:rPr>
                <w:b w:val="false"/>
                <w:bCs w:val="false"/>
                <w:sz w:val="18"/>
                <w:szCs w:val="18"/>
              </w:rPr>
              <w:t xml:space="preserve">27.4</w:t>
            </w:r>
          </w:p>
        </w:tc>
      </w:tr>
      <w:tr>
        <w:tc>
          <w:tcPr>
            <w:tcW w:type="dxa" w:w="2480"/>
            <w:tcMar>
              <w:top w:type="dxa" w:w="40"/>
              <w:left w:type="dxa" w:w="80"/>
              <w:bottom w:type="dxa" w:w="40"/>
              <w:right w:type="dxa" w:w="80"/>
            </w:tcMar>
          </w:tcPr>
          <w:p>
            <w:r>
              <w:rPr>
                <w:b/>
                <w:bCs/>
                <w:sz w:val="18"/>
                <w:szCs w:val="18"/>
              </w:rPr>
              <w:t xml:space="preserve">Net finance cost &amp; other</w:t>
            </w:r>
          </w:p>
        </w:tc>
        <w:tc>
          <w:tcPr>
            <w:tcW w:type="dxa" w:w="860"/>
            <w:tcMar>
              <w:top w:type="dxa" w:w="40"/>
              <w:left w:type="dxa" w:w="80"/>
              <w:bottom w:type="dxa" w:w="40"/>
              <w:right w:type="dxa" w:w="80"/>
            </w:tcMar>
          </w:tcPr>
          <w:p>
            <w:r>
              <w:rPr>
                <w:b w:val="false"/>
                <w:bCs w:val="false"/>
                <w:sz w:val="18"/>
                <w:szCs w:val="18"/>
              </w:rPr>
              <w:t xml:space="preserve">(4.8) (b)</w:t>
            </w:r>
          </w:p>
        </w:tc>
        <w:tc>
          <w:tcPr>
            <w:tcW w:type="dxa" w:w="860"/>
            <w:tcMar>
              <w:top w:type="dxa" w:w="40"/>
              <w:left w:type="dxa" w:w="80"/>
              <w:bottom w:type="dxa" w:w="40"/>
              <w:right w:type="dxa" w:w="80"/>
            </w:tcMar>
          </w:tcPr>
          <w:p>
            <w:r>
              <w:rPr>
                <w:b w:val="false"/>
                <w:bCs w:val="false"/>
                <w:sz w:val="18"/>
                <w:szCs w:val="18"/>
              </w:rPr>
              <w:t xml:space="preserve">(15.6) (b)</w:t>
            </w:r>
          </w:p>
        </w:tc>
        <w:tc>
          <w:tcPr>
            <w:tcW w:type="dxa" w:w="860"/>
            <w:tcMar>
              <w:top w:type="dxa" w:w="40"/>
              <w:left w:type="dxa" w:w="80"/>
              <w:bottom w:type="dxa" w:w="40"/>
              <w:right w:type="dxa" w:w="80"/>
            </w:tcMar>
          </w:tcPr>
          <w:p>
            <w:r>
              <w:rPr>
                <w:b w:val="false"/>
                <w:bCs w:val="false"/>
                <w:sz w:val="18"/>
                <w:szCs w:val="18"/>
              </w:rPr>
              <w:t xml:space="preserve">(16.3) (b)</w:t>
            </w:r>
          </w:p>
        </w:tc>
        <w:tc>
          <w:tcPr>
            <w:tcW w:type="dxa" w:w="860"/>
            <w:tcMar>
              <w:top w:type="dxa" w:w="40"/>
              <w:left w:type="dxa" w:w="80"/>
              <w:bottom w:type="dxa" w:w="40"/>
              <w:right w:type="dxa" w:w="80"/>
            </w:tcMar>
          </w:tcPr>
          <w:p>
            <w:r>
              <w:rPr>
                <w:b w:val="false"/>
                <w:bCs w:val="false"/>
                <w:sz w:val="18"/>
                <w:szCs w:val="18"/>
              </w:rPr>
              <w:t xml:space="preserve">(14.5)</w:t>
            </w:r>
          </w:p>
        </w:tc>
        <w:tc>
          <w:tcPr>
            <w:tcW w:type="dxa" w:w="860"/>
            <w:tcMar>
              <w:top w:type="dxa" w:w="40"/>
              <w:left w:type="dxa" w:w="80"/>
              <w:bottom w:type="dxa" w:w="40"/>
              <w:right w:type="dxa" w:w="80"/>
            </w:tcMar>
          </w:tcPr>
          <w:p>
            <w:r>
              <w:rPr>
                <w:b w:val="false"/>
                <w:bCs w:val="false"/>
                <w:sz w:val="18"/>
                <w:szCs w:val="18"/>
              </w:rPr>
              <w:t xml:space="preserve">(12.5)</w:t>
            </w:r>
          </w:p>
        </w:tc>
        <w:tc>
          <w:tcPr>
            <w:tcW w:type="dxa" w:w="860"/>
            <w:tcMar>
              <w:top w:type="dxa" w:w="40"/>
              <w:left w:type="dxa" w:w="80"/>
              <w:bottom w:type="dxa" w:w="40"/>
              <w:right w:type="dxa" w:w="80"/>
            </w:tcMar>
          </w:tcPr>
          <w:p>
            <w:r>
              <w:rPr>
                <w:b w:val="false"/>
                <w:bCs w:val="false"/>
                <w:sz w:val="18"/>
                <w:szCs w:val="18"/>
              </w:rPr>
              <w:t xml:space="preserve">(11.0)</w:t>
            </w:r>
          </w:p>
        </w:tc>
        <w:tc>
          <w:tcPr>
            <w:tcW w:type="dxa" w:w="860"/>
            <w:tcMar>
              <w:top w:type="dxa" w:w="40"/>
              <w:left w:type="dxa" w:w="80"/>
              <w:bottom w:type="dxa" w:w="40"/>
              <w:right w:type="dxa" w:w="80"/>
            </w:tcMar>
          </w:tcPr>
          <w:p>
            <w:r>
              <w:rPr>
                <w:b w:val="false"/>
                <w:bCs w:val="false"/>
                <w:sz w:val="18"/>
                <w:szCs w:val="18"/>
              </w:rPr>
              <w:t xml:space="preserve">(10.0)</w:t>
            </w:r>
          </w:p>
        </w:tc>
        <w:tc>
          <w:tcPr>
            <w:tcW w:type="dxa" w:w="860"/>
            <w:tcMar>
              <w:top w:type="dxa" w:w="40"/>
              <w:left w:type="dxa" w:w="80"/>
              <w:bottom w:type="dxa" w:w="40"/>
              <w:right w:type="dxa" w:w="80"/>
            </w:tcMar>
          </w:tcPr>
          <w:p>
            <w:r>
              <w:rPr>
                <w:b w:val="false"/>
                <w:bCs w:val="false"/>
                <w:sz w:val="18"/>
                <w:szCs w:val="18"/>
              </w:rPr>
              <w:t xml:space="preserve">(9.0)</w:t>
            </w:r>
          </w:p>
        </w:tc>
      </w:tr>
      <w:tr>
        <w:tc>
          <w:tcPr>
            <w:tcW w:type="dxa" w:w="2480"/>
            <w:tcMar>
              <w:top w:type="dxa" w:w="40"/>
              <w:left w:type="dxa" w:w="80"/>
              <w:bottom w:type="dxa" w:w="40"/>
              <w:right w:type="dxa" w:w="80"/>
            </w:tcMar>
          </w:tcPr>
          <w:p>
            <w:r>
              <w:rPr>
                <w:b/>
                <w:bCs/>
                <w:sz w:val="18"/>
                <w:szCs w:val="18"/>
              </w:rPr>
              <w:t xml:space="preserve">NPAT</w:t>
            </w:r>
          </w:p>
        </w:tc>
        <w:tc>
          <w:tcPr>
            <w:tcW w:type="dxa" w:w="860"/>
            <w:tcMar>
              <w:top w:type="dxa" w:w="40"/>
              <w:left w:type="dxa" w:w="80"/>
              <w:bottom w:type="dxa" w:w="40"/>
              <w:right w:type="dxa" w:w="80"/>
            </w:tcMar>
          </w:tcPr>
          <w:p>
            <w:r>
              <w:rPr>
                <w:b w:val="false"/>
                <w:bCs w:val="false"/>
                <w:sz w:val="18"/>
                <w:szCs w:val="18"/>
              </w:rPr>
              <w:t xml:space="preserve">11.5</w:t>
            </w:r>
          </w:p>
        </w:tc>
        <w:tc>
          <w:tcPr>
            <w:tcW w:type="dxa" w:w="860"/>
            <w:tcMar>
              <w:top w:type="dxa" w:w="40"/>
              <w:left w:type="dxa" w:w="80"/>
              <w:bottom w:type="dxa" w:w="40"/>
              <w:right w:type="dxa" w:w="80"/>
            </w:tcMar>
          </w:tcPr>
          <w:p>
            <w:r>
              <w:rPr>
                <w:b w:val="false"/>
                <w:bCs w:val="false"/>
                <w:sz w:val="18"/>
                <w:szCs w:val="18"/>
              </w:rPr>
              <w:t xml:space="preserve">10.1</w:t>
            </w:r>
          </w:p>
        </w:tc>
        <w:tc>
          <w:tcPr>
            <w:tcW w:type="dxa" w:w="860"/>
            <w:tcMar>
              <w:top w:type="dxa" w:w="40"/>
              <w:left w:type="dxa" w:w="80"/>
              <w:bottom w:type="dxa" w:w="40"/>
              <w:right w:type="dxa" w:w="80"/>
            </w:tcMar>
          </w:tcPr>
          <w:p>
            <w:r>
              <w:rPr>
                <w:b w:val="false"/>
                <w:bCs w:val="false"/>
                <w:sz w:val="18"/>
                <w:szCs w:val="18"/>
              </w:rPr>
              <w:t xml:space="preserve">22.6</w:t>
            </w:r>
          </w:p>
        </w:tc>
        <w:tc>
          <w:tcPr>
            <w:tcW w:type="dxa" w:w="860"/>
            <w:tcMar>
              <w:top w:type="dxa" w:w="40"/>
              <w:left w:type="dxa" w:w="80"/>
              <w:bottom w:type="dxa" w:w="40"/>
              <w:right w:type="dxa" w:w="80"/>
            </w:tcMar>
          </w:tcPr>
          <w:p>
            <w:r>
              <w:rPr>
                <w:b w:val="false"/>
                <w:bCs w:val="false"/>
                <w:sz w:val="18"/>
                <w:szCs w:val="18"/>
              </w:rPr>
              <w:t xml:space="preserve">27.9</w:t>
            </w:r>
          </w:p>
        </w:tc>
        <w:tc>
          <w:tcPr>
            <w:tcW w:type="dxa" w:w="860"/>
            <w:tcMar>
              <w:top w:type="dxa" w:w="40"/>
              <w:left w:type="dxa" w:w="80"/>
              <w:bottom w:type="dxa" w:w="40"/>
              <w:right w:type="dxa" w:w="80"/>
            </w:tcMar>
          </w:tcPr>
          <w:p>
            <w:r>
              <w:rPr>
                <w:b w:val="false"/>
                <w:bCs w:val="false"/>
                <w:sz w:val="18"/>
                <w:szCs w:val="18"/>
              </w:rPr>
              <w:t xml:space="preserve">33.3</w:t>
            </w:r>
          </w:p>
        </w:tc>
        <w:tc>
          <w:tcPr>
            <w:tcW w:type="dxa" w:w="860"/>
            <w:tcMar>
              <w:top w:type="dxa" w:w="40"/>
              <w:left w:type="dxa" w:w="80"/>
              <w:bottom w:type="dxa" w:w="40"/>
              <w:right w:type="dxa" w:w="80"/>
            </w:tcMar>
          </w:tcPr>
          <w:p>
            <w:r>
              <w:rPr>
                <w:b w:val="false"/>
                <w:bCs w:val="false"/>
                <w:sz w:val="18"/>
                <w:szCs w:val="18"/>
              </w:rPr>
              <w:t xml:space="preserve">38.1</w:t>
            </w:r>
          </w:p>
        </w:tc>
        <w:tc>
          <w:tcPr>
            <w:tcW w:type="dxa" w:w="860"/>
            <w:tcMar>
              <w:top w:type="dxa" w:w="40"/>
              <w:left w:type="dxa" w:w="80"/>
              <w:bottom w:type="dxa" w:w="40"/>
              <w:right w:type="dxa" w:w="80"/>
            </w:tcMar>
          </w:tcPr>
          <w:p>
            <w:r>
              <w:rPr>
                <w:b w:val="false"/>
                <w:bCs w:val="false"/>
                <w:sz w:val="18"/>
                <w:szCs w:val="18"/>
              </w:rPr>
              <w:t xml:space="preserve">43.0</w:t>
            </w:r>
          </w:p>
        </w:tc>
        <w:tc>
          <w:tcPr>
            <w:tcW w:type="dxa" w:w="860"/>
            <w:tcMar>
              <w:top w:type="dxa" w:w="40"/>
              <w:left w:type="dxa" w:w="80"/>
              <w:bottom w:type="dxa" w:w="40"/>
              <w:right w:type="dxa" w:w="80"/>
            </w:tcMar>
          </w:tcPr>
          <w:p>
            <w:r>
              <w:rPr>
                <w:b w:val="false"/>
                <w:bCs w:val="false"/>
                <w:sz w:val="18"/>
                <w:szCs w:val="18"/>
              </w:rPr>
              <w:t xml:space="preserve">47.7</w:t>
            </w:r>
          </w:p>
        </w:tc>
      </w:tr>
      <w:tr>
        <w:tc>
          <w:tcPr>
            <w:tcW w:type="dxa" w:w="2480"/>
            <w:tcMar>
              <w:top w:type="dxa" w:w="40"/>
              <w:left w:type="dxa" w:w="80"/>
              <w:bottom w:type="dxa" w:w="40"/>
              <w:right w:type="dxa" w:w="80"/>
            </w:tcMar>
          </w:tcPr>
          <w:p>
            <w:r>
              <w:rPr>
                <w:b/>
                <w:bCs/>
                <w:sz w:val="18"/>
                <w:szCs w:val="18"/>
              </w:rPr>
              <w:t xml:space="preserve">EPS, reported (EGP)</w:t>
            </w:r>
          </w:p>
        </w:tc>
        <w:tc>
          <w:tcPr>
            <w:tcW w:type="dxa" w:w="860"/>
            <w:tcMar>
              <w:top w:type="dxa" w:w="40"/>
              <w:left w:type="dxa" w:w="80"/>
              <w:bottom w:type="dxa" w:w="40"/>
              <w:right w:type="dxa" w:w="80"/>
            </w:tcMar>
          </w:tcPr>
          <w:p>
            <w:r>
              <w:rPr>
                <w:b w:val="false"/>
                <w:bCs w:val="false"/>
                <w:sz w:val="18"/>
                <w:szCs w:val="18"/>
              </w:rPr>
              <w:t xml:space="preserve">~5.4</w:t>
            </w:r>
          </w:p>
        </w:tc>
        <w:tc>
          <w:tcPr>
            <w:tcW w:type="dxa" w:w="860"/>
            <w:tcMar>
              <w:top w:type="dxa" w:w="40"/>
              <w:left w:type="dxa" w:w="80"/>
              <w:bottom w:type="dxa" w:w="40"/>
              <w:right w:type="dxa" w:w="80"/>
            </w:tcMar>
          </w:tcPr>
          <w:p>
            <w:r>
              <w:rPr>
                <w:b w:val="false"/>
                <w:bCs w:val="false"/>
                <w:sz w:val="18"/>
                <w:szCs w:val="18"/>
              </w:rPr>
              <w:t xml:space="preserve">4.79</w:t>
            </w:r>
          </w:p>
        </w:tc>
        <w:tc>
          <w:tcPr>
            <w:tcW w:type="dxa" w:w="860"/>
            <w:tcMar>
              <w:top w:type="dxa" w:w="40"/>
              <w:left w:type="dxa" w:w="80"/>
              <w:bottom w:type="dxa" w:w="40"/>
              <w:right w:type="dxa" w:w="80"/>
            </w:tcMar>
          </w:tcPr>
          <w:p>
            <w:r>
              <w:rPr>
                <w:b w:val="false"/>
                <w:bCs w:val="false"/>
                <w:sz w:val="18"/>
                <w:szCs w:val="18"/>
              </w:rPr>
              <w:t xml:space="preserve">11.93</w:t>
            </w:r>
          </w:p>
        </w:tc>
        <w:tc>
          <w:tcPr>
            <w:tcW w:type="dxa" w:w="860"/>
            <w:tcMar>
              <w:top w:type="dxa" w:w="40"/>
              <w:left w:type="dxa" w:w="80"/>
              <w:bottom w:type="dxa" w:w="40"/>
              <w:right w:type="dxa" w:w="80"/>
            </w:tcMar>
          </w:tcPr>
          <w:p>
            <w:r>
              <w:rPr>
                <w:b w:val="false"/>
                <w:bCs w:val="false"/>
                <w:sz w:val="18"/>
                <w:szCs w:val="18"/>
              </w:rPr>
              <w:t xml:space="preserve">14.72</w:t>
            </w:r>
          </w:p>
        </w:tc>
        <w:tc>
          <w:tcPr>
            <w:tcW w:type="dxa" w:w="860"/>
            <w:tcMar>
              <w:top w:type="dxa" w:w="40"/>
              <w:left w:type="dxa" w:w="80"/>
              <w:bottom w:type="dxa" w:w="40"/>
              <w:right w:type="dxa" w:w="80"/>
            </w:tcMar>
          </w:tcPr>
          <w:p>
            <w:r>
              <w:rPr>
                <w:b w:val="false"/>
                <w:bCs w:val="false"/>
                <w:sz w:val="18"/>
                <w:szCs w:val="18"/>
              </w:rPr>
              <w:t xml:space="preserve">17.54</w:t>
            </w:r>
          </w:p>
        </w:tc>
        <w:tc>
          <w:tcPr>
            <w:tcW w:type="dxa" w:w="860"/>
            <w:tcMar>
              <w:top w:type="dxa" w:w="40"/>
              <w:left w:type="dxa" w:w="80"/>
              <w:bottom w:type="dxa" w:w="40"/>
              <w:right w:type="dxa" w:w="80"/>
            </w:tcMar>
          </w:tcPr>
          <w:p>
            <w:r>
              <w:rPr>
                <w:b w:val="false"/>
                <w:bCs w:val="false"/>
                <w:sz w:val="18"/>
                <w:szCs w:val="18"/>
              </w:rPr>
              <w:t xml:space="preserve">20.10</w:t>
            </w:r>
          </w:p>
        </w:tc>
        <w:tc>
          <w:tcPr>
            <w:tcW w:type="dxa" w:w="860"/>
            <w:tcMar>
              <w:top w:type="dxa" w:w="40"/>
              <w:left w:type="dxa" w:w="80"/>
              <w:bottom w:type="dxa" w:w="40"/>
              <w:right w:type="dxa" w:w="80"/>
            </w:tcMar>
          </w:tcPr>
          <w:p>
            <w:r>
              <w:rPr>
                <w:b w:val="false"/>
                <w:bCs w:val="false"/>
                <w:sz w:val="18"/>
                <w:szCs w:val="18"/>
              </w:rPr>
              <w:t xml:space="preserve">22.68</w:t>
            </w:r>
          </w:p>
        </w:tc>
        <w:tc>
          <w:tcPr>
            <w:tcW w:type="dxa" w:w="860"/>
            <w:tcMar>
              <w:top w:type="dxa" w:w="40"/>
              <w:left w:type="dxa" w:w="80"/>
              <w:bottom w:type="dxa" w:w="40"/>
              <w:right w:type="dxa" w:w="80"/>
            </w:tcMar>
          </w:tcPr>
          <w:p>
            <w:r>
              <w:rPr>
                <w:b w:val="false"/>
                <w:bCs w:val="false"/>
                <w:sz w:val="18"/>
                <w:szCs w:val="18"/>
              </w:rPr>
              <w:t xml:space="preserve">25.13</w:t>
            </w:r>
          </w:p>
        </w:tc>
      </w:tr>
      <w:tr>
        <w:tc>
          <w:tcPr>
            <w:tcW w:type="dxa" w:w="2480"/>
            <w:tcMar>
              <w:top w:type="dxa" w:w="40"/>
              <w:left w:type="dxa" w:w="80"/>
              <w:bottom w:type="dxa" w:w="40"/>
              <w:right w:type="dxa" w:w="80"/>
            </w:tcMar>
          </w:tcPr>
          <w:p>
            <w:r>
              <w:rPr>
                <w:b/>
                <w:bCs/>
                <w:sz w:val="18"/>
                <w:szCs w:val="18"/>
              </w:rPr>
              <w:t xml:space="preserve">Dividend per share (EGP)</w:t>
            </w:r>
          </w:p>
        </w:tc>
        <w:tc>
          <w:tcPr>
            <w:tcW w:type="dxa" w:w="860"/>
            <w:tcMar>
              <w:top w:type="dxa" w:w="40"/>
              <w:left w:type="dxa" w:w="80"/>
              <w:bottom w:type="dxa" w:w="40"/>
              <w:right w:type="dxa" w:w="80"/>
            </w:tcMar>
          </w:tcPr>
          <w:p>
            <w:r>
              <w:rPr>
                <w:b w:val="false"/>
                <w:bCs w:val="false"/>
                <w:sz w:val="18"/>
                <w:szCs w:val="18"/>
              </w:rPr>
              <w:t xml:space="preserve">n/d</w:t>
            </w:r>
          </w:p>
        </w:tc>
        <w:tc>
          <w:tcPr>
            <w:tcW w:type="dxa" w:w="860"/>
            <w:tcMar>
              <w:top w:type="dxa" w:w="40"/>
              <w:left w:type="dxa" w:w="80"/>
              <w:bottom w:type="dxa" w:w="40"/>
              <w:right w:type="dxa" w:w="80"/>
            </w:tcMar>
          </w:tcPr>
          <w:p>
            <w:r>
              <w:rPr>
                <w:b w:val="false"/>
                <w:bCs w:val="false"/>
                <w:sz w:val="18"/>
                <w:szCs w:val="18"/>
              </w:rPr>
              <w:t xml:space="preserve">1.50</w:t>
            </w:r>
          </w:p>
        </w:tc>
        <w:tc>
          <w:tcPr>
            <w:tcW w:type="dxa" w:w="860"/>
            <w:tcMar>
              <w:top w:type="dxa" w:w="40"/>
              <w:left w:type="dxa" w:w="80"/>
              <w:bottom w:type="dxa" w:w="40"/>
              <w:right w:type="dxa" w:w="80"/>
            </w:tcMar>
          </w:tcPr>
          <w:p>
            <w:r>
              <w:rPr>
                <w:b w:val="false"/>
                <w:bCs w:val="false"/>
                <w:sz w:val="18"/>
                <w:szCs w:val="18"/>
              </w:rPr>
              <w:t xml:space="preserve">1.50</w:t>
            </w:r>
          </w:p>
        </w:tc>
        <w:tc>
          <w:tcPr>
            <w:tcW w:type="dxa" w:w="860"/>
            <w:tcMar>
              <w:top w:type="dxa" w:w="40"/>
              <w:left w:type="dxa" w:w="80"/>
              <w:bottom w:type="dxa" w:w="40"/>
              <w:right w:type="dxa" w:w="80"/>
            </w:tcMar>
          </w:tcPr>
          <w:p>
            <w:r>
              <w:rPr>
                <w:b w:val="false"/>
                <w:bCs w:val="false"/>
                <w:sz w:val="18"/>
                <w:szCs w:val="18"/>
              </w:rPr>
              <w:t xml:space="preserve">2.00</w:t>
            </w:r>
          </w:p>
        </w:tc>
        <w:tc>
          <w:tcPr>
            <w:tcW w:type="dxa" w:w="860"/>
            <w:tcMar>
              <w:top w:type="dxa" w:w="40"/>
              <w:left w:type="dxa" w:w="80"/>
              <w:bottom w:type="dxa" w:w="40"/>
              <w:right w:type="dxa" w:w="80"/>
            </w:tcMar>
          </w:tcPr>
          <w:p>
            <w:r>
              <w:rPr>
                <w:b w:val="false"/>
                <w:bCs w:val="false"/>
                <w:sz w:val="18"/>
                <w:szCs w:val="18"/>
              </w:rPr>
              <w:t xml:space="preserve">2.60</w:t>
            </w:r>
          </w:p>
        </w:tc>
        <w:tc>
          <w:tcPr>
            <w:tcW w:type="dxa" w:w="860"/>
            <w:tcMar>
              <w:top w:type="dxa" w:w="40"/>
              <w:left w:type="dxa" w:w="80"/>
              <w:bottom w:type="dxa" w:w="40"/>
              <w:right w:type="dxa" w:w="80"/>
            </w:tcMar>
          </w:tcPr>
          <w:p>
            <w:r>
              <w:rPr>
                <w:b w:val="false"/>
                <w:bCs w:val="false"/>
                <w:sz w:val="18"/>
                <w:szCs w:val="18"/>
              </w:rPr>
              <w:t xml:space="preserve">3.30</w:t>
            </w:r>
          </w:p>
        </w:tc>
        <w:tc>
          <w:tcPr>
            <w:tcW w:type="dxa" w:w="860"/>
            <w:tcMar>
              <w:top w:type="dxa" w:w="40"/>
              <w:left w:type="dxa" w:w="80"/>
              <w:bottom w:type="dxa" w:w="40"/>
              <w:right w:type="dxa" w:w="80"/>
            </w:tcMar>
          </w:tcPr>
          <w:p>
            <w:r>
              <w:rPr>
                <w:b w:val="false"/>
                <w:bCs w:val="false"/>
                <w:sz w:val="18"/>
                <w:szCs w:val="18"/>
              </w:rPr>
              <w:t xml:space="preserve">4.00</w:t>
            </w:r>
          </w:p>
        </w:tc>
        <w:tc>
          <w:tcPr>
            <w:tcW w:type="dxa" w:w="860"/>
            <w:tcMar>
              <w:top w:type="dxa" w:w="40"/>
              <w:left w:type="dxa" w:w="80"/>
              <w:bottom w:type="dxa" w:w="40"/>
              <w:right w:type="dxa" w:w="80"/>
            </w:tcMar>
          </w:tcPr>
          <w:p>
            <w:r>
              <w:rPr>
                <w:b w:val="false"/>
                <w:bCs w:val="false"/>
                <w:sz w:val="18"/>
                <w:szCs w:val="18"/>
              </w:rPr>
              <w:t xml:space="preserve">4.70</w:t>
            </w:r>
          </w:p>
        </w:tc>
      </w:tr>
    </w:tbl>
    <w:p>
      <w:pPr>
        <w:spacing w:after="120"/>
      </w:pPr>
    </w:p>
    <w:p>
      <w:pPr>
        <w:spacing w:after="180" w:before="60"/>
      </w:pPr>
      <w:r>
        <w:rPr>
          <w:i/>
          <w:iCs/>
          <w:color w:val="666666"/>
          <w:sz w:val="18"/>
          <w:szCs w:val="18"/>
        </w:rPr>
        <w:t xml:space="preserve">(d) derived by chaining the releases’ stated growth rates (EBITDA +45% FY24, +46% FY25; D&amp;A +48% FY24, +16% FY25; VFE +64% FY24, +71% FY25). (b) balancing to reported NPAT at the stated effective rates; forecast net finance cost is an Assumptions input. FY24 NPAT includes EGP 4.9bn non-recurring FX losses (normalized 14.3bn). Forecast at 30.5% effective tax + minorities; DPS path is the model’s payout assumption (13% → ~19%).</w:t>
      </w:r>
    </w:p>
    <w:p>
      <w:pPr>
        <w:pStyle w:val="Heading2"/>
        <w:spacing w:after="110" w:before="220"/>
      </w:pPr>
      <w:r>
        <w:t xml:space="preserve">A.2  Balance sheet (consolidated, EGP bn)</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2480"/>
        <w:gridCol w:w="860"/>
        <w:gridCol w:w="860"/>
        <w:gridCol w:w="860"/>
        <w:gridCol w:w="860"/>
        <w:gridCol w:w="860"/>
        <w:gridCol w:w="860"/>
        <w:gridCol w:w="860"/>
        <w:gridCol w:w="860"/>
      </w:tblGrid>
      <w:tr>
        <w:tc>
          <w:tcPr>
            <w:tcW w:type="dxa" w:w="2480"/>
            <w:shd w:fill="1B5E5E" w:val="clear"/>
            <w:tcMar>
              <w:top w:type="dxa" w:w="40"/>
              <w:left w:type="dxa" w:w="80"/>
              <w:bottom w:type="dxa" w:w="40"/>
              <w:right w:type="dxa" w:w="80"/>
            </w:tcMar>
          </w:tcPr>
          <w:p>
            <w:r>
              <w:rPr>
                <w:b/>
                <w:bCs/>
                <w:color w:val="FFFFFF"/>
                <w:sz w:val="18"/>
                <w:szCs w:val="18"/>
              </w:rPr>
              <w:t xml:space="preserve">Line</w:t>
            </w:r>
          </w:p>
        </w:tc>
        <w:tc>
          <w:tcPr>
            <w:tcW w:type="dxa" w:w="860"/>
            <w:shd w:fill="1B5E5E" w:val="clear"/>
            <w:tcMar>
              <w:top w:type="dxa" w:w="40"/>
              <w:left w:type="dxa" w:w="80"/>
              <w:bottom w:type="dxa" w:w="40"/>
              <w:right w:type="dxa" w:w="80"/>
            </w:tcMar>
          </w:tcPr>
          <w:p>
            <w:r>
              <w:rPr>
                <w:b/>
                <w:bCs/>
                <w:color w:val="FFFFFF"/>
                <w:sz w:val="18"/>
                <w:szCs w:val="18"/>
              </w:rPr>
              <w:t xml:space="preserve">FY23</w:t>
            </w:r>
          </w:p>
        </w:tc>
        <w:tc>
          <w:tcPr>
            <w:tcW w:type="dxa" w:w="860"/>
            <w:shd w:fill="1B5E5E" w:val="clear"/>
            <w:tcMar>
              <w:top w:type="dxa" w:w="40"/>
              <w:left w:type="dxa" w:w="80"/>
              <w:bottom w:type="dxa" w:w="40"/>
              <w:right w:type="dxa" w:w="80"/>
            </w:tcMar>
          </w:tcPr>
          <w:p>
            <w:r>
              <w:rPr>
                <w:b/>
                <w:bCs/>
                <w:color w:val="FFFFFF"/>
                <w:sz w:val="18"/>
                <w:szCs w:val="18"/>
              </w:rPr>
              <w:t xml:space="preserve">FY24</w:t>
            </w:r>
          </w:p>
        </w:tc>
        <w:tc>
          <w:tcPr>
            <w:tcW w:type="dxa" w:w="860"/>
            <w:shd w:fill="1B5E5E" w:val="clear"/>
            <w:tcMar>
              <w:top w:type="dxa" w:w="40"/>
              <w:left w:type="dxa" w:w="80"/>
              <w:bottom w:type="dxa" w:w="40"/>
              <w:right w:type="dxa" w:w="80"/>
            </w:tcMar>
          </w:tcPr>
          <w:p>
            <w:r>
              <w:rPr>
                <w:b/>
                <w:bCs/>
                <w:color w:val="FFFFFF"/>
                <w:sz w:val="18"/>
                <w:szCs w:val="18"/>
              </w:rPr>
              <w:t xml:space="preserve">FY25</w:t>
            </w:r>
          </w:p>
        </w:tc>
        <w:tc>
          <w:tcPr>
            <w:tcW w:type="dxa" w:w="860"/>
            <w:shd w:fill="1B5E5E" w:val="clear"/>
            <w:tcMar>
              <w:top w:type="dxa" w:w="40"/>
              <w:left w:type="dxa" w:w="80"/>
              <w:bottom w:type="dxa" w:w="40"/>
              <w:right w:type="dxa" w:w="80"/>
            </w:tcMar>
          </w:tcPr>
          <w:p>
            <w:r>
              <w:rPr>
                <w:b/>
                <w:bCs/>
                <w:color w:val="FFFFFF"/>
                <w:sz w:val="18"/>
                <w:szCs w:val="18"/>
              </w:rPr>
              <w:t xml:space="preserve">FY26E</w:t>
            </w:r>
          </w:p>
        </w:tc>
        <w:tc>
          <w:tcPr>
            <w:tcW w:type="dxa" w:w="860"/>
            <w:shd w:fill="1B5E5E" w:val="clear"/>
            <w:tcMar>
              <w:top w:type="dxa" w:w="40"/>
              <w:left w:type="dxa" w:w="80"/>
              <w:bottom w:type="dxa" w:w="40"/>
              <w:right w:type="dxa" w:w="80"/>
            </w:tcMar>
          </w:tcPr>
          <w:p>
            <w:r>
              <w:rPr>
                <w:b/>
                <w:bCs/>
                <w:color w:val="FFFFFF"/>
                <w:sz w:val="18"/>
                <w:szCs w:val="18"/>
              </w:rPr>
              <w:t xml:space="preserve">FY27E</w:t>
            </w:r>
          </w:p>
        </w:tc>
        <w:tc>
          <w:tcPr>
            <w:tcW w:type="dxa" w:w="860"/>
            <w:shd w:fill="1B5E5E" w:val="clear"/>
            <w:tcMar>
              <w:top w:type="dxa" w:w="40"/>
              <w:left w:type="dxa" w:w="80"/>
              <w:bottom w:type="dxa" w:w="40"/>
              <w:right w:type="dxa" w:w="80"/>
            </w:tcMar>
          </w:tcPr>
          <w:p>
            <w:r>
              <w:rPr>
                <w:b/>
                <w:bCs/>
                <w:color w:val="FFFFFF"/>
                <w:sz w:val="18"/>
                <w:szCs w:val="18"/>
              </w:rPr>
              <w:t xml:space="preserve">FY28E</w:t>
            </w:r>
          </w:p>
        </w:tc>
        <w:tc>
          <w:tcPr>
            <w:tcW w:type="dxa" w:w="860"/>
            <w:shd w:fill="1B5E5E" w:val="clear"/>
            <w:tcMar>
              <w:top w:type="dxa" w:w="40"/>
              <w:left w:type="dxa" w:w="80"/>
              <w:bottom w:type="dxa" w:w="40"/>
              <w:right w:type="dxa" w:w="80"/>
            </w:tcMar>
          </w:tcPr>
          <w:p>
            <w:r>
              <w:rPr>
                <w:b/>
                <w:bCs/>
                <w:color w:val="FFFFFF"/>
                <w:sz w:val="18"/>
                <w:szCs w:val="18"/>
              </w:rPr>
              <w:t xml:space="preserve">FY29E</w:t>
            </w:r>
          </w:p>
        </w:tc>
        <w:tc>
          <w:tcPr>
            <w:tcW w:type="dxa" w:w="860"/>
            <w:shd w:fill="1B5E5E" w:val="clear"/>
            <w:tcMar>
              <w:top w:type="dxa" w:w="40"/>
              <w:left w:type="dxa" w:w="80"/>
              <w:bottom w:type="dxa" w:w="40"/>
              <w:right w:type="dxa" w:w="80"/>
            </w:tcMar>
          </w:tcPr>
          <w:p>
            <w:r>
              <w:rPr>
                <w:b/>
                <w:bCs/>
                <w:color w:val="FFFFFF"/>
                <w:sz w:val="18"/>
                <w:szCs w:val="18"/>
              </w:rPr>
              <w:t xml:space="preserve">FY30E</w:t>
            </w:r>
          </w:p>
        </w:tc>
      </w:tr>
      <w:tr>
        <w:tc>
          <w:tcPr>
            <w:tcW w:type="dxa" w:w="2480"/>
            <w:tcMar>
              <w:top w:type="dxa" w:w="40"/>
              <w:left w:type="dxa" w:w="80"/>
              <w:bottom w:type="dxa" w:w="40"/>
              <w:right w:type="dxa" w:w="80"/>
            </w:tcMar>
          </w:tcPr>
          <w:p>
            <w:r>
              <w:rPr>
                <w:b/>
                <w:bCs/>
                <w:sz w:val="18"/>
                <w:szCs w:val="18"/>
              </w:rPr>
              <w:t xml:space="preserve">Cash &amp; equivalents</w:t>
            </w:r>
          </w:p>
        </w:tc>
        <w:tc>
          <w:tcPr>
            <w:tcW w:type="dxa" w:w="860"/>
            <w:tcMar>
              <w:top w:type="dxa" w:w="40"/>
              <w:left w:type="dxa" w:w="80"/>
              <w:bottom w:type="dxa" w:w="40"/>
              <w:right w:type="dxa" w:w="80"/>
            </w:tcMar>
          </w:tcPr>
          <w:p>
            <w:r>
              <w:rPr>
                <w:b w:val="false"/>
                <w:bCs w:val="false"/>
                <w:sz w:val="18"/>
                <w:szCs w:val="18"/>
              </w:rPr>
              <w:t xml:space="preserve">10.4</w:t>
            </w:r>
          </w:p>
        </w:tc>
        <w:tc>
          <w:tcPr>
            <w:tcW w:type="dxa" w:w="860"/>
            <w:tcMar>
              <w:top w:type="dxa" w:w="40"/>
              <w:left w:type="dxa" w:w="80"/>
              <w:bottom w:type="dxa" w:w="40"/>
              <w:right w:type="dxa" w:w="80"/>
            </w:tcMar>
          </w:tcPr>
          <w:p>
            <w:r>
              <w:rPr>
                <w:b w:val="false"/>
                <w:bCs w:val="false"/>
                <w:sz w:val="18"/>
                <w:szCs w:val="18"/>
              </w:rPr>
              <w:t xml:space="preserve">7.6</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r>
      <w:tr>
        <w:tc>
          <w:tcPr>
            <w:tcW w:type="dxa" w:w="2480"/>
            <w:tcMar>
              <w:top w:type="dxa" w:w="40"/>
              <w:left w:type="dxa" w:w="80"/>
              <w:bottom w:type="dxa" w:w="40"/>
              <w:right w:type="dxa" w:w="80"/>
            </w:tcMar>
          </w:tcPr>
          <w:p>
            <w:r>
              <w:rPr>
                <w:b/>
                <w:bCs/>
                <w:sz w:val="18"/>
                <w:szCs w:val="18"/>
              </w:rPr>
              <w:t xml:space="preserve">Current assets</w:t>
            </w:r>
          </w:p>
        </w:tc>
        <w:tc>
          <w:tcPr>
            <w:tcW w:type="dxa" w:w="860"/>
            <w:tcMar>
              <w:top w:type="dxa" w:w="40"/>
              <w:left w:type="dxa" w:w="80"/>
              <w:bottom w:type="dxa" w:w="40"/>
              <w:right w:type="dxa" w:w="80"/>
            </w:tcMar>
          </w:tcPr>
          <w:p>
            <w:r>
              <w:rPr>
                <w:b w:val="false"/>
                <w:bCs w:val="false"/>
                <w:sz w:val="18"/>
                <w:szCs w:val="18"/>
              </w:rPr>
              <w:t xml:space="preserve">32.4 (e)</w:t>
            </w:r>
          </w:p>
        </w:tc>
        <w:tc>
          <w:tcPr>
            <w:tcW w:type="dxa" w:w="860"/>
            <w:tcMar>
              <w:top w:type="dxa" w:w="40"/>
              <w:left w:type="dxa" w:w="80"/>
              <w:bottom w:type="dxa" w:w="40"/>
              <w:right w:type="dxa" w:w="80"/>
            </w:tcMar>
          </w:tcPr>
          <w:p>
            <w:r>
              <w:rPr>
                <w:b w:val="false"/>
                <w:bCs w:val="false"/>
                <w:sz w:val="18"/>
                <w:szCs w:val="18"/>
              </w:rPr>
              <w:t xml:space="preserve">42.9</w:t>
            </w:r>
          </w:p>
        </w:tc>
        <w:tc>
          <w:tcPr>
            <w:tcW w:type="dxa" w:w="860"/>
            <w:tcMar>
              <w:top w:type="dxa" w:w="40"/>
              <w:left w:type="dxa" w:w="80"/>
              <w:bottom w:type="dxa" w:w="40"/>
              <w:right w:type="dxa" w:w="80"/>
            </w:tcMar>
          </w:tcPr>
          <w:p>
            <w:r>
              <w:rPr>
                <w:b w:val="false"/>
                <w:bCs w:val="false"/>
                <w:sz w:val="18"/>
                <w:szCs w:val="18"/>
              </w:rPr>
              <w:t xml:space="preserve">46.8</w:t>
            </w:r>
          </w:p>
        </w:tc>
        <w:tc>
          <w:tcPr>
            <w:tcW w:type="dxa" w:w="860"/>
            <w:tcMar>
              <w:top w:type="dxa" w:w="40"/>
              <w:left w:type="dxa" w:w="80"/>
              <w:bottom w:type="dxa" w:w="40"/>
              <w:right w:type="dxa" w:w="80"/>
            </w:tcMar>
          </w:tcPr>
          <w:p>
            <w:r>
              <w:rPr>
                <w:b w:val="false"/>
                <w:bCs w:val="false"/>
                <w:sz w:val="18"/>
                <w:szCs w:val="18"/>
              </w:rPr>
              <w:t xml:space="preserve">51.9</w:t>
            </w:r>
          </w:p>
        </w:tc>
        <w:tc>
          <w:tcPr>
            <w:tcW w:type="dxa" w:w="860"/>
            <w:tcMar>
              <w:top w:type="dxa" w:w="40"/>
              <w:left w:type="dxa" w:w="80"/>
              <w:bottom w:type="dxa" w:w="40"/>
              <w:right w:type="dxa" w:w="80"/>
            </w:tcMar>
          </w:tcPr>
          <w:p>
            <w:r>
              <w:rPr>
                <w:b w:val="false"/>
                <w:bCs w:val="false"/>
                <w:sz w:val="18"/>
                <w:szCs w:val="18"/>
              </w:rPr>
              <w:t xml:space="preserve">56.3</w:t>
            </w:r>
          </w:p>
        </w:tc>
        <w:tc>
          <w:tcPr>
            <w:tcW w:type="dxa" w:w="860"/>
            <w:tcMar>
              <w:top w:type="dxa" w:w="40"/>
              <w:left w:type="dxa" w:w="80"/>
              <w:bottom w:type="dxa" w:w="40"/>
              <w:right w:type="dxa" w:w="80"/>
            </w:tcMar>
          </w:tcPr>
          <w:p>
            <w:r>
              <w:rPr>
                <w:b w:val="false"/>
                <w:bCs w:val="false"/>
                <w:sz w:val="18"/>
                <w:szCs w:val="18"/>
              </w:rPr>
              <w:t xml:space="preserve">60.7</w:t>
            </w:r>
          </w:p>
        </w:tc>
        <w:tc>
          <w:tcPr>
            <w:tcW w:type="dxa" w:w="860"/>
            <w:tcMar>
              <w:top w:type="dxa" w:w="40"/>
              <w:left w:type="dxa" w:w="80"/>
              <w:bottom w:type="dxa" w:w="40"/>
              <w:right w:type="dxa" w:w="80"/>
            </w:tcMar>
          </w:tcPr>
          <w:p>
            <w:r>
              <w:rPr>
                <w:b w:val="false"/>
                <w:bCs w:val="false"/>
                <w:sz w:val="18"/>
                <w:szCs w:val="18"/>
              </w:rPr>
              <w:t xml:space="preserve">64.9</w:t>
            </w:r>
          </w:p>
        </w:tc>
        <w:tc>
          <w:tcPr>
            <w:tcW w:type="dxa" w:w="860"/>
            <w:tcMar>
              <w:top w:type="dxa" w:w="40"/>
              <w:left w:type="dxa" w:w="80"/>
              <w:bottom w:type="dxa" w:w="40"/>
              <w:right w:type="dxa" w:w="80"/>
            </w:tcMar>
          </w:tcPr>
          <w:p>
            <w:r>
              <w:rPr>
                <w:b w:val="false"/>
                <w:bCs w:val="false"/>
                <w:sz w:val="18"/>
                <w:szCs w:val="18"/>
              </w:rPr>
              <w:t xml:space="preserve">68.9</w:t>
            </w:r>
          </w:p>
        </w:tc>
      </w:tr>
      <w:tr>
        <w:tc>
          <w:tcPr>
            <w:tcW w:type="dxa" w:w="2480"/>
            <w:tcMar>
              <w:top w:type="dxa" w:w="40"/>
              <w:left w:type="dxa" w:w="80"/>
              <w:bottom w:type="dxa" w:w="40"/>
              <w:right w:type="dxa" w:w="80"/>
            </w:tcMar>
          </w:tcPr>
          <w:p>
            <w:r>
              <w:rPr>
                <w:b/>
                <w:bCs/>
                <w:sz w:val="18"/>
                <w:szCs w:val="18"/>
              </w:rPr>
              <w:t xml:space="preserve">Net fixed assets</w:t>
            </w:r>
          </w:p>
        </w:tc>
        <w:tc>
          <w:tcPr>
            <w:tcW w:type="dxa" w:w="860"/>
            <w:tcMar>
              <w:top w:type="dxa" w:w="40"/>
              <w:left w:type="dxa" w:w="80"/>
              <w:bottom w:type="dxa" w:w="40"/>
              <w:right w:type="dxa" w:w="80"/>
            </w:tcMar>
          </w:tcPr>
          <w:p>
            <w:r>
              <w:rPr>
                <w:b w:val="false"/>
                <w:bCs w:val="false"/>
                <w:sz w:val="18"/>
                <w:szCs w:val="18"/>
              </w:rPr>
              <w:t xml:space="preserve">72.0 (e)</w:t>
            </w:r>
          </w:p>
        </w:tc>
        <w:tc>
          <w:tcPr>
            <w:tcW w:type="dxa" w:w="860"/>
            <w:tcMar>
              <w:top w:type="dxa" w:w="40"/>
              <w:left w:type="dxa" w:w="80"/>
              <w:bottom w:type="dxa" w:w="40"/>
              <w:right w:type="dxa" w:w="80"/>
            </w:tcMar>
          </w:tcPr>
          <w:p>
            <w:r>
              <w:rPr>
                <w:b w:val="false"/>
                <w:bCs w:val="false"/>
                <w:sz w:val="18"/>
                <w:szCs w:val="18"/>
              </w:rPr>
              <w:t xml:space="preserve">104.1</w:t>
            </w:r>
          </w:p>
        </w:tc>
        <w:tc>
          <w:tcPr>
            <w:tcW w:type="dxa" w:w="860"/>
            <w:tcMar>
              <w:top w:type="dxa" w:w="40"/>
              <w:left w:type="dxa" w:w="80"/>
              <w:bottom w:type="dxa" w:w="40"/>
              <w:right w:type="dxa" w:w="80"/>
            </w:tcMar>
          </w:tcPr>
          <w:p>
            <w:r>
              <w:rPr>
                <w:b w:val="false"/>
                <w:bCs w:val="false"/>
                <w:sz w:val="18"/>
                <w:szCs w:val="18"/>
              </w:rPr>
              <w:t xml:space="preserve">119.8</w:t>
            </w:r>
          </w:p>
        </w:tc>
        <w:tc>
          <w:tcPr>
            <w:tcW w:type="dxa" w:w="860"/>
            <w:tcMar>
              <w:top w:type="dxa" w:w="40"/>
              <w:left w:type="dxa" w:w="80"/>
              <w:bottom w:type="dxa" w:w="40"/>
              <w:right w:type="dxa" w:w="80"/>
            </w:tcMar>
          </w:tcPr>
          <w:p>
            <w:r>
              <w:rPr>
                <w:b w:val="false"/>
                <w:bCs w:val="false"/>
                <w:sz w:val="18"/>
                <w:szCs w:val="18"/>
              </w:rPr>
              <w:t xml:space="preserve">135.2</w:t>
            </w:r>
          </w:p>
        </w:tc>
        <w:tc>
          <w:tcPr>
            <w:tcW w:type="dxa" w:w="860"/>
            <w:tcMar>
              <w:top w:type="dxa" w:w="40"/>
              <w:left w:type="dxa" w:w="80"/>
              <w:bottom w:type="dxa" w:w="40"/>
              <w:right w:type="dxa" w:w="80"/>
            </w:tcMar>
          </w:tcPr>
          <w:p>
            <w:r>
              <w:rPr>
                <w:b w:val="false"/>
                <w:bCs w:val="false"/>
                <w:sz w:val="18"/>
                <w:szCs w:val="18"/>
              </w:rPr>
              <w:t xml:space="preserve">149.6</w:t>
            </w:r>
          </w:p>
        </w:tc>
        <w:tc>
          <w:tcPr>
            <w:tcW w:type="dxa" w:w="860"/>
            <w:tcMar>
              <w:top w:type="dxa" w:w="40"/>
              <w:left w:type="dxa" w:w="80"/>
              <w:bottom w:type="dxa" w:w="40"/>
              <w:right w:type="dxa" w:w="80"/>
            </w:tcMar>
          </w:tcPr>
          <w:p>
            <w:r>
              <w:rPr>
                <w:b w:val="false"/>
                <w:bCs w:val="false"/>
                <w:sz w:val="18"/>
                <w:szCs w:val="18"/>
              </w:rPr>
              <w:t xml:space="preserve">163.9</w:t>
            </w:r>
          </w:p>
        </w:tc>
        <w:tc>
          <w:tcPr>
            <w:tcW w:type="dxa" w:w="860"/>
            <w:tcMar>
              <w:top w:type="dxa" w:w="40"/>
              <w:left w:type="dxa" w:w="80"/>
              <w:bottom w:type="dxa" w:w="40"/>
              <w:right w:type="dxa" w:w="80"/>
            </w:tcMar>
          </w:tcPr>
          <w:p>
            <w:r>
              <w:rPr>
                <w:b w:val="false"/>
                <w:bCs w:val="false"/>
                <w:sz w:val="18"/>
                <w:szCs w:val="18"/>
              </w:rPr>
              <w:t xml:space="preserve">178.1</w:t>
            </w:r>
          </w:p>
        </w:tc>
        <w:tc>
          <w:tcPr>
            <w:tcW w:type="dxa" w:w="860"/>
            <w:tcMar>
              <w:top w:type="dxa" w:w="40"/>
              <w:left w:type="dxa" w:w="80"/>
              <w:bottom w:type="dxa" w:w="40"/>
              <w:right w:type="dxa" w:w="80"/>
            </w:tcMar>
          </w:tcPr>
          <w:p>
            <w:r>
              <w:rPr>
                <w:b w:val="false"/>
                <w:bCs w:val="false"/>
                <w:sz w:val="18"/>
                <w:szCs w:val="18"/>
              </w:rPr>
              <w:t xml:space="preserve">191.9</w:t>
            </w:r>
          </w:p>
        </w:tc>
      </w:tr>
      <w:tr>
        <w:tc>
          <w:tcPr>
            <w:tcW w:type="dxa" w:w="2480"/>
            <w:tcMar>
              <w:top w:type="dxa" w:w="40"/>
              <w:left w:type="dxa" w:w="80"/>
              <w:bottom w:type="dxa" w:w="40"/>
              <w:right w:type="dxa" w:w="80"/>
            </w:tcMar>
          </w:tcPr>
          <w:p>
            <w:r>
              <w:rPr>
                <w:b/>
                <w:bCs/>
                <w:sz w:val="18"/>
                <w:szCs w:val="18"/>
              </w:rPr>
              <w:t xml:space="preserve">Investments (VFE, equity method)</w:t>
            </w:r>
          </w:p>
        </w:tc>
        <w:tc>
          <w:tcPr>
            <w:tcW w:type="dxa" w:w="860"/>
            <w:tcMar>
              <w:top w:type="dxa" w:w="40"/>
              <w:left w:type="dxa" w:w="80"/>
              <w:bottom w:type="dxa" w:w="40"/>
              <w:right w:type="dxa" w:w="80"/>
            </w:tcMar>
          </w:tcPr>
          <w:p>
            <w:r>
              <w:rPr>
                <w:b w:val="false"/>
                <w:bCs w:val="false"/>
                <w:sz w:val="18"/>
                <w:szCs w:val="18"/>
              </w:rPr>
              <w:t xml:space="preserve">12.0 (e)</w:t>
            </w:r>
          </w:p>
        </w:tc>
        <w:tc>
          <w:tcPr>
            <w:tcW w:type="dxa" w:w="860"/>
            <w:tcMar>
              <w:top w:type="dxa" w:w="40"/>
              <w:left w:type="dxa" w:w="80"/>
              <w:bottom w:type="dxa" w:w="40"/>
              <w:right w:type="dxa" w:w="80"/>
            </w:tcMar>
          </w:tcPr>
          <w:p>
            <w:r>
              <w:rPr>
                <w:b w:val="false"/>
                <w:bCs w:val="false"/>
                <w:sz w:val="18"/>
                <w:szCs w:val="18"/>
              </w:rPr>
              <w:t xml:space="preserve">18.8</w:t>
            </w:r>
          </w:p>
        </w:tc>
        <w:tc>
          <w:tcPr>
            <w:tcW w:type="dxa" w:w="860"/>
            <w:tcMar>
              <w:top w:type="dxa" w:w="40"/>
              <w:left w:type="dxa" w:w="80"/>
              <w:bottom w:type="dxa" w:w="40"/>
              <w:right w:type="dxa" w:w="80"/>
            </w:tcMar>
          </w:tcPr>
          <w:p>
            <w:r>
              <w:rPr>
                <w:b w:val="false"/>
                <w:bCs w:val="false"/>
                <w:sz w:val="18"/>
                <w:szCs w:val="18"/>
              </w:rPr>
              <w:t xml:space="preserve">30.9</w:t>
            </w:r>
          </w:p>
        </w:tc>
        <w:tc>
          <w:tcPr>
            <w:tcW w:type="dxa" w:w="860"/>
            <w:tcMar>
              <w:top w:type="dxa" w:w="40"/>
              <w:left w:type="dxa" w:w="80"/>
              <w:bottom w:type="dxa" w:w="40"/>
              <w:right w:type="dxa" w:w="80"/>
            </w:tcMar>
          </w:tcPr>
          <w:p>
            <w:r>
              <w:rPr>
                <w:b w:val="false"/>
                <w:bCs w:val="false"/>
                <w:sz w:val="18"/>
                <w:szCs w:val="18"/>
              </w:rPr>
              <w:t xml:space="preserve">44.1</w:t>
            </w:r>
          </w:p>
        </w:tc>
        <w:tc>
          <w:tcPr>
            <w:tcW w:type="dxa" w:w="860"/>
            <w:tcMar>
              <w:top w:type="dxa" w:w="40"/>
              <w:left w:type="dxa" w:w="80"/>
              <w:bottom w:type="dxa" w:w="40"/>
              <w:right w:type="dxa" w:w="80"/>
            </w:tcMar>
          </w:tcPr>
          <w:p>
            <w:r>
              <w:rPr>
                <w:b w:val="false"/>
                <w:bCs w:val="false"/>
                <w:sz w:val="18"/>
                <w:szCs w:val="18"/>
              </w:rPr>
              <w:t xml:space="preserve">59.0</w:t>
            </w:r>
          </w:p>
        </w:tc>
        <w:tc>
          <w:tcPr>
            <w:tcW w:type="dxa" w:w="860"/>
            <w:tcMar>
              <w:top w:type="dxa" w:w="40"/>
              <w:left w:type="dxa" w:w="80"/>
              <w:bottom w:type="dxa" w:w="40"/>
              <w:right w:type="dxa" w:w="80"/>
            </w:tcMar>
          </w:tcPr>
          <w:p>
            <w:r>
              <w:rPr>
                <w:b w:val="false"/>
                <w:bCs w:val="false"/>
                <w:sz w:val="18"/>
                <w:szCs w:val="18"/>
              </w:rPr>
              <w:t xml:space="preserve">75.4</w:t>
            </w:r>
          </w:p>
        </w:tc>
        <w:tc>
          <w:tcPr>
            <w:tcW w:type="dxa" w:w="860"/>
            <w:tcMar>
              <w:top w:type="dxa" w:w="40"/>
              <w:left w:type="dxa" w:w="80"/>
              <w:bottom w:type="dxa" w:w="40"/>
              <w:right w:type="dxa" w:w="80"/>
            </w:tcMar>
          </w:tcPr>
          <w:p>
            <w:r>
              <w:rPr>
                <w:b w:val="false"/>
                <w:bCs w:val="false"/>
                <w:sz w:val="18"/>
                <w:szCs w:val="18"/>
              </w:rPr>
              <w:t xml:space="preserve">93.1</w:t>
            </w:r>
          </w:p>
        </w:tc>
        <w:tc>
          <w:tcPr>
            <w:tcW w:type="dxa" w:w="860"/>
            <w:tcMar>
              <w:top w:type="dxa" w:w="40"/>
              <w:left w:type="dxa" w:w="80"/>
              <w:bottom w:type="dxa" w:w="40"/>
              <w:right w:type="dxa" w:w="80"/>
            </w:tcMar>
          </w:tcPr>
          <w:p>
            <w:r>
              <w:rPr>
                <w:b w:val="false"/>
                <w:bCs w:val="false"/>
                <w:sz w:val="18"/>
                <w:szCs w:val="18"/>
              </w:rPr>
              <w:t xml:space="preserve">112.0</w:t>
            </w:r>
          </w:p>
        </w:tc>
      </w:tr>
      <w:tr>
        <w:tc>
          <w:tcPr>
            <w:tcW w:type="dxa" w:w="2480"/>
            <w:tcMar>
              <w:top w:type="dxa" w:w="40"/>
              <w:left w:type="dxa" w:w="80"/>
              <w:bottom w:type="dxa" w:w="40"/>
              <w:right w:type="dxa" w:w="80"/>
            </w:tcMar>
          </w:tcPr>
          <w:p>
            <w:r>
              <w:rPr>
                <w:b/>
                <w:bCs/>
                <w:sz w:val="18"/>
                <w:szCs w:val="18"/>
              </w:rPr>
              <w:t xml:space="preserve">Total assets</w:t>
            </w:r>
          </w:p>
        </w:tc>
        <w:tc>
          <w:tcPr>
            <w:tcW w:type="dxa" w:w="860"/>
            <w:tcMar>
              <w:top w:type="dxa" w:w="40"/>
              <w:left w:type="dxa" w:w="80"/>
              <w:bottom w:type="dxa" w:w="40"/>
              <w:right w:type="dxa" w:w="80"/>
            </w:tcMar>
          </w:tcPr>
          <w:p>
            <w:r>
              <w:rPr>
                <w:b w:val="false"/>
                <w:bCs w:val="false"/>
                <w:sz w:val="18"/>
                <w:szCs w:val="18"/>
              </w:rPr>
              <w:t xml:space="preserve">128 (e)</w:t>
            </w:r>
          </w:p>
        </w:tc>
        <w:tc>
          <w:tcPr>
            <w:tcW w:type="dxa" w:w="860"/>
            <w:tcMar>
              <w:top w:type="dxa" w:w="40"/>
              <w:left w:type="dxa" w:w="80"/>
              <w:bottom w:type="dxa" w:w="40"/>
              <w:right w:type="dxa" w:w="80"/>
            </w:tcMar>
          </w:tcPr>
          <w:p>
            <w:r>
              <w:rPr>
                <w:b w:val="false"/>
                <w:bCs w:val="false"/>
                <w:sz w:val="18"/>
                <w:szCs w:val="18"/>
              </w:rPr>
              <w:t xml:space="preserve">198.0</w:t>
            </w:r>
          </w:p>
        </w:tc>
        <w:tc>
          <w:tcPr>
            <w:tcW w:type="dxa" w:w="860"/>
            <w:tcMar>
              <w:top w:type="dxa" w:w="40"/>
              <w:left w:type="dxa" w:w="80"/>
              <w:bottom w:type="dxa" w:w="40"/>
              <w:right w:type="dxa" w:w="80"/>
            </w:tcMar>
          </w:tcPr>
          <w:p>
            <w:r>
              <w:rPr>
                <w:b w:val="false"/>
                <w:bCs w:val="false"/>
                <w:sz w:val="18"/>
                <w:szCs w:val="18"/>
              </w:rPr>
              <w:t xml:space="preserve">225.9</w:t>
            </w:r>
          </w:p>
        </w:tc>
        <w:tc>
          <w:tcPr>
            <w:tcW w:type="dxa" w:w="860"/>
            <w:tcMar>
              <w:top w:type="dxa" w:w="40"/>
              <w:left w:type="dxa" w:w="80"/>
              <w:bottom w:type="dxa" w:w="40"/>
              <w:right w:type="dxa" w:w="80"/>
            </w:tcMar>
          </w:tcPr>
          <w:p>
            <w:r>
              <w:rPr>
                <w:b w:val="false"/>
                <w:bCs w:val="false"/>
                <w:sz w:val="18"/>
                <w:szCs w:val="18"/>
              </w:rPr>
              <w:t xml:space="preserve">254</w:t>
            </w:r>
          </w:p>
        </w:tc>
        <w:tc>
          <w:tcPr>
            <w:tcW w:type="dxa" w:w="860"/>
            <w:tcMar>
              <w:top w:type="dxa" w:w="40"/>
              <w:left w:type="dxa" w:w="80"/>
              <w:bottom w:type="dxa" w:w="40"/>
              <w:right w:type="dxa" w:w="80"/>
            </w:tcMar>
          </w:tcPr>
          <w:p>
            <w:r>
              <w:rPr>
                <w:b w:val="false"/>
                <w:bCs w:val="false"/>
                <w:sz w:val="18"/>
                <w:szCs w:val="18"/>
              </w:rPr>
              <w:t xml:space="preserve">283</w:t>
            </w:r>
          </w:p>
        </w:tc>
        <w:tc>
          <w:tcPr>
            <w:tcW w:type="dxa" w:w="860"/>
            <w:tcMar>
              <w:top w:type="dxa" w:w="40"/>
              <w:left w:type="dxa" w:w="80"/>
              <w:bottom w:type="dxa" w:w="40"/>
              <w:right w:type="dxa" w:w="80"/>
            </w:tcMar>
          </w:tcPr>
          <w:p>
            <w:r>
              <w:rPr>
                <w:b w:val="false"/>
                <w:bCs w:val="false"/>
                <w:sz w:val="18"/>
                <w:szCs w:val="18"/>
              </w:rPr>
              <w:t xml:space="preserve">311</w:t>
            </w:r>
          </w:p>
        </w:tc>
        <w:tc>
          <w:tcPr>
            <w:tcW w:type="dxa" w:w="860"/>
            <w:tcMar>
              <w:top w:type="dxa" w:w="40"/>
              <w:left w:type="dxa" w:w="80"/>
              <w:bottom w:type="dxa" w:w="40"/>
              <w:right w:type="dxa" w:w="80"/>
            </w:tcMar>
          </w:tcPr>
          <w:p>
            <w:r>
              <w:rPr>
                <w:b w:val="false"/>
                <w:bCs w:val="false"/>
                <w:sz w:val="18"/>
                <w:szCs w:val="18"/>
              </w:rPr>
              <w:t xml:space="preserve">340</w:t>
            </w:r>
          </w:p>
        </w:tc>
        <w:tc>
          <w:tcPr>
            <w:tcW w:type="dxa" w:w="860"/>
            <w:tcMar>
              <w:top w:type="dxa" w:w="40"/>
              <w:left w:type="dxa" w:w="80"/>
              <w:bottom w:type="dxa" w:w="40"/>
              <w:right w:type="dxa" w:w="80"/>
            </w:tcMar>
          </w:tcPr>
          <w:p>
            <w:r>
              <w:rPr>
                <w:b w:val="false"/>
                <w:bCs w:val="false"/>
                <w:sz w:val="18"/>
                <w:szCs w:val="18"/>
              </w:rPr>
              <w:t xml:space="preserve">370</w:t>
            </w:r>
          </w:p>
        </w:tc>
      </w:tr>
      <w:tr>
        <w:tc>
          <w:tcPr>
            <w:tcW w:type="dxa" w:w="2480"/>
            <w:tcMar>
              <w:top w:type="dxa" w:w="40"/>
              <w:left w:type="dxa" w:w="80"/>
              <w:bottom w:type="dxa" w:w="40"/>
              <w:right w:type="dxa" w:w="80"/>
            </w:tcMar>
          </w:tcPr>
          <w:p>
            <w:r>
              <w:rPr>
                <w:b/>
                <w:bCs/>
                <w:sz w:val="18"/>
                <w:szCs w:val="18"/>
              </w:rPr>
              <w:t xml:space="preserve">Gross debt</w:t>
            </w:r>
          </w:p>
        </w:tc>
        <w:tc>
          <w:tcPr>
            <w:tcW w:type="dxa" w:w="860"/>
            <w:tcMar>
              <w:top w:type="dxa" w:w="40"/>
              <w:left w:type="dxa" w:w="80"/>
              <w:bottom w:type="dxa" w:w="40"/>
              <w:right w:type="dxa" w:w="80"/>
            </w:tcMar>
          </w:tcPr>
          <w:p>
            <w:r>
              <w:rPr>
                <w:b w:val="false"/>
                <w:bCs w:val="false"/>
                <w:sz w:val="18"/>
                <w:szCs w:val="18"/>
              </w:rPr>
              <w:t xml:space="preserve">49.7 (d)</w:t>
            </w:r>
          </w:p>
        </w:tc>
        <w:tc>
          <w:tcPr>
            <w:tcW w:type="dxa" w:w="860"/>
            <w:tcMar>
              <w:top w:type="dxa" w:w="40"/>
              <w:left w:type="dxa" w:w="80"/>
              <w:bottom w:type="dxa" w:w="40"/>
              <w:right w:type="dxa" w:w="80"/>
            </w:tcMar>
          </w:tcPr>
          <w:p>
            <w:r>
              <w:rPr>
                <w:b w:val="false"/>
                <w:bCs w:val="false"/>
                <w:sz w:val="18"/>
                <w:szCs w:val="18"/>
              </w:rPr>
              <w:t xml:space="preserve">81.5</w:t>
            </w:r>
          </w:p>
        </w:tc>
        <w:tc>
          <w:tcPr>
            <w:tcW w:type="dxa" w:w="860"/>
            <w:tcMar>
              <w:top w:type="dxa" w:w="40"/>
              <w:left w:type="dxa" w:w="80"/>
              <w:bottom w:type="dxa" w:w="40"/>
              <w:right w:type="dxa" w:w="80"/>
            </w:tcMar>
          </w:tcPr>
          <w:p>
            <w:r>
              <w:rPr>
                <w:b w:val="false"/>
                <w:bCs w:val="false"/>
                <w:sz w:val="18"/>
                <w:szCs w:val="18"/>
              </w:rPr>
              <w:t xml:space="preserve">73.8</w:t>
            </w:r>
          </w:p>
        </w:tc>
        <w:tc>
          <w:tcPr>
            <w:tcW w:type="dxa" w:w="860"/>
            <w:tcMar>
              <w:top w:type="dxa" w:w="40"/>
              <w:left w:type="dxa" w:w="80"/>
              <w:bottom w:type="dxa" w:w="40"/>
              <w:right w:type="dxa" w:w="80"/>
            </w:tcMar>
          </w:tcPr>
          <w:p>
            <w:r>
              <w:rPr>
                <w:b w:val="false"/>
                <w:bCs w:val="false"/>
                <w:sz w:val="18"/>
                <w:szCs w:val="18"/>
              </w:rPr>
              <w:t xml:space="preserve">72.7</w:t>
            </w:r>
          </w:p>
        </w:tc>
        <w:tc>
          <w:tcPr>
            <w:tcW w:type="dxa" w:w="860"/>
            <w:tcMar>
              <w:top w:type="dxa" w:w="40"/>
              <w:left w:type="dxa" w:w="80"/>
              <w:bottom w:type="dxa" w:w="40"/>
              <w:right w:type="dxa" w:w="80"/>
            </w:tcMar>
          </w:tcPr>
          <w:p>
            <w:r>
              <w:rPr>
                <w:b w:val="false"/>
                <w:bCs w:val="false"/>
                <w:sz w:val="18"/>
                <w:szCs w:val="18"/>
              </w:rPr>
              <w:t xml:space="preserve">67.6</w:t>
            </w:r>
          </w:p>
        </w:tc>
        <w:tc>
          <w:tcPr>
            <w:tcW w:type="dxa" w:w="860"/>
            <w:tcMar>
              <w:top w:type="dxa" w:w="40"/>
              <w:left w:type="dxa" w:w="80"/>
              <w:bottom w:type="dxa" w:w="40"/>
              <w:right w:type="dxa" w:w="80"/>
            </w:tcMar>
          </w:tcPr>
          <w:p>
            <w:r>
              <w:rPr>
                <w:b w:val="false"/>
                <w:bCs w:val="false"/>
                <w:sz w:val="18"/>
                <w:szCs w:val="18"/>
              </w:rPr>
              <w:t xml:space="preserve">59.2</w:t>
            </w:r>
          </w:p>
        </w:tc>
        <w:tc>
          <w:tcPr>
            <w:tcW w:type="dxa" w:w="860"/>
            <w:tcMar>
              <w:top w:type="dxa" w:w="40"/>
              <w:left w:type="dxa" w:w="80"/>
              <w:bottom w:type="dxa" w:w="40"/>
              <w:right w:type="dxa" w:w="80"/>
            </w:tcMar>
          </w:tcPr>
          <w:p>
            <w:r>
              <w:rPr>
                <w:b w:val="false"/>
                <w:bCs w:val="false"/>
                <w:sz w:val="18"/>
                <w:szCs w:val="18"/>
              </w:rPr>
              <w:t xml:space="preserve">48.1</w:t>
            </w:r>
          </w:p>
        </w:tc>
        <w:tc>
          <w:tcPr>
            <w:tcW w:type="dxa" w:w="860"/>
            <w:tcMar>
              <w:top w:type="dxa" w:w="40"/>
              <w:left w:type="dxa" w:w="80"/>
              <w:bottom w:type="dxa" w:w="40"/>
              <w:right w:type="dxa" w:w="80"/>
            </w:tcMar>
          </w:tcPr>
          <w:p>
            <w:r>
              <w:rPr>
                <w:b w:val="false"/>
                <w:bCs w:val="false"/>
                <w:sz w:val="18"/>
                <w:szCs w:val="18"/>
              </w:rPr>
              <w:t xml:space="preserve">34.1</w:t>
            </w:r>
          </w:p>
        </w:tc>
      </w:tr>
      <w:tr>
        <w:tc>
          <w:tcPr>
            <w:tcW w:type="dxa" w:w="2480"/>
            <w:tcMar>
              <w:top w:type="dxa" w:w="40"/>
              <w:left w:type="dxa" w:w="80"/>
              <w:bottom w:type="dxa" w:w="40"/>
              <w:right w:type="dxa" w:w="80"/>
            </w:tcMar>
          </w:tcPr>
          <w:p>
            <w:r>
              <w:rPr>
                <w:b/>
                <w:bCs/>
                <w:sz w:val="18"/>
                <w:szCs w:val="18"/>
              </w:rPr>
              <w:t xml:space="preserve">Total liabilities</w:t>
            </w:r>
          </w:p>
        </w:tc>
        <w:tc>
          <w:tcPr>
            <w:tcW w:type="dxa" w:w="860"/>
            <w:tcMar>
              <w:top w:type="dxa" w:w="40"/>
              <w:left w:type="dxa" w:w="80"/>
              <w:bottom w:type="dxa" w:w="40"/>
              <w:right w:type="dxa" w:w="80"/>
            </w:tcMar>
          </w:tcPr>
          <w:p>
            <w:r>
              <w:rPr>
                <w:b w:val="false"/>
                <w:bCs w:val="false"/>
                <w:sz w:val="18"/>
                <w:szCs w:val="18"/>
              </w:rPr>
              <w:t xml:space="preserve">90.7 (e)</w:t>
            </w:r>
          </w:p>
        </w:tc>
        <w:tc>
          <w:tcPr>
            <w:tcW w:type="dxa" w:w="860"/>
            <w:tcMar>
              <w:top w:type="dxa" w:w="40"/>
              <w:left w:type="dxa" w:w="80"/>
              <w:bottom w:type="dxa" w:w="40"/>
              <w:right w:type="dxa" w:w="80"/>
            </w:tcMar>
          </w:tcPr>
          <w:p>
            <w:r>
              <w:rPr>
                <w:b w:val="false"/>
                <w:bCs w:val="false"/>
                <w:sz w:val="18"/>
                <w:szCs w:val="18"/>
              </w:rPr>
              <w:t xml:space="preserve">152.0</w:t>
            </w:r>
          </w:p>
        </w:tc>
        <w:tc>
          <w:tcPr>
            <w:tcW w:type="dxa" w:w="860"/>
            <w:tcMar>
              <w:top w:type="dxa" w:w="40"/>
              <w:left w:type="dxa" w:w="80"/>
              <w:bottom w:type="dxa" w:w="40"/>
              <w:right w:type="dxa" w:w="80"/>
            </w:tcMar>
          </w:tcPr>
          <w:p>
            <w:r>
              <w:rPr>
                <w:b w:val="false"/>
                <w:bCs w:val="false"/>
                <w:sz w:val="18"/>
                <w:szCs w:val="18"/>
              </w:rPr>
              <w:t xml:space="preserve">162.2</w:t>
            </w:r>
          </w:p>
        </w:tc>
        <w:tc>
          <w:tcPr>
            <w:tcW w:type="dxa" w:w="860"/>
            <w:tcMar>
              <w:top w:type="dxa" w:w="40"/>
              <w:left w:type="dxa" w:w="80"/>
              <w:bottom w:type="dxa" w:w="40"/>
              <w:right w:type="dxa" w:w="80"/>
            </w:tcMar>
          </w:tcPr>
          <w:p>
            <w:r>
              <w:rPr>
                <w:b w:val="false"/>
                <w:bCs w:val="false"/>
                <w:sz w:val="18"/>
                <w:szCs w:val="18"/>
              </w:rPr>
              <w:t xml:space="preserve">166</w:t>
            </w:r>
          </w:p>
        </w:tc>
        <w:tc>
          <w:tcPr>
            <w:tcW w:type="dxa" w:w="860"/>
            <w:tcMar>
              <w:top w:type="dxa" w:w="40"/>
              <w:left w:type="dxa" w:w="80"/>
              <w:bottom w:type="dxa" w:w="40"/>
              <w:right w:type="dxa" w:w="80"/>
            </w:tcMar>
          </w:tcPr>
          <w:p>
            <w:r>
              <w:rPr>
                <w:b w:val="false"/>
                <w:bCs w:val="false"/>
                <w:sz w:val="18"/>
                <w:szCs w:val="18"/>
              </w:rPr>
              <w:t xml:space="preserve">166</w:t>
            </w:r>
          </w:p>
        </w:tc>
        <w:tc>
          <w:tcPr>
            <w:tcW w:type="dxa" w:w="860"/>
            <w:tcMar>
              <w:top w:type="dxa" w:w="40"/>
              <w:left w:type="dxa" w:w="80"/>
              <w:bottom w:type="dxa" w:w="40"/>
              <w:right w:type="dxa" w:w="80"/>
            </w:tcMar>
          </w:tcPr>
          <w:p>
            <w:r>
              <w:rPr>
                <w:b w:val="false"/>
                <w:bCs w:val="false"/>
                <w:sz w:val="18"/>
                <w:szCs w:val="18"/>
              </w:rPr>
              <w:t xml:space="preserve">162</w:t>
            </w:r>
          </w:p>
        </w:tc>
        <w:tc>
          <w:tcPr>
            <w:tcW w:type="dxa" w:w="860"/>
            <w:tcMar>
              <w:top w:type="dxa" w:w="40"/>
              <w:left w:type="dxa" w:w="80"/>
              <w:bottom w:type="dxa" w:w="40"/>
              <w:right w:type="dxa" w:w="80"/>
            </w:tcMar>
          </w:tcPr>
          <w:p>
            <w:r>
              <w:rPr>
                <w:b w:val="false"/>
                <w:bCs w:val="false"/>
                <w:sz w:val="18"/>
                <w:szCs w:val="18"/>
              </w:rPr>
              <w:t xml:space="preserve">155</w:t>
            </w:r>
          </w:p>
        </w:tc>
        <w:tc>
          <w:tcPr>
            <w:tcW w:type="dxa" w:w="860"/>
            <w:tcMar>
              <w:top w:type="dxa" w:w="40"/>
              <w:left w:type="dxa" w:w="80"/>
              <w:bottom w:type="dxa" w:w="40"/>
              <w:right w:type="dxa" w:w="80"/>
            </w:tcMar>
          </w:tcPr>
          <w:p>
            <w:r>
              <w:rPr>
                <w:b w:val="false"/>
                <w:bCs w:val="false"/>
                <w:sz w:val="18"/>
                <w:szCs w:val="18"/>
              </w:rPr>
              <w:t xml:space="preserve">144</w:t>
            </w:r>
          </w:p>
        </w:tc>
      </w:tr>
      <w:tr>
        <w:tc>
          <w:tcPr>
            <w:tcW w:type="dxa" w:w="2480"/>
            <w:tcMar>
              <w:top w:type="dxa" w:w="40"/>
              <w:left w:type="dxa" w:w="80"/>
              <w:bottom w:type="dxa" w:w="40"/>
              <w:right w:type="dxa" w:w="80"/>
            </w:tcMar>
          </w:tcPr>
          <w:p>
            <w:r>
              <w:rPr>
                <w:b/>
                <w:bCs/>
                <w:sz w:val="18"/>
                <w:szCs w:val="18"/>
              </w:rPr>
              <w:t xml:space="preserve">Equity</w:t>
            </w:r>
          </w:p>
        </w:tc>
        <w:tc>
          <w:tcPr>
            <w:tcW w:type="dxa" w:w="860"/>
            <w:tcMar>
              <w:top w:type="dxa" w:w="40"/>
              <w:left w:type="dxa" w:w="80"/>
              <w:bottom w:type="dxa" w:w="40"/>
              <w:right w:type="dxa" w:w="80"/>
            </w:tcMar>
          </w:tcPr>
          <w:p>
            <w:r>
              <w:rPr>
                <w:b w:val="false"/>
                <w:bCs w:val="false"/>
                <w:sz w:val="18"/>
                <w:szCs w:val="18"/>
              </w:rPr>
              <w:t xml:space="preserve">37.5 (e)</w:t>
            </w:r>
          </w:p>
        </w:tc>
        <w:tc>
          <w:tcPr>
            <w:tcW w:type="dxa" w:w="860"/>
            <w:tcMar>
              <w:top w:type="dxa" w:w="40"/>
              <w:left w:type="dxa" w:w="80"/>
              <w:bottom w:type="dxa" w:w="40"/>
              <w:right w:type="dxa" w:w="80"/>
            </w:tcMar>
          </w:tcPr>
          <w:p>
            <w:r>
              <w:rPr>
                <w:b w:val="false"/>
                <w:bCs w:val="false"/>
                <w:sz w:val="18"/>
                <w:szCs w:val="18"/>
              </w:rPr>
              <w:t xml:space="preserve">45.9</w:t>
            </w:r>
          </w:p>
        </w:tc>
        <w:tc>
          <w:tcPr>
            <w:tcW w:type="dxa" w:w="860"/>
            <w:tcMar>
              <w:top w:type="dxa" w:w="40"/>
              <w:left w:type="dxa" w:w="80"/>
              <w:bottom w:type="dxa" w:w="40"/>
              <w:right w:type="dxa" w:w="80"/>
            </w:tcMar>
          </w:tcPr>
          <w:p>
            <w:r>
              <w:rPr>
                <w:b w:val="false"/>
                <w:bCs w:val="false"/>
                <w:sz w:val="18"/>
                <w:szCs w:val="18"/>
              </w:rPr>
              <w:t xml:space="preserve">63.7</w:t>
            </w:r>
          </w:p>
        </w:tc>
        <w:tc>
          <w:tcPr>
            <w:tcW w:type="dxa" w:w="860"/>
            <w:tcMar>
              <w:top w:type="dxa" w:w="40"/>
              <w:left w:type="dxa" w:w="80"/>
              <w:bottom w:type="dxa" w:w="40"/>
              <w:right w:type="dxa" w:w="80"/>
            </w:tcMar>
          </w:tcPr>
          <w:p>
            <w:r>
              <w:rPr>
                <w:b w:val="false"/>
                <w:bCs w:val="false"/>
                <w:sz w:val="18"/>
                <w:szCs w:val="18"/>
              </w:rPr>
              <w:t xml:space="preserve">88.2</w:t>
            </w:r>
          </w:p>
        </w:tc>
        <w:tc>
          <w:tcPr>
            <w:tcW w:type="dxa" w:w="860"/>
            <w:tcMar>
              <w:top w:type="dxa" w:w="40"/>
              <w:left w:type="dxa" w:w="80"/>
              <w:bottom w:type="dxa" w:w="40"/>
              <w:right w:type="dxa" w:w="80"/>
            </w:tcMar>
          </w:tcPr>
          <w:p>
            <w:r>
              <w:rPr>
                <w:b w:val="false"/>
                <w:bCs w:val="false"/>
                <w:sz w:val="18"/>
                <w:szCs w:val="18"/>
              </w:rPr>
              <w:t xml:space="preserve">117.0</w:t>
            </w:r>
          </w:p>
        </w:tc>
        <w:tc>
          <w:tcPr>
            <w:tcW w:type="dxa" w:w="860"/>
            <w:tcMar>
              <w:top w:type="dxa" w:w="40"/>
              <w:left w:type="dxa" w:w="80"/>
              <w:bottom w:type="dxa" w:w="40"/>
              <w:right w:type="dxa" w:w="80"/>
            </w:tcMar>
          </w:tcPr>
          <w:p>
            <w:r>
              <w:rPr>
                <w:b w:val="false"/>
                <w:bCs w:val="false"/>
                <w:sz w:val="18"/>
                <w:szCs w:val="18"/>
              </w:rPr>
              <w:t xml:space="preserve">149.5</w:t>
            </w:r>
          </w:p>
        </w:tc>
        <w:tc>
          <w:tcPr>
            <w:tcW w:type="dxa" w:w="860"/>
            <w:tcMar>
              <w:top w:type="dxa" w:w="40"/>
              <w:left w:type="dxa" w:w="80"/>
              <w:bottom w:type="dxa" w:w="40"/>
              <w:right w:type="dxa" w:w="80"/>
            </w:tcMar>
          </w:tcPr>
          <w:p>
            <w:r>
              <w:rPr>
                <w:b w:val="false"/>
                <w:bCs w:val="false"/>
                <w:sz w:val="18"/>
                <w:szCs w:val="18"/>
              </w:rPr>
              <w:t xml:space="preserve">185.7</w:t>
            </w:r>
          </w:p>
        </w:tc>
        <w:tc>
          <w:tcPr>
            <w:tcW w:type="dxa" w:w="860"/>
            <w:tcMar>
              <w:top w:type="dxa" w:w="40"/>
              <w:left w:type="dxa" w:w="80"/>
              <w:bottom w:type="dxa" w:w="40"/>
              <w:right w:type="dxa" w:w="80"/>
            </w:tcMar>
          </w:tcPr>
          <w:p>
            <w:r>
              <w:rPr>
                <w:b w:val="false"/>
                <w:bCs w:val="false"/>
                <w:sz w:val="18"/>
                <w:szCs w:val="18"/>
              </w:rPr>
              <w:t xml:space="preserve">225.3</w:t>
            </w:r>
          </w:p>
        </w:tc>
      </w:tr>
      <w:tr>
        <w:tc>
          <w:tcPr>
            <w:tcW w:type="dxa" w:w="2480"/>
            <w:tcMar>
              <w:top w:type="dxa" w:w="40"/>
              <w:left w:type="dxa" w:w="80"/>
              <w:bottom w:type="dxa" w:w="40"/>
              <w:right w:type="dxa" w:w="80"/>
            </w:tcMar>
          </w:tcPr>
          <w:p>
            <w:r>
              <w:rPr>
                <w:b/>
                <w:bCs/>
                <w:sz w:val="18"/>
                <w:szCs w:val="18"/>
              </w:rPr>
              <w:t xml:space="preserve">Net debt</w:t>
            </w:r>
          </w:p>
        </w:tc>
        <w:tc>
          <w:tcPr>
            <w:tcW w:type="dxa" w:w="860"/>
            <w:tcMar>
              <w:top w:type="dxa" w:w="40"/>
              <w:left w:type="dxa" w:w="80"/>
              <w:bottom w:type="dxa" w:w="40"/>
              <w:right w:type="dxa" w:w="80"/>
            </w:tcMar>
          </w:tcPr>
          <w:p>
            <w:r>
              <w:rPr>
                <w:b w:val="false"/>
                <w:bCs w:val="false"/>
                <w:sz w:val="18"/>
                <w:szCs w:val="18"/>
              </w:rPr>
              <w:t xml:space="preserve">39.3 (d)</w:t>
            </w:r>
          </w:p>
        </w:tc>
        <w:tc>
          <w:tcPr>
            <w:tcW w:type="dxa" w:w="860"/>
            <w:tcMar>
              <w:top w:type="dxa" w:w="40"/>
              <w:left w:type="dxa" w:w="80"/>
              <w:bottom w:type="dxa" w:w="40"/>
              <w:right w:type="dxa" w:w="80"/>
            </w:tcMar>
          </w:tcPr>
          <w:p>
            <w:r>
              <w:rPr>
                <w:b w:val="false"/>
                <w:bCs w:val="false"/>
                <w:sz w:val="18"/>
                <w:szCs w:val="18"/>
              </w:rPr>
              <w:t xml:space="preserve">73.9</w:t>
            </w:r>
          </w:p>
        </w:tc>
        <w:tc>
          <w:tcPr>
            <w:tcW w:type="dxa" w:w="860"/>
            <w:tcMar>
              <w:top w:type="dxa" w:w="40"/>
              <w:left w:type="dxa" w:w="80"/>
              <w:bottom w:type="dxa" w:w="40"/>
              <w:right w:type="dxa" w:w="80"/>
            </w:tcMar>
          </w:tcPr>
          <w:p>
            <w:r>
              <w:rPr>
                <w:b w:val="false"/>
                <w:bCs w:val="false"/>
                <w:sz w:val="18"/>
                <w:szCs w:val="18"/>
              </w:rPr>
              <w:t xml:space="preserve">66.1</w:t>
            </w:r>
          </w:p>
        </w:tc>
        <w:tc>
          <w:tcPr>
            <w:tcW w:type="dxa" w:w="860"/>
            <w:tcMar>
              <w:top w:type="dxa" w:w="40"/>
              <w:left w:type="dxa" w:w="80"/>
              <w:bottom w:type="dxa" w:w="40"/>
              <w:right w:type="dxa" w:w="80"/>
            </w:tcMar>
          </w:tcPr>
          <w:p>
            <w:r>
              <w:rPr>
                <w:b w:val="false"/>
                <w:bCs w:val="false"/>
                <w:sz w:val="18"/>
                <w:szCs w:val="18"/>
              </w:rPr>
              <w:t xml:space="preserve">65.0</w:t>
            </w:r>
          </w:p>
        </w:tc>
        <w:tc>
          <w:tcPr>
            <w:tcW w:type="dxa" w:w="860"/>
            <w:tcMar>
              <w:top w:type="dxa" w:w="40"/>
              <w:left w:type="dxa" w:w="80"/>
              <w:bottom w:type="dxa" w:w="40"/>
              <w:right w:type="dxa" w:w="80"/>
            </w:tcMar>
          </w:tcPr>
          <w:p>
            <w:r>
              <w:rPr>
                <w:b w:val="false"/>
                <w:bCs w:val="false"/>
                <w:sz w:val="18"/>
                <w:szCs w:val="18"/>
              </w:rPr>
              <w:t xml:space="preserve">59.9</w:t>
            </w:r>
          </w:p>
        </w:tc>
        <w:tc>
          <w:tcPr>
            <w:tcW w:type="dxa" w:w="860"/>
            <w:tcMar>
              <w:top w:type="dxa" w:w="40"/>
              <w:left w:type="dxa" w:w="80"/>
              <w:bottom w:type="dxa" w:w="40"/>
              <w:right w:type="dxa" w:w="80"/>
            </w:tcMar>
          </w:tcPr>
          <w:p>
            <w:r>
              <w:rPr>
                <w:b w:val="false"/>
                <w:bCs w:val="false"/>
                <w:sz w:val="18"/>
                <w:szCs w:val="18"/>
              </w:rPr>
              <w:t xml:space="preserve">51.6</w:t>
            </w:r>
          </w:p>
        </w:tc>
        <w:tc>
          <w:tcPr>
            <w:tcW w:type="dxa" w:w="860"/>
            <w:tcMar>
              <w:top w:type="dxa" w:w="40"/>
              <w:left w:type="dxa" w:w="80"/>
              <w:bottom w:type="dxa" w:w="40"/>
              <w:right w:type="dxa" w:w="80"/>
            </w:tcMar>
          </w:tcPr>
          <w:p>
            <w:r>
              <w:rPr>
                <w:b w:val="false"/>
                <w:bCs w:val="false"/>
                <w:sz w:val="18"/>
                <w:szCs w:val="18"/>
              </w:rPr>
              <w:t xml:space="preserve">40.4</w:t>
            </w:r>
          </w:p>
        </w:tc>
        <w:tc>
          <w:tcPr>
            <w:tcW w:type="dxa" w:w="860"/>
            <w:tcMar>
              <w:top w:type="dxa" w:w="40"/>
              <w:left w:type="dxa" w:w="80"/>
              <w:bottom w:type="dxa" w:w="40"/>
              <w:right w:type="dxa" w:w="80"/>
            </w:tcMar>
          </w:tcPr>
          <w:p>
            <w:r>
              <w:rPr>
                <w:b w:val="false"/>
                <w:bCs w:val="false"/>
                <w:sz w:val="18"/>
                <w:szCs w:val="18"/>
              </w:rPr>
              <w:t xml:space="preserve">26.4</w:t>
            </w:r>
          </w:p>
        </w:tc>
      </w:tr>
      <w:tr>
        <w:tc>
          <w:tcPr>
            <w:tcW w:type="dxa" w:w="2480"/>
            <w:tcMar>
              <w:top w:type="dxa" w:w="40"/>
              <w:left w:type="dxa" w:w="80"/>
              <w:bottom w:type="dxa" w:w="40"/>
              <w:right w:type="dxa" w:w="80"/>
            </w:tcMar>
          </w:tcPr>
          <w:p>
            <w:r>
              <w:rPr>
                <w:b/>
                <w:bCs/>
                <w:sz w:val="18"/>
                <w:szCs w:val="18"/>
              </w:rPr>
              <w:t xml:space="preserve">Net debt / EBITDA</w:t>
            </w:r>
          </w:p>
        </w:tc>
        <w:tc>
          <w:tcPr>
            <w:tcW w:type="dxa" w:w="860"/>
            <w:tcMar>
              <w:top w:type="dxa" w:w="40"/>
              <w:left w:type="dxa" w:w="80"/>
              <w:bottom w:type="dxa" w:w="40"/>
              <w:right w:type="dxa" w:w="80"/>
            </w:tcMar>
          </w:tcPr>
          <w:p>
            <w:r>
              <w:rPr>
                <w:b w:val="false"/>
                <w:bCs w:val="false"/>
                <w:sz w:val="18"/>
                <w:szCs w:val="18"/>
              </w:rPr>
              <w:t xml:space="preserve">1.7×</w:t>
            </w:r>
          </w:p>
        </w:tc>
        <w:tc>
          <w:tcPr>
            <w:tcW w:type="dxa" w:w="860"/>
            <w:tcMar>
              <w:top w:type="dxa" w:w="40"/>
              <w:left w:type="dxa" w:w="80"/>
              <w:bottom w:type="dxa" w:w="40"/>
              <w:right w:type="dxa" w:w="80"/>
            </w:tcMar>
          </w:tcPr>
          <w:p>
            <w:r>
              <w:rPr>
                <w:b w:val="false"/>
                <w:bCs w:val="false"/>
                <w:sz w:val="18"/>
                <w:szCs w:val="18"/>
              </w:rPr>
              <w:t xml:space="preserve">2.2×</w:t>
            </w:r>
          </w:p>
        </w:tc>
        <w:tc>
          <w:tcPr>
            <w:tcW w:type="dxa" w:w="860"/>
            <w:tcMar>
              <w:top w:type="dxa" w:w="40"/>
              <w:left w:type="dxa" w:w="80"/>
              <w:bottom w:type="dxa" w:w="40"/>
              <w:right w:type="dxa" w:w="80"/>
            </w:tcMar>
          </w:tcPr>
          <w:p>
            <w:r>
              <w:rPr>
                <w:b w:val="false"/>
                <w:bCs w:val="false"/>
                <w:sz w:val="18"/>
                <w:szCs w:val="18"/>
              </w:rPr>
              <w:t xml:space="preserve">1.3×</w:t>
            </w:r>
          </w:p>
        </w:tc>
        <w:tc>
          <w:tcPr>
            <w:tcW w:type="dxa" w:w="860"/>
            <w:tcMar>
              <w:top w:type="dxa" w:w="40"/>
              <w:left w:type="dxa" w:w="80"/>
              <w:bottom w:type="dxa" w:w="40"/>
              <w:right w:type="dxa" w:w="80"/>
            </w:tcMar>
          </w:tcPr>
          <w:p>
            <w:r>
              <w:rPr>
                <w:b w:val="false"/>
                <w:bCs w:val="false"/>
                <w:sz w:val="18"/>
                <w:szCs w:val="18"/>
              </w:rPr>
              <w:t xml:space="preserve">1.2×</w:t>
            </w:r>
          </w:p>
        </w:tc>
        <w:tc>
          <w:tcPr>
            <w:tcW w:type="dxa" w:w="860"/>
            <w:tcMar>
              <w:top w:type="dxa" w:w="40"/>
              <w:left w:type="dxa" w:w="80"/>
              <w:bottom w:type="dxa" w:w="40"/>
              <w:right w:type="dxa" w:w="80"/>
            </w:tcMar>
          </w:tcPr>
          <w:p>
            <w:r>
              <w:rPr>
                <w:b w:val="false"/>
                <w:bCs w:val="false"/>
                <w:sz w:val="18"/>
                <w:szCs w:val="18"/>
              </w:rPr>
              <w:t xml:space="preserve">1.0×</w:t>
            </w:r>
          </w:p>
        </w:tc>
        <w:tc>
          <w:tcPr>
            <w:tcW w:type="dxa" w:w="860"/>
            <w:tcMar>
              <w:top w:type="dxa" w:w="40"/>
              <w:left w:type="dxa" w:w="80"/>
              <w:bottom w:type="dxa" w:w="40"/>
              <w:right w:type="dxa" w:w="80"/>
            </w:tcMar>
          </w:tcPr>
          <w:p>
            <w:r>
              <w:rPr>
                <w:b w:val="false"/>
                <w:bCs w:val="false"/>
                <w:sz w:val="18"/>
                <w:szCs w:val="18"/>
              </w:rPr>
              <w:t xml:space="preserve">0.8×</w:t>
            </w:r>
          </w:p>
        </w:tc>
        <w:tc>
          <w:tcPr>
            <w:tcW w:type="dxa" w:w="860"/>
            <w:tcMar>
              <w:top w:type="dxa" w:w="40"/>
              <w:left w:type="dxa" w:w="80"/>
              <w:bottom w:type="dxa" w:w="40"/>
              <w:right w:type="dxa" w:w="80"/>
            </w:tcMar>
          </w:tcPr>
          <w:p>
            <w:r>
              <w:rPr>
                <w:b w:val="false"/>
                <w:bCs w:val="false"/>
                <w:sz w:val="18"/>
                <w:szCs w:val="18"/>
              </w:rPr>
              <w:t xml:space="preserve">0.6×</w:t>
            </w:r>
          </w:p>
        </w:tc>
        <w:tc>
          <w:tcPr>
            <w:tcW w:type="dxa" w:w="860"/>
            <w:tcMar>
              <w:top w:type="dxa" w:w="40"/>
              <w:left w:type="dxa" w:w="80"/>
              <w:bottom w:type="dxa" w:w="40"/>
              <w:right w:type="dxa" w:w="80"/>
            </w:tcMar>
          </w:tcPr>
          <w:p>
            <w:r>
              <w:rPr>
                <w:b w:val="false"/>
                <w:bCs w:val="false"/>
                <w:sz w:val="18"/>
                <w:szCs w:val="18"/>
              </w:rPr>
              <w:t xml:space="preserve">0.4×</w:t>
            </w:r>
          </w:p>
        </w:tc>
      </w:tr>
    </w:tbl>
    <w:p>
      <w:pPr>
        <w:spacing w:after="120"/>
      </w:pPr>
    </w:p>
    <w:p>
      <w:pPr>
        <w:spacing w:after="180" w:before="60"/>
      </w:pPr>
      <w:r>
        <w:rPr>
          <w:i/>
          <w:iCs/>
          <w:color w:val="666666"/>
          <w:sz w:val="18"/>
          <w:szCs w:val="18"/>
        </w:rPr>
        <w:t xml:space="preserve">FY24/FY25 per the FY2025 earnings release balance-sheet summary. (d) derived from stated anchors; (e) estimated to complete the FY23 column — the FY23 summary balance sheet is not restated in the FY25 release. Forecast is the workbook’s roll-forward: fixed assets grow with cash capex less D&amp;A, the VFE book compounds income less dividends received, net debt amortizes with FCFF after finance costs and dividends, equity accretes retained earnings. Company ND/EBITDA uses its own cash definition (1.3× FY25 vs the 1.39× raw calculation); forecast ratio is the raw calculation.</w:t>
      </w:r>
    </w:p>
    <w:p>
      <w:pPr>
        <w:pStyle w:val="Heading2"/>
        <w:spacing w:after="110" w:before="220"/>
      </w:pPr>
      <w:r>
        <w:t xml:space="preserve">A.3  Cash flow (consolidated, EGP bn)</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2480"/>
        <w:gridCol w:w="860"/>
        <w:gridCol w:w="860"/>
        <w:gridCol w:w="860"/>
        <w:gridCol w:w="860"/>
        <w:gridCol w:w="860"/>
        <w:gridCol w:w="860"/>
        <w:gridCol w:w="860"/>
        <w:gridCol w:w="860"/>
      </w:tblGrid>
      <w:tr>
        <w:tc>
          <w:tcPr>
            <w:tcW w:type="dxa" w:w="2480"/>
            <w:shd w:fill="1B5E5E" w:val="clear"/>
            <w:tcMar>
              <w:top w:type="dxa" w:w="40"/>
              <w:left w:type="dxa" w:w="80"/>
              <w:bottom w:type="dxa" w:w="40"/>
              <w:right w:type="dxa" w:w="80"/>
            </w:tcMar>
          </w:tcPr>
          <w:p>
            <w:r>
              <w:rPr>
                <w:b/>
                <w:bCs/>
                <w:color w:val="FFFFFF"/>
                <w:sz w:val="18"/>
                <w:szCs w:val="18"/>
              </w:rPr>
              <w:t xml:space="preserve">Line</w:t>
            </w:r>
          </w:p>
        </w:tc>
        <w:tc>
          <w:tcPr>
            <w:tcW w:type="dxa" w:w="860"/>
            <w:shd w:fill="1B5E5E" w:val="clear"/>
            <w:tcMar>
              <w:top w:type="dxa" w:w="40"/>
              <w:left w:type="dxa" w:w="80"/>
              <w:bottom w:type="dxa" w:w="40"/>
              <w:right w:type="dxa" w:w="80"/>
            </w:tcMar>
          </w:tcPr>
          <w:p>
            <w:r>
              <w:rPr>
                <w:b/>
                <w:bCs/>
                <w:color w:val="FFFFFF"/>
                <w:sz w:val="18"/>
                <w:szCs w:val="18"/>
              </w:rPr>
              <w:t xml:space="preserve">FY23</w:t>
            </w:r>
          </w:p>
        </w:tc>
        <w:tc>
          <w:tcPr>
            <w:tcW w:type="dxa" w:w="860"/>
            <w:shd w:fill="1B5E5E" w:val="clear"/>
            <w:tcMar>
              <w:top w:type="dxa" w:w="40"/>
              <w:left w:type="dxa" w:w="80"/>
              <w:bottom w:type="dxa" w:w="40"/>
              <w:right w:type="dxa" w:w="80"/>
            </w:tcMar>
          </w:tcPr>
          <w:p>
            <w:r>
              <w:rPr>
                <w:b/>
                <w:bCs/>
                <w:color w:val="FFFFFF"/>
                <w:sz w:val="18"/>
                <w:szCs w:val="18"/>
              </w:rPr>
              <w:t xml:space="preserve">FY24</w:t>
            </w:r>
          </w:p>
        </w:tc>
        <w:tc>
          <w:tcPr>
            <w:tcW w:type="dxa" w:w="860"/>
            <w:shd w:fill="1B5E5E" w:val="clear"/>
            <w:tcMar>
              <w:top w:type="dxa" w:w="40"/>
              <w:left w:type="dxa" w:w="80"/>
              <w:bottom w:type="dxa" w:w="40"/>
              <w:right w:type="dxa" w:w="80"/>
            </w:tcMar>
          </w:tcPr>
          <w:p>
            <w:r>
              <w:rPr>
                <w:b/>
                <w:bCs/>
                <w:color w:val="FFFFFF"/>
                <w:sz w:val="18"/>
                <w:szCs w:val="18"/>
              </w:rPr>
              <w:t xml:space="preserve">FY25</w:t>
            </w:r>
          </w:p>
        </w:tc>
        <w:tc>
          <w:tcPr>
            <w:tcW w:type="dxa" w:w="860"/>
            <w:shd w:fill="1B5E5E" w:val="clear"/>
            <w:tcMar>
              <w:top w:type="dxa" w:w="40"/>
              <w:left w:type="dxa" w:w="80"/>
              <w:bottom w:type="dxa" w:w="40"/>
              <w:right w:type="dxa" w:w="80"/>
            </w:tcMar>
          </w:tcPr>
          <w:p>
            <w:r>
              <w:rPr>
                <w:b/>
                <w:bCs/>
                <w:color w:val="FFFFFF"/>
                <w:sz w:val="18"/>
                <w:szCs w:val="18"/>
              </w:rPr>
              <w:t xml:space="preserve">FY26E</w:t>
            </w:r>
          </w:p>
        </w:tc>
        <w:tc>
          <w:tcPr>
            <w:tcW w:type="dxa" w:w="860"/>
            <w:shd w:fill="1B5E5E" w:val="clear"/>
            <w:tcMar>
              <w:top w:type="dxa" w:w="40"/>
              <w:left w:type="dxa" w:w="80"/>
              <w:bottom w:type="dxa" w:w="40"/>
              <w:right w:type="dxa" w:w="80"/>
            </w:tcMar>
          </w:tcPr>
          <w:p>
            <w:r>
              <w:rPr>
                <w:b/>
                <w:bCs/>
                <w:color w:val="FFFFFF"/>
                <w:sz w:val="18"/>
                <w:szCs w:val="18"/>
              </w:rPr>
              <w:t xml:space="preserve">FY27E</w:t>
            </w:r>
          </w:p>
        </w:tc>
        <w:tc>
          <w:tcPr>
            <w:tcW w:type="dxa" w:w="860"/>
            <w:shd w:fill="1B5E5E" w:val="clear"/>
            <w:tcMar>
              <w:top w:type="dxa" w:w="40"/>
              <w:left w:type="dxa" w:w="80"/>
              <w:bottom w:type="dxa" w:w="40"/>
              <w:right w:type="dxa" w:w="80"/>
            </w:tcMar>
          </w:tcPr>
          <w:p>
            <w:r>
              <w:rPr>
                <w:b/>
                <w:bCs/>
                <w:color w:val="FFFFFF"/>
                <w:sz w:val="18"/>
                <w:szCs w:val="18"/>
              </w:rPr>
              <w:t xml:space="preserve">FY28E</w:t>
            </w:r>
          </w:p>
        </w:tc>
        <w:tc>
          <w:tcPr>
            <w:tcW w:type="dxa" w:w="860"/>
            <w:shd w:fill="1B5E5E" w:val="clear"/>
            <w:tcMar>
              <w:top w:type="dxa" w:w="40"/>
              <w:left w:type="dxa" w:w="80"/>
              <w:bottom w:type="dxa" w:w="40"/>
              <w:right w:type="dxa" w:w="80"/>
            </w:tcMar>
          </w:tcPr>
          <w:p>
            <w:r>
              <w:rPr>
                <w:b/>
                <w:bCs/>
                <w:color w:val="FFFFFF"/>
                <w:sz w:val="18"/>
                <w:szCs w:val="18"/>
              </w:rPr>
              <w:t xml:space="preserve">FY29E</w:t>
            </w:r>
          </w:p>
        </w:tc>
        <w:tc>
          <w:tcPr>
            <w:tcW w:type="dxa" w:w="860"/>
            <w:shd w:fill="1B5E5E" w:val="clear"/>
            <w:tcMar>
              <w:top w:type="dxa" w:w="40"/>
              <w:left w:type="dxa" w:w="80"/>
              <w:bottom w:type="dxa" w:w="40"/>
              <w:right w:type="dxa" w:w="80"/>
            </w:tcMar>
          </w:tcPr>
          <w:p>
            <w:r>
              <w:rPr>
                <w:b/>
                <w:bCs/>
                <w:color w:val="FFFFFF"/>
                <w:sz w:val="18"/>
                <w:szCs w:val="18"/>
              </w:rPr>
              <w:t xml:space="preserve">FY30E</w:t>
            </w:r>
          </w:p>
        </w:tc>
      </w:tr>
      <w:tr>
        <w:tc>
          <w:tcPr>
            <w:tcW w:type="dxa" w:w="2480"/>
            <w:tcMar>
              <w:top w:type="dxa" w:w="40"/>
              <w:left w:type="dxa" w:w="80"/>
              <w:bottom w:type="dxa" w:w="40"/>
              <w:right w:type="dxa" w:w="80"/>
            </w:tcMar>
          </w:tcPr>
          <w:p>
            <w:r>
              <w:rPr>
                <w:b/>
                <w:bCs/>
                <w:sz w:val="18"/>
                <w:szCs w:val="18"/>
              </w:rPr>
              <w:t xml:space="preserve">Operating cash flow</w:t>
            </w:r>
          </w:p>
        </w:tc>
        <w:tc>
          <w:tcPr>
            <w:tcW w:type="dxa" w:w="860"/>
            <w:tcMar>
              <w:top w:type="dxa" w:w="40"/>
              <w:left w:type="dxa" w:w="80"/>
              <w:bottom w:type="dxa" w:w="40"/>
              <w:right w:type="dxa" w:w="80"/>
            </w:tcMar>
          </w:tcPr>
          <w:p>
            <w:r>
              <w:rPr>
                <w:b w:val="false"/>
                <w:bCs w:val="false"/>
                <w:sz w:val="18"/>
                <w:szCs w:val="18"/>
              </w:rPr>
              <w:t xml:space="preserve">n/d</w:t>
            </w:r>
          </w:p>
        </w:tc>
        <w:tc>
          <w:tcPr>
            <w:tcW w:type="dxa" w:w="860"/>
            <w:tcMar>
              <w:top w:type="dxa" w:w="40"/>
              <w:left w:type="dxa" w:w="80"/>
              <w:bottom w:type="dxa" w:w="40"/>
              <w:right w:type="dxa" w:w="80"/>
            </w:tcMar>
          </w:tcPr>
          <w:p>
            <w:r>
              <w:rPr>
                <w:b w:val="false"/>
                <w:bCs w:val="false"/>
                <w:sz w:val="18"/>
                <w:szCs w:val="18"/>
              </w:rPr>
              <w:t xml:space="preserve">21.5</w:t>
            </w:r>
          </w:p>
        </w:tc>
        <w:tc>
          <w:tcPr>
            <w:tcW w:type="dxa" w:w="860"/>
            <w:tcMar>
              <w:top w:type="dxa" w:w="40"/>
              <w:left w:type="dxa" w:w="80"/>
              <w:bottom w:type="dxa" w:w="40"/>
              <w:right w:type="dxa" w:w="80"/>
            </w:tcMar>
          </w:tcPr>
          <w:p>
            <w:r>
              <w:rPr>
                <w:b w:val="false"/>
                <w:bCs w:val="false"/>
                <w:sz w:val="18"/>
                <w:szCs w:val="18"/>
              </w:rPr>
              <w:t xml:space="preserve">37.6</w:t>
            </w:r>
          </w:p>
        </w:tc>
        <w:tc>
          <w:tcPr>
            <w:tcW w:type="dxa" w:w="860"/>
            <w:tcMar>
              <w:top w:type="dxa" w:w="40"/>
              <w:left w:type="dxa" w:w="80"/>
              <w:bottom w:type="dxa" w:w="40"/>
              <w:right w:type="dxa" w:w="80"/>
            </w:tcMar>
          </w:tcPr>
          <w:p>
            <w:r>
              <w:rPr>
                <w:b w:val="false"/>
                <w:bCs w:val="false"/>
                <w:sz w:val="18"/>
                <w:szCs w:val="18"/>
              </w:rPr>
              <w:t xml:space="preserve">29.7</w:t>
            </w:r>
          </w:p>
        </w:tc>
        <w:tc>
          <w:tcPr>
            <w:tcW w:type="dxa" w:w="860"/>
            <w:tcMar>
              <w:top w:type="dxa" w:w="40"/>
              <w:left w:type="dxa" w:w="80"/>
              <w:bottom w:type="dxa" w:w="40"/>
              <w:right w:type="dxa" w:w="80"/>
            </w:tcMar>
          </w:tcPr>
          <w:p>
            <w:r>
              <w:rPr>
                <w:b w:val="false"/>
                <w:bCs w:val="false"/>
                <w:sz w:val="18"/>
                <w:szCs w:val="18"/>
              </w:rPr>
              <w:t xml:space="preserve">35.0</w:t>
            </w:r>
          </w:p>
        </w:tc>
        <w:tc>
          <w:tcPr>
            <w:tcW w:type="dxa" w:w="860"/>
            <w:tcMar>
              <w:top w:type="dxa" w:w="40"/>
              <w:left w:type="dxa" w:w="80"/>
              <w:bottom w:type="dxa" w:w="40"/>
              <w:right w:type="dxa" w:w="80"/>
            </w:tcMar>
          </w:tcPr>
          <w:p>
            <w:r>
              <w:rPr>
                <w:b w:val="false"/>
                <w:bCs w:val="false"/>
                <w:sz w:val="18"/>
                <w:szCs w:val="18"/>
              </w:rPr>
              <w:t xml:space="preserve">39.8</w:t>
            </w:r>
          </w:p>
        </w:tc>
        <w:tc>
          <w:tcPr>
            <w:tcW w:type="dxa" w:w="860"/>
            <w:tcMar>
              <w:top w:type="dxa" w:w="40"/>
              <w:left w:type="dxa" w:w="80"/>
              <w:bottom w:type="dxa" w:w="40"/>
              <w:right w:type="dxa" w:w="80"/>
            </w:tcMar>
          </w:tcPr>
          <w:p>
            <w:r>
              <w:rPr>
                <w:b w:val="false"/>
                <w:bCs w:val="false"/>
                <w:sz w:val="18"/>
                <w:szCs w:val="18"/>
              </w:rPr>
              <w:t xml:space="preserve">44.6</w:t>
            </w:r>
          </w:p>
        </w:tc>
        <w:tc>
          <w:tcPr>
            <w:tcW w:type="dxa" w:w="860"/>
            <w:tcMar>
              <w:top w:type="dxa" w:w="40"/>
              <w:left w:type="dxa" w:w="80"/>
              <w:bottom w:type="dxa" w:w="40"/>
              <w:right w:type="dxa" w:w="80"/>
            </w:tcMar>
          </w:tcPr>
          <w:p>
            <w:r>
              <w:rPr>
                <w:b w:val="false"/>
                <w:bCs w:val="false"/>
                <w:sz w:val="18"/>
                <w:szCs w:val="18"/>
              </w:rPr>
              <w:t xml:space="preserve">49.2</w:t>
            </w:r>
          </w:p>
        </w:tc>
      </w:tr>
      <w:tr>
        <w:tc>
          <w:tcPr>
            <w:tcW w:type="dxa" w:w="2480"/>
            <w:tcMar>
              <w:top w:type="dxa" w:w="40"/>
              <w:left w:type="dxa" w:w="80"/>
              <w:bottom w:type="dxa" w:w="40"/>
              <w:right w:type="dxa" w:w="80"/>
            </w:tcMar>
          </w:tcPr>
          <w:p>
            <w:r>
              <w:rPr>
                <w:b/>
                <w:bCs/>
                <w:sz w:val="18"/>
                <w:szCs w:val="18"/>
              </w:rPr>
              <w:t xml:space="preserve">Investing cash flow</w:t>
            </w:r>
          </w:p>
        </w:tc>
        <w:tc>
          <w:tcPr>
            <w:tcW w:type="dxa" w:w="860"/>
            <w:tcMar>
              <w:top w:type="dxa" w:w="40"/>
              <w:left w:type="dxa" w:w="80"/>
              <w:bottom w:type="dxa" w:w="40"/>
              <w:right w:type="dxa" w:w="80"/>
            </w:tcMar>
          </w:tcPr>
          <w:p>
            <w:r>
              <w:rPr>
                <w:b w:val="false"/>
                <w:bCs w:val="false"/>
                <w:sz w:val="18"/>
                <w:szCs w:val="18"/>
              </w:rPr>
              <w:t xml:space="preserve">n/d</w:t>
            </w:r>
          </w:p>
        </w:tc>
        <w:tc>
          <w:tcPr>
            <w:tcW w:type="dxa" w:w="860"/>
            <w:tcMar>
              <w:top w:type="dxa" w:w="40"/>
              <w:left w:type="dxa" w:w="80"/>
              <w:bottom w:type="dxa" w:w="40"/>
              <w:right w:type="dxa" w:w="80"/>
            </w:tcMar>
          </w:tcPr>
          <w:p>
            <w:r>
              <w:rPr>
                <w:b w:val="false"/>
                <w:bCs w:val="false"/>
                <w:sz w:val="18"/>
                <w:szCs w:val="18"/>
              </w:rPr>
              <w:t xml:space="preserve">(31.5)</w:t>
            </w:r>
          </w:p>
        </w:tc>
        <w:tc>
          <w:tcPr>
            <w:tcW w:type="dxa" w:w="860"/>
            <w:tcMar>
              <w:top w:type="dxa" w:w="40"/>
              <w:left w:type="dxa" w:w="80"/>
              <w:bottom w:type="dxa" w:w="40"/>
              <w:right w:type="dxa" w:w="80"/>
            </w:tcMar>
          </w:tcPr>
          <w:p>
            <w:r>
              <w:rPr>
                <w:b w:val="false"/>
                <w:bCs w:val="false"/>
                <w:sz w:val="18"/>
                <w:szCs w:val="18"/>
              </w:rPr>
              <w:t xml:space="preserve">(29.2)</w:t>
            </w:r>
          </w:p>
        </w:tc>
        <w:tc>
          <w:tcPr>
            <w:tcW w:type="dxa" w:w="860"/>
            <w:tcMar>
              <w:top w:type="dxa" w:w="40"/>
              <w:left w:type="dxa" w:w="80"/>
              <w:bottom w:type="dxa" w:w="40"/>
              <w:right w:type="dxa" w:w="80"/>
            </w:tcMar>
          </w:tcPr>
          <w:p>
            <w:r>
              <w:rPr>
                <w:b w:val="false"/>
                <w:bCs w:val="false"/>
                <w:sz w:val="18"/>
                <w:szCs w:val="18"/>
              </w:rPr>
              <w:t xml:space="preserve">(31.1)</w:t>
            </w:r>
          </w:p>
        </w:tc>
        <w:tc>
          <w:tcPr>
            <w:tcW w:type="dxa" w:w="860"/>
            <w:tcMar>
              <w:top w:type="dxa" w:w="40"/>
              <w:left w:type="dxa" w:w="80"/>
              <w:bottom w:type="dxa" w:w="40"/>
              <w:right w:type="dxa" w:w="80"/>
            </w:tcMar>
          </w:tcPr>
          <w:p>
            <w:r>
              <w:rPr>
                <w:b w:val="false"/>
                <w:bCs w:val="false"/>
                <w:sz w:val="18"/>
                <w:szCs w:val="18"/>
              </w:rPr>
              <w:t xml:space="preserve">(31.5)</w:t>
            </w:r>
          </w:p>
        </w:tc>
        <w:tc>
          <w:tcPr>
            <w:tcW w:type="dxa" w:w="860"/>
            <w:tcMar>
              <w:top w:type="dxa" w:w="40"/>
              <w:left w:type="dxa" w:w="80"/>
              <w:bottom w:type="dxa" w:w="40"/>
              <w:right w:type="dxa" w:w="80"/>
            </w:tcMar>
          </w:tcPr>
          <w:p>
            <w:r>
              <w:rPr>
                <w:b w:val="false"/>
                <w:bCs w:val="false"/>
                <w:sz w:val="18"/>
                <w:szCs w:val="18"/>
              </w:rPr>
              <w:t xml:space="preserve">(32.9)</w:t>
            </w:r>
          </w:p>
        </w:tc>
        <w:tc>
          <w:tcPr>
            <w:tcW w:type="dxa" w:w="860"/>
            <w:tcMar>
              <w:top w:type="dxa" w:w="40"/>
              <w:left w:type="dxa" w:w="80"/>
              <w:bottom w:type="dxa" w:w="40"/>
              <w:right w:type="dxa" w:w="80"/>
            </w:tcMar>
          </w:tcPr>
          <w:p>
            <w:r>
              <w:rPr>
                <w:b w:val="false"/>
                <w:bCs w:val="false"/>
                <w:sz w:val="18"/>
                <w:szCs w:val="18"/>
              </w:rPr>
              <w:t xml:space="preserve">(34.0)</w:t>
            </w:r>
          </w:p>
        </w:tc>
        <w:tc>
          <w:tcPr>
            <w:tcW w:type="dxa" w:w="860"/>
            <w:tcMar>
              <w:top w:type="dxa" w:w="40"/>
              <w:left w:type="dxa" w:w="80"/>
              <w:bottom w:type="dxa" w:w="40"/>
              <w:right w:type="dxa" w:w="80"/>
            </w:tcMar>
          </w:tcPr>
          <w:p>
            <w:r>
              <w:rPr>
                <w:b w:val="false"/>
                <w:bCs w:val="false"/>
                <w:sz w:val="18"/>
                <w:szCs w:val="18"/>
              </w:rPr>
              <w:t xml:space="preserve">(34.8)</w:t>
            </w:r>
          </w:p>
        </w:tc>
      </w:tr>
      <w:tr>
        <w:tc>
          <w:tcPr>
            <w:tcW w:type="dxa" w:w="2480"/>
            <w:tcMar>
              <w:top w:type="dxa" w:w="40"/>
              <w:left w:type="dxa" w:w="80"/>
              <w:bottom w:type="dxa" w:w="40"/>
              <w:right w:type="dxa" w:w="80"/>
            </w:tcMar>
          </w:tcPr>
          <w:p>
            <w:r>
              <w:rPr>
                <w:b/>
                <w:bCs/>
                <w:sz w:val="18"/>
                <w:szCs w:val="18"/>
              </w:rPr>
              <w:t xml:space="preserve">Financing cash flow</w:t>
            </w:r>
          </w:p>
        </w:tc>
        <w:tc>
          <w:tcPr>
            <w:tcW w:type="dxa" w:w="860"/>
            <w:tcMar>
              <w:top w:type="dxa" w:w="40"/>
              <w:left w:type="dxa" w:w="80"/>
              <w:bottom w:type="dxa" w:w="40"/>
              <w:right w:type="dxa" w:w="80"/>
            </w:tcMar>
          </w:tcPr>
          <w:p>
            <w:r>
              <w:rPr>
                <w:b w:val="false"/>
                <w:bCs w:val="false"/>
                <w:sz w:val="18"/>
                <w:szCs w:val="18"/>
              </w:rPr>
              <w:t xml:space="preserve">n/d</w:t>
            </w:r>
          </w:p>
        </w:tc>
        <w:tc>
          <w:tcPr>
            <w:tcW w:type="dxa" w:w="860"/>
            <w:tcMar>
              <w:top w:type="dxa" w:w="40"/>
              <w:left w:type="dxa" w:w="80"/>
              <w:bottom w:type="dxa" w:w="40"/>
              <w:right w:type="dxa" w:w="80"/>
            </w:tcMar>
          </w:tcPr>
          <w:p>
            <w:r>
              <w:rPr>
                <w:b w:val="false"/>
                <w:bCs w:val="false"/>
                <w:sz w:val="18"/>
                <w:szCs w:val="18"/>
              </w:rPr>
              <w:t xml:space="preserve">6.9</w:t>
            </w:r>
          </w:p>
        </w:tc>
        <w:tc>
          <w:tcPr>
            <w:tcW w:type="dxa" w:w="860"/>
            <w:tcMar>
              <w:top w:type="dxa" w:w="40"/>
              <w:left w:type="dxa" w:w="80"/>
              <w:bottom w:type="dxa" w:w="40"/>
              <w:right w:type="dxa" w:w="80"/>
            </w:tcMar>
          </w:tcPr>
          <w:p>
            <w:r>
              <w:rPr>
                <w:b w:val="false"/>
                <w:bCs w:val="false"/>
                <w:sz w:val="18"/>
                <w:szCs w:val="18"/>
              </w:rPr>
              <w:t xml:space="preserve">(8.3)</w:t>
            </w:r>
          </w:p>
        </w:tc>
        <w:tc>
          <w:tcPr>
            <w:tcW w:type="dxa" w:w="860"/>
            <w:tcMar>
              <w:top w:type="dxa" w:w="40"/>
              <w:left w:type="dxa" w:w="80"/>
              <w:bottom w:type="dxa" w:w="40"/>
              <w:right w:type="dxa" w:w="80"/>
            </w:tcMar>
          </w:tcPr>
          <w:p>
            <w:r>
              <w:rPr>
                <w:b w:val="false"/>
                <w:bCs w:val="false"/>
                <w:sz w:val="18"/>
                <w:szCs w:val="18"/>
              </w:rPr>
              <w:t xml:space="preserve">1.3</w:t>
            </w:r>
          </w:p>
        </w:tc>
        <w:tc>
          <w:tcPr>
            <w:tcW w:type="dxa" w:w="860"/>
            <w:tcMar>
              <w:top w:type="dxa" w:w="40"/>
              <w:left w:type="dxa" w:w="80"/>
              <w:bottom w:type="dxa" w:w="40"/>
              <w:right w:type="dxa" w:w="80"/>
            </w:tcMar>
          </w:tcPr>
          <w:p>
            <w:r>
              <w:rPr>
                <w:b w:val="false"/>
                <w:bCs w:val="false"/>
                <w:sz w:val="18"/>
                <w:szCs w:val="18"/>
              </w:rPr>
              <w:t xml:space="preserve">(3.4)</w:t>
            </w:r>
          </w:p>
        </w:tc>
        <w:tc>
          <w:tcPr>
            <w:tcW w:type="dxa" w:w="860"/>
            <w:tcMar>
              <w:top w:type="dxa" w:w="40"/>
              <w:left w:type="dxa" w:w="80"/>
              <w:bottom w:type="dxa" w:w="40"/>
              <w:right w:type="dxa" w:w="80"/>
            </w:tcMar>
          </w:tcPr>
          <w:p>
            <w:r>
              <w:rPr>
                <w:b w:val="false"/>
                <w:bCs w:val="false"/>
                <w:sz w:val="18"/>
                <w:szCs w:val="18"/>
              </w:rPr>
              <w:t xml:space="preserve">(6.8)</w:t>
            </w:r>
          </w:p>
        </w:tc>
        <w:tc>
          <w:tcPr>
            <w:tcW w:type="dxa" w:w="860"/>
            <w:tcMar>
              <w:top w:type="dxa" w:w="40"/>
              <w:left w:type="dxa" w:w="80"/>
              <w:bottom w:type="dxa" w:w="40"/>
              <w:right w:type="dxa" w:w="80"/>
            </w:tcMar>
          </w:tcPr>
          <w:p>
            <w:r>
              <w:rPr>
                <w:b w:val="false"/>
                <w:bCs w:val="false"/>
                <w:sz w:val="18"/>
                <w:szCs w:val="18"/>
              </w:rPr>
              <w:t xml:space="preserve">(10.5)</w:t>
            </w:r>
          </w:p>
        </w:tc>
        <w:tc>
          <w:tcPr>
            <w:tcW w:type="dxa" w:w="860"/>
            <w:tcMar>
              <w:top w:type="dxa" w:w="40"/>
              <w:left w:type="dxa" w:w="80"/>
              <w:bottom w:type="dxa" w:w="40"/>
              <w:right w:type="dxa" w:w="80"/>
            </w:tcMar>
          </w:tcPr>
          <w:p>
            <w:r>
              <w:rPr>
                <w:b w:val="false"/>
                <w:bCs w:val="false"/>
                <w:sz w:val="18"/>
                <w:szCs w:val="18"/>
              </w:rPr>
              <w:t xml:space="preserve">(14.4)</w:t>
            </w:r>
          </w:p>
        </w:tc>
      </w:tr>
      <w:tr>
        <w:tc>
          <w:tcPr>
            <w:tcW w:type="dxa" w:w="2480"/>
            <w:tcMar>
              <w:top w:type="dxa" w:w="40"/>
              <w:left w:type="dxa" w:w="80"/>
              <w:bottom w:type="dxa" w:w="40"/>
              <w:right w:type="dxa" w:w="80"/>
            </w:tcMar>
          </w:tcPr>
          <w:p>
            <w:r>
              <w:rPr>
                <w:b/>
                <w:bCs/>
                <w:sz w:val="18"/>
                <w:szCs w:val="18"/>
              </w:rPr>
              <w:t xml:space="preserve">Cash, end of period</w:t>
            </w:r>
          </w:p>
        </w:tc>
        <w:tc>
          <w:tcPr>
            <w:tcW w:type="dxa" w:w="860"/>
            <w:tcMar>
              <w:top w:type="dxa" w:w="40"/>
              <w:left w:type="dxa" w:w="80"/>
              <w:bottom w:type="dxa" w:w="40"/>
              <w:right w:type="dxa" w:w="80"/>
            </w:tcMar>
          </w:tcPr>
          <w:p>
            <w:r>
              <w:rPr>
                <w:b w:val="false"/>
                <w:bCs w:val="false"/>
                <w:sz w:val="18"/>
                <w:szCs w:val="18"/>
              </w:rPr>
              <w:t xml:space="preserve">10.4</w:t>
            </w:r>
          </w:p>
        </w:tc>
        <w:tc>
          <w:tcPr>
            <w:tcW w:type="dxa" w:w="860"/>
            <w:tcMar>
              <w:top w:type="dxa" w:w="40"/>
              <w:left w:type="dxa" w:w="80"/>
              <w:bottom w:type="dxa" w:w="40"/>
              <w:right w:type="dxa" w:w="80"/>
            </w:tcMar>
          </w:tcPr>
          <w:p>
            <w:r>
              <w:rPr>
                <w:b w:val="false"/>
                <w:bCs w:val="false"/>
                <w:sz w:val="18"/>
                <w:szCs w:val="18"/>
              </w:rPr>
              <w:t xml:space="preserve">7.6</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c>
          <w:tcPr>
            <w:tcW w:type="dxa" w:w="860"/>
            <w:tcMar>
              <w:top w:type="dxa" w:w="40"/>
              <w:left w:type="dxa" w:w="80"/>
              <w:bottom w:type="dxa" w:w="40"/>
              <w:right w:type="dxa" w:w="80"/>
            </w:tcMar>
          </w:tcPr>
          <w:p>
            <w:r>
              <w:rPr>
                <w:b w:val="false"/>
                <w:bCs w:val="false"/>
                <w:sz w:val="18"/>
                <w:szCs w:val="18"/>
              </w:rPr>
              <w:t xml:space="preserve">7.7</w:t>
            </w:r>
          </w:p>
        </w:tc>
      </w:tr>
      <w:tr>
        <w:tc>
          <w:tcPr>
            <w:tcW w:type="dxa" w:w="2480"/>
            <w:tcMar>
              <w:top w:type="dxa" w:w="40"/>
              <w:left w:type="dxa" w:w="80"/>
              <w:bottom w:type="dxa" w:w="40"/>
              <w:right w:type="dxa" w:w="80"/>
            </w:tcMar>
          </w:tcPr>
          <w:p>
            <w:r>
              <w:rPr>
                <w:b/>
                <w:bCs/>
                <w:sz w:val="18"/>
                <w:szCs w:val="18"/>
              </w:rPr>
              <w:t xml:space="preserve">Cash capex (incl. licences), memo</w:t>
            </w:r>
          </w:p>
        </w:tc>
        <w:tc>
          <w:tcPr>
            <w:tcW w:type="dxa" w:w="860"/>
            <w:tcMar>
              <w:top w:type="dxa" w:w="40"/>
              <w:left w:type="dxa" w:w="80"/>
              <w:bottom w:type="dxa" w:w="40"/>
              <w:right w:type="dxa" w:w="80"/>
            </w:tcMar>
          </w:tcPr>
          <w:p>
            <w:r>
              <w:rPr>
                <w:b w:val="false"/>
                <w:bCs w:val="false"/>
                <w:sz w:val="18"/>
                <w:szCs w:val="18"/>
              </w:rPr>
              <w:t xml:space="preserve">26.4</w:t>
            </w:r>
          </w:p>
        </w:tc>
        <w:tc>
          <w:tcPr>
            <w:tcW w:type="dxa" w:w="860"/>
            <w:tcMar>
              <w:top w:type="dxa" w:w="40"/>
              <w:left w:type="dxa" w:w="80"/>
              <w:bottom w:type="dxa" w:w="40"/>
              <w:right w:type="dxa" w:w="80"/>
            </w:tcMar>
          </w:tcPr>
          <w:p>
            <w:r>
              <w:rPr>
                <w:b w:val="false"/>
                <w:bCs w:val="false"/>
                <w:sz w:val="18"/>
                <w:szCs w:val="18"/>
              </w:rPr>
              <w:t xml:space="preserve">35.1</w:t>
            </w:r>
          </w:p>
        </w:tc>
        <w:tc>
          <w:tcPr>
            <w:tcW w:type="dxa" w:w="860"/>
            <w:tcMar>
              <w:top w:type="dxa" w:w="40"/>
              <w:left w:type="dxa" w:w="80"/>
              <w:bottom w:type="dxa" w:w="40"/>
              <w:right w:type="dxa" w:w="80"/>
            </w:tcMar>
          </w:tcPr>
          <w:p>
            <w:r>
              <w:rPr>
                <w:b w:val="false"/>
                <w:bCs w:val="false"/>
                <w:sz w:val="18"/>
                <w:szCs w:val="18"/>
              </w:rPr>
              <w:t xml:space="preserve">29.6</w:t>
            </w:r>
          </w:p>
        </w:tc>
        <w:tc>
          <w:tcPr>
            <w:tcW w:type="dxa" w:w="860"/>
            <w:tcMar>
              <w:top w:type="dxa" w:w="40"/>
              <w:left w:type="dxa" w:w="80"/>
              <w:bottom w:type="dxa" w:w="40"/>
              <w:right w:type="dxa" w:w="80"/>
            </w:tcMar>
          </w:tcPr>
          <w:p>
            <w:r>
              <w:rPr>
                <w:b w:val="false"/>
                <w:bCs w:val="false"/>
                <w:sz w:val="18"/>
                <w:szCs w:val="18"/>
              </w:rPr>
              <w:t xml:space="preserve">31.1</w:t>
            </w:r>
          </w:p>
        </w:tc>
        <w:tc>
          <w:tcPr>
            <w:tcW w:type="dxa" w:w="860"/>
            <w:tcMar>
              <w:top w:type="dxa" w:w="40"/>
              <w:left w:type="dxa" w:w="80"/>
              <w:bottom w:type="dxa" w:w="40"/>
              <w:right w:type="dxa" w:w="80"/>
            </w:tcMar>
          </w:tcPr>
          <w:p>
            <w:r>
              <w:rPr>
                <w:b w:val="false"/>
                <w:bCs w:val="false"/>
                <w:sz w:val="18"/>
                <w:szCs w:val="18"/>
              </w:rPr>
              <w:t xml:space="preserve">31.5</w:t>
            </w:r>
          </w:p>
        </w:tc>
        <w:tc>
          <w:tcPr>
            <w:tcW w:type="dxa" w:w="860"/>
            <w:tcMar>
              <w:top w:type="dxa" w:w="40"/>
              <w:left w:type="dxa" w:w="80"/>
              <w:bottom w:type="dxa" w:w="40"/>
              <w:right w:type="dxa" w:w="80"/>
            </w:tcMar>
          </w:tcPr>
          <w:p>
            <w:r>
              <w:rPr>
                <w:b w:val="false"/>
                <w:bCs w:val="false"/>
                <w:sz w:val="18"/>
                <w:szCs w:val="18"/>
              </w:rPr>
              <w:t xml:space="preserve">32.9</w:t>
            </w:r>
          </w:p>
        </w:tc>
        <w:tc>
          <w:tcPr>
            <w:tcW w:type="dxa" w:w="860"/>
            <w:tcMar>
              <w:top w:type="dxa" w:w="40"/>
              <w:left w:type="dxa" w:w="80"/>
              <w:bottom w:type="dxa" w:w="40"/>
              <w:right w:type="dxa" w:w="80"/>
            </w:tcMar>
          </w:tcPr>
          <w:p>
            <w:r>
              <w:rPr>
                <w:b w:val="false"/>
                <w:bCs w:val="false"/>
                <w:sz w:val="18"/>
                <w:szCs w:val="18"/>
              </w:rPr>
              <w:t xml:space="preserve">34.0</w:t>
            </w:r>
          </w:p>
        </w:tc>
        <w:tc>
          <w:tcPr>
            <w:tcW w:type="dxa" w:w="860"/>
            <w:tcMar>
              <w:top w:type="dxa" w:w="40"/>
              <w:left w:type="dxa" w:w="80"/>
              <w:bottom w:type="dxa" w:w="40"/>
              <w:right w:type="dxa" w:w="80"/>
            </w:tcMar>
          </w:tcPr>
          <w:p>
            <w:r>
              <w:rPr>
                <w:b w:val="false"/>
                <w:bCs w:val="false"/>
                <w:sz w:val="18"/>
                <w:szCs w:val="18"/>
              </w:rPr>
              <w:t xml:space="preserve">34.8</w:t>
            </w:r>
          </w:p>
        </w:tc>
      </w:tr>
      <w:tr>
        <w:tc>
          <w:tcPr>
            <w:tcW w:type="dxa" w:w="2480"/>
            <w:tcMar>
              <w:top w:type="dxa" w:w="40"/>
              <w:left w:type="dxa" w:w="80"/>
              <w:bottom w:type="dxa" w:w="40"/>
              <w:right w:type="dxa" w:w="80"/>
            </w:tcMar>
          </w:tcPr>
          <w:p>
            <w:r>
              <w:rPr>
                <w:b/>
                <w:bCs/>
                <w:sz w:val="18"/>
                <w:szCs w:val="18"/>
              </w:rPr>
              <w:t xml:space="preserve">In-service capex, memo</w:t>
            </w:r>
          </w:p>
        </w:tc>
        <w:tc>
          <w:tcPr>
            <w:tcW w:type="dxa" w:w="860"/>
            <w:tcMar>
              <w:top w:type="dxa" w:w="40"/>
              <w:left w:type="dxa" w:w="80"/>
              <w:bottom w:type="dxa" w:w="40"/>
              <w:right w:type="dxa" w:w="80"/>
            </w:tcMar>
          </w:tcPr>
          <w:p>
            <w:r>
              <w:rPr>
                <w:b w:val="false"/>
                <w:bCs w:val="false"/>
                <w:sz w:val="18"/>
                <w:szCs w:val="18"/>
              </w:rPr>
              <w:t xml:space="preserve">20.3</w:t>
            </w:r>
          </w:p>
        </w:tc>
        <w:tc>
          <w:tcPr>
            <w:tcW w:type="dxa" w:w="860"/>
            <w:tcMar>
              <w:top w:type="dxa" w:w="40"/>
              <w:left w:type="dxa" w:w="80"/>
              <w:bottom w:type="dxa" w:w="40"/>
              <w:right w:type="dxa" w:w="80"/>
            </w:tcMar>
          </w:tcPr>
          <w:p>
            <w:r>
              <w:rPr>
                <w:b w:val="false"/>
                <w:bCs w:val="false"/>
                <w:sz w:val="18"/>
                <w:szCs w:val="18"/>
              </w:rPr>
              <w:t xml:space="preserve">19.8</w:t>
            </w:r>
          </w:p>
        </w:tc>
        <w:tc>
          <w:tcPr>
            <w:tcW w:type="dxa" w:w="860"/>
            <w:tcMar>
              <w:top w:type="dxa" w:w="40"/>
              <w:left w:type="dxa" w:w="80"/>
              <w:bottom w:type="dxa" w:w="40"/>
              <w:right w:type="dxa" w:w="80"/>
            </w:tcMar>
          </w:tcPr>
          <w:p>
            <w:r>
              <w:rPr>
                <w:b w:val="false"/>
                <w:bCs w:val="false"/>
                <w:sz w:val="18"/>
                <w:szCs w:val="18"/>
              </w:rPr>
              <w:t xml:space="preserve">20.4</w:t>
            </w:r>
          </w:p>
        </w:tc>
        <w:tc>
          <w:tcPr>
            <w:tcW w:type="dxa" w:w="860"/>
            <w:tcMar>
              <w:top w:type="dxa" w:w="40"/>
              <w:left w:type="dxa" w:w="80"/>
              <w:bottom w:type="dxa" w:w="40"/>
              <w:right w:type="dxa" w:w="80"/>
            </w:tcMar>
          </w:tcPr>
          <w:p>
            <w:r>
              <w:rPr>
                <w:b w:val="false"/>
                <w:bCs w:val="false"/>
                <w:sz w:val="18"/>
                <w:szCs w:val="18"/>
              </w:rPr>
              <w:t xml:space="preserve">—</w:t>
            </w:r>
          </w:p>
        </w:tc>
        <w:tc>
          <w:tcPr>
            <w:tcW w:type="dxa" w:w="860"/>
            <w:tcMar>
              <w:top w:type="dxa" w:w="40"/>
              <w:left w:type="dxa" w:w="80"/>
              <w:bottom w:type="dxa" w:w="40"/>
              <w:right w:type="dxa" w:w="80"/>
            </w:tcMar>
          </w:tcPr>
          <w:p>
            <w:r>
              <w:rPr>
                <w:b w:val="false"/>
                <w:bCs w:val="false"/>
                <w:sz w:val="18"/>
                <w:szCs w:val="18"/>
              </w:rPr>
              <w:t xml:space="preserve">—</w:t>
            </w:r>
          </w:p>
        </w:tc>
        <w:tc>
          <w:tcPr>
            <w:tcW w:type="dxa" w:w="860"/>
            <w:tcMar>
              <w:top w:type="dxa" w:w="40"/>
              <w:left w:type="dxa" w:w="80"/>
              <w:bottom w:type="dxa" w:w="40"/>
              <w:right w:type="dxa" w:w="80"/>
            </w:tcMar>
          </w:tcPr>
          <w:p>
            <w:r>
              <w:rPr>
                <w:b w:val="false"/>
                <w:bCs w:val="false"/>
                <w:sz w:val="18"/>
                <w:szCs w:val="18"/>
              </w:rPr>
              <w:t xml:space="preserve">—</w:t>
            </w:r>
          </w:p>
        </w:tc>
        <w:tc>
          <w:tcPr>
            <w:tcW w:type="dxa" w:w="860"/>
            <w:tcMar>
              <w:top w:type="dxa" w:w="40"/>
              <w:left w:type="dxa" w:w="80"/>
              <w:bottom w:type="dxa" w:w="40"/>
              <w:right w:type="dxa" w:w="80"/>
            </w:tcMar>
          </w:tcPr>
          <w:p>
            <w:r>
              <w:rPr>
                <w:b w:val="false"/>
                <w:bCs w:val="false"/>
                <w:sz w:val="18"/>
                <w:szCs w:val="18"/>
              </w:rPr>
              <w:t xml:space="preserve">—</w:t>
            </w:r>
          </w:p>
        </w:tc>
        <w:tc>
          <w:tcPr>
            <w:tcW w:type="dxa" w:w="860"/>
            <w:tcMar>
              <w:top w:type="dxa" w:w="40"/>
              <w:left w:type="dxa" w:w="80"/>
              <w:bottom w:type="dxa" w:w="40"/>
              <w:right w:type="dxa" w:w="80"/>
            </w:tcMar>
          </w:tcPr>
          <w:p>
            <w:r>
              <w:rPr>
                <w:b w:val="false"/>
                <w:bCs w:val="false"/>
                <w:sz w:val="18"/>
                <w:szCs w:val="18"/>
              </w:rPr>
              <w:t xml:space="preserve">—</w:t>
            </w:r>
          </w:p>
        </w:tc>
      </w:tr>
      <w:tr>
        <w:tc>
          <w:tcPr>
            <w:tcW w:type="dxa" w:w="2480"/>
            <w:tcMar>
              <w:top w:type="dxa" w:w="40"/>
              <w:left w:type="dxa" w:w="80"/>
              <w:bottom w:type="dxa" w:w="40"/>
              <w:right w:type="dxa" w:w="80"/>
            </w:tcMar>
          </w:tcPr>
          <w:p>
            <w:r>
              <w:rPr>
                <w:b/>
                <w:bCs/>
                <w:sz w:val="18"/>
                <w:szCs w:val="18"/>
              </w:rPr>
              <w:t xml:space="preserve">FCFF (company definition), memo</w:t>
            </w:r>
          </w:p>
        </w:tc>
        <w:tc>
          <w:tcPr>
            <w:tcW w:type="dxa" w:w="860"/>
            <w:tcMar>
              <w:top w:type="dxa" w:w="40"/>
              <w:left w:type="dxa" w:w="80"/>
              <w:bottom w:type="dxa" w:w="40"/>
              <w:right w:type="dxa" w:w="80"/>
            </w:tcMar>
          </w:tcPr>
          <w:p>
            <w:r>
              <w:rPr>
                <w:b w:val="false"/>
                <w:bCs w:val="false"/>
                <w:sz w:val="18"/>
                <w:szCs w:val="18"/>
              </w:rPr>
              <w:t xml:space="preserve">n/d</w:t>
            </w:r>
          </w:p>
        </w:tc>
        <w:tc>
          <w:tcPr>
            <w:tcW w:type="dxa" w:w="860"/>
            <w:tcMar>
              <w:top w:type="dxa" w:w="40"/>
              <w:left w:type="dxa" w:w="80"/>
              <w:bottom w:type="dxa" w:w="40"/>
              <w:right w:type="dxa" w:w="80"/>
            </w:tcMar>
          </w:tcPr>
          <w:p>
            <w:r>
              <w:rPr>
                <w:b w:val="false"/>
                <w:bCs w:val="false"/>
                <w:sz w:val="18"/>
                <w:szCs w:val="18"/>
              </w:rPr>
              <w:t xml:space="preserve">(1.6)</w:t>
            </w:r>
          </w:p>
        </w:tc>
        <w:tc>
          <w:tcPr>
            <w:tcW w:type="dxa" w:w="860"/>
            <w:tcMar>
              <w:top w:type="dxa" w:w="40"/>
              <w:left w:type="dxa" w:w="80"/>
              <w:bottom w:type="dxa" w:w="40"/>
              <w:right w:type="dxa" w:w="80"/>
            </w:tcMar>
          </w:tcPr>
          <w:p>
            <w:r>
              <w:rPr>
                <w:b w:val="false"/>
                <w:bCs w:val="false"/>
                <w:sz w:val="18"/>
                <w:szCs w:val="18"/>
              </w:rPr>
              <w:t xml:space="preserve">21.1</w:t>
            </w:r>
          </w:p>
        </w:tc>
        <w:tc>
          <w:tcPr>
            <w:tcW w:type="dxa" w:w="860"/>
            <w:tcMar>
              <w:top w:type="dxa" w:w="40"/>
              <w:left w:type="dxa" w:w="80"/>
              <w:bottom w:type="dxa" w:w="40"/>
              <w:right w:type="dxa" w:w="80"/>
            </w:tcMar>
          </w:tcPr>
          <w:p>
            <w:r>
              <w:rPr>
                <w:b w:val="false"/>
                <w:bCs w:val="false"/>
                <w:sz w:val="18"/>
                <w:szCs w:val="18"/>
              </w:rPr>
              <w:t xml:space="preserve">18.5</w:t>
            </w:r>
          </w:p>
        </w:tc>
        <w:tc>
          <w:tcPr>
            <w:tcW w:type="dxa" w:w="860"/>
            <w:tcMar>
              <w:top w:type="dxa" w:w="40"/>
              <w:left w:type="dxa" w:w="80"/>
              <w:bottom w:type="dxa" w:w="40"/>
              <w:right w:type="dxa" w:w="80"/>
            </w:tcMar>
          </w:tcPr>
          <w:p>
            <w:r>
              <w:rPr>
                <w:b w:val="false"/>
                <w:bCs w:val="false"/>
                <w:sz w:val="18"/>
                <w:szCs w:val="18"/>
              </w:rPr>
              <w:t xml:space="preserve">20.6</w:t>
            </w:r>
          </w:p>
        </w:tc>
        <w:tc>
          <w:tcPr>
            <w:tcW w:type="dxa" w:w="860"/>
            <w:tcMar>
              <w:top w:type="dxa" w:w="40"/>
              <w:left w:type="dxa" w:w="80"/>
              <w:bottom w:type="dxa" w:w="40"/>
              <w:right w:type="dxa" w:w="80"/>
            </w:tcMar>
          </w:tcPr>
          <w:p>
            <w:r>
              <w:rPr>
                <w:b w:val="false"/>
                <w:bCs w:val="false"/>
                <w:sz w:val="18"/>
                <w:szCs w:val="18"/>
              </w:rPr>
              <w:t xml:space="preserve">22.7</w:t>
            </w:r>
          </w:p>
        </w:tc>
        <w:tc>
          <w:tcPr>
            <w:tcW w:type="dxa" w:w="860"/>
            <w:tcMar>
              <w:top w:type="dxa" w:w="40"/>
              <w:left w:type="dxa" w:w="80"/>
              <w:bottom w:type="dxa" w:w="40"/>
              <w:right w:type="dxa" w:w="80"/>
            </w:tcMar>
          </w:tcPr>
          <w:p>
            <w:r>
              <w:rPr>
                <w:b w:val="false"/>
                <w:bCs w:val="false"/>
                <w:sz w:val="18"/>
                <w:szCs w:val="18"/>
              </w:rPr>
              <w:t xml:space="preserve">25.3</w:t>
            </w:r>
          </w:p>
        </w:tc>
        <w:tc>
          <w:tcPr>
            <w:tcW w:type="dxa" w:w="860"/>
            <w:tcMar>
              <w:top w:type="dxa" w:w="40"/>
              <w:left w:type="dxa" w:w="80"/>
              <w:bottom w:type="dxa" w:w="40"/>
              <w:right w:type="dxa" w:w="80"/>
            </w:tcMar>
          </w:tcPr>
          <w:p>
            <w:r>
              <w:rPr>
                <w:b w:val="false"/>
                <w:bCs w:val="false"/>
                <w:sz w:val="18"/>
                <w:szCs w:val="18"/>
              </w:rPr>
              <w:t xml:space="preserve">27.9</w:t>
            </w:r>
          </w:p>
        </w:tc>
      </w:tr>
    </w:tbl>
    <w:p>
      <w:pPr>
        <w:spacing w:after="120"/>
      </w:pPr>
    </w:p>
    <w:p>
      <w:pPr>
        <w:spacing w:before="12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38425"/>
                    </a:xfrm>
                    <a:prstGeom prst="rect">
                      <a:avLst/>
                    </a:prstGeom>
                  </pic:spPr>
                </pic:pic>
              </a:graphicData>
            </a:graphic>
          </wp:inline>
        </w:drawing>
      </w:r>
    </w:p>
    <w:p>
      <w:pPr>
        <w:spacing w:after="180" w:before="60"/>
      </w:pPr>
      <w:r>
        <w:rPr>
          <w:i/>
          <w:iCs/>
          <w:color w:val="666666"/>
          <w:sz w:val="18"/>
          <w:szCs w:val="18"/>
        </w:rPr>
        <w:t xml:space="preserve">Figure 7 — Revenue and EBITDA: three years reported, five forecast (model; FY26E–FY30E drivers on the Assumptions sheet of the companion workbook).</w:t>
      </w:r>
    </w:p>
    <w:p>
      <w:pPr>
        <w:pStyle w:val="Heading1"/>
        <w:spacing w:after="140" w:before="300"/>
      </w:pPr>
      <w:r>
        <w:t xml:space="preserve">Appendix B  Step 0 — calibration backtest</w:t>
      </w:r>
    </w:p>
    <w:p>
      <w:pPr>
        <w:spacing w:after="140"/>
      </w:pPr>
      <w:r>
        <w:t xml:space="preserve">Before any forecast we test the Monte Carlo lens on ETEL's own five-and-a-half years of history: at 17 non-overlapping quarterly origins (h = 60 sessions), using only data up to each origin, the YZ-HAR engine generates the three-month-ahead distribution and the realized close is scored against it. The </w:t>
      </w:r>
      <w:r>
        <w:rPr>
          <w:b/>
          <w:bCs/>
        </w:rPr>
        <w:t xml:space="preserve">grade is skill versus a naïve benchmark</w:t>
      </w:r>
      <w:r>
        <w:t xml:space="preserve"> — a zero-drift random-walk lognormal cone on trailing realized vol — measured by CRPS skill and the 80% Winkler interval score; the PIT histogram and the coverage table are diagnostics only, because hit-rates reward width. Two drift configurations were run. Drift-OFF (the default for a first-pass asset class) beat the benchmark on CRPS (+4.5%) but produced a materially right-skewed PIT (mean 0.66, KS p = 0.03): realized prices sat persistently in the upper half of the forecast — the signature of this name's genuine secular uptrend. Per protocol we recalibrated the asset-class drift and re-ran: with the EGX secular drift ON, CRPS skill rises to </w:t>
      </w:r>
      <w:r>
        <w:rPr>
          <w:b/>
          <w:bCs/>
        </w:rPr>
        <w:t xml:space="preserve">+13.0%</w:t>
      </w:r>
      <w:r>
        <w:t xml:space="preserve">, Winkler skill to </w:t>
      </w:r>
      <w:r>
        <w:rPr>
          <w:b/>
          <w:bCs/>
        </w:rPr>
        <w:t xml:space="preserve">+20.3%</w:t>
      </w:r>
      <w:r>
        <w:t xml:space="preserve">, and the PIT is statistically uniform (KS p = 0.54). </w:t>
      </w:r>
      <w:r>
        <w:rPr>
          <w:b/>
          <w:bCs/>
        </w:rPr>
        <w:t xml:space="preserve">EGX-telecom therefore joins the EGX secular-drift class</w:t>
      </w:r>
      <w:r>
        <w:t xml:space="preserve">, and drift-ON is the configuration carried into §3.</w:t>
      </w:r>
    </w:p>
    <w:tbl>
      <w:tblPr>
        <w:tblW w:type="dxa" w:w="10160"/>
        <w:tblBorders>
          <w:top w:val="single" w:color="D9E2E2" w:sz="4"/>
          <w:left w:val="single" w:color="D9E2E2" w:sz="4"/>
          <w:bottom w:val="single" w:color="D9E2E2" w:sz="4"/>
          <w:right w:val="single" w:color="D9E2E2" w:sz="4"/>
          <w:insideH w:val="single" w:color="D9E2E2" w:sz="4"/>
          <w:insideV w:val="single" w:color="D9E2E2" w:sz="4"/>
        </w:tblBorders>
      </w:tblPr>
      <w:tblGrid>
        <w:gridCol w:w="2360"/>
        <w:gridCol w:w="700"/>
        <w:gridCol w:w="1220"/>
        <w:gridCol w:w="1560"/>
        <w:gridCol w:w="900"/>
        <w:gridCol w:w="900"/>
        <w:gridCol w:w="900"/>
        <w:gridCol w:w="900"/>
        <w:gridCol w:w="720"/>
      </w:tblGrid>
      <w:tr>
        <w:tc>
          <w:tcPr>
            <w:tcW w:type="dxa" w:w="2360"/>
            <w:shd w:fill="1B5E5E" w:val="clear"/>
            <w:tcMar>
              <w:top w:type="dxa" w:w="40"/>
              <w:left w:type="dxa" w:w="80"/>
              <w:bottom w:type="dxa" w:w="40"/>
              <w:right w:type="dxa" w:w="80"/>
            </w:tcMar>
          </w:tcPr>
          <w:p>
            <w:r>
              <w:rPr>
                <w:b/>
                <w:bCs/>
                <w:color w:val="FFFFFF"/>
                <w:sz w:val="18"/>
                <w:szCs w:val="18"/>
              </w:rPr>
              <w:t xml:space="preserve">Configuration</w:t>
            </w:r>
          </w:p>
        </w:tc>
        <w:tc>
          <w:tcPr>
            <w:tcW w:type="dxa" w:w="700"/>
            <w:shd w:fill="1B5E5E" w:val="clear"/>
            <w:tcMar>
              <w:top w:type="dxa" w:w="40"/>
              <w:left w:type="dxa" w:w="80"/>
              <w:bottom w:type="dxa" w:w="40"/>
              <w:right w:type="dxa" w:w="80"/>
            </w:tcMar>
          </w:tcPr>
          <w:p>
            <w:r>
              <w:rPr>
                <w:b/>
                <w:bCs/>
                <w:color w:val="FFFFFF"/>
                <w:sz w:val="18"/>
                <w:szCs w:val="18"/>
              </w:rPr>
              <w:t xml:space="preserve">n</w:t>
            </w:r>
          </w:p>
        </w:tc>
        <w:tc>
          <w:tcPr>
            <w:tcW w:type="dxa" w:w="1220"/>
            <w:shd w:fill="1B5E5E" w:val="clear"/>
            <w:tcMar>
              <w:top w:type="dxa" w:w="40"/>
              <w:left w:type="dxa" w:w="80"/>
              <w:bottom w:type="dxa" w:w="40"/>
              <w:right w:type="dxa" w:w="80"/>
            </w:tcMar>
          </w:tcPr>
          <w:p>
            <w:r>
              <w:rPr>
                <w:b/>
                <w:bCs/>
                <w:color w:val="FFFFFF"/>
                <w:sz w:val="18"/>
                <w:szCs w:val="18"/>
              </w:rPr>
              <w:t xml:space="preserve">CRPS skill</w:t>
            </w:r>
          </w:p>
        </w:tc>
        <w:tc>
          <w:tcPr>
            <w:tcW w:type="dxa" w:w="1560"/>
            <w:shd w:fill="1B5E5E" w:val="clear"/>
            <w:tcMar>
              <w:top w:type="dxa" w:w="40"/>
              <w:left w:type="dxa" w:w="80"/>
              <w:bottom w:type="dxa" w:w="40"/>
              <w:right w:type="dxa" w:w="80"/>
            </w:tcMar>
          </w:tcPr>
          <w:p>
            <w:r>
              <w:rPr>
                <w:b/>
                <w:bCs/>
                <w:color w:val="FFFFFF"/>
                <w:sz w:val="18"/>
                <w:szCs w:val="18"/>
              </w:rPr>
              <w:t xml:space="preserve">Winkler skill (80%)</w:t>
            </w:r>
          </w:p>
        </w:tc>
        <w:tc>
          <w:tcPr>
            <w:tcW w:type="dxa" w:w="900"/>
            <w:shd w:fill="1B5E5E" w:val="clear"/>
            <w:tcMar>
              <w:top w:type="dxa" w:w="40"/>
              <w:left w:type="dxa" w:w="80"/>
              <w:bottom w:type="dxa" w:w="40"/>
              <w:right w:type="dxa" w:w="80"/>
            </w:tcMar>
          </w:tcPr>
          <w:p>
            <w:r>
              <w:rPr>
                <w:b/>
                <w:bCs/>
                <w:color w:val="FFFFFF"/>
                <w:sz w:val="18"/>
                <w:szCs w:val="18"/>
              </w:rPr>
              <w:t xml:space="preserve">50% band</w:t>
            </w:r>
          </w:p>
        </w:tc>
        <w:tc>
          <w:tcPr>
            <w:tcW w:type="dxa" w:w="900"/>
            <w:shd w:fill="1B5E5E" w:val="clear"/>
            <w:tcMar>
              <w:top w:type="dxa" w:w="40"/>
              <w:left w:type="dxa" w:w="80"/>
              <w:bottom w:type="dxa" w:w="40"/>
              <w:right w:type="dxa" w:w="80"/>
            </w:tcMar>
          </w:tcPr>
          <w:p>
            <w:r>
              <w:rPr>
                <w:b/>
                <w:bCs/>
                <w:color w:val="FFFFFF"/>
                <w:sz w:val="18"/>
                <w:szCs w:val="18"/>
              </w:rPr>
              <w:t xml:space="preserve">80% band</w:t>
            </w:r>
          </w:p>
        </w:tc>
        <w:tc>
          <w:tcPr>
            <w:tcW w:type="dxa" w:w="900"/>
            <w:shd w:fill="1B5E5E" w:val="clear"/>
            <w:tcMar>
              <w:top w:type="dxa" w:w="40"/>
              <w:left w:type="dxa" w:w="80"/>
              <w:bottom w:type="dxa" w:w="40"/>
              <w:right w:type="dxa" w:w="80"/>
            </w:tcMar>
          </w:tcPr>
          <w:p>
            <w:r>
              <w:rPr>
                <w:b/>
                <w:bCs/>
                <w:color w:val="FFFFFF"/>
                <w:sz w:val="18"/>
                <w:szCs w:val="18"/>
              </w:rPr>
              <w:t xml:space="preserve">90% band</w:t>
            </w:r>
          </w:p>
        </w:tc>
        <w:tc>
          <w:tcPr>
            <w:tcW w:type="dxa" w:w="900"/>
            <w:shd w:fill="1B5E5E" w:val="clear"/>
            <w:tcMar>
              <w:top w:type="dxa" w:w="40"/>
              <w:left w:type="dxa" w:w="80"/>
              <w:bottom w:type="dxa" w:w="40"/>
              <w:right w:type="dxa" w:w="80"/>
            </w:tcMar>
          </w:tcPr>
          <w:p>
            <w:r>
              <w:rPr>
                <w:b/>
                <w:bCs/>
                <w:color w:val="FFFFFF"/>
                <w:sz w:val="18"/>
                <w:szCs w:val="18"/>
              </w:rPr>
              <w:t xml:space="preserve">PIT mean</w:t>
            </w:r>
          </w:p>
        </w:tc>
        <w:tc>
          <w:tcPr>
            <w:tcW w:type="dxa" w:w="720"/>
            <w:shd w:fill="1B5E5E" w:val="clear"/>
            <w:tcMar>
              <w:top w:type="dxa" w:w="40"/>
              <w:left w:type="dxa" w:w="80"/>
              <w:bottom w:type="dxa" w:w="40"/>
              <w:right w:type="dxa" w:w="80"/>
            </w:tcMar>
          </w:tcPr>
          <w:p>
            <w:r>
              <w:rPr>
                <w:b/>
                <w:bCs/>
                <w:color w:val="FFFFFF"/>
                <w:sz w:val="18"/>
                <w:szCs w:val="18"/>
              </w:rPr>
              <w:t xml:space="preserve">KS p</w:t>
            </w:r>
          </w:p>
        </w:tc>
      </w:tr>
      <w:tr>
        <w:tc>
          <w:tcPr>
            <w:tcW w:type="dxa" w:w="2360"/>
            <w:tcMar>
              <w:top w:type="dxa" w:w="40"/>
              <w:left w:type="dxa" w:w="80"/>
              <w:bottom w:type="dxa" w:w="40"/>
              <w:right w:type="dxa" w:w="80"/>
            </w:tcMar>
          </w:tcPr>
          <w:p>
            <w:r>
              <w:rPr>
                <w:b w:val="false"/>
                <w:bCs w:val="false"/>
                <w:sz w:val="18"/>
                <w:szCs w:val="18"/>
              </w:rPr>
              <w:t xml:space="preserve">Drift OFF (rejected)</w:t>
            </w:r>
          </w:p>
        </w:tc>
        <w:tc>
          <w:tcPr>
            <w:tcW w:type="dxa" w:w="700"/>
            <w:tcMar>
              <w:top w:type="dxa" w:w="40"/>
              <w:left w:type="dxa" w:w="80"/>
              <w:bottom w:type="dxa" w:w="40"/>
              <w:right w:type="dxa" w:w="80"/>
            </w:tcMar>
          </w:tcPr>
          <w:p>
            <w:r>
              <w:rPr>
                <w:b w:val="false"/>
                <w:bCs w:val="false"/>
                <w:sz w:val="18"/>
                <w:szCs w:val="18"/>
              </w:rPr>
              <w:t xml:space="preserve">17</w:t>
            </w:r>
          </w:p>
        </w:tc>
        <w:tc>
          <w:tcPr>
            <w:tcW w:type="dxa" w:w="1220"/>
            <w:tcMar>
              <w:top w:type="dxa" w:w="40"/>
              <w:left w:type="dxa" w:w="80"/>
              <w:bottom w:type="dxa" w:w="40"/>
              <w:right w:type="dxa" w:w="80"/>
            </w:tcMar>
          </w:tcPr>
          <w:p>
            <w:r>
              <w:rPr>
                <w:b w:val="false"/>
                <w:bCs w:val="false"/>
                <w:sz w:val="18"/>
                <w:szCs w:val="18"/>
              </w:rPr>
              <w:t xml:space="preserve">+4.5%</w:t>
            </w:r>
          </w:p>
        </w:tc>
        <w:tc>
          <w:tcPr>
            <w:tcW w:type="dxa" w:w="1560"/>
            <w:tcMar>
              <w:top w:type="dxa" w:w="40"/>
              <w:left w:type="dxa" w:w="80"/>
              <w:bottom w:type="dxa" w:w="40"/>
              <w:right w:type="dxa" w:w="80"/>
            </w:tcMar>
          </w:tcPr>
          <w:p>
            <w:r>
              <w:rPr>
                <w:b w:val="false"/>
                <w:bCs w:val="false"/>
                <w:sz w:val="18"/>
                <w:szCs w:val="18"/>
              </w:rPr>
              <w:t xml:space="preserve">+16.9%</w:t>
            </w:r>
          </w:p>
        </w:tc>
        <w:tc>
          <w:tcPr>
            <w:tcW w:type="dxa" w:w="900"/>
            <w:tcMar>
              <w:top w:type="dxa" w:w="40"/>
              <w:left w:type="dxa" w:w="80"/>
              <w:bottom w:type="dxa" w:w="40"/>
              <w:right w:type="dxa" w:w="80"/>
            </w:tcMar>
          </w:tcPr>
          <w:p>
            <w:r>
              <w:rPr>
                <w:b w:val="false"/>
                <w:bCs w:val="false"/>
                <w:sz w:val="18"/>
                <w:szCs w:val="18"/>
              </w:rPr>
              <w:t xml:space="preserve">47%</w:t>
            </w:r>
          </w:p>
        </w:tc>
        <w:tc>
          <w:tcPr>
            <w:tcW w:type="dxa" w:w="900"/>
            <w:tcMar>
              <w:top w:type="dxa" w:w="40"/>
              <w:left w:type="dxa" w:w="80"/>
              <w:bottom w:type="dxa" w:w="40"/>
              <w:right w:type="dxa" w:w="80"/>
            </w:tcMar>
          </w:tcPr>
          <w:p>
            <w:r>
              <w:rPr>
                <w:b w:val="false"/>
                <w:bCs w:val="false"/>
                <w:sz w:val="18"/>
                <w:szCs w:val="18"/>
              </w:rPr>
              <w:t xml:space="preserve">71%</w:t>
            </w:r>
          </w:p>
        </w:tc>
        <w:tc>
          <w:tcPr>
            <w:tcW w:type="dxa" w:w="900"/>
            <w:tcMar>
              <w:top w:type="dxa" w:w="40"/>
              <w:left w:type="dxa" w:w="80"/>
              <w:bottom w:type="dxa" w:w="40"/>
              <w:right w:type="dxa" w:w="80"/>
            </w:tcMar>
          </w:tcPr>
          <w:p>
            <w:r>
              <w:rPr>
                <w:b w:val="false"/>
                <w:bCs w:val="false"/>
                <w:sz w:val="18"/>
                <w:szCs w:val="18"/>
              </w:rPr>
              <w:t xml:space="preserve">94%</w:t>
            </w:r>
          </w:p>
        </w:tc>
        <w:tc>
          <w:tcPr>
            <w:tcW w:type="dxa" w:w="900"/>
            <w:tcMar>
              <w:top w:type="dxa" w:w="40"/>
              <w:left w:type="dxa" w:w="80"/>
              <w:bottom w:type="dxa" w:w="40"/>
              <w:right w:type="dxa" w:w="80"/>
            </w:tcMar>
          </w:tcPr>
          <w:p>
            <w:r>
              <w:rPr>
                <w:b w:val="false"/>
                <w:bCs w:val="false"/>
                <w:sz w:val="18"/>
                <w:szCs w:val="18"/>
              </w:rPr>
              <w:t xml:space="preserve">0.66</w:t>
            </w:r>
          </w:p>
        </w:tc>
        <w:tc>
          <w:tcPr>
            <w:tcW w:type="dxa" w:w="720"/>
            <w:tcMar>
              <w:top w:type="dxa" w:w="40"/>
              <w:left w:type="dxa" w:w="80"/>
              <w:bottom w:type="dxa" w:w="40"/>
              <w:right w:type="dxa" w:w="80"/>
            </w:tcMar>
          </w:tcPr>
          <w:p>
            <w:r>
              <w:rPr>
                <w:b w:val="false"/>
                <w:bCs w:val="false"/>
                <w:sz w:val="18"/>
                <w:szCs w:val="18"/>
              </w:rPr>
              <w:t xml:space="preserve">0.03</w:t>
            </w:r>
          </w:p>
        </w:tc>
      </w:tr>
      <w:tr>
        <w:tc>
          <w:tcPr>
            <w:tcW w:type="dxa" w:w="2360"/>
            <w:tcMar>
              <w:top w:type="dxa" w:w="40"/>
              <w:left w:type="dxa" w:w="80"/>
              <w:bottom w:type="dxa" w:w="40"/>
              <w:right w:type="dxa" w:w="80"/>
            </w:tcMar>
          </w:tcPr>
          <w:p>
            <w:r>
              <w:rPr>
                <w:b w:val="false"/>
                <w:bCs w:val="false"/>
                <w:sz w:val="18"/>
                <w:szCs w:val="18"/>
              </w:rPr>
              <w:t xml:space="preserve">Drift ON (adopted)</w:t>
            </w:r>
          </w:p>
        </w:tc>
        <w:tc>
          <w:tcPr>
            <w:tcW w:type="dxa" w:w="700"/>
            <w:tcMar>
              <w:top w:type="dxa" w:w="40"/>
              <w:left w:type="dxa" w:w="80"/>
              <w:bottom w:type="dxa" w:w="40"/>
              <w:right w:type="dxa" w:w="80"/>
            </w:tcMar>
          </w:tcPr>
          <w:p>
            <w:r>
              <w:rPr>
                <w:b w:val="false"/>
                <w:bCs w:val="false"/>
                <w:sz w:val="18"/>
                <w:szCs w:val="18"/>
              </w:rPr>
              <w:t xml:space="preserve">17</w:t>
            </w:r>
          </w:p>
        </w:tc>
        <w:tc>
          <w:tcPr>
            <w:tcW w:type="dxa" w:w="1220"/>
            <w:tcMar>
              <w:top w:type="dxa" w:w="40"/>
              <w:left w:type="dxa" w:w="80"/>
              <w:bottom w:type="dxa" w:w="40"/>
              <w:right w:type="dxa" w:w="80"/>
            </w:tcMar>
          </w:tcPr>
          <w:p>
            <w:r>
              <w:rPr>
                <w:b w:val="false"/>
                <w:bCs w:val="false"/>
                <w:sz w:val="18"/>
                <w:szCs w:val="18"/>
              </w:rPr>
              <w:t xml:space="preserve">+13.0%</w:t>
            </w:r>
          </w:p>
        </w:tc>
        <w:tc>
          <w:tcPr>
            <w:tcW w:type="dxa" w:w="1560"/>
            <w:tcMar>
              <w:top w:type="dxa" w:w="40"/>
              <w:left w:type="dxa" w:w="80"/>
              <w:bottom w:type="dxa" w:w="40"/>
              <w:right w:type="dxa" w:w="80"/>
            </w:tcMar>
          </w:tcPr>
          <w:p>
            <w:r>
              <w:rPr>
                <w:b w:val="false"/>
                <w:bCs w:val="false"/>
                <w:sz w:val="18"/>
                <w:szCs w:val="18"/>
              </w:rPr>
              <w:t xml:space="preserve">+20.3%</w:t>
            </w:r>
          </w:p>
        </w:tc>
        <w:tc>
          <w:tcPr>
            <w:tcW w:type="dxa" w:w="900"/>
            <w:tcMar>
              <w:top w:type="dxa" w:w="40"/>
              <w:left w:type="dxa" w:w="80"/>
              <w:bottom w:type="dxa" w:w="40"/>
              <w:right w:type="dxa" w:w="80"/>
            </w:tcMar>
          </w:tcPr>
          <w:p>
            <w:r>
              <w:rPr>
                <w:b w:val="false"/>
                <w:bCs w:val="false"/>
                <w:sz w:val="18"/>
                <w:szCs w:val="18"/>
              </w:rPr>
              <w:t xml:space="preserve">41%</w:t>
            </w:r>
          </w:p>
        </w:tc>
        <w:tc>
          <w:tcPr>
            <w:tcW w:type="dxa" w:w="900"/>
            <w:tcMar>
              <w:top w:type="dxa" w:w="40"/>
              <w:left w:type="dxa" w:w="80"/>
              <w:bottom w:type="dxa" w:w="40"/>
              <w:right w:type="dxa" w:w="80"/>
            </w:tcMar>
          </w:tcPr>
          <w:p>
            <w:r>
              <w:rPr>
                <w:b w:val="false"/>
                <w:bCs w:val="false"/>
                <w:sz w:val="18"/>
                <w:szCs w:val="18"/>
              </w:rPr>
              <w:t xml:space="preserve">71%</w:t>
            </w:r>
          </w:p>
        </w:tc>
        <w:tc>
          <w:tcPr>
            <w:tcW w:type="dxa" w:w="900"/>
            <w:tcMar>
              <w:top w:type="dxa" w:w="40"/>
              <w:left w:type="dxa" w:w="80"/>
              <w:bottom w:type="dxa" w:w="40"/>
              <w:right w:type="dxa" w:w="80"/>
            </w:tcMar>
          </w:tcPr>
          <w:p>
            <w:r>
              <w:rPr>
                <w:b w:val="false"/>
                <w:bCs w:val="false"/>
                <w:sz w:val="18"/>
                <w:szCs w:val="18"/>
              </w:rPr>
              <w:t xml:space="preserve">88%</w:t>
            </w:r>
          </w:p>
        </w:tc>
        <w:tc>
          <w:tcPr>
            <w:tcW w:type="dxa" w:w="900"/>
            <w:tcMar>
              <w:top w:type="dxa" w:w="40"/>
              <w:left w:type="dxa" w:w="80"/>
              <w:bottom w:type="dxa" w:w="40"/>
              <w:right w:type="dxa" w:w="80"/>
            </w:tcMar>
          </w:tcPr>
          <w:p>
            <w:r>
              <w:rPr>
                <w:b w:val="false"/>
                <w:bCs w:val="false"/>
                <w:sz w:val="18"/>
                <w:szCs w:val="18"/>
              </w:rPr>
              <w:t xml:space="preserve">0.55</w:t>
            </w:r>
          </w:p>
        </w:tc>
        <w:tc>
          <w:tcPr>
            <w:tcW w:type="dxa" w:w="720"/>
            <w:tcMar>
              <w:top w:type="dxa" w:w="40"/>
              <w:left w:type="dxa" w:w="80"/>
              <w:bottom w:type="dxa" w:w="40"/>
              <w:right w:type="dxa" w:w="80"/>
            </w:tcMar>
          </w:tcPr>
          <w:p>
            <w:r>
              <w:rPr>
                <w:b w:val="false"/>
                <w:bCs w:val="false"/>
                <w:sz w:val="18"/>
                <w:szCs w:val="18"/>
              </w:rPr>
              <w:t xml:space="preserve">0.54</w:t>
            </w:r>
          </w:p>
        </w:tc>
      </w:tr>
      <w:tr>
        <w:tc>
          <w:tcPr>
            <w:tcW w:type="dxa" w:w="2360"/>
            <w:tcMar>
              <w:top w:type="dxa" w:w="40"/>
              <w:left w:type="dxa" w:w="80"/>
              <w:bottom w:type="dxa" w:w="40"/>
              <w:right w:type="dxa" w:w="80"/>
            </w:tcMar>
          </w:tcPr>
          <w:p>
            <w:r>
              <w:rPr>
                <w:b w:val="false"/>
                <w:bCs w:val="false"/>
                <w:sz w:val="18"/>
                <w:szCs w:val="18"/>
              </w:rPr>
              <w:t xml:space="preserve">Target / pass rule</w:t>
            </w:r>
          </w:p>
        </w:tc>
        <w:tc>
          <w:tcPr>
            <w:tcW w:type="dxa" w:w="700"/>
            <w:tcMar>
              <w:top w:type="dxa" w:w="40"/>
              <w:left w:type="dxa" w:w="80"/>
              <w:bottom w:type="dxa" w:w="40"/>
              <w:right w:type="dxa" w:w="80"/>
            </w:tcMar>
          </w:tcPr>
          <w:p>
            <w:r>
              <w:rPr>
                <w:b w:val="false"/>
                <w:bCs w:val="false"/>
                <w:sz w:val="18"/>
                <w:szCs w:val="18"/>
              </w:rPr>
              <w:t xml:space="preserve">—</w:t>
            </w:r>
          </w:p>
        </w:tc>
        <w:tc>
          <w:tcPr>
            <w:tcW w:type="dxa" w:w="1220"/>
            <w:tcMar>
              <w:top w:type="dxa" w:w="40"/>
              <w:left w:type="dxa" w:w="80"/>
              <w:bottom w:type="dxa" w:w="40"/>
              <w:right w:type="dxa" w:w="80"/>
            </w:tcMar>
          </w:tcPr>
          <w:p>
            <w:r>
              <w:rPr>
                <w:b w:val="false"/>
                <w:bCs w:val="false"/>
                <w:sz w:val="18"/>
                <w:szCs w:val="18"/>
              </w:rPr>
              <w:t xml:space="preserve">&gt; 0</w:t>
            </w:r>
          </w:p>
        </w:tc>
        <w:tc>
          <w:tcPr>
            <w:tcW w:type="dxa" w:w="1560"/>
            <w:tcMar>
              <w:top w:type="dxa" w:w="40"/>
              <w:left w:type="dxa" w:w="80"/>
              <w:bottom w:type="dxa" w:w="40"/>
              <w:right w:type="dxa" w:w="80"/>
            </w:tcMar>
          </w:tcPr>
          <w:p>
            <w:r>
              <w:rPr>
                <w:b w:val="false"/>
                <w:bCs w:val="false"/>
                <w:sz w:val="18"/>
                <w:szCs w:val="18"/>
              </w:rPr>
              <w:t xml:space="preserve">&gt; 0</w:t>
            </w:r>
          </w:p>
        </w:tc>
        <w:tc>
          <w:tcPr>
            <w:tcW w:type="dxa" w:w="900"/>
            <w:tcMar>
              <w:top w:type="dxa" w:w="40"/>
              <w:left w:type="dxa" w:w="80"/>
              <w:bottom w:type="dxa" w:w="40"/>
              <w:right w:type="dxa" w:w="80"/>
            </w:tcMar>
          </w:tcPr>
          <w:p>
            <w:r>
              <w:rPr>
                <w:b w:val="false"/>
                <w:bCs w:val="false"/>
                <w:sz w:val="18"/>
                <w:szCs w:val="18"/>
              </w:rPr>
              <w:t xml:space="preserve">50%</w:t>
            </w:r>
          </w:p>
        </w:tc>
        <w:tc>
          <w:tcPr>
            <w:tcW w:type="dxa" w:w="900"/>
            <w:tcMar>
              <w:top w:type="dxa" w:w="40"/>
              <w:left w:type="dxa" w:w="80"/>
              <w:bottom w:type="dxa" w:w="40"/>
              <w:right w:type="dxa" w:w="80"/>
            </w:tcMar>
          </w:tcPr>
          <w:p>
            <w:r>
              <w:rPr>
                <w:b w:val="false"/>
                <w:bCs w:val="false"/>
                <w:sz w:val="18"/>
                <w:szCs w:val="18"/>
              </w:rPr>
              <w:t xml:space="preserve">80%</w:t>
            </w:r>
          </w:p>
        </w:tc>
        <w:tc>
          <w:tcPr>
            <w:tcW w:type="dxa" w:w="900"/>
            <w:tcMar>
              <w:top w:type="dxa" w:w="40"/>
              <w:left w:type="dxa" w:w="80"/>
              <w:bottom w:type="dxa" w:w="40"/>
              <w:right w:type="dxa" w:w="80"/>
            </w:tcMar>
          </w:tcPr>
          <w:p>
            <w:r>
              <w:rPr>
                <w:b w:val="false"/>
                <w:bCs w:val="false"/>
                <w:sz w:val="18"/>
                <w:szCs w:val="18"/>
              </w:rPr>
              <w:t xml:space="preserve">90%</w:t>
            </w:r>
          </w:p>
        </w:tc>
        <w:tc>
          <w:tcPr>
            <w:tcW w:type="dxa" w:w="900"/>
            <w:tcMar>
              <w:top w:type="dxa" w:w="40"/>
              <w:left w:type="dxa" w:w="80"/>
              <w:bottom w:type="dxa" w:w="40"/>
              <w:right w:type="dxa" w:w="80"/>
            </w:tcMar>
          </w:tcPr>
          <w:p>
            <w:r>
              <w:rPr>
                <w:b w:val="false"/>
                <w:bCs w:val="false"/>
                <w:sz w:val="18"/>
                <w:szCs w:val="18"/>
              </w:rPr>
              <w:t xml:space="preserve">0.50</w:t>
            </w:r>
          </w:p>
        </w:tc>
        <w:tc>
          <w:tcPr>
            <w:tcW w:type="dxa" w:w="720"/>
            <w:tcMar>
              <w:top w:type="dxa" w:w="40"/>
              <w:left w:type="dxa" w:w="80"/>
              <w:bottom w:type="dxa" w:w="40"/>
              <w:right w:type="dxa" w:w="80"/>
            </w:tcMar>
          </w:tcPr>
          <w:p>
            <w:r>
              <w:rPr>
                <w:b w:val="false"/>
                <w:bCs w:val="false"/>
                <w:sz w:val="18"/>
                <w:szCs w:val="18"/>
              </w:rPr>
              <w:t xml:space="preserve">uniform</w:t>
            </w:r>
          </w:p>
        </w:tc>
      </w:tr>
    </w:tbl>
    <w:p>
      <w:pPr>
        <w:spacing w:after="120"/>
      </w:pPr>
    </w:p>
    <w:p>
      <w:pPr>
        <w:spacing w:before="12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790700"/>
                    </a:xfrm>
                    <a:prstGeom prst="rect">
                      <a:avLst/>
                    </a:prstGeom>
                  </pic:spPr>
                </pic:pic>
              </a:graphicData>
            </a:graphic>
          </wp:inline>
        </w:drawing>
      </w:r>
    </w:p>
    <w:p>
      <w:pPr>
        <w:spacing w:after="180" w:before="60"/>
      </w:pPr>
      <w:r>
        <w:rPr>
          <w:i/>
          <w:iCs/>
          <w:color w:val="666666"/>
          <w:sz w:val="18"/>
          <w:szCs w:val="18"/>
        </w:rPr>
        <w:t xml:space="preserve">Figure B-1 — Calibration backtest (drift-ON): quarterly cone replay (80% band, log scale), PIT histogram, and interval coverage versus target.</w:t>
      </w:r>
    </w:p>
    <w:p>
      <w:pPr>
        <w:spacing w:after="140"/>
      </w:pPr>
      <w:r>
        <w:t xml:space="preserve">Coverage sits within small-sample tolerance of target at all three bands (with n = 17, one window is ±6 points) and the point coverage below target is the correct direction for a CRPS-graded engine — sharp, not padded. The per-origin scores are archived in files/step0_drift_on.csv; anchor_vol and horizon_days accompany any ledger row so the benchmark can be rebuilt at maturity.</w:t>
      </w:r>
    </w:p>
    <w:p>
      <w:pPr>
        <w:pStyle w:val="Heading1"/>
        <w:spacing w:after="140" w:before="300"/>
      </w:pPr>
      <w:r>
        <w:t xml:space="preserve">Appendix C  Peer set, sector structure, and risks</w:t>
      </w:r>
    </w:p>
    <w:p>
      <w:pPr>
        <w:spacing w:after="140"/>
      </w:pPr>
      <w:r>
        <w:t xml:space="preserve">ETEL has no clean comparable — a fixed-line monopoly, a subsea-corridor operator and a 45% mobile associate in one wrapper. The peer set is therefore split by part, with typical bands rather than a single screen.</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2000"/>
        <w:gridCol w:w="1300"/>
        <w:gridCol w:w="1900"/>
        <w:gridCol w:w="1500"/>
        <w:gridCol w:w="2660"/>
      </w:tblGrid>
      <w:tr>
        <w:tc>
          <w:tcPr>
            <w:tcW w:type="dxa" w:w="2000"/>
            <w:shd w:fill="1B5E5E" w:val="clear"/>
            <w:tcMar>
              <w:top w:type="dxa" w:w="40"/>
              <w:left w:type="dxa" w:w="80"/>
              <w:bottom w:type="dxa" w:w="40"/>
              <w:right w:type="dxa" w:w="80"/>
            </w:tcMar>
          </w:tcPr>
          <w:p>
            <w:r>
              <w:rPr>
                <w:b/>
                <w:bCs/>
                <w:color w:val="FFFFFF"/>
                <w:sz w:val="18"/>
                <w:szCs w:val="18"/>
              </w:rPr>
              <w:t xml:space="preserve">Peer</w:t>
            </w:r>
          </w:p>
        </w:tc>
        <w:tc>
          <w:tcPr>
            <w:tcW w:type="dxa" w:w="1300"/>
            <w:shd w:fill="1B5E5E" w:val="clear"/>
            <w:tcMar>
              <w:top w:type="dxa" w:w="40"/>
              <w:left w:type="dxa" w:w="80"/>
              <w:bottom w:type="dxa" w:w="40"/>
              <w:right w:type="dxa" w:w="80"/>
            </w:tcMar>
          </w:tcPr>
          <w:p>
            <w:r>
              <w:rPr>
                <w:b/>
                <w:bCs/>
                <w:color w:val="FFFFFF"/>
                <w:sz w:val="18"/>
                <w:szCs w:val="18"/>
              </w:rPr>
              <w:t xml:space="preserve">Market</w:t>
            </w:r>
          </w:p>
        </w:tc>
        <w:tc>
          <w:tcPr>
            <w:tcW w:type="dxa" w:w="1900"/>
            <w:shd w:fill="1B5E5E" w:val="clear"/>
            <w:tcMar>
              <w:top w:type="dxa" w:w="40"/>
              <w:left w:type="dxa" w:w="80"/>
              <w:bottom w:type="dxa" w:w="40"/>
              <w:right w:type="dxa" w:w="80"/>
            </w:tcMar>
          </w:tcPr>
          <w:p>
            <w:r>
              <w:rPr>
                <w:b/>
                <w:bCs/>
                <w:color w:val="FFFFFF"/>
                <w:sz w:val="18"/>
                <w:szCs w:val="18"/>
              </w:rPr>
              <w:t xml:space="preserve">Typical EV/EBITDA</w:t>
            </w:r>
          </w:p>
        </w:tc>
        <w:tc>
          <w:tcPr>
            <w:tcW w:type="dxa" w:w="1500"/>
            <w:shd w:fill="1B5E5E" w:val="clear"/>
            <w:tcMar>
              <w:top w:type="dxa" w:w="40"/>
              <w:left w:type="dxa" w:w="80"/>
              <w:bottom w:type="dxa" w:w="40"/>
              <w:right w:type="dxa" w:w="80"/>
            </w:tcMar>
          </w:tcPr>
          <w:p>
            <w:r>
              <w:rPr>
                <w:b/>
                <w:bCs/>
                <w:color w:val="FFFFFF"/>
                <w:sz w:val="18"/>
                <w:szCs w:val="18"/>
              </w:rPr>
              <w:t xml:space="preserve">Typical P/E</w:t>
            </w:r>
          </w:p>
        </w:tc>
        <w:tc>
          <w:tcPr>
            <w:tcW w:type="dxa" w:w="2660"/>
            <w:shd w:fill="1B5E5E" w:val="clear"/>
            <w:tcMar>
              <w:top w:type="dxa" w:w="40"/>
              <w:left w:type="dxa" w:w="80"/>
              <w:bottom w:type="dxa" w:w="40"/>
              <w:right w:type="dxa" w:w="80"/>
            </w:tcMar>
          </w:tcPr>
          <w:p>
            <w:r>
              <w:rPr>
                <w:b/>
                <w:bCs/>
                <w:color w:val="FFFFFF"/>
                <w:sz w:val="18"/>
                <w:szCs w:val="18"/>
              </w:rPr>
              <w:t xml:space="preserve">Why it matters</w:t>
            </w:r>
          </w:p>
        </w:tc>
      </w:tr>
      <w:tr>
        <w:tc>
          <w:tcPr>
            <w:tcW w:type="dxa" w:w="2000"/>
            <w:tcMar>
              <w:top w:type="dxa" w:w="40"/>
              <w:left w:type="dxa" w:w="80"/>
              <w:bottom w:type="dxa" w:w="40"/>
              <w:right w:type="dxa" w:w="80"/>
            </w:tcMar>
          </w:tcPr>
          <w:p>
            <w:r>
              <w:rPr>
                <w:b w:val="false"/>
                <w:bCs w:val="false"/>
                <w:sz w:val="18"/>
                <w:szCs w:val="18"/>
              </w:rPr>
              <w:t xml:space="preserve">Vodacom Group</w:t>
            </w:r>
          </w:p>
        </w:tc>
        <w:tc>
          <w:tcPr>
            <w:tcW w:type="dxa" w:w="1300"/>
            <w:tcMar>
              <w:top w:type="dxa" w:w="40"/>
              <w:left w:type="dxa" w:w="80"/>
              <w:bottom w:type="dxa" w:w="40"/>
              <w:right w:type="dxa" w:w="80"/>
            </w:tcMar>
          </w:tcPr>
          <w:p>
            <w:r>
              <w:rPr>
                <w:b w:val="false"/>
                <w:bCs w:val="false"/>
                <w:sz w:val="18"/>
                <w:szCs w:val="18"/>
              </w:rPr>
              <w:t xml:space="preserve">JSE</w:t>
            </w:r>
          </w:p>
        </w:tc>
        <w:tc>
          <w:tcPr>
            <w:tcW w:type="dxa" w:w="1900"/>
            <w:tcMar>
              <w:top w:type="dxa" w:w="40"/>
              <w:left w:type="dxa" w:w="80"/>
              <w:bottom w:type="dxa" w:w="40"/>
              <w:right w:type="dxa" w:w="80"/>
            </w:tcMar>
          </w:tcPr>
          <w:p>
            <w:r>
              <w:rPr>
                <w:b w:val="false"/>
                <w:bCs w:val="false"/>
                <w:sz w:val="18"/>
                <w:szCs w:val="18"/>
              </w:rPr>
              <w:t xml:space="preserve">4.0–5.0×</w:t>
            </w:r>
          </w:p>
        </w:tc>
        <w:tc>
          <w:tcPr>
            <w:tcW w:type="dxa" w:w="1500"/>
            <w:tcMar>
              <w:top w:type="dxa" w:w="40"/>
              <w:left w:type="dxa" w:w="80"/>
              <w:bottom w:type="dxa" w:w="40"/>
              <w:right w:type="dxa" w:w="80"/>
            </w:tcMar>
          </w:tcPr>
          <w:p>
            <w:r>
              <w:rPr>
                <w:b w:val="false"/>
                <w:bCs w:val="false"/>
                <w:sz w:val="18"/>
                <w:szCs w:val="18"/>
              </w:rPr>
              <w:t xml:space="preserve">9–11×</w:t>
            </w:r>
          </w:p>
        </w:tc>
        <w:tc>
          <w:tcPr>
            <w:tcW w:type="dxa" w:w="2660"/>
            <w:tcMar>
              <w:top w:type="dxa" w:w="40"/>
              <w:left w:type="dxa" w:w="80"/>
              <w:bottom w:type="dxa" w:w="40"/>
              <w:right w:type="dxa" w:w="80"/>
            </w:tcMar>
          </w:tcPr>
          <w:p>
            <w:r>
              <w:rPr>
                <w:b w:val="false"/>
                <w:bCs w:val="false"/>
                <w:sz w:val="18"/>
                <w:szCs w:val="18"/>
              </w:rPr>
              <w:t xml:space="preserve">Owns the other 55% of VFE — the natural read-across for the stake</w:t>
            </w:r>
          </w:p>
        </w:tc>
      </w:tr>
      <w:tr>
        <w:tc>
          <w:tcPr>
            <w:tcW w:type="dxa" w:w="2000"/>
            <w:tcMar>
              <w:top w:type="dxa" w:w="40"/>
              <w:left w:type="dxa" w:w="80"/>
              <w:bottom w:type="dxa" w:w="40"/>
              <w:right w:type="dxa" w:w="80"/>
            </w:tcMar>
          </w:tcPr>
          <w:p>
            <w:r>
              <w:rPr>
                <w:b w:val="false"/>
                <w:bCs w:val="false"/>
                <w:sz w:val="18"/>
                <w:szCs w:val="18"/>
              </w:rPr>
              <w:t xml:space="preserve">stc (Saudi Telecom)</w:t>
            </w:r>
          </w:p>
        </w:tc>
        <w:tc>
          <w:tcPr>
            <w:tcW w:type="dxa" w:w="1300"/>
            <w:tcMar>
              <w:top w:type="dxa" w:w="40"/>
              <w:left w:type="dxa" w:w="80"/>
              <w:bottom w:type="dxa" w:w="40"/>
              <w:right w:type="dxa" w:w="80"/>
            </w:tcMar>
          </w:tcPr>
          <w:p>
            <w:r>
              <w:rPr>
                <w:b w:val="false"/>
                <w:bCs w:val="false"/>
                <w:sz w:val="18"/>
                <w:szCs w:val="18"/>
              </w:rPr>
              <w:t xml:space="preserve">Tadawul</w:t>
            </w:r>
          </w:p>
        </w:tc>
        <w:tc>
          <w:tcPr>
            <w:tcW w:type="dxa" w:w="1900"/>
            <w:tcMar>
              <w:top w:type="dxa" w:w="40"/>
              <w:left w:type="dxa" w:w="80"/>
              <w:bottom w:type="dxa" w:w="40"/>
              <w:right w:type="dxa" w:w="80"/>
            </w:tcMar>
          </w:tcPr>
          <w:p>
            <w:r>
              <w:rPr>
                <w:b w:val="false"/>
                <w:bCs w:val="false"/>
                <w:sz w:val="18"/>
                <w:szCs w:val="18"/>
              </w:rPr>
              <w:t xml:space="preserve">7–8×</w:t>
            </w:r>
          </w:p>
        </w:tc>
        <w:tc>
          <w:tcPr>
            <w:tcW w:type="dxa" w:w="1500"/>
            <w:tcMar>
              <w:top w:type="dxa" w:w="40"/>
              <w:left w:type="dxa" w:w="80"/>
              <w:bottom w:type="dxa" w:w="40"/>
              <w:right w:type="dxa" w:w="80"/>
            </w:tcMar>
          </w:tcPr>
          <w:p>
            <w:r>
              <w:rPr>
                <w:b w:val="false"/>
                <w:bCs w:val="false"/>
                <w:sz w:val="18"/>
                <w:szCs w:val="18"/>
              </w:rPr>
              <w:t xml:space="preserve">15–17×</w:t>
            </w:r>
          </w:p>
        </w:tc>
        <w:tc>
          <w:tcPr>
            <w:tcW w:type="dxa" w:w="2660"/>
            <w:tcMar>
              <w:top w:type="dxa" w:w="40"/>
              <w:left w:type="dxa" w:w="80"/>
              <w:bottom w:type="dxa" w:w="40"/>
              <w:right w:type="dxa" w:w="80"/>
            </w:tcMar>
          </w:tcPr>
          <w:p>
            <w:r>
              <w:rPr>
                <w:b w:val="false"/>
                <w:bCs w:val="false"/>
                <w:sz w:val="18"/>
                <w:szCs w:val="18"/>
              </w:rPr>
              <w:t xml:space="preserve">The GCC quality ceiling</w:t>
            </w:r>
          </w:p>
        </w:tc>
      </w:tr>
      <w:tr>
        <w:tc>
          <w:tcPr>
            <w:tcW w:type="dxa" w:w="2000"/>
            <w:tcMar>
              <w:top w:type="dxa" w:w="40"/>
              <w:left w:type="dxa" w:w="80"/>
              <w:bottom w:type="dxa" w:w="40"/>
              <w:right w:type="dxa" w:w="80"/>
            </w:tcMar>
          </w:tcPr>
          <w:p>
            <w:r>
              <w:rPr>
                <w:b w:val="false"/>
                <w:bCs w:val="false"/>
                <w:sz w:val="18"/>
                <w:szCs w:val="18"/>
              </w:rPr>
              <w:t xml:space="preserve">e&amp; (Etisalat)</w:t>
            </w:r>
          </w:p>
        </w:tc>
        <w:tc>
          <w:tcPr>
            <w:tcW w:type="dxa" w:w="1300"/>
            <w:tcMar>
              <w:top w:type="dxa" w:w="40"/>
              <w:left w:type="dxa" w:w="80"/>
              <w:bottom w:type="dxa" w:w="40"/>
              <w:right w:type="dxa" w:w="80"/>
            </w:tcMar>
          </w:tcPr>
          <w:p>
            <w:r>
              <w:rPr>
                <w:b w:val="false"/>
                <w:bCs w:val="false"/>
                <w:sz w:val="18"/>
                <w:szCs w:val="18"/>
              </w:rPr>
              <w:t xml:space="preserve">ADX</w:t>
            </w:r>
          </w:p>
        </w:tc>
        <w:tc>
          <w:tcPr>
            <w:tcW w:type="dxa" w:w="1900"/>
            <w:tcMar>
              <w:top w:type="dxa" w:w="40"/>
              <w:left w:type="dxa" w:w="80"/>
              <w:bottom w:type="dxa" w:w="40"/>
              <w:right w:type="dxa" w:w="80"/>
            </w:tcMar>
          </w:tcPr>
          <w:p>
            <w:r>
              <w:rPr>
                <w:b w:val="false"/>
                <w:bCs w:val="false"/>
                <w:sz w:val="18"/>
                <w:szCs w:val="18"/>
              </w:rPr>
              <w:t xml:space="preserve">5.5–6.5×</w:t>
            </w:r>
          </w:p>
        </w:tc>
        <w:tc>
          <w:tcPr>
            <w:tcW w:type="dxa" w:w="1500"/>
            <w:tcMar>
              <w:top w:type="dxa" w:w="40"/>
              <w:left w:type="dxa" w:w="80"/>
              <w:bottom w:type="dxa" w:w="40"/>
              <w:right w:type="dxa" w:w="80"/>
            </w:tcMar>
          </w:tcPr>
          <w:p>
            <w:r>
              <w:rPr>
                <w:b w:val="false"/>
                <w:bCs w:val="false"/>
                <w:sz w:val="18"/>
                <w:szCs w:val="18"/>
              </w:rPr>
              <w:t xml:space="preserve">10–12×</w:t>
            </w:r>
          </w:p>
        </w:tc>
        <w:tc>
          <w:tcPr>
            <w:tcW w:type="dxa" w:w="2660"/>
            <w:tcMar>
              <w:top w:type="dxa" w:w="40"/>
              <w:left w:type="dxa" w:w="80"/>
              <w:bottom w:type="dxa" w:w="40"/>
              <w:right w:type="dxa" w:w="80"/>
            </w:tcMar>
          </w:tcPr>
          <w:p>
            <w:r>
              <w:rPr>
                <w:b w:val="false"/>
                <w:bCs w:val="false"/>
                <w:sz w:val="18"/>
                <w:szCs w:val="18"/>
              </w:rPr>
              <w:t xml:space="preserve">Regional incumbent benchmark</w:t>
            </w:r>
          </w:p>
        </w:tc>
      </w:tr>
      <w:tr>
        <w:tc>
          <w:tcPr>
            <w:tcW w:type="dxa" w:w="2000"/>
            <w:tcMar>
              <w:top w:type="dxa" w:w="40"/>
              <w:left w:type="dxa" w:w="80"/>
              <w:bottom w:type="dxa" w:w="40"/>
              <w:right w:type="dxa" w:w="80"/>
            </w:tcMar>
          </w:tcPr>
          <w:p>
            <w:r>
              <w:rPr>
                <w:b w:val="false"/>
                <w:bCs w:val="false"/>
                <w:sz w:val="18"/>
                <w:szCs w:val="18"/>
              </w:rPr>
              <w:t xml:space="preserve">Ooredoo</w:t>
            </w:r>
          </w:p>
        </w:tc>
        <w:tc>
          <w:tcPr>
            <w:tcW w:type="dxa" w:w="1300"/>
            <w:tcMar>
              <w:top w:type="dxa" w:w="40"/>
              <w:left w:type="dxa" w:w="80"/>
              <w:bottom w:type="dxa" w:w="40"/>
              <w:right w:type="dxa" w:w="80"/>
            </w:tcMar>
          </w:tcPr>
          <w:p>
            <w:r>
              <w:rPr>
                <w:b w:val="false"/>
                <w:bCs w:val="false"/>
                <w:sz w:val="18"/>
                <w:szCs w:val="18"/>
              </w:rPr>
              <w:t xml:space="preserve">QSE</w:t>
            </w:r>
          </w:p>
        </w:tc>
        <w:tc>
          <w:tcPr>
            <w:tcW w:type="dxa" w:w="1900"/>
            <w:tcMar>
              <w:top w:type="dxa" w:w="40"/>
              <w:left w:type="dxa" w:w="80"/>
              <w:bottom w:type="dxa" w:w="40"/>
              <w:right w:type="dxa" w:w="80"/>
            </w:tcMar>
          </w:tcPr>
          <w:p>
            <w:r>
              <w:rPr>
                <w:b w:val="false"/>
                <w:bCs w:val="false"/>
                <w:sz w:val="18"/>
                <w:szCs w:val="18"/>
              </w:rPr>
              <w:t xml:space="preserve">4.5–5.5×</w:t>
            </w:r>
          </w:p>
        </w:tc>
        <w:tc>
          <w:tcPr>
            <w:tcW w:type="dxa" w:w="1500"/>
            <w:tcMar>
              <w:top w:type="dxa" w:w="40"/>
              <w:left w:type="dxa" w:w="80"/>
              <w:bottom w:type="dxa" w:w="40"/>
              <w:right w:type="dxa" w:w="80"/>
            </w:tcMar>
          </w:tcPr>
          <w:p>
            <w:r>
              <w:rPr>
                <w:b w:val="false"/>
                <w:bCs w:val="false"/>
                <w:sz w:val="18"/>
                <w:szCs w:val="18"/>
              </w:rPr>
              <w:t xml:space="preserve">10–12×</w:t>
            </w:r>
          </w:p>
        </w:tc>
        <w:tc>
          <w:tcPr>
            <w:tcW w:type="dxa" w:w="2660"/>
            <w:tcMar>
              <w:top w:type="dxa" w:w="40"/>
              <w:left w:type="dxa" w:w="80"/>
              <w:bottom w:type="dxa" w:w="40"/>
              <w:right w:type="dxa" w:w="80"/>
            </w:tcMar>
          </w:tcPr>
          <w:p>
            <w:r>
              <w:rPr>
                <w:b w:val="false"/>
                <w:bCs w:val="false"/>
                <w:sz w:val="18"/>
                <w:szCs w:val="18"/>
              </w:rPr>
              <w:t xml:space="preserve">MENA multi-market operator</w:t>
            </w:r>
          </w:p>
        </w:tc>
      </w:tr>
      <w:tr>
        <w:tc>
          <w:tcPr>
            <w:tcW w:type="dxa" w:w="2000"/>
            <w:tcMar>
              <w:top w:type="dxa" w:w="40"/>
              <w:left w:type="dxa" w:w="80"/>
              <w:bottom w:type="dxa" w:w="40"/>
              <w:right w:type="dxa" w:w="80"/>
            </w:tcMar>
          </w:tcPr>
          <w:p>
            <w:r>
              <w:rPr>
                <w:b w:val="false"/>
                <w:bCs w:val="false"/>
                <w:sz w:val="18"/>
                <w:szCs w:val="18"/>
              </w:rPr>
              <w:t xml:space="preserve">Turk Telekom</w:t>
            </w:r>
          </w:p>
        </w:tc>
        <w:tc>
          <w:tcPr>
            <w:tcW w:type="dxa" w:w="1300"/>
            <w:tcMar>
              <w:top w:type="dxa" w:w="40"/>
              <w:left w:type="dxa" w:w="80"/>
              <w:bottom w:type="dxa" w:w="40"/>
              <w:right w:type="dxa" w:w="80"/>
            </w:tcMar>
          </w:tcPr>
          <w:p>
            <w:r>
              <w:rPr>
                <w:b w:val="false"/>
                <w:bCs w:val="false"/>
                <w:sz w:val="18"/>
                <w:szCs w:val="18"/>
              </w:rPr>
              <w:t xml:space="preserve">BIST</w:t>
            </w:r>
          </w:p>
        </w:tc>
        <w:tc>
          <w:tcPr>
            <w:tcW w:type="dxa" w:w="1900"/>
            <w:tcMar>
              <w:top w:type="dxa" w:w="40"/>
              <w:left w:type="dxa" w:w="80"/>
              <w:bottom w:type="dxa" w:w="40"/>
              <w:right w:type="dxa" w:w="80"/>
            </w:tcMar>
          </w:tcPr>
          <w:p>
            <w:r>
              <w:rPr>
                <w:b w:val="false"/>
                <w:bCs w:val="false"/>
                <w:sz w:val="18"/>
                <w:szCs w:val="18"/>
              </w:rPr>
              <w:t xml:space="preserve">3–4×</w:t>
            </w:r>
          </w:p>
        </w:tc>
        <w:tc>
          <w:tcPr>
            <w:tcW w:type="dxa" w:w="1500"/>
            <w:tcMar>
              <w:top w:type="dxa" w:w="40"/>
              <w:left w:type="dxa" w:w="80"/>
              <w:bottom w:type="dxa" w:w="40"/>
              <w:right w:type="dxa" w:w="80"/>
            </w:tcMar>
          </w:tcPr>
          <w:p>
            <w:r>
              <w:rPr>
                <w:b w:val="false"/>
                <w:bCs w:val="false"/>
                <w:sz w:val="18"/>
                <w:szCs w:val="18"/>
              </w:rPr>
              <w:t xml:space="preserve">5–8×</w:t>
            </w:r>
          </w:p>
        </w:tc>
        <w:tc>
          <w:tcPr>
            <w:tcW w:type="dxa" w:w="2660"/>
            <w:tcMar>
              <w:top w:type="dxa" w:w="40"/>
              <w:left w:type="dxa" w:w="80"/>
              <w:bottom w:type="dxa" w:w="40"/>
              <w:right w:type="dxa" w:w="80"/>
            </w:tcMar>
          </w:tcPr>
          <w:p>
            <w:r>
              <w:rPr>
                <w:b w:val="false"/>
                <w:bCs w:val="false"/>
                <w:sz w:val="18"/>
                <w:szCs w:val="18"/>
              </w:rPr>
              <w:t xml:space="preserve">High-inflation EM incumbent — the closest macro analogue</w:t>
            </w:r>
          </w:p>
        </w:tc>
      </w:tr>
      <w:tr>
        <w:tc>
          <w:tcPr>
            <w:tcW w:type="dxa" w:w="2000"/>
            <w:tcMar>
              <w:top w:type="dxa" w:w="40"/>
              <w:left w:type="dxa" w:w="80"/>
              <w:bottom w:type="dxa" w:w="40"/>
              <w:right w:type="dxa" w:w="80"/>
            </w:tcMar>
          </w:tcPr>
          <w:p>
            <w:r>
              <w:rPr>
                <w:b w:val="false"/>
                <w:bCs w:val="false"/>
                <w:sz w:val="18"/>
                <w:szCs w:val="18"/>
              </w:rPr>
              <w:t xml:space="preserve">Mobily</w:t>
            </w:r>
          </w:p>
        </w:tc>
        <w:tc>
          <w:tcPr>
            <w:tcW w:type="dxa" w:w="1300"/>
            <w:tcMar>
              <w:top w:type="dxa" w:w="40"/>
              <w:left w:type="dxa" w:w="80"/>
              <w:bottom w:type="dxa" w:w="40"/>
              <w:right w:type="dxa" w:w="80"/>
            </w:tcMar>
          </w:tcPr>
          <w:p>
            <w:r>
              <w:rPr>
                <w:b w:val="false"/>
                <w:bCs w:val="false"/>
                <w:sz w:val="18"/>
                <w:szCs w:val="18"/>
              </w:rPr>
              <w:t xml:space="preserve">Tadawul</w:t>
            </w:r>
          </w:p>
        </w:tc>
        <w:tc>
          <w:tcPr>
            <w:tcW w:type="dxa" w:w="1900"/>
            <w:tcMar>
              <w:top w:type="dxa" w:w="40"/>
              <w:left w:type="dxa" w:w="80"/>
              <w:bottom w:type="dxa" w:w="40"/>
              <w:right w:type="dxa" w:w="80"/>
            </w:tcMar>
          </w:tcPr>
          <w:p>
            <w:r>
              <w:rPr>
                <w:b w:val="false"/>
                <w:bCs w:val="false"/>
                <w:sz w:val="18"/>
                <w:szCs w:val="18"/>
              </w:rPr>
              <w:t xml:space="preserve">6–7×</w:t>
            </w:r>
          </w:p>
        </w:tc>
        <w:tc>
          <w:tcPr>
            <w:tcW w:type="dxa" w:w="1500"/>
            <w:tcMar>
              <w:top w:type="dxa" w:w="40"/>
              <w:left w:type="dxa" w:w="80"/>
              <w:bottom w:type="dxa" w:w="40"/>
              <w:right w:type="dxa" w:w="80"/>
            </w:tcMar>
          </w:tcPr>
          <w:p>
            <w:r>
              <w:rPr>
                <w:b w:val="false"/>
                <w:bCs w:val="false"/>
                <w:sz w:val="18"/>
                <w:szCs w:val="18"/>
              </w:rPr>
              <w:t xml:space="preserve">13–15×</w:t>
            </w:r>
          </w:p>
        </w:tc>
        <w:tc>
          <w:tcPr>
            <w:tcW w:type="dxa" w:w="2660"/>
            <w:tcMar>
              <w:top w:type="dxa" w:w="40"/>
              <w:left w:type="dxa" w:w="80"/>
              <w:bottom w:type="dxa" w:w="40"/>
              <w:right w:type="dxa" w:w="80"/>
            </w:tcMar>
          </w:tcPr>
          <w:p>
            <w:r>
              <w:rPr>
                <w:b w:val="false"/>
                <w:bCs w:val="false"/>
                <w:sz w:val="18"/>
                <w:szCs w:val="18"/>
              </w:rPr>
              <w:t xml:space="preserve">Mobile pure-play reference for VFE</w:t>
            </w:r>
          </w:p>
        </w:tc>
      </w:tr>
    </w:tbl>
    <w:p>
      <w:pPr>
        <w:spacing w:after="120"/>
      </w:pPr>
    </w:p>
    <w:p>
      <w:pPr>
        <w:spacing w:after="140"/>
      </w:pPr>
      <w:r>
        <w:rPr>
          <w:b/>
          <w:bCs/>
        </w:rPr>
        <w:t xml:space="preserve">Sector structure. </w:t>
      </w:r>
      <w:r>
        <w:t xml:space="preserve">Egyptian mobile is a four-operator market led by Vodafone Egypt (~42–43% share) ahead of Orange, e&amp; Egypt and ETEL’s own WE (~10–13%); fixed-line and fibre are an ETEL monopoly that wholesales to all of them, so the incumbent is paid on both sides of its own competition. Internationally, the Suez corridor gives Egypt a dominant share of Europe–Asia traffic and ETEL the landing-station franchise. </w:t>
      </w:r>
      <w:r>
        <w:rPr>
          <w:b/>
          <w:bCs/>
        </w:rPr>
        <w:t xml:space="preserve">Principal risks: </w:t>
      </w:r>
      <w:r>
        <w:t xml:space="preserve">a state placement into the float and the broader divestment overhang; the VFE mark proving optimistic at monetization; EGP regime shifts in either direction; NTRA pricing risk (the 2026 round was favourable — the next may not be); a capex cycle that re-inflates past 30% of sales; and Red Sea security disrupting the cable franchise.</w:t>
      </w:r>
    </w:p>
    <w:p>
      <w:pPr>
        <w:pStyle w:val="Heading1"/>
        <w:spacing w:after="140" w:before="300"/>
      </w:pPr>
      <w:r>
        <w:t xml:space="preserve">Appendix D  The expert valuation panel</w:t>
      </w:r>
    </w:p>
    <w:p>
      <w:pPr>
        <w:spacing w:after="140"/>
      </w:pPr>
      <w:r>
        <w:t xml:space="preserve">Every Testahil study closes with a panel of standing expert personas — drawn from the house Expert Persona Library, not invented for the occasion, so that each accumulates a track record across studies and a quarterly update is a re-run, not a re-training. For ETEL we cast the three whose methods both fit an operating incumbent wrapped around a large unlisted associate and genuinely disagree: </w:t>
      </w:r>
      <w:r>
        <w:rPr>
          <w:b/>
          <w:bCs/>
        </w:rPr>
        <w:t xml:space="preserve">Expert 1</w:t>
      </w:r>
      <w:r>
        <w:t xml:space="preserve"> (net asset value and the wrapper discount), </w:t>
      </w:r>
      <w:r>
        <w:rPr>
          <w:b/>
          <w:bCs/>
        </w:rPr>
        <w:t xml:space="preserve">Expert 2</w:t>
      </w:r>
      <w:r>
        <w:t xml:space="preserve"> (normalized earnings power and justified multiples), and </w:t>
      </w:r>
      <w:r>
        <w:rPr>
          <w:b/>
          <w:bCs/>
        </w:rPr>
        <w:t xml:space="preserve">Expert 3</w:t>
      </w:r>
      <w:r>
        <w:t xml:space="preserve"> (cash returns — return on invested capital versus its cost). Each runs a different method, derives its fair value from shown workings, and states a falsification condition. The macro-policy lens — the pound, the CBE, the regulator, the sovereign — runs through the body (§1.8, §5) rather than as a separate persona, because in this name it is an input to all three methods rather than a method of its own.</w:t>
      </w:r>
    </w:p>
    <w:p>
      <w:pPr>
        <w:pStyle w:val="Heading2"/>
        <w:spacing w:after="110" w:before="220"/>
      </w:pPr>
      <w:r>
        <w:t xml:space="preserve">D.1  Expert 1 — net asset value and the wrapper discount</w:t>
      </w:r>
    </w:p>
    <w:p>
      <w:pPr>
        <w:spacing w:after="140"/>
      </w:pPr>
      <w:r>
        <w:rPr>
          <w:b/>
          <w:bCs/>
        </w:rPr>
        <w:t xml:space="preserve">Worldview and tradition. </w:t>
      </w:r>
      <w:r>
        <w:t xml:space="preserve">A company that is partly a container of assets is worth the sum of those assets at realizable value, less a discount for the container. He descends from the closed-end-fund and holding-company literature: mark each part to what a willing buyer would pay for it alone, deduct the debt, and then argue about one number — the discount — which he treats as an observable market object with its own history and its own catalysts, not a fudge factor.</w:t>
      </w:r>
    </w:p>
    <w:p>
      <w:pPr>
        <w:spacing w:after="140"/>
      </w:pPr>
      <w:r>
        <w:rPr>
          <w:b/>
          <w:bCs/>
        </w:rPr>
        <w:t xml:space="preserve">When it works / when it fails. </w:t>
      </w:r>
      <w:r>
        <w:t xml:space="preserve">The method is at its best exactly here: the parts are separable (a core operator and a 45% associate that never consolidates), one part has a real transaction mark, and a discount is plainly observable at spot. It fails when a mark is stale or illusory — an unlisted stake is worth its mark only if someone will eventually pay it — and when the container itself destroys value faster than the discount admits (forced placements, trapped cash, minority abuse).</w:t>
      </w:r>
    </w:p>
    <w:p>
      <w:pPr>
        <w:spacing w:after="140"/>
      </w:pPr>
      <w:r>
        <w:rPr>
          <w:b/>
          <w:bCs/>
        </w:rPr>
        <w:t xml:space="preserve">Standard workings. </w:t>
      </w:r>
      <w:r>
        <w:t xml:space="preserve">(1) Mark the core on a going-concern multiple of forward EBITDA. (2) Mark the associate on earnings, triangulated against the last transaction. (3) Add residuals, deduct net debt. (4) Choose a </w:t>
      </w:r>
      <w:r>
        <w:rPr>
          <w:i/>
          <w:iCs/>
        </w:rPr>
        <w:t xml:space="preserve">fair</w:t>
      </w:r>
      <w:r>
        <w:t xml:space="preserve"> discount from the wrapper’s specific defects — control, float, payout, monetization path — and compare it to the </w:t>
      </w:r>
      <w:r>
        <w:rPr>
          <w:i/>
          <w:iCs/>
        </w:rPr>
        <w:t xml:space="preserve">implied</w:t>
      </w:r>
      <w:r>
        <w:t xml:space="preserve"> discount at spot.</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6300"/>
        <w:gridCol w:w="3060"/>
      </w:tblGrid>
      <w:tr>
        <w:tc>
          <w:tcPr>
            <w:tcW w:type="dxa" w:w="6300"/>
            <w:shd w:fill="1B5E5E" w:val="clear"/>
            <w:tcMar>
              <w:top w:type="dxa" w:w="40"/>
              <w:left w:type="dxa" w:w="80"/>
              <w:bottom w:type="dxa" w:w="40"/>
              <w:right w:type="dxa" w:w="80"/>
            </w:tcMar>
          </w:tcPr>
          <w:p>
            <w:r>
              <w:rPr>
                <w:b/>
                <w:bCs/>
                <w:color w:val="FFFFFF"/>
                <w:sz w:val="18"/>
                <w:szCs w:val="18"/>
              </w:rPr>
              <w:t xml:space="preserve">Expert 1’s marks (EGP bn)</w:t>
            </w:r>
          </w:p>
        </w:tc>
        <w:tc>
          <w:tcPr>
            <w:tcW w:type="dxa" w:w="3060"/>
            <w:shd w:fill="1B5E5E" w:val="clear"/>
            <w:tcMar>
              <w:top w:type="dxa" w:w="40"/>
              <w:left w:type="dxa" w:w="80"/>
              <w:bottom w:type="dxa" w:w="40"/>
              <w:right w:type="dxa" w:w="80"/>
            </w:tcMar>
          </w:tcPr>
          <w:p>
            <w:r>
              <w:rPr>
                <w:b/>
                <w:bCs/>
                <w:color w:val="FFFFFF"/>
                <w:sz w:val="18"/>
                <w:szCs w:val="18"/>
              </w:rPr>
              <w:t xml:space="preserve">Value</w:t>
            </w:r>
          </w:p>
        </w:tc>
      </w:tr>
      <w:tr>
        <w:tc>
          <w:tcPr>
            <w:tcW w:type="dxa" w:w="6300"/>
            <w:tcMar>
              <w:top w:type="dxa" w:w="40"/>
              <w:left w:type="dxa" w:w="80"/>
              <w:bottom w:type="dxa" w:w="40"/>
              <w:right w:type="dxa" w:w="80"/>
            </w:tcMar>
          </w:tcPr>
          <w:p>
            <w:r>
              <w:rPr>
                <w:b/>
                <w:bCs/>
                <w:sz w:val="18"/>
                <w:szCs w:val="18"/>
              </w:rPr>
              <w:t xml:space="preserve">Core Telecom Egypt (52.6 × 3.25×)</w:t>
            </w:r>
          </w:p>
        </w:tc>
        <w:tc>
          <w:tcPr>
            <w:tcW w:type="dxa" w:w="3060"/>
            <w:tcMar>
              <w:top w:type="dxa" w:w="40"/>
              <w:left w:type="dxa" w:w="80"/>
              <w:bottom w:type="dxa" w:w="40"/>
              <w:right w:type="dxa" w:w="80"/>
            </w:tcMar>
          </w:tcPr>
          <w:p>
            <w:r>
              <w:rPr>
                <w:b w:val="false"/>
                <w:bCs w:val="false"/>
                <w:sz w:val="18"/>
                <w:szCs w:val="18"/>
              </w:rPr>
              <w:t xml:space="preserve">171.0</w:t>
            </w:r>
          </w:p>
        </w:tc>
      </w:tr>
      <w:tr>
        <w:tc>
          <w:tcPr>
            <w:tcW w:type="dxa" w:w="6300"/>
            <w:tcMar>
              <w:top w:type="dxa" w:w="40"/>
              <w:left w:type="dxa" w:w="80"/>
              <w:bottom w:type="dxa" w:w="40"/>
              <w:right w:type="dxa" w:w="80"/>
            </w:tcMar>
          </w:tcPr>
          <w:p>
            <w:r>
              <w:rPr>
                <w:b/>
                <w:bCs/>
                <w:sz w:val="18"/>
                <w:szCs w:val="18"/>
              </w:rPr>
              <w:t xml:space="preserve">Vodafone Egypt 45% (32.9 × 8.0× × 45%)</w:t>
            </w:r>
          </w:p>
        </w:tc>
        <w:tc>
          <w:tcPr>
            <w:tcW w:type="dxa" w:w="3060"/>
            <w:tcMar>
              <w:top w:type="dxa" w:w="40"/>
              <w:left w:type="dxa" w:w="80"/>
              <w:bottom w:type="dxa" w:w="40"/>
              <w:right w:type="dxa" w:w="80"/>
            </w:tcMar>
          </w:tcPr>
          <w:p>
            <w:r>
              <w:rPr>
                <w:b w:val="false"/>
                <w:bCs w:val="false"/>
                <w:sz w:val="18"/>
                <w:szCs w:val="18"/>
              </w:rPr>
              <w:t xml:space="preserve">118.4</w:t>
            </w:r>
          </w:p>
        </w:tc>
      </w:tr>
      <w:tr>
        <w:tc>
          <w:tcPr>
            <w:tcW w:type="dxa" w:w="6300"/>
            <w:tcMar>
              <w:top w:type="dxa" w:w="40"/>
              <w:left w:type="dxa" w:w="80"/>
              <w:bottom w:type="dxa" w:w="40"/>
              <w:right w:type="dxa" w:w="80"/>
            </w:tcMar>
          </w:tcPr>
          <w:p>
            <w:r>
              <w:rPr>
                <w:b/>
                <w:bCs/>
                <w:sz w:val="18"/>
                <w:szCs w:val="18"/>
              </w:rPr>
              <w:t xml:space="preserve">Other (data-hub JV, land, non-core)</w:t>
            </w:r>
          </w:p>
        </w:tc>
        <w:tc>
          <w:tcPr>
            <w:tcW w:type="dxa" w:w="3060"/>
            <w:tcMar>
              <w:top w:type="dxa" w:w="40"/>
              <w:left w:type="dxa" w:w="80"/>
              <w:bottom w:type="dxa" w:w="40"/>
              <w:right w:type="dxa" w:w="80"/>
            </w:tcMar>
          </w:tcPr>
          <w:p>
            <w:r>
              <w:rPr>
                <w:b w:val="false"/>
                <w:bCs w:val="false"/>
                <w:sz w:val="18"/>
                <w:szCs w:val="18"/>
              </w:rPr>
              <w:t xml:space="preserve">6.0</w:t>
            </w:r>
          </w:p>
        </w:tc>
      </w:tr>
      <w:tr>
        <w:tc>
          <w:tcPr>
            <w:tcW w:type="dxa" w:w="6300"/>
            <w:tcMar>
              <w:top w:type="dxa" w:w="40"/>
              <w:left w:type="dxa" w:w="80"/>
              <w:bottom w:type="dxa" w:w="40"/>
              <w:right w:type="dxa" w:w="80"/>
            </w:tcMar>
          </w:tcPr>
          <w:p>
            <w:r>
              <w:rPr>
                <w:b/>
                <w:bCs/>
                <w:sz w:val="18"/>
                <w:szCs w:val="18"/>
              </w:rPr>
              <w:t xml:space="preserve">Σ EV − net debt 58 = EGP 139.0/sh pre-discount</w:t>
            </w:r>
          </w:p>
        </w:tc>
        <w:tc>
          <w:tcPr>
            <w:tcW w:type="dxa" w:w="3060"/>
            <w:tcMar>
              <w:top w:type="dxa" w:w="40"/>
              <w:left w:type="dxa" w:w="80"/>
              <w:bottom w:type="dxa" w:w="40"/>
              <w:right w:type="dxa" w:w="80"/>
            </w:tcMar>
          </w:tcPr>
          <w:p>
            <w:r>
              <w:rPr>
                <w:b w:val="false"/>
                <w:bCs w:val="false"/>
                <w:sz w:val="18"/>
                <w:szCs w:val="18"/>
              </w:rPr>
              <w:t xml:space="preserve">237.4</w:t>
            </w:r>
          </w:p>
        </w:tc>
      </w:tr>
      <w:tr>
        <w:tc>
          <w:tcPr>
            <w:tcW w:type="dxa" w:w="6300"/>
            <w:tcMar>
              <w:top w:type="dxa" w:w="40"/>
              <w:left w:type="dxa" w:w="80"/>
              <w:bottom w:type="dxa" w:w="40"/>
              <w:right w:type="dxa" w:w="80"/>
            </w:tcMar>
          </w:tcPr>
          <w:p>
            <w:r>
              <w:rPr>
                <w:b/>
                <w:bCs/>
                <w:sz w:val="18"/>
                <w:szCs w:val="18"/>
              </w:rPr>
              <w:t xml:space="preserve">Fair wrapper discount </w:t>
            </w:r>
            <w:r>
              <w:rPr>
                <w:b/>
                <w:bCs/>
                <w:sz w:val="18"/>
                <w:szCs w:val="18"/>
              </w:rPr>
              <w:t xml:space="preserve">12%</w:t>
            </w:r>
            <w:r>
              <w:rPr>
                <w:b/>
                <w:bCs/>
                <w:sz w:val="18"/>
                <w:szCs w:val="18"/>
              </w:rPr>
              <w:t xml:space="preserve"> (payout rising, monetization path live)</w:t>
            </w:r>
          </w:p>
        </w:tc>
        <w:tc>
          <w:tcPr>
            <w:tcW w:type="dxa" w:w="3060"/>
            <w:tcMar>
              <w:top w:type="dxa" w:w="40"/>
              <w:left w:type="dxa" w:w="80"/>
              <w:bottom w:type="dxa" w:w="40"/>
              <w:right w:type="dxa" w:w="80"/>
            </w:tcMar>
          </w:tcPr>
          <w:p>
            <w:r>
              <w:rPr>
                <w:b w:val="false"/>
                <w:bCs w:val="false"/>
                <w:sz w:val="18"/>
                <w:szCs w:val="18"/>
              </w:rPr>
              <w:t xml:space="preserve">→ </w:t>
            </w:r>
            <w:r>
              <w:rPr>
                <w:b w:val="false"/>
                <w:bCs w:val="false"/>
                <w:sz w:val="18"/>
                <w:szCs w:val="18"/>
              </w:rPr>
              <w:t xml:space="preserve">EGP 123/sh</w:t>
            </w:r>
          </w:p>
        </w:tc>
      </w:tr>
    </w:tbl>
    <w:p>
      <w:pPr>
        <w:spacing w:after="120"/>
      </w:pPr>
    </w:p>
    <w:p>
      <w:pPr>
        <w:spacing w:after="140"/>
      </w:pPr>
      <w:r>
        <w:rPr>
          <w:b/>
          <w:bCs/>
        </w:rPr>
        <w:t xml:space="preserve">Worked example — pricing the discount itself. </w:t>
      </w:r>
      <w:r>
        <w:t xml:space="preserve">He decomposes his 12% as: ~5 points for the 70% state holding and its placement overhang (2023’s 9.5% cleared at EGP 23.11 — supply happens, and at a price); ~4 points for the associate’s minority-no-listing status (income you book but cannot direct); ~3 points for a 13% payout that keeps cash inside the wrapper. Each defect has a live cure: a formal payout policy, a VFE listing, a placement that raises float. That is why his fair discount (12%) sits under the study’s 15% and far under the ~33% the market implies.</w:t>
      </w:r>
    </w:p>
    <w:p>
      <w:pPr>
        <w:spacing w:after="140"/>
      </w:pPr>
      <w:r>
        <w:rPr>
          <w:b/>
          <w:bCs/>
        </w:rPr>
        <w:t xml:space="preserve">The discount’s own history. </w:t>
      </w:r>
      <w:r>
        <w:t xml:space="preserve">He also reads the implied discount as a time series, because a discount that has already travelled tells you it can travel again. At the May-2023 placement price of EGP 23.11 the market was paying roughly a 55–60% discount to a then-NAV built on the freshly-struck Vodacom deal mark and a pre-repricing core — the deepest print in the series, made at the bottom of the devaluation panic. Through the 2024–25 record years the implied discount compressed steadily as the income line tripled and leverage halved, reaching the low-30s at the February-2026 all-time high before settling at today’s ~33%. Two mechanical observations follow. First, the compression so far has come entirely from the numerator (value grew into the price); the discount itself has never actually re-rated — which is his opportunity. Second, every prior EGX wrapper that installed a formal payout policy or listed a crown-jewel subsidiary saw its discount close by double digits within four quarters; ETEL has both levers loaded and unpulled. His 12% is therefore not a hope — it is where comparable cured wrappers already trade.</w:t>
      </w:r>
    </w:p>
    <w:p>
      <w:pPr>
        <w:spacing w:after="140"/>
      </w:pPr>
      <w:r>
        <w:rPr>
          <w:b/>
          <w:bCs/>
        </w:rPr>
        <w:t xml:space="preserve">Sensitivity (swing = the discount). </w:t>
      </w:r>
      <w:r>
        <w:t xml:space="preserve">On his marks, EGP 139.0/sh pre-discount: at a 5% discount EGP 132; at 15%, 118; at 25%, 104; at the market-implied ~33%, 93 — which is spot. The entire debate between him and the market is that one number.</w:t>
      </w:r>
    </w:p>
    <w:p>
      <w:pPr>
        <w:spacing w:after="140"/>
      </w:pPr>
      <w:r>
        <w:rPr>
          <w:b/>
          <w:bCs/>
        </w:rPr>
        <w:t xml:space="preserve">Cross-examination. </w:t>
      </w:r>
      <w:r>
        <w:t xml:space="preserve">He tells Expert 2 that capitalizing a normalized EPS silently re-marks the associate at the group multiple — the blend launders the stake’s value into an earnings line and then discounts it twice. He tells Expert 3 that charging the group a 23% WACC on invested capital penalises the associate for capital ETEL never invested and does not control — the stake is a claim, not a project.</w:t>
      </w:r>
    </w:p>
    <w:p>
      <w:pPr>
        <w:spacing w:after="140"/>
      </w:pPr>
      <w:r>
        <w:rPr>
          <w:b/>
          <w:bCs/>
        </w:rPr>
        <w:t xml:space="preserve">Verdict, falsification, market-implied. Fair EGP 123 (range 105–140). </w:t>
      </w:r>
      <w:r>
        <w:t xml:space="preserve">Falsified if the marks prove unrealizable — above all if a VFE monetization or listing clears materially below an 8× earnings mark — or if the state demonstrates that the wrapper’s defects are permanent (placements at deep discounts, payout frozen). The market price implies a ~33% discount to his NAV: nearly three times what he judges fair.</w:t>
      </w:r>
    </w:p>
    <w:p>
      <w:pPr>
        <w:pStyle w:val="Heading2"/>
        <w:spacing w:after="110" w:before="220"/>
      </w:pPr>
      <w:r>
        <w:t xml:space="preserve">D.2  Expert 2 — normalized earnings power and justified multiples</w:t>
      </w:r>
    </w:p>
    <w:p>
      <w:pPr>
        <w:spacing w:after="140"/>
      </w:pPr>
      <w:r>
        <w:rPr>
          <w:b/>
          <w:bCs/>
        </w:rPr>
        <w:t xml:space="preserve">Worldview and tradition. </w:t>
      </w:r>
      <w:r>
        <w:t xml:space="preserve">An operating business is worth a fair multiple of its sustainable mid-cycle earnings; peaks, troughs and translation noise are to be stripped out, not capitalized. She works in the Graham-and-Dodd normalization line: find the earnings level the franchise defends through a cycle, justify a multiple from growth, payout and risk, and refuse to pay for arithmetic that depends on a single hot year.</w:t>
      </w:r>
    </w:p>
    <w:p>
      <w:pPr>
        <w:spacing w:after="140"/>
      </w:pPr>
      <w:r>
        <w:rPr>
          <w:b/>
          <w:bCs/>
        </w:rPr>
        <w:t xml:space="preserve">When it works / when it fails. </w:t>
      </w:r>
      <w:r>
        <w:t xml:space="preserve">Best for franchises with pricing power and a repeating demand base — an incumbent selling connectivity in a 105-million-person market qualifies. It fails at structural breaks: if the 2024–25 earnings step is a devaluation artefact that real-terms competition claws back, her “mid-cycle” is an illusion; and it is blind to balance-sheet and wrapper questions by construction.</w:t>
      </w:r>
    </w:p>
    <w:p>
      <w:pPr>
        <w:spacing w:after="140"/>
      </w:pPr>
      <w:r>
        <w:rPr>
          <w:b/>
          <w:bCs/>
        </w:rPr>
        <w:t xml:space="preserve">Standard workings. </w:t>
      </w:r>
      <w:r>
        <w:t xml:space="preserve">(1) Rebuild NPAT ex-FX noise and one-offs. (2) Test the level against bottom-up drivers (tariffs, subscribers, VFE income, interest path). (3) Set a justified P/E off peers and the name’s own history. (4) Multiply, and state what growth the market is refusing to pay for.</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6300"/>
        <w:gridCol w:w="3060"/>
      </w:tblGrid>
      <w:tr>
        <w:tc>
          <w:tcPr>
            <w:tcW w:type="dxa" w:w="6300"/>
            <w:shd w:fill="1B5E5E" w:val="clear"/>
            <w:tcMar>
              <w:top w:type="dxa" w:w="40"/>
              <w:left w:type="dxa" w:w="80"/>
              <w:bottom w:type="dxa" w:w="40"/>
              <w:right w:type="dxa" w:w="80"/>
            </w:tcMar>
          </w:tcPr>
          <w:p>
            <w:r>
              <w:rPr>
                <w:b/>
                <w:bCs/>
                <w:color w:val="FFFFFF"/>
                <w:sz w:val="18"/>
                <w:szCs w:val="18"/>
              </w:rPr>
              <w:t xml:space="preserve">Expert 2’s normalization</w:t>
            </w:r>
          </w:p>
        </w:tc>
        <w:tc>
          <w:tcPr>
            <w:tcW w:type="dxa" w:w="3060"/>
            <w:shd w:fill="1B5E5E" w:val="clear"/>
            <w:tcMar>
              <w:top w:type="dxa" w:w="40"/>
              <w:left w:type="dxa" w:w="80"/>
              <w:bottom w:type="dxa" w:w="40"/>
              <w:right w:type="dxa" w:w="80"/>
            </w:tcMar>
          </w:tcPr>
          <w:p>
            <w:r>
              <w:rPr>
                <w:b/>
                <w:bCs/>
                <w:color w:val="FFFFFF"/>
                <w:sz w:val="18"/>
                <w:szCs w:val="18"/>
              </w:rPr>
              <w:t xml:space="preserve">Value</w:t>
            </w:r>
          </w:p>
        </w:tc>
      </w:tr>
      <w:tr>
        <w:tc>
          <w:tcPr>
            <w:tcW w:type="dxa" w:w="6300"/>
            <w:tcMar>
              <w:top w:type="dxa" w:w="40"/>
              <w:left w:type="dxa" w:w="80"/>
              <w:bottom w:type="dxa" w:w="40"/>
              <w:right w:type="dxa" w:w="80"/>
            </w:tcMar>
          </w:tcPr>
          <w:p>
            <w:r>
              <w:rPr>
                <w:b/>
                <w:bCs/>
                <w:sz w:val="18"/>
                <w:szCs w:val="18"/>
              </w:rPr>
              <w:t xml:space="preserve">FY25 reported NPAT (EGP bn)</w:t>
            </w:r>
          </w:p>
        </w:tc>
        <w:tc>
          <w:tcPr>
            <w:tcW w:type="dxa" w:w="3060"/>
            <w:tcMar>
              <w:top w:type="dxa" w:w="40"/>
              <w:left w:type="dxa" w:w="80"/>
              <w:bottom w:type="dxa" w:w="40"/>
              <w:right w:type="dxa" w:w="80"/>
            </w:tcMar>
          </w:tcPr>
          <w:p>
            <w:r>
              <w:rPr>
                <w:b w:val="false"/>
                <w:bCs w:val="false"/>
                <w:sz w:val="18"/>
                <w:szCs w:val="18"/>
              </w:rPr>
              <w:t xml:space="preserve">22.6</w:t>
            </w:r>
          </w:p>
        </w:tc>
      </w:tr>
      <w:tr>
        <w:tc>
          <w:tcPr>
            <w:tcW w:type="dxa" w:w="6300"/>
            <w:tcMar>
              <w:top w:type="dxa" w:w="40"/>
              <w:left w:type="dxa" w:w="80"/>
              <w:bottom w:type="dxa" w:w="40"/>
              <w:right w:type="dxa" w:w="80"/>
            </w:tcMar>
          </w:tcPr>
          <w:p>
            <w:r>
              <w:rPr>
                <w:b/>
                <w:bCs/>
                <w:sz w:val="18"/>
                <w:szCs w:val="18"/>
              </w:rPr>
              <w:t xml:space="preserve">+ FX-noise strip (Q1-26 alone: 5.3 non-cash) and full-year tariff effect</w:t>
            </w:r>
          </w:p>
        </w:tc>
        <w:tc>
          <w:tcPr>
            <w:tcW w:type="dxa" w:w="3060"/>
            <w:tcMar>
              <w:top w:type="dxa" w:w="40"/>
              <w:left w:type="dxa" w:w="80"/>
              <w:bottom w:type="dxa" w:w="40"/>
              <w:right w:type="dxa" w:w="80"/>
            </w:tcMar>
          </w:tcPr>
          <w:p>
            <w:r>
              <w:rPr>
                <w:b w:val="false"/>
                <w:bCs w:val="false"/>
                <w:sz w:val="18"/>
                <w:szCs w:val="18"/>
              </w:rPr>
              <w:t xml:space="preserve">→ 30.0 mid-cycle</w:t>
            </w:r>
          </w:p>
        </w:tc>
      </w:tr>
      <w:tr>
        <w:tc>
          <w:tcPr>
            <w:tcW w:type="dxa" w:w="6300"/>
            <w:tcMar>
              <w:top w:type="dxa" w:w="40"/>
              <w:left w:type="dxa" w:w="80"/>
              <w:bottom w:type="dxa" w:w="40"/>
              <w:right w:type="dxa" w:w="80"/>
            </w:tcMar>
          </w:tcPr>
          <w:p>
            <w:r>
              <w:rPr>
                <w:b/>
                <w:bCs/>
                <w:sz w:val="18"/>
                <w:szCs w:val="18"/>
              </w:rPr>
              <w:t xml:space="preserve">Shares (mn) → normalized EPS (post profit-share)</w:t>
            </w:r>
          </w:p>
        </w:tc>
        <w:tc>
          <w:tcPr>
            <w:tcW w:type="dxa" w:w="3060"/>
            <w:tcMar>
              <w:top w:type="dxa" w:w="40"/>
              <w:left w:type="dxa" w:w="80"/>
              <w:bottom w:type="dxa" w:w="40"/>
              <w:right w:type="dxa" w:w="80"/>
            </w:tcMar>
          </w:tcPr>
          <w:p>
            <w:r>
              <w:rPr>
                <w:b w:val="false"/>
                <w:bCs w:val="false"/>
                <w:sz w:val="18"/>
                <w:szCs w:val="18"/>
              </w:rPr>
              <w:t xml:space="preserve">1,707 → EGP 15.8</w:t>
            </w:r>
          </w:p>
        </w:tc>
      </w:tr>
      <w:tr>
        <w:tc>
          <w:tcPr>
            <w:tcW w:type="dxa" w:w="6300"/>
            <w:tcMar>
              <w:top w:type="dxa" w:w="40"/>
              <w:left w:type="dxa" w:w="80"/>
              <w:bottom w:type="dxa" w:w="40"/>
              <w:right w:type="dxa" w:w="80"/>
            </w:tcMar>
          </w:tcPr>
          <w:p>
            <w:r>
              <w:rPr>
                <w:b/>
                <w:bCs/>
                <w:sz w:val="18"/>
                <w:szCs w:val="18"/>
              </w:rPr>
              <w:t xml:space="preserve">Justified P/E (EM incumbent; below every Gulf peer)</w:t>
            </w:r>
          </w:p>
        </w:tc>
        <w:tc>
          <w:tcPr>
            <w:tcW w:type="dxa" w:w="3060"/>
            <w:tcMar>
              <w:top w:type="dxa" w:w="40"/>
              <w:left w:type="dxa" w:w="80"/>
              <w:bottom w:type="dxa" w:w="40"/>
              <w:right w:type="dxa" w:w="80"/>
            </w:tcMar>
          </w:tcPr>
          <w:p>
            <w:r>
              <w:rPr>
                <w:b w:val="false"/>
                <w:bCs w:val="false"/>
                <w:sz w:val="18"/>
                <w:szCs w:val="18"/>
              </w:rPr>
              <w:t xml:space="preserve">8.5×</w:t>
            </w:r>
          </w:p>
        </w:tc>
      </w:tr>
      <w:tr>
        <w:tc>
          <w:tcPr>
            <w:tcW w:type="dxa" w:w="6300"/>
            <w:tcMar>
              <w:top w:type="dxa" w:w="40"/>
              <w:left w:type="dxa" w:w="80"/>
              <w:bottom w:type="dxa" w:w="40"/>
              <w:right w:type="dxa" w:w="80"/>
            </w:tcMar>
          </w:tcPr>
          <w:p>
            <w:r>
              <w:rPr>
                <w:b/>
                <w:bCs/>
                <w:sz w:val="18"/>
                <w:szCs w:val="18"/>
              </w:rPr>
              <w:t xml:space="preserve">Fair value</w:t>
            </w:r>
          </w:p>
        </w:tc>
        <w:tc>
          <w:tcPr>
            <w:tcW w:type="dxa" w:w="3060"/>
            <w:tcMar>
              <w:top w:type="dxa" w:w="40"/>
              <w:left w:type="dxa" w:w="80"/>
              <w:bottom w:type="dxa" w:w="40"/>
              <w:right w:type="dxa" w:w="80"/>
            </w:tcMar>
          </w:tcPr>
          <w:p>
            <w:r>
              <w:rPr>
                <w:b w:val="false"/>
                <w:bCs w:val="false"/>
                <w:sz w:val="18"/>
                <w:szCs w:val="18"/>
              </w:rPr>
              <w:t xml:space="preserve">→ </w:t>
            </w:r>
            <w:r>
              <w:rPr>
                <w:b w:val="false"/>
                <w:bCs w:val="false"/>
                <w:sz w:val="18"/>
                <w:szCs w:val="18"/>
              </w:rPr>
              <w:t xml:space="preserve">EGP 134/sh</w:t>
            </w:r>
          </w:p>
        </w:tc>
      </w:tr>
    </w:tbl>
    <w:p>
      <w:pPr>
        <w:spacing w:after="120"/>
      </w:pPr>
    </w:p>
    <w:p>
      <w:pPr>
        <w:spacing w:after="140"/>
      </w:pPr>
      <w:r>
        <w:rPr>
          <w:b/>
          <w:bCs/>
        </w:rPr>
        <w:t xml:space="preserve">Worked example — is 30 defensible? </w:t>
      </w:r>
      <w:r>
        <w:t xml:space="preserve">Take Q1-26’s adjusted EGP 5.9bn (+27% YoY), annualise to ~24, add a half-year of the 13–15% tariff round on the ~EGP 62bn retail base at incumbent drop-through (~3–4bn), a year of CBE easing on ~EGP 74bn of gross debt (~2bn), and VFE income compounding in the teens (~2bn): the bridge reaches 30–32 without heroics. Her 30 takes the bottom of it.</w:t>
      </w:r>
    </w:p>
    <w:p>
      <w:pPr>
        <w:spacing w:after="140"/>
      </w:pPr>
      <w:r>
        <w:rPr>
          <w:b/>
          <w:bCs/>
        </w:rPr>
        <w:t xml:space="preserve">Justifying the 8.5×. </w:t>
      </w:r>
      <w:r>
        <w:t xml:space="preserve">The multiple is built, not borrowed. On the standard identity — justified P/E ≈ payout ÷ (r − g) — an EGP investor demanding ~23% against ~12% nominal mid-cycle growth needs only a ~35% payout to justify 3.2× as a floor with zero growth credit beyond the terminal, and ~8× once the double-digit near-term ramp is present-valued explicitly; her two-stage build (five years at the model path fading to the terminal) lands at 8.3–8.9× across reasonable fade speeds, and she rounds to 8.5×. Triangulation says the same thing from outside: Turk Telekom — the one peer living in comparable inflation — trades 5–8× on stagnant real earnings, and ETEL’s real earnings are not stagnant; the Gulf incumbents trade 10–17× on lower growth and lower rates. 8.5× is therefore the humble middle: above a broken-macro comp, far below the petro-premium set, and precisely what the dividend-discount arithmetic supports if the payout merely rises toward the level the balance sheet already permits.</w:t>
      </w:r>
    </w:p>
    <w:p>
      <w:pPr>
        <w:spacing w:after="140"/>
      </w:pPr>
      <w:r>
        <w:rPr>
          <w:b/>
          <w:bCs/>
        </w:rPr>
        <w:t xml:space="preserve">Sensitivity (swing = the multiple, then the level). </w:t>
      </w:r>
      <w:r>
        <w:t xml:space="preserve">At 7.0× her EPS gives EGP 111; at 10.0×, 158. If normalization is only 25bn, base drops to EGP 112; at 34bn it is 152.</w:t>
      </w:r>
    </w:p>
    <w:p>
      <w:pPr>
        <w:spacing w:after="140"/>
      </w:pPr>
      <w:r>
        <w:rPr>
          <w:b/>
          <w:bCs/>
        </w:rPr>
        <w:t xml:space="preserve">Cross-examination. </w:t>
      </w:r>
      <w:r>
        <w:t xml:space="preserve">She tells Expert 1 that a NAV table is static — his 8× mark on VFE is itself an earnings judgment wearing an asset costume, so he should stop pretending the methods differ on the stake and argue the multiple openly. She tells Expert 3 that charging a 23% nominal WACC against returns earned in the same 25%-inflation era double-counts the macro: deflate both sides or neither.</w:t>
      </w:r>
    </w:p>
    <w:p>
      <w:pPr>
        <w:spacing w:after="140"/>
      </w:pPr>
      <w:r>
        <w:rPr>
          <w:b/>
          <w:bCs/>
        </w:rPr>
        <w:t xml:space="preserve">Verdict, falsification, market-implied. Fair EGP 134 (range 111–158). </w:t>
      </w:r>
      <w:r>
        <w:t xml:space="preserve">Falsified if the tariff round is competed or regulated away and 2027 EPS stalls below ~EGP 12 — i.e., if 2025 was the peak, not the base. The market pays 5.9× her normalized EPS: it is refusing to pay even a no-growth multiple for a franchise growing earnings at double digits.</w:t>
      </w:r>
    </w:p>
    <w:p>
      <w:pPr>
        <w:pStyle w:val="Heading2"/>
        <w:spacing w:after="110" w:before="220"/>
      </w:pPr>
      <w:r>
        <w:t xml:space="preserve">D.3  Expert 3 — cash returns: ROIC versus the cost of capital</w:t>
      </w:r>
    </w:p>
    <w:p>
      <w:pPr>
        <w:spacing w:after="140"/>
      </w:pPr>
      <w:r>
        <w:rPr>
          <w:b/>
          <w:bCs/>
        </w:rPr>
        <w:t xml:space="preserve">Worldview and tradition. </w:t>
      </w:r>
      <w:r>
        <w:t xml:space="preserve">A business creates value only when each pound of capital earns more than it costs; everything else is redistribution. He is the economic-profit discipline — NOPAT over invested capital against WACC — and he is professionally allergic to Egyptian nominal arithmetic, where 30% revenue growth can coexist with real value destruction if the capital base inflates faster still.</w:t>
      </w:r>
    </w:p>
    <w:p>
      <w:pPr>
        <w:spacing w:after="140"/>
      </w:pPr>
      <w:r>
        <w:rPr>
          <w:b/>
          <w:bCs/>
        </w:rPr>
        <w:t xml:space="preserve">When it works / when it fails. </w:t>
      </w:r>
      <w:r>
        <w:t xml:space="preserve">Best for capital-heavy operators, which is precisely what a fibre-and-subsea incumbent spending 28–31% of sales in cash capex is. It fails when the capital base misstates the economics — an associate carried at EGP 30.9bn book that earns 14.8bn for its owner makes group ROIC meaningless unless the stake is carved out, which he does — and at genuine inflection points, where trailing returns understate a repriced future.</w:t>
      </w:r>
    </w:p>
    <w:p>
      <w:pPr>
        <w:spacing w:after="140"/>
      </w:pPr>
      <w:r>
        <w:rPr>
          <w:b/>
          <w:bCs/>
        </w:rPr>
        <w:t xml:space="preserve">Standard workings. </w:t>
      </w:r>
      <w:r>
        <w:t xml:space="preserve">(1) Carve the associate out of both NOPAT and invested capital. (2) Compute core ROIC on the operating base. (3) Value the core as invested capital × ROIC/WACC (the no-growth economic-profit identity). (4) Add the stake at a conservative mark, deduct debt.</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6300"/>
        <w:gridCol w:w="3060"/>
      </w:tblGrid>
      <w:tr>
        <w:tc>
          <w:tcPr>
            <w:tcW w:type="dxa" w:w="6300"/>
            <w:shd w:fill="1B5E5E" w:val="clear"/>
            <w:tcMar>
              <w:top w:type="dxa" w:w="40"/>
              <w:left w:type="dxa" w:w="80"/>
              <w:bottom w:type="dxa" w:w="40"/>
              <w:right w:type="dxa" w:w="80"/>
            </w:tcMar>
          </w:tcPr>
          <w:p>
            <w:r>
              <w:rPr>
                <w:b/>
                <w:bCs/>
                <w:color w:val="FFFFFF"/>
                <w:sz w:val="18"/>
                <w:szCs w:val="18"/>
              </w:rPr>
              <w:t xml:space="preserve">Expert 3’s economic-profit test</w:t>
            </w:r>
          </w:p>
        </w:tc>
        <w:tc>
          <w:tcPr>
            <w:tcW w:type="dxa" w:w="3060"/>
            <w:shd w:fill="1B5E5E" w:val="clear"/>
            <w:tcMar>
              <w:top w:type="dxa" w:w="40"/>
              <w:left w:type="dxa" w:w="80"/>
              <w:bottom w:type="dxa" w:w="40"/>
              <w:right w:type="dxa" w:w="80"/>
            </w:tcMar>
          </w:tcPr>
          <w:p>
            <w:r>
              <w:rPr>
                <w:b/>
                <w:bCs/>
                <w:color w:val="FFFFFF"/>
                <w:sz w:val="18"/>
                <w:szCs w:val="18"/>
              </w:rPr>
              <w:t xml:space="preserve">Value</w:t>
            </w:r>
          </w:p>
        </w:tc>
      </w:tr>
      <w:tr>
        <w:tc>
          <w:tcPr>
            <w:tcW w:type="dxa" w:w="6300"/>
            <w:tcMar>
              <w:top w:type="dxa" w:w="40"/>
              <w:left w:type="dxa" w:w="80"/>
              <w:bottom w:type="dxa" w:w="40"/>
              <w:right w:type="dxa" w:w="80"/>
            </w:tcMar>
          </w:tcPr>
          <w:p>
            <w:r>
              <w:rPr>
                <w:b/>
                <w:bCs/>
                <w:sz w:val="18"/>
                <w:szCs w:val="18"/>
              </w:rPr>
              <w:t xml:space="preserve">Core NOPAT 2026E (EBIT 36.9 × (1−22.5%)) (EGP bn)</w:t>
            </w:r>
          </w:p>
        </w:tc>
        <w:tc>
          <w:tcPr>
            <w:tcW w:type="dxa" w:w="3060"/>
            <w:tcMar>
              <w:top w:type="dxa" w:w="40"/>
              <w:left w:type="dxa" w:w="80"/>
              <w:bottom w:type="dxa" w:w="40"/>
              <w:right w:type="dxa" w:w="80"/>
            </w:tcMar>
          </w:tcPr>
          <w:p>
            <w:r>
              <w:rPr>
                <w:b w:val="false"/>
                <w:bCs w:val="false"/>
                <w:sz w:val="18"/>
                <w:szCs w:val="18"/>
              </w:rPr>
              <w:t xml:space="preserve">~28.6</w:t>
            </w:r>
          </w:p>
        </w:tc>
      </w:tr>
      <w:tr>
        <w:tc>
          <w:tcPr>
            <w:tcW w:type="dxa" w:w="6300"/>
            <w:tcMar>
              <w:top w:type="dxa" w:w="40"/>
              <w:left w:type="dxa" w:w="80"/>
              <w:bottom w:type="dxa" w:w="40"/>
              <w:right w:type="dxa" w:w="80"/>
            </w:tcMar>
          </w:tcPr>
          <w:p>
            <w:r>
              <w:rPr>
                <w:b/>
                <w:bCs/>
                <w:sz w:val="18"/>
                <w:szCs w:val="18"/>
              </w:rPr>
              <w:t xml:space="preserve">Core invested capital (net fixed 119.8 + WC &amp; licences, ex-VFE book)</w:t>
            </w:r>
          </w:p>
        </w:tc>
        <w:tc>
          <w:tcPr>
            <w:tcW w:type="dxa" w:w="3060"/>
            <w:tcMar>
              <w:top w:type="dxa" w:w="40"/>
              <w:left w:type="dxa" w:w="80"/>
              <w:bottom w:type="dxa" w:w="40"/>
              <w:right w:type="dxa" w:w="80"/>
            </w:tcMar>
          </w:tcPr>
          <w:p>
            <w:r>
              <w:rPr>
                <w:b w:val="false"/>
                <w:bCs w:val="false"/>
                <w:sz w:val="18"/>
                <w:szCs w:val="18"/>
              </w:rPr>
              <w:t xml:space="preserve">~160</w:t>
            </w:r>
          </w:p>
        </w:tc>
      </w:tr>
      <w:tr>
        <w:tc>
          <w:tcPr>
            <w:tcW w:type="dxa" w:w="6300"/>
            <w:tcMar>
              <w:top w:type="dxa" w:w="40"/>
              <w:left w:type="dxa" w:w="80"/>
              <w:bottom w:type="dxa" w:w="40"/>
              <w:right w:type="dxa" w:w="80"/>
            </w:tcMar>
          </w:tcPr>
          <w:p>
            <w:r>
              <w:rPr>
                <w:b/>
                <w:bCs/>
                <w:sz w:val="18"/>
                <w:szCs w:val="18"/>
              </w:rPr>
              <w:t xml:space="preserve">Core ROIC vs WACC</w:t>
            </w:r>
          </w:p>
        </w:tc>
        <w:tc>
          <w:tcPr>
            <w:tcW w:type="dxa" w:w="3060"/>
            <w:tcMar>
              <w:top w:type="dxa" w:w="40"/>
              <w:left w:type="dxa" w:w="80"/>
              <w:bottom w:type="dxa" w:w="40"/>
              <w:right w:type="dxa" w:w="80"/>
            </w:tcMar>
          </w:tcPr>
          <w:p>
            <w:r>
              <w:rPr>
                <w:b w:val="false"/>
                <w:bCs w:val="false"/>
                <w:sz w:val="18"/>
                <w:szCs w:val="18"/>
              </w:rPr>
              <w:t xml:space="preserve">~17.9% vs ~23% → negative spread</w:t>
            </w:r>
          </w:p>
        </w:tc>
      </w:tr>
      <w:tr>
        <w:tc>
          <w:tcPr>
            <w:tcW w:type="dxa" w:w="6300"/>
            <w:tcMar>
              <w:top w:type="dxa" w:w="40"/>
              <w:left w:type="dxa" w:w="80"/>
              <w:bottom w:type="dxa" w:w="40"/>
              <w:right w:type="dxa" w:w="80"/>
            </w:tcMar>
          </w:tcPr>
          <w:p>
            <w:r>
              <w:rPr>
                <w:b/>
                <w:bCs/>
                <w:sz w:val="18"/>
                <w:szCs w:val="18"/>
              </w:rPr>
              <w:t xml:space="preserve">Core value = IC × ROIC/WACC</w:t>
            </w:r>
          </w:p>
        </w:tc>
        <w:tc>
          <w:tcPr>
            <w:tcW w:type="dxa" w:w="3060"/>
            <w:tcMar>
              <w:top w:type="dxa" w:w="40"/>
              <w:left w:type="dxa" w:w="80"/>
              <w:bottom w:type="dxa" w:w="40"/>
              <w:right w:type="dxa" w:w="80"/>
            </w:tcMar>
          </w:tcPr>
          <w:p>
            <w:r>
              <w:rPr>
                <w:b w:val="false"/>
                <w:bCs w:val="false"/>
                <w:sz w:val="18"/>
                <w:szCs w:val="18"/>
              </w:rPr>
              <w:t xml:space="preserve">~125</w:t>
            </w:r>
          </w:p>
        </w:tc>
      </w:tr>
      <w:tr>
        <w:tc>
          <w:tcPr>
            <w:tcW w:type="dxa" w:w="6300"/>
            <w:tcMar>
              <w:top w:type="dxa" w:w="40"/>
              <w:left w:type="dxa" w:w="80"/>
              <w:bottom w:type="dxa" w:w="40"/>
              <w:right w:type="dxa" w:w="80"/>
            </w:tcMar>
          </w:tcPr>
          <w:p>
            <w:r>
              <w:rPr>
                <w:b/>
                <w:bCs/>
                <w:sz w:val="18"/>
                <w:szCs w:val="18"/>
              </w:rPr>
              <w:t xml:space="preserve">+ VFE stake at deal-anchored mark (no growth credit)</w:t>
            </w:r>
          </w:p>
        </w:tc>
        <w:tc>
          <w:tcPr>
            <w:tcW w:type="dxa" w:w="3060"/>
            <w:tcMar>
              <w:top w:type="dxa" w:w="40"/>
              <w:left w:type="dxa" w:w="80"/>
              <w:bottom w:type="dxa" w:w="40"/>
              <w:right w:type="dxa" w:w="80"/>
            </w:tcMar>
          </w:tcPr>
          <w:p>
            <w:r>
              <w:rPr>
                <w:b w:val="false"/>
                <w:bCs w:val="false"/>
                <w:sz w:val="18"/>
                <w:szCs w:val="18"/>
              </w:rPr>
              <w:t xml:space="preserve">+100</w:t>
            </w:r>
          </w:p>
        </w:tc>
      </w:tr>
      <w:tr>
        <w:tc>
          <w:tcPr>
            <w:tcW w:type="dxa" w:w="6300"/>
            <w:tcMar>
              <w:top w:type="dxa" w:w="40"/>
              <w:left w:type="dxa" w:w="80"/>
              <w:bottom w:type="dxa" w:w="40"/>
              <w:right w:type="dxa" w:w="80"/>
            </w:tcMar>
          </w:tcPr>
          <w:p>
            <w:r>
              <w:rPr>
                <w:b/>
                <w:bCs/>
                <w:sz w:val="18"/>
                <w:szCs w:val="18"/>
              </w:rPr>
              <w:t xml:space="preserve">− Net debt 58 → equity</w:t>
            </w:r>
          </w:p>
        </w:tc>
        <w:tc>
          <w:tcPr>
            <w:tcW w:type="dxa" w:w="3060"/>
            <w:tcMar>
              <w:top w:type="dxa" w:w="40"/>
              <w:left w:type="dxa" w:w="80"/>
              <w:bottom w:type="dxa" w:w="40"/>
              <w:right w:type="dxa" w:w="80"/>
            </w:tcMar>
          </w:tcPr>
          <w:p>
            <w:r>
              <w:rPr>
                <w:b w:val="false"/>
                <w:bCs w:val="false"/>
                <w:sz w:val="18"/>
                <w:szCs w:val="18"/>
              </w:rPr>
              <w:t xml:space="preserve">167</w:t>
            </w:r>
          </w:p>
        </w:tc>
      </w:tr>
      <w:tr>
        <w:tc>
          <w:tcPr>
            <w:tcW w:type="dxa" w:w="6300"/>
            <w:tcMar>
              <w:top w:type="dxa" w:w="40"/>
              <w:left w:type="dxa" w:w="80"/>
              <w:bottom w:type="dxa" w:w="40"/>
              <w:right w:type="dxa" w:w="80"/>
            </w:tcMar>
          </w:tcPr>
          <w:p>
            <w:r>
              <w:rPr>
                <w:b/>
                <w:bCs/>
                <w:sz w:val="18"/>
                <w:szCs w:val="18"/>
              </w:rPr>
              <w:t xml:space="preserve">Fair value</w:t>
            </w:r>
          </w:p>
        </w:tc>
        <w:tc>
          <w:tcPr>
            <w:tcW w:type="dxa" w:w="3060"/>
            <w:tcMar>
              <w:top w:type="dxa" w:w="40"/>
              <w:left w:type="dxa" w:w="80"/>
              <w:bottom w:type="dxa" w:w="40"/>
              <w:right w:type="dxa" w:w="80"/>
            </w:tcMar>
          </w:tcPr>
          <w:p>
            <w:r>
              <w:rPr>
                <w:b w:val="false"/>
                <w:bCs w:val="false"/>
                <w:sz w:val="18"/>
                <w:szCs w:val="18"/>
              </w:rPr>
              <w:t xml:space="preserve">→ </w:t>
            </w:r>
            <w:r>
              <w:rPr>
                <w:b w:val="false"/>
                <w:bCs w:val="false"/>
                <w:sz w:val="18"/>
                <w:szCs w:val="18"/>
              </w:rPr>
              <w:t xml:space="preserve">EGP 98/sh</w:t>
            </w:r>
          </w:p>
        </w:tc>
      </w:tr>
    </w:tbl>
    <w:p>
      <w:pPr>
        <w:spacing w:after="120"/>
      </w:pPr>
    </w:p>
    <w:p>
      <w:pPr>
        <w:spacing w:after="140"/>
      </w:pPr>
      <w:r>
        <w:rPr>
          <w:b/>
          <w:bCs/>
        </w:rPr>
        <w:t xml:space="preserve">Worked example — why below book economics. </w:t>
      </w:r>
      <w:r>
        <w:t xml:space="preserve">The core earns roughly 18 pounds per hundred invested while its capital costs 23: on the identity, a pound inside this operator is worth ~78 piastres until the spread closes. He allows two honest outs — the tariff round lifts NOPAT without new capital (pure spread repair), and the CBE cycle is cutting the 23% itself — but he prices what is, not what is promised, and marks VFE at the FX-translated 2022 deal (~EGP 100bn for the 45%) with zero growth credit, because an unlisted minority claim earns no premium in his book until cash proves it.</w:t>
      </w:r>
    </w:p>
    <w:p>
      <w:pPr>
        <w:spacing w:after="140"/>
      </w:pPr>
      <w:r>
        <w:rPr>
          <w:b/>
          <w:bCs/>
        </w:rPr>
        <w:t xml:space="preserve">The incremental-capital ledger. </w:t>
      </w:r>
      <w:r>
        <w:t xml:space="preserve">His second table is the one management never publishes: what the last pound of capex earned. Across FY23–FY25 the company put EGP 91bn of cash capex to work (26.4 + 35.1 + 29.6) while core EBITDA rose EGP 25bn and his core NOPAT roughly EGP 13bn — an incremental pre-tax cash return in the mid-teens on money spent at the top of a 25%-rate cycle, some of it forced (the 5G licence, FX-hedging prepayments to vendors) rather than chosen. That is the honest indictment and the honest hope in one number: trailing incremental returns sit below the hurdle, but the 2026 vintage is different in kind — cash capex is guided down toward the low-20s of sales just as the tariff round lifts NOPAT on the existing base, so the </w:t>
      </w:r>
      <w:r>
        <w:rPr>
          <w:i/>
          <w:iCs/>
        </w:rPr>
        <w:t xml:space="preserve">marginal</w:t>
      </w:r>
      <w:r>
        <w:t xml:space="preserve"> spread turns positive even while the </w:t>
      </w:r>
      <w:r>
        <w:rPr>
          <w:i/>
          <w:iCs/>
        </w:rPr>
        <w:t xml:space="preserve">average</w:t>
      </w:r>
      <w:r>
        <w:t xml:space="preserve"> spread still reads negative. He credits none of that until it prints, which is exactly why his number is the floor of the panel and why his falsification condition is the first one likely to trigger.</w:t>
      </w:r>
    </w:p>
    <w:p>
      <w:pPr>
        <w:spacing w:after="140"/>
      </w:pPr>
      <w:r>
        <w:rPr>
          <w:b/>
          <w:bCs/>
        </w:rPr>
        <w:t xml:space="preserve">Sensitivity (swing = WACC, then the spread). </w:t>
      </w:r>
      <w:r>
        <w:t xml:space="preserve">At a 21% WACC his core is worth ~136 and the total ~EGP 104/sh; at 25%, ~EGP 92/sh. If the tariff round lifts core ROIC to 21%, base rises to ~EGP 110/sh.</w:t>
      </w:r>
    </w:p>
    <w:p>
      <w:pPr>
        <w:spacing w:after="140"/>
      </w:pPr>
      <w:r>
        <w:rPr>
          <w:b/>
          <w:bCs/>
        </w:rPr>
        <w:t xml:space="preserve">Cross-examination. </w:t>
      </w:r>
      <w:r>
        <w:t xml:space="preserve">He tells Expert 1 that a discount debate is premature until the parts themselves earn their keep — a NAV built on a core with a negative economic spread is a sum of optimistic marks. He tells Expert 2 that mid-cycle earnings without the capital consumed to produce them is a half-truth: this franchise spent EGP 91bn of cash capex in three years to deliver her earnings step, and someone must be charged for it.</w:t>
      </w:r>
    </w:p>
    <w:p>
      <w:pPr>
        <w:spacing w:after="140"/>
      </w:pPr>
      <w:r>
        <w:rPr>
          <w:b/>
          <w:bCs/>
        </w:rPr>
        <w:t xml:space="preserve">Verdict, falsification, market-implied. Fair EGP 98 (range 82–115) — the most cautious of the three: modest upside, no margin of safety. </w:t>
      </w:r>
      <w:r>
        <w:t xml:space="preserve">Falsified by a durable core ROIC above WACC — two consecutive years of spread — or by VFE cash (dividends or a monetization) exceeding his deal-anchored mark. The market price is a few pounds below his number: on a cash-returns basis, the price is roughly right and everything above it is a bet on the spread closing.</w:t>
      </w:r>
    </w:p>
    <w:p>
      <w:pPr>
        <w:pStyle w:val="Heading2"/>
        <w:spacing w:after="110" w:before="220"/>
      </w:pPr>
      <w:r>
        <w:t xml:space="preserve">D.4  The three in one room</w:t>
      </w:r>
    </w:p>
    <w:p>
      <w:pPr>
        <w:spacing w:after="140"/>
      </w:pPr>
      <w:r>
        <w:t xml:space="preserve">The single asset they most disagree on is the 45% of Vodafone Egypt — specifically, whether an unlisted minority claim earns its growth in a valuation before cash proves it.</w:t>
      </w:r>
    </w:p>
    <w:p>
      <w:pPr>
        <w:spacing w:after="140"/>
      </w:pPr>
      <w:r>
        <w:rPr>
          <w:b/>
          <w:bCs/>
        </w:rPr>
        <w:t xml:space="preserve">Expert 2: </w:t>
      </w:r>
      <w:r>
        <w:t xml:space="preserve">“The income line tripled in two years — 5.3, 8.7, 14.8. Normalize the group and you are paying under six times earnings for the country’s connectivity incumbent. The stake is not a hope; it reports every quarter.”</w:t>
      </w:r>
    </w:p>
    <w:p>
      <w:pPr>
        <w:spacing w:after="140"/>
      </w:pPr>
      <w:r>
        <w:rPr>
          <w:b/>
          <w:bCs/>
        </w:rPr>
        <w:t xml:space="preserve">Expert 3: </w:t>
      </w:r>
      <w:r>
        <w:t xml:space="preserve">“It reports; it does not pay. Three point one billion of dividends against fourteen point eight of income — the rest is a bigger book entry inside a wrapper you don’t control. I’ll pay the 2022 deal price, translated. Growth is credited on receipt.”</w:t>
      </w:r>
    </w:p>
    <w:p>
      <w:pPr>
        <w:spacing w:after="140"/>
      </w:pPr>
      <w:r>
        <w:rPr>
          <w:b/>
          <w:bCs/>
        </w:rPr>
        <w:t xml:space="preserve">Expert 1: </w:t>
      </w:r>
      <w:r>
        <w:t xml:space="preserve">“You are both pricing the engine and ignoring the container. Mark the parts any way you like — my table says 139 a share before the discount, his sceptical marks still say near 120. The market pays 93. The argument that matters is not eight times versus deal price; it is why a wrapper with a live monetization path and a rising dividend deserves a thirty-three per cent discount. That number, not the multiple, is where the money is.”</w:t>
      </w:r>
    </w:p>
    <w:p>
      <w:pPr>
        <w:spacing w:after="140"/>
      </w:pPr>
      <w:r>
        <w:rPr>
          <w:b/>
          <w:bCs/>
        </w:rPr>
        <w:t xml:space="preserve">Expert 2: </w:t>
      </w:r>
      <w:r>
        <w:t xml:space="preserve">“Then we agree more than we admit. His trigger is cash received; mine is earnings sustained; yours is the discount repriced — and all three fire on the same two events: a payout policy and a VFE liquidity event. The disagreement is sequencing, not destination.” </w:t>
      </w:r>
      <w:r>
        <w:rPr>
          <w:b/>
          <w:bCs/>
        </w:rPr>
        <w:t xml:space="preserve">Expert 3: </w:t>
      </w:r>
      <w:r>
        <w:t xml:space="preserve">“Sequencing is the whole job. Paid first, believed second.”</w:t>
      </w:r>
    </w:p>
    <w:p>
      <w:pPr>
        <w:pStyle w:val="Heading2"/>
        <w:spacing w:after="110" w:before="220"/>
      </w:pPr>
      <w:r>
        <w:t xml:space="preserve">D.5  Reading the divergence</w:t>
      </w:r>
    </w:p>
    <w:p>
      <w:pPr>
        <w:spacing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257425"/>
                    </a:xfrm>
                    <a:prstGeom prst="rect">
                      <a:avLst/>
                    </a:prstGeom>
                  </pic:spPr>
                </pic:pic>
              </a:graphicData>
            </a:graphic>
          </wp:inline>
        </w:drawing>
      </w:r>
    </w:p>
    <w:p>
      <w:pPr>
        <w:spacing w:after="180" w:before="60"/>
      </w:pPr>
      <w:r>
        <w:rPr>
          <w:i/>
          <w:iCs/>
          <w:color w:val="666666"/>
          <w:sz w:val="18"/>
          <w:szCs w:val="18"/>
        </w:rPr>
        <w:t xml:space="preserve">Figure D-1 — The three experts’ fair-value ranges. Brass ticks are base cases; the gold band is the study central; the dark line is spot. The spread is almost entirely a VFE-and-discount disagreement.</w:t>
      </w:r>
    </w:p>
    <w:tbl>
      <w:tblPr>
        <w:tblW w:type="dxa" w:w="9360"/>
        <w:tblBorders>
          <w:top w:val="single" w:color="D9E2E2" w:sz="4"/>
          <w:left w:val="single" w:color="D9E2E2" w:sz="4"/>
          <w:bottom w:val="single" w:color="D9E2E2" w:sz="4"/>
          <w:right w:val="single" w:color="D9E2E2" w:sz="4"/>
          <w:insideH w:val="single" w:color="D9E2E2" w:sz="4"/>
          <w:insideV w:val="single" w:color="D9E2E2" w:sz="4"/>
        </w:tblBorders>
      </w:tblPr>
      <w:tblGrid>
        <w:gridCol w:w="1560"/>
        <w:gridCol w:w="2660"/>
        <w:gridCol w:w="3080"/>
        <w:gridCol w:w="2060"/>
      </w:tblGrid>
      <w:tr>
        <w:tc>
          <w:tcPr>
            <w:tcW w:type="dxa" w:w="1560"/>
            <w:shd w:fill="1B5E5E" w:val="clear"/>
            <w:tcMar>
              <w:top w:type="dxa" w:w="40"/>
              <w:left w:type="dxa" w:w="80"/>
              <w:bottom w:type="dxa" w:w="40"/>
              <w:right w:type="dxa" w:w="80"/>
            </w:tcMar>
          </w:tcPr>
          <w:p>
            <w:r>
              <w:rPr>
                <w:b/>
                <w:bCs/>
                <w:color w:val="FFFFFF"/>
                <w:sz w:val="18"/>
                <w:szCs w:val="18"/>
              </w:rPr>
              <w:t xml:space="preserve">Expert</w:t>
            </w:r>
          </w:p>
        </w:tc>
        <w:tc>
          <w:tcPr>
            <w:tcW w:type="dxa" w:w="2660"/>
            <w:shd w:fill="1B5E5E" w:val="clear"/>
            <w:tcMar>
              <w:top w:type="dxa" w:w="40"/>
              <w:left w:type="dxa" w:w="80"/>
              <w:bottom w:type="dxa" w:w="40"/>
              <w:right w:type="dxa" w:w="80"/>
            </w:tcMar>
          </w:tcPr>
          <w:p>
            <w:r>
              <w:rPr>
                <w:b/>
                <w:bCs/>
                <w:color w:val="FFFFFF"/>
                <w:sz w:val="18"/>
                <w:szCs w:val="18"/>
              </w:rPr>
              <w:t xml:space="preserve">Method</w:t>
            </w:r>
          </w:p>
        </w:tc>
        <w:tc>
          <w:tcPr>
            <w:tcW w:type="dxa" w:w="3080"/>
            <w:shd w:fill="1B5E5E" w:val="clear"/>
            <w:tcMar>
              <w:top w:type="dxa" w:w="40"/>
              <w:left w:type="dxa" w:w="80"/>
              <w:bottom w:type="dxa" w:w="40"/>
              <w:right w:type="dxa" w:w="80"/>
            </w:tcMar>
          </w:tcPr>
          <w:p>
            <w:r>
              <w:rPr>
                <w:b/>
                <w:bCs/>
                <w:color w:val="FFFFFF"/>
                <w:sz w:val="18"/>
                <w:szCs w:val="18"/>
              </w:rPr>
              <w:t xml:space="preserve">Single swing assumption</w:t>
            </w:r>
          </w:p>
        </w:tc>
        <w:tc>
          <w:tcPr>
            <w:tcW w:type="dxa" w:w="2060"/>
            <w:shd w:fill="1B5E5E" w:val="clear"/>
            <w:tcMar>
              <w:top w:type="dxa" w:w="40"/>
              <w:left w:type="dxa" w:w="80"/>
              <w:bottom w:type="dxa" w:w="40"/>
              <w:right w:type="dxa" w:w="80"/>
            </w:tcMar>
          </w:tcPr>
          <w:p>
            <w:r>
              <w:rPr>
                <w:b/>
                <w:bCs/>
                <w:color w:val="FFFFFF"/>
                <w:sz w:val="18"/>
                <w:szCs w:val="18"/>
              </w:rPr>
              <w:t xml:space="preserve">Base fair value</w:t>
            </w:r>
          </w:p>
        </w:tc>
      </w:tr>
      <w:tr>
        <w:tc>
          <w:tcPr>
            <w:tcW w:type="dxa" w:w="1560"/>
            <w:tcMar>
              <w:top w:type="dxa" w:w="40"/>
              <w:left w:type="dxa" w:w="80"/>
              <w:bottom w:type="dxa" w:w="40"/>
              <w:right w:type="dxa" w:w="80"/>
            </w:tcMar>
          </w:tcPr>
          <w:p>
            <w:r>
              <w:rPr>
                <w:b w:val="false"/>
                <w:bCs w:val="false"/>
                <w:sz w:val="18"/>
                <w:szCs w:val="18"/>
              </w:rPr>
              <w:t xml:space="preserve">Expert 1</w:t>
            </w:r>
          </w:p>
        </w:tc>
        <w:tc>
          <w:tcPr>
            <w:tcW w:type="dxa" w:w="2660"/>
            <w:tcMar>
              <w:top w:type="dxa" w:w="40"/>
              <w:left w:type="dxa" w:w="80"/>
              <w:bottom w:type="dxa" w:w="40"/>
              <w:right w:type="dxa" w:w="80"/>
            </w:tcMar>
          </w:tcPr>
          <w:p>
            <w:r>
              <w:rPr>
                <w:b w:val="false"/>
                <w:bCs w:val="false"/>
                <w:sz w:val="18"/>
                <w:szCs w:val="18"/>
              </w:rPr>
              <w:t xml:space="preserve">NAV &amp; wrapper discount</w:t>
            </w:r>
          </w:p>
        </w:tc>
        <w:tc>
          <w:tcPr>
            <w:tcW w:type="dxa" w:w="3080"/>
            <w:tcMar>
              <w:top w:type="dxa" w:w="40"/>
              <w:left w:type="dxa" w:w="80"/>
              <w:bottom w:type="dxa" w:w="40"/>
              <w:right w:type="dxa" w:w="80"/>
            </w:tcMar>
          </w:tcPr>
          <w:p>
            <w:r>
              <w:rPr>
                <w:b w:val="false"/>
                <w:bCs w:val="false"/>
                <w:sz w:val="18"/>
                <w:szCs w:val="18"/>
              </w:rPr>
              <w:t xml:space="preserve">Fair discount (12%)</w:t>
            </w:r>
          </w:p>
        </w:tc>
        <w:tc>
          <w:tcPr>
            <w:tcW w:type="dxa" w:w="2060"/>
            <w:tcMar>
              <w:top w:type="dxa" w:w="40"/>
              <w:left w:type="dxa" w:w="80"/>
              <w:bottom w:type="dxa" w:w="40"/>
              <w:right w:type="dxa" w:w="80"/>
            </w:tcMar>
          </w:tcPr>
          <w:p>
            <w:r>
              <w:rPr>
                <w:b w:val="false"/>
                <w:bCs w:val="false"/>
                <w:sz w:val="18"/>
                <w:szCs w:val="18"/>
              </w:rPr>
              <w:t xml:space="preserve">EGP 123</w:t>
            </w:r>
          </w:p>
        </w:tc>
      </w:tr>
      <w:tr>
        <w:tc>
          <w:tcPr>
            <w:tcW w:type="dxa" w:w="1560"/>
            <w:tcMar>
              <w:top w:type="dxa" w:w="40"/>
              <w:left w:type="dxa" w:w="80"/>
              <w:bottom w:type="dxa" w:w="40"/>
              <w:right w:type="dxa" w:w="80"/>
            </w:tcMar>
          </w:tcPr>
          <w:p>
            <w:r>
              <w:rPr>
                <w:b w:val="false"/>
                <w:bCs w:val="false"/>
                <w:sz w:val="18"/>
                <w:szCs w:val="18"/>
              </w:rPr>
              <w:t xml:space="preserve">Expert 2</w:t>
            </w:r>
          </w:p>
        </w:tc>
        <w:tc>
          <w:tcPr>
            <w:tcW w:type="dxa" w:w="2660"/>
            <w:tcMar>
              <w:top w:type="dxa" w:w="40"/>
              <w:left w:type="dxa" w:w="80"/>
              <w:bottom w:type="dxa" w:w="40"/>
              <w:right w:type="dxa" w:w="80"/>
            </w:tcMar>
          </w:tcPr>
          <w:p>
            <w:r>
              <w:rPr>
                <w:b w:val="false"/>
                <w:bCs w:val="false"/>
                <w:sz w:val="18"/>
                <w:szCs w:val="18"/>
              </w:rPr>
              <w:t xml:space="preserve">Normalized earnings power</w:t>
            </w:r>
          </w:p>
        </w:tc>
        <w:tc>
          <w:tcPr>
            <w:tcW w:type="dxa" w:w="3080"/>
            <w:tcMar>
              <w:top w:type="dxa" w:w="40"/>
              <w:left w:type="dxa" w:w="80"/>
              <w:bottom w:type="dxa" w:w="40"/>
              <w:right w:type="dxa" w:w="80"/>
            </w:tcMar>
          </w:tcPr>
          <w:p>
            <w:r>
              <w:rPr>
                <w:b w:val="false"/>
                <w:bCs w:val="false"/>
                <w:sz w:val="18"/>
                <w:szCs w:val="18"/>
              </w:rPr>
              <w:t xml:space="preserve">Mid-cycle NPAT EGP 30bn / 8.5×</w:t>
            </w:r>
          </w:p>
        </w:tc>
        <w:tc>
          <w:tcPr>
            <w:tcW w:type="dxa" w:w="2060"/>
            <w:tcMar>
              <w:top w:type="dxa" w:w="40"/>
              <w:left w:type="dxa" w:w="80"/>
              <w:bottom w:type="dxa" w:w="40"/>
              <w:right w:type="dxa" w:w="80"/>
            </w:tcMar>
          </w:tcPr>
          <w:p>
            <w:r>
              <w:rPr>
                <w:b w:val="false"/>
                <w:bCs w:val="false"/>
                <w:sz w:val="18"/>
                <w:szCs w:val="18"/>
              </w:rPr>
              <w:t xml:space="preserve">EGP 134</w:t>
            </w:r>
          </w:p>
        </w:tc>
      </w:tr>
      <w:tr>
        <w:tc>
          <w:tcPr>
            <w:tcW w:type="dxa" w:w="1560"/>
            <w:tcMar>
              <w:top w:type="dxa" w:w="40"/>
              <w:left w:type="dxa" w:w="80"/>
              <w:bottom w:type="dxa" w:w="40"/>
              <w:right w:type="dxa" w:w="80"/>
            </w:tcMar>
          </w:tcPr>
          <w:p>
            <w:r>
              <w:rPr>
                <w:b w:val="false"/>
                <w:bCs w:val="false"/>
                <w:sz w:val="18"/>
                <w:szCs w:val="18"/>
              </w:rPr>
              <w:t xml:space="preserve">Expert 3</w:t>
            </w:r>
          </w:p>
        </w:tc>
        <w:tc>
          <w:tcPr>
            <w:tcW w:type="dxa" w:w="2660"/>
            <w:tcMar>
              <w:top w:type="dxa" w:w="40"/>
              <w:left w:type="dxa" w:w="80"/>
              <w:bottom w:type="dxa" w:w="40"/>
              <w:right w:type="dxa" w:w="80"/>
            </w:tcMar>
          </w:tcPr>
          <w:p>
            <w:r>
              <w:rPr>
                <w:b w:val="false"/>
                <w:bCs w:val="false"/>
                <w:sz w:val="18"/>
                <w:szCs w:val="18"/>
              </w:rPr>
              <w:t xml:space="preserve">Cash returns / ROIC</w:t>
            </w:r>
          </w:p>
        </w:tc>
        <w:tc>
          <w:tcPr>
            <w:tcW w:type="dxa" w:w="3080"/>
            <w:tcMar>
              <w:top w:type="dxa" w:w="40"/>
              <w:left w:type="dxa" w:w="80"/>
              <w:bottom w:type="dxa" w:w="40"/>
              <w:right w:type="dxa" w:w="80"/>
            </w:tcMar>
          </w:tcPr>
          <w:p>
            <w:r>
              <w:rPr>
                <w:b w:val="false"/>
                <w:bCs w:val="false"/>
                <w:sz w:val="18"/>
                <w:szCs w:val="18"/>
              </w:rPr>
              <w:t xml:space="preserve">Core ROIC ~18% vs ~23% WACC</w:t>
            </w:r>
          </w:p>
        </w:tc>
        <w:tc>
          <w:tcPr>
            <w:tcW w:type="dxa" w:w="2060"/>
            <w:tcMar>
              <w:top w:type="dxa" w:w="40"/>
              <w:left w:type="dxa" w:w="80"/>
              <w:bottom w:type="dxa" w:w="40"/>
              <w:right w:type="dxa" w:w="80"/>
            </w:tcMar>
          </w:tcPr>
          <w:p>
            <w:r>
              <w:rPr>
                <w:b w:val="false"/>
                <w:bCs w:val="false"/>
                <w:sz w:val="18"/>
                <w:szCs w:val="18"/>
              </w:rPr>
              <w:t xml:space="preserve">EGP 98</w:t>
            </w:r>
          </w:p>
        </w:tc>
      </w:tr>
    </w:tbl>
    <w:p>
      <w:pPr>
        <w:spacing w:after="120"/>
      </w:pPr>
    </w:p>
    <w:p>
      <w:pPr>
        <w:spacing w:after="140"/>
      </w:pPr>
      <w:r>
        <w:t xml:space="preserve">The spread — EGP 98 to 134 at base — is narrow for an EGX name, and it is almost entirely one disagreement: how much of the Vodafone Egypt earnings stream, and of the tariff-led earnings step, gets credited before cash confirms it. None of the three contests the operating record, the balance-sheet repair, or the existence of the subsea franchise. Expert 2 credits growth as reported; Expert 3 credits it on receipt; Expert 1 says the credit question is really a discount question on the wrapper that stands between shareholders and the cash. The EGP 36 spread is therefore a clean measure of a single uncertainty — the conversion of booked associate income and regulated price rises into distributable cash. Resolve that, and the three converge from both sides onto the study’s central.</w:t>
      </w:r>
    </w:p>
    <w:p>
      <w:pPr>
        <w:spacing w:after="180" w:before="60"/>
      </w:pPr>
      <w:r>
        <w:rPr>
          <w:i/>
          <w:iCs/>
          <w:color w:val="666666"/>
          <w:sz w:val="18"/>
          <w:szCs w:val="18"/>
        </w:rPr>
        <w:t xml:space="preserve">Each expert’s point fair value (and bull/base/bear) is logged with the study date (03 Jul 2026) and spot (EGP 92.6) as an internal per-expert track record, kept separate from the core Calibration Ledger.</w:t>
      </w:r>
    </w:p>
    <w:p>
      <w:pPr>
        <w:pStyle w:val="Heading1"/>
        <w:spacing w:after="140" w:before="300"/>
      </w:pPr>
      <w:r>
        <w:t xml:space="preserve">About this series</w:t>
      </w:r>
    </w:p>
    <w:p>
      <w:pPr>
        <w:spacing w:after="140"/>
      </w:pPr>
      <w: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40" w:before="300"/>
      </w:pPr>
      <w:r>
        <w:t xml:space="preserve">Disclosure &amp; Disclaimer</w:t>
      </w:r>
    </w:p>
    <w:p>
      <w:pPr>
        <w:spacing w:after="140"/>
      </w:pPr>
      <w:r>
        <w:rPr>
          <w:i/>
          <w:iCs/>
        </w:rPr>
        <w:t xml:space="preserve"/>
      </w:r>
      <w:r>
        <w:rPr>
          <w:b/>
          <w:bCs/>
        </w:rPr>
        <w:t xml:space="preserve">Not investment advice. </w:t>
      </w:r>
      <w:r>
        <w:rPr>
          <w:i/>
          <w:iCs/>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40"/>
      </w:pPr>
      <w:r>
        <w:rPr>
          <w:i/>
          <w:iCs/>
        </w:rPr>
        <w:t xml:space="preserve"/>
      </w:r>
      <w:r>
        <w:rPr>
          <w:b/>
          <w:bCs/>
        </w:rPr>
        <w:t xml:space="preserve">No licence; no advisory relationship. </w:t>
      </w:r>
      <w:r>
        <w:rPr>
          <w:i/>
          <w:iCs/>
        </w:rPr>
        <w:t xml:space="preserve">The preparer is not registered or licensed with any securities or financial regulator in any jurisdiction — including the Financial Regulatory Authority (FRA) of Egypt — holds no brokerage or investment-advisory authorisation, and is not acting as your adviser or fiduciary. Nothing here is personalised to your circumstances</w:t>
      </w:r>
    </w:p>
    <w:p>
      <w:pPr>
        <w:spacing w:after="140"/>
      </w:pPr>
      <w:r>
        <w:rPr>
          <w:i/>
          <w:iCs/>
        </w:rPr>
        <w:t xml:space="preserve"/>
      </w:r>
      <w:r>
        <w:rPr>
          <w:b/>
          <w:bCs/>
        </w:rPr>
        <w:t xml:space="preserve">Holdings disclosure. </w:t>
      </w:r>
      <w:r>
        <w:rPr>
          <w:i/>
          <w:iCs/>
        </w:rPr>
        <w:t xml:space="preserve">The preparer may hold, and may in the future take or dispose of, a position in the security discussed in this report, and may transact at any time without notice. This is a potential conflict of interest you should weigh</w:t>
      </w:r>
    </w:p>
    <w:p>
      <w:pPr>
        <w:spacing w:after="140"/>
      </w:pPr>
      <w:r>
        <w:rPr>
          <w:i/>
          <w:iCs/>
        </w:rPr>
        <w:t xml:space="preserve"/>
      </w:r>
      <w:r>
        <w:rPr>
          <w:b/>
          <w:bCs/>
        </w:rPr>
        <w:t xml:space="preserve">Sources &amp; accuracy. </w:t>
      </w:r>
      <w:r>
        <w:rPr>
          <w:i/>
          <w:iCs/>
        </w:rPr>
        <w:t xml:space="preserve">Reported financial and operating figures are drawn from the company’s public disclosure (FY2025 audited results, 26 Feb 2026; the Q1 2026, FY2024 and FY2023 releases), EGX/LSE filings and other public sources believed reliable but not independently verified; they may contain errors or be superseded. Forward-looking inputs — the SOTP marks, the Vodafone Egypt stake mark, the complexity/state-control discount, projections, multiples, the DCF and Monte-Carlo factor probabilities — are the preparer’s own judgments and are inherently uncertain</w:t>
      </w:r>
    </w:p>
    <w:p>
      <w:pPr>
        <w:spacing w:after="140"/>
      </w:pPr>
      <w:r>
        <w:rPr>
          <w:i/>
          <w:iCs/>
        </w:rPr>
        <w:t xml:space="preserve"/>
      </w:r>
      <w:r>
        <w:rPr>
          <w:b/>
          <w:bCs/>
        </w:rPr>
        <w:t xml:space="preserve">Forward-looking statements. </w:t>
      </w:r>
      <w:r>
        <w:rPr>
          <w:i/>
          <w:iCs/>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40"/>
      </w:pPr>
      <w:r>
        <w:rPr>
          <w:i/>
          <w:iCs/>
        </w:rPr>
        <w:t xml:space="preserve"/>
      </w:r>
      <w:r>
        <w:rPr>
          <w:b/>
          <w:bCs/>
        </w:rPr>
        <w:t xml:space="preserve">No reliance; your responsibility. </w:t>
      </w:r>
      <w:r>
        <w:rPr>
          <w:i/>
          <w:iCs/>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40"/>
      </w:pPr>
      <w:r>
        <w:rPr>
          <w:i/>
          <w:iCs/>
        </w:rPr>
        <w:t xml:space="preserve"/>
      </w:r>
      <w:r>
        <w:rPr>
          <w:b/>
          <w:bCs/>
        </w:rPr>
        <w:t xml:space="preserve">Currency &amp; figures. </w:t>
      </w:r>
      <w:r>
        <w:rPr>
          <w:i/>
          <w:iCs/>
        </w:rPr>
        <w:t xml:space="preserve">All figures are in Egyptian pounds (EGP); bn denotes billions. FX at study date: USD/EGP 49.1. Rounding may cause totals to differ slightly. Spot price and market data are as of 01 July 2026 and change continuously</w:t>
      </w:r>
    </w:p>
    <w:p>
      <w:pPr>
        <w:spacing w:after="140"/>
      </w:pPr>
      <w:r>
        <w:rPr>
          <w:i/>
          <w:iCs/>
          <w:color w:val="666666"/>
          <w:sz w:val="16"/>
          <w:szCs w:val="16"/>
        </w:rPr>
        <w:t xml:space="preserve">TESTAHIL · Independent Valuation Study · Educational Analysis · Telecom Egypt Company S.A.E. (EGX: ETEL) · edition 03-07-2026 · reporting currency EGP</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Educational Analysis · distributions, not tips</w:t>
    </w:r>
    <w:r>
      <w:rPr>
        <w:color w:val="888888"/>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888888"/>
        <w:sz w:val="16"/>
        <w:szCs w:val="16"/>
      </w:rPr>
      <w:t xml:space="preserve">Testahil · Independent Valuation Study</w:t>
    </w:r>
    <w:r>
      <w:rPr>
        <w:color w:val="888888"/>
        <w:sz w:val="16"/>
        <w:szCs w:val="16"/>
      </w:rPr>
      <w:t xml:space="preserve">	Telecom Egypt (EGX: ETEL)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Calibri" w:cs="Calibri" w:eastAsia="Calibri" w:hAnsi="Calibri"/>
      <w:b/>
      <w:bCs/>
      <w:color w:val="1B5E5E"/>
      <w:sz w:val="30"/>
      <w:szCs w:val="30"/>
    </w:rPr>
  </w:style>
  <w:style w:type="paragraph" w:styleId="Heading2">
    <w:name w:val="Heading 2"/>
    <w:basedOn w:val="Normal"/>
    <w:next w:val="Normal"/>
    <w:qFormat/>
    <w:pPr>
      <w:spacing w:after="110" w:before="220"/>
    </w:pPr>
    <w:rPr>
      <w:rFonts w:ascii="Calibri" w:cs="Calibri" w:eastAsia="Calibri" w:hAnsi="Calibri"/>
      <w:b/>
      <w:bCs/>
      <w:color w:val="1B5E5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bdd7a7bc6d149a88934e6b9afe468ac60e08fe.png"/><Relationship Id="rId10" Type="http://schemas.openxmlformats.org/officeDocument/2006/relationships/image" Target="media/6a98cd07e262d60673c5cf1585f314f4b8c15f86.png"/><Relationship Id="rId11" Type="http://schemas.openxmlformats.org/officeDocument/2006/relationships/image" Target="media/3f7d8721be130b755f6e8be5182f54a746463a74.png"/><Relationship Id="rId12" Type="http://schemas.openxmlformats.org/officeDocument/2006/relationships/image" Target="media/ccaeaeb9c671e72795668658e0f6082c9bfd9496.png"/><Relationship Id="rId13" Type="http://schemas.openxmlformats.org/officeDocument/2006/relationships/image" Target="media/81e24d01d231c3cba0550be62351862c250871a0.png"/><Relationship Id="rId14" Type="http://schemas.openxmlformats.org/officeDocument/2006/relationships/image" Target="media/ffc82adf6f5173ac221c5b61436a06ba564ee28a.png"/><Relationship Id="rId15" Type="http://schemas.openxmlformats.org/officeDocument/2006/relationships/image" Target="media/075b295f6ddf3b23c8e27eef454159f04436475c.png"/><Relationship Id="rId16" Type="http://schemas.openxmlformats.org/officeDocument/2006/relationships/image" Target="media/4b631a9933d2b7548e7692e69a5ebae2f27a75cb.png"/><Relationship Id="rId17" Type="http://schemas.openxmlformats.org/officeDocument/2006/relationships/image" Target="media/57a1150adbf39b850661aee7be4ca27ab4282dc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2026-07-03T14:35:26.503Z</dcterms:created>
  <dcterms:modified xsi:type="dcterms:W3CDTF">2026-07-03T14:35:26.512Z</dcterms:modified>
</cp:coreProperties>
</file>

<file path=docProps/custom.xml><?xml version="1.0" encoding="utf-8"?>
<Properties xmlns="http://schemas.openxmlformats.org/officeDocument/2006/custom-properties" xmlns:vt="http://schemas.openxmlformats.org/officeDocument/2006/docPropsVTypes"/>
</file>