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2.31 a share if the capital programme is carried through and EGP 6.26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2.31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11.5%,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18.6%, terminal growth 7.0%</w:t>
            </w:r>
          </w:p>
        </w:tc>
        <w:tc>
          <w:tcPr>
            <w:tcW w:type="dxa" w:w="1512"/>
          </w:tcPr>
          <w:p>
            <w:pPr>
              <w:spacing w:after="20"/>
              <w:jc w:val="right"/>
            </w:pPr>
            <w:r>
              <w:rPr>
                <w:color w:val="1C3A36"/>
                <w:sz w:val="15"/>
              </w:rPr>
              <w:t>0.30 to 2.45</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4.19 to 6.33</w:t>
            </w:r>
          </w:p>
        </w:tc>
        <w:tc>
          <w:tcPr>
            <w:tcW w:type="dxa" w:w="1008"/>
          </w:tcPr>
          <w:p>
            <w:pPr>
              <w:spacing w:after="20"/>
              <w:jc w:val="right"/>
            </w:pPr>
            <w:r>
              <w:rPr>
                <w:color w:val="1C3A36"/>
                <w:sz w:val="15"/>
              </w:rPr>
              <w:t>6.26</w:t>
            </w:r>
          </w:p>
        </w:tc>
        <w:tc>
          <w:tcPr>
            <w:tcW w:type="dxa" w:w="936"/>
          </w:tcPr>
          <w:p>
            <w:pPr>
              <w:spacing w:after="20"/>
              <w:jc w:val="right"/>
            </w:pPr>
            <w:r>
              <w:rPr>
                <w:color w:val="1C3A36"/>
                <w:sz w:val="15"/>
              </w:rPr>
              <w:t>-57%</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2.31 with the capital programme carried through — the company's own stated plan — and EGP 6.26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2.31 to 15.99</w:t>
            </w:r>
          </w:p>
        </w:tc>
        <w:tc>
          <w:tcPr>
            <w:tcW w:type="dxa" w:w="1008"/>
            <w:shd w:val="clear" w:color="auto" w:fill="F6F1E6"/>
          </w:tcPr>
          <w:p>
            <w:pPr>
              <w:spacing w:after="20"/>
              <w:jc w:val="right"/>
            </w:pPr>
            <w:r>
              <w:rPr>
                <w:b/>
                <w:color w:val="1C3A36"/>
                <w:sz w:val="15"/>
              </w:rPr>
              <w:t>2.31</w:t>
            </w:r>
          </w:p>
        </w:tc>
        <w:tc>
          <w:tcPr>
            <w:tcW w:type="dxa" w:w="936"/>
            <w:shd w:val="clear" w:color="auto" w:fill="F6F1E6"/>
          </w:tcPr>
          <w:p>
            <w:pPr>
              <w:spacing w:after="20"/>
              <w:jc w:val="right"/>
            </w:pPr>
            <w:r>
              <w:rPr>
                <w:b/>
                <w:color w:val="1C3A36"/>
                <w:sz w:val="15"/>
              </w:rPr>
              <w:t>-84%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0.57</w:t>
            </w:r>
          </w:p>
        </w:tc>
        <w:tc>
          <w:tcPr>
            <w:tcW w:type="dxa" w:w="936"/>
          </w:tcPr>
          <w:p>
            <w:pPr>
              <w:spacing w:after="20"/>
              <w:jc w:val="right"/>
            </w:pPr>
            <w:r>
              <w:rPr>
                <w:color w:val="1C3A36"/>
                <w:sz w:val="15"/>
              </w:rPr>
              <w:t>-96%</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2.20</w:t>
            </w:r>
          </w:p>
        </w:tc>
        <w:tc>
          <w:tcPr>
            <w:tcW w:type="dxa" w:w="936"/>
          </w:tcPr>
          <w:p>
            <w:pPr>
              <w:spacing w:after="20"/>
              <w:jc w:val="right"/>
            </w:pPr>
            <w:r>
              <w:rPr>
                <w:color w:val="1C3A36"/>
                <w:sz w:val="15"/>
              </w:rPr>
              <w:t>-85%</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1.54</w:t>
            </w:r>
          </w:p>
        </w:tc>
        <w:tc>
          <w:tcPr>
            <w:tcW w:type="dxa" w:w="936"/>
          </w:tcPr>
          <w:p>
            <w:pPr>
              <w:spacing w:after="20"/>
              <w:jc w:val="right"/>
            </w:pPr>
            <w:r>
              <w:rPr>
                <w:color w:val="1C3A36"/>
                <w:sz w:val="15"/>
              </w:rPr>
              <w:t>-89%</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3.50</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0.25</w:t>
            </w:r>
          </w:p>
        </w:tc>
        <w:tc>
          <w:tcPr>
            <w:tcW w:type="dxa" w:w="936"/>
          </w:tcPr>
          <w:p>
            <w:pPr>
              <w:spacing w:after="20"/>
              <w:jc w:val="right"/>
            </w:pPr>
            <w:r>
              <w:rPr>
                <w:color w:val="1C3A36"/>
                <w:sz w:val="15"/>
              </w:rPr>
              <w:t>-98%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2.56</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1.40</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3.24</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2.08</w:t>
            </w:r>
          </w:p>
        </w:tc>
        <w:tc>
          <w:tcPr>
            <w:tcW w:type="dxa" w:w="936"/>
          </w:tcPr>
          <w:p>
            <w:pPr>
              <w:spacing w:after="20"/>
              <w:jc w:val="right"/>
            </w:pPr>
            <w:r>
              <w:rPr>
                <w:color w:val="1C3A36"/>
                <w:sz w:val="15"/>
              </w:rPr>
              <w:t>-86%</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65.4%</w:t>
            </w:r>
          </w:p>
        </w:tc>
        <w:tc>
          <w:tcPr>
            <w:tcW w:type="dxa" w:w="2736"/>
          </w:tcPr>
          <w:p>
            <w:pPr>
              <w:spacing w:after="20"/>
              <w:jc w:val="right"/>
            </w:pPr>
            <w:r>
              <w:rPr>
                <w:color w:val="1C3A36"/>
                <w:sz w:val="17"/>
              </w:rPr>
              <w:t>41.9%</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3,837 million on the carried-through case, so the terminal block carries 65.4%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2.06 a share. The narrowest is terminal growth, worth EGP 0.11.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23.87%</w:t>
            </w:r>
          </w:p>
        </w:tc>
        <w:tc>
          <w:tcPr>
            <w:tcW w:type="dxa" w:w="1426"/>
          </w:tcPr>
          <w:p>
            <w:pPr>
              <w:spacing w:after="20"/>
              <w:jc w:val="right"/>
            </w:pPr>
            <w:r>
              <w:rPr>
                <w:color w:val="1C3A36"/>
                <w:sz w:val="16"/>
              </w:rPr>
              <w:t>22.34%</w:t>
            </w:r>
          </w:p>
        </w:tc>
        <w:tc>
          <w:tcPr>
            <w:tcW w:type="dxa" w:w="1426"/>
          </w:tcPr>
          <w:p>
            <w:pPr>
              <w:spacing w:after="20"/>
              <w:jc w:val="right"/>
            </w:pPr>
            <w:r>
              <w:rPr>
                <w:color w:val="1C3A36"/>
                <w:sz w:val="16"/>
              </w:rPr>
              <w:t>21.17%</w:t>
            </w:r>
          </w:p>
        </w:tc>
        <w:tc>
          <w:tcPr>
            <w:tcW w:type="dxa" w:w="1426"/>
          </w:tcPr>
          <w:p>
            <w:pPr>
              <w:spacing w:after="20"/>
              <w:jc w:val="right"/>
            </w:pPr>
            <w:r>
              <w:rPr>
                <w:color w:val="1C3A36"/>
                <w:sz w:val="16"/>
              </w:rPr>
              <w:t>20.21%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0.6419</w:t>
            </w:r>
          </w:p>
        </w:tc>
        <w:tc>
          <w:tcPr>
            <w:tcW w:type="dxa" w:w="1426"/>
          </w:tcPr>
          <w:p>
            <w:pPr>
              <w:spacing w:after="20"/>
              <w:jc w:val="right"/>
            </w:pPr>
            <w:r>
              <w:rPr>
                <w:color w:val="1C3A36"/>
                <w:sz w:val="16"/>
              </w:rPr>
              <w:t>0.5247</w:t>
            </w:r>
          </w:p>
        </w:tc>
        <w:tc>
          <w:tcPr>
            <w:tcW w:type="dxa" w:w="1426"/>
          </w:tcPr>
          <w:p>
            <w:pPr>
              <w:spacing w:after="20"/>
              <w:jc w:val="right"/>
            </w:pPr>
            <w:r>
              <w:rPr>
                <w:color w:val="1C3A36"/>
                <w:sz w:val="16"/>
              </w:rPr>
              <w:t>0.4330</w:t>
            </w:r>
          </w:p>
        </w:tc>
        <w:tc>
          <w:tcPr>
            <w:tcW w:type="dxa" w:w="1426"/>
          </w:tcPr>
          <w:p>
            <w:pPr>
              <w:spacing w:after="20"/>
              <w:jc w:val="right"/>
            </w:pPr>
            <w:r>
              <w:rPr>
                <w:color w:val="1C3A36"/>
                <w:sz w:val="16"/>
              </w:rPr>
              <w:t>0.3602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521</w:t>
            </w:r>
          </w:p>
        </w:tc>
        <w:tc>
          <w:tcPr>
            <w:tcW w:type="dxa" w:w="1426"/>
            <w:shd w:val="clear" w:color="auto" w:fill="F6F1E6"/>
          </w:tcPr>
          <w:p>
            <w:pPr>
              <w:spacing w:after="20"/>
              <w:jc w:val="right"/>
            </w:pPr>
            <w:r>
              <w:rPr>
                <w:b/>
                <w:color w:val="1C3A36"/>
                <w:sz w:val="16"/>
              </w:rPr>
              <w:t>764</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3,837</w:t>
            </w:r>
          </w:p>
        </w:tc>
        <w:tc>
          <w:tcPr>
            <w:tcW w:type="dxa" w:w="2808"/>
          </w:tcPr>
          <w:p>
            <w:pPr>
              <w:spacing w:after="20"/>
              <w:jc w:val="right"/>
            </w:pPr>
            <w:r>
              <w:rPr>
                <w:color w:val="1C3A36"/>
                <w:sz w:val="17"/>
              </w:rPr>
              <w:t>10,997</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7,248</w:t>
            </w:r>
          </w:p>
        </w:tc>
        <w:tc>
          <w:tcPr>
            <w:tcW w:type="dxa" w:w="2808"/>
          </w:tcPr>
          <w:p>
            <w:pPr>
              <w:spacing w:after="20"/>
              <w:jc w:val="right"/>
            </w:pPr>
            <w:r>
              <w:rPr>
                <w:color w:val="1C3A36"/>
                <w:sz w:val="17"/>
              </w:rPr>
              <w:t>7,931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11,085</w:t>
            </w:r>
          </w:p>
        </w:tc>
        <w:tc>
          <w:tcPr>
            <w:tcW w:type="dxa" w:w="2808"/>
            <w:shd w:val="clear" w:color="auto" w:fill="F6F1E6"/>
          </w:tcPr>
          <w:p>
            <w:pPr>
              <w:spacing w:after="20"/>
              <w:jc w:val="right"/>
            </w:pPr>
            <w:r>
              <w:rPr>
                <w:b/>
                <w:color w:val="1C3A36"/>
                <w:sz w:val="17"/>
              </w:rPr>
              <w:t>18,929</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65.4%</w:t>
            </w:r>
          </w:p>
        </w:tc>
        <w:tc>
          <w:tcPr>
            <w:tcW w:type="dxa" w:w="2808"/>
            <w:shd w:val="clear" w:color="auto" w:fill="F6F1E6"/>
          </w:tcPr>
          <w:p>
            <w:pPr>
              <w:spacing w:after="20"/>
              <w:jc w:val="right"/>
            </w:pPr>
            <w:r>
              <w:rPr>
                <w:b/>
                <w:color w:val="1C3A36"/>
                <w:sz w:val="17"/>
              </w:rPr>
              <w:t>41.9%</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4,591</w:t>
            </w:r>
          </w:p>
        </w:tc>
        <w:tc>
          <w:tcPr>
            <w:tcW w:type="dxa" w:w="2808"/>
            <w:shd w:val="clear" w:color="auto" w:fill="F6F1E6"/>
          </w:tcPr>
          <w:p>
            <w:pPr>
              <w:spacing w:after="20"/>
              <w:jc w:val="right"/>
            </w:pPr>
            <w:r>
              <w:rPr>
                <w:b/>
                <w:color w:val="1C3A36"/>
                <w:sz w:val="17"/>
              </w:rPr>
              <w:t>12,434</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2.31</w:t>
            </w:r>
          </w:p>
        </w:tc>
        <w:tc>
          <w:tcPr>
            <w:tcW w:type="dxa" w:w="2808"/>
            <w:shd w:val="clear" w:color="auto" w:fill="F6F1E6"/>
          </w:tcPr>
          <w:p>
            <w:pPr>
              <w:spacing w:after="20"/>
              <w:jc w:val="right"/>
            </w:pPr>
            <w:r>
              <w:rPr>
                <w:b/>
                <w:color w:val="1C3A36"/>
                <w:sz w:val="17"/>
              </w:rPr>
              <w:t>6.26</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5.58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2.31</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5.58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11,085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0.75</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2.45</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3.58</w:t>
            </w:r>
          </w:p>
        </w:tc>
        <w:tc>
          <w:tcPr>
            <w:tcW w:type="dxa" w:w="5184"/>
            <w:shd w:val="clear" w:color="auto" w:fill="F6F1E6"/>
          </w:tcPr>
          <w:p>
            <w:pPr>
              <w:spacing w:after="20"/>
            </w:pPr>
            <w:r>
              <w:rPr>
                <w:b/>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5.23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7.84</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12.57</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11.5%</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11.5%, which is 11.5%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shares change hands at 8.0 times that same forward EBITDA, while the cash-flow lens values them at 2.3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2.31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2.31 a share with the capital programme carried through, 84% below the traded price, and EGP 6.26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2.31 a share. Stopped, EGP 6.26. The difference, EGP 3.95 a share or EGP 7,843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25.76%</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1.54 a share on the carried-through cash-flow lens against EGP 2.31, a difference of EGP -0.78.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2.31</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2.31</w:t>
            </w:r>
          </w:p>
        </w:tc>
        <w:tc>
          <w:tcPr>
            <w:tcW w:type="dxa" w:w="950"/>
          </w:tcPr>
          <w:p>
            <w:pPr>
              <w:spacing w:after="20"/>
              <w:jc w:val="right"/>
            </w:pPr>
            <w:r>
              <w:rPr>
                <w:color w:val="1C3A36"/>
                <w:sz w:val="15"/>
              </w:rPr>
              <w:t>+0.00</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0.57</w:t>
            </w:r>
          </w:p>
        </w:tc>
        <w:tc>
          <w:tcPr>
            <w:tcW w:type="dxa" w:w="950"/>
          </w:tcPr>
          <w:p>
            <w:pPr>
              <w:spacing w:after="20"/>
              <w:jc w:val="right"/>
            </w:pPr>
            <w:r>
              <w:rPr>
                <w:color w:val="1C3A36"/>
                <w:sz w:val="15"/>
              </w:rPr>
              <w:t>-1.74</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2.20</w:t>
            </w:r>
          </w:p>
        </w:tc>
        <w:tc>
          <w:tcPr>
            <w:tcW w:type="dxa" w:w="950"/>
          </w:tcPr>
          <w:p>
            <w:pPr>
              <w:spacing w:after="20"/>
              <w:jc w:val="right"/>
            </w:pPr>
            <w:r>
              <w:rPr>
                <w:color w:val="1C3A36"/>
                <w:sz w:val="15"/>
              </w:rPr>
              <w:t>-0.11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1.54</w:t>
            </w:r>
          </w:p>
        </w:tc>
        <w:tc>
          <w:tcPr>
            <w:tcW w:type="dxa" w:w="950"/>
          </w:tcPr>
          <w:p>
            <w:pPr>
              <w:spacing w:after="20"/>
              <w:jc w:val="right"/>
            </w:pPr>
            <w:r>
              <w:rPr>
                <w:color w:val="1C3A36"/>
                <w:sz w:val="15"/>
              </w:rPr>
              <w:t>-0.78</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3.50</w:t>
            </w:r>
          </w:p>
        </w:tc>
        <w:tc>
          <w:tcPr>
            <w:tcW w:type="dxa" w:w="950"/>
          </w:tcPr>
          <w:p>
            <w:pPr>
              <w:spacing w:after="20"/>
              <w:jc w:val="right"/>
            </w:pPr>
            <w:r>
              <w:rPr>
                <w:color w:val="1C3A36"/>
                <w:sz w:val="15"/>
              </w:rPr>
              <w:t>+1.19</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0.25</w:t>
            </w:r>
          </w:p>
        </w:tc>
        <w:tc>
          <w:tcPr>
            <w:tcW w:type="dxa" w:w="950"/>
          </w:tcPr>
          <w:p>
            <w:pPr>
              <w:spacing w:after="20"/>
              <w:jc w:val="right"/>
            </w:pPr>
            <w:r>
              <w:rPr>
                <w:color w:val="1C3A36"/>
                <w:sz w:val="15"/>
              </w:rPr>
              <w:t>-2.06</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2.56</w:t>
            </w:r>
          </w:p>
        </w:tc>
        <w:tc>
          <w:tcPr>
            <w:tcW w:type="dxa" w:w="950"/>
          </w:tcPr>
          <w:p>
            <w:pPr>
              <w:spacing w:after="20"/>
              <w:jc w:val="right"/>
            </w:pPr>
            <w:r>
              <w:rPr>
                <w:color w:val="1C3A36"/>
                <w:sz w:val="15"/>
              </w:rPr>
              <w:t>+0.25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1.40</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3.24</w:t>
            </w:r>
          </w:p>
        </w:tc>
        <w:tc>
          <w:tcPr>
            <w:tcW w:type="dxa" w:w="950"/>
          </w:tcPr>
          <w:p>
            <w:pPr>
              <w:spacing w:after="20"/>
              <w:jc w:val="right"/>
            </w:pPr>
            <w:r>
              <w:rPr>
                <w:color w:val="1C3A36"/>
                <w:sz w:val="15"/>
              </w:rPr>
              <w:t>+0.93</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2.08</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(-2.06) and glide (-1.74);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-2.49</w:t>
            </w:r>
          </w:p>
        </w:tc>
        <w:tc>
          <w:tcPr>
            <w:tcW w:type="dxa" w:w="1483"/>
          </w:tcPr>
          <w:p>
            <w:pPr>
              <w:spacing w:after="20"/>
              <w:jc w:val="right"/>
            </w:pPr>
            <w:r>
              <w:rPr>
                <w:color w:val="1C3A36"/>
                <w:sz w:val="17"/>
              </w:rPr>
              <w:t>-0.80</w:t>
            </w:r>
          </w:p>
        </w:tc>
        <w:tc>
          <w:tcPr>
            <w:tcW w:type="dxa" w:w="1483"/>
          </w:tcPr>
          <w:p>
            <w:pPr>
              <w:spacing w:after="20"/>
              <w:jc w:val="right"/>
            </w:pPr>
            <w:r>
              <w:rPr>
                <w:color w:val="1C3A36"/>
                <w:sz w:val="17"/>
              </w:rPr>
              <w:t>0.89</w:t>
            </w:r>
          </w:p>
        </w:tc>
        <w:tc>
          <w:tcPr>
            <w:tcW w:type="dxa" w:w="1483"/>
          </w:tcPr>
          <w:p>
            <w:pPr>
              <w:spacing w:after="20"/>
              <w:jc w:val="right"/>
            </w:pPr>
            <w:r>
              <w:rPr>
                <w:color w:val="1C3A36"/>
                <w:sz w:val="17"/>
              </w:rPr>
              <w:t>2.57</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-2.63</w:t>
            </w:r>
          </w:p>
        </w:tc>
        <w:tc>
          <w:tcPr>
            <w:tcW w:type="dxa" w:w="1483"/>
          </w:tcPr>
          <w:p>
            <w:pPr>
              <w:spacing w:after="20"/>
              <w:jc w:val="right"/>
            </w:pPr>
            <w:r>
              <w:rPr>
                <w:color w:val="1C3A36"/>
                <w:sz w:val="17"/>
              </w:rPr>
              <w:t>-1.05</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3.68</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-1.29</w:t>
            </w:r>
          </w:p>
        </w:tc>
        <w:tc>
          <w:tcPr>
            <w:tcW w:type="dxa" w:w="1483"/>
          </w:tcPr>
          <w:p>
            <w:pPr>
              <w:spacing w:after="20"/>
              <w:jc w:val="right"/>
            </w:pPr>
            <w:r>
              <w:rPr>
                <w:color w:val="1C3A36"/>
                <w:sz w:val="17"/>
              </w:rPr>
              <w:t>0.19</w:t>
            </w:r>
          </w:p>
        </w:tc>
        <w:tc>
          <w:tcPr>
            <w:tcW w:type="dxa" w:w="1483"/>
          </w:tcPr>
          <w:p>
            <w:pPr>
              <w:spacing w:after="20"/>
              <w:jc w:val="right"/>
            </w:pPr>
            <w:r>
              <w:rPr>
                <w:color w:val="1C3A36"/>
                <w:sz w:val="17"/>
              </w:rPr>
              <w:t>1.66</w:t>
            </w:r>
          </w:p>
        </w:tc>
        <w:tc>
          <w:tcPr>
            <w:tcW w:type="dxa" w:w="1483"/>
          </w:tcPr>
          <w:p>
            <w:pPr>
              <w:spacing w:after="20"/>
              <w:jc w:val="right"/>
            </w:pPr>
            <w:r>
              <w:rPr>
                <w:color w:val="1C3A36"/>
                <w:sz w:val="17"/>
              </w:rPr>
              <w:t>3.14</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-2.84</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2.78</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-2.92</w:t>
            </w:r>
          </w:p>
        </w:tc>
        <w:tc>
          <w:tcPr>
            <w:tcW w:type="dxa" w:w="1483"/>
          </w:tcPr>
          <w:p>
            <w:pPr>
              <w:spacing w:after="20"/>
              <w:jc w:val="right"/>
            </w:pPr>
            <w:r>
              <w:rPr>
                <w:color w:val="1C3A36"/>
                <w:sz w:val="17"/>
              </w:rPr>
              <w:t>-1.59</w:t>
            </w:r>
          </w:p>
        </w:tc>
        <w:tc>
          <w:tcPr>
            <w:tcW w:type="dxa" w:w="1483"/>
          </w:tcPr>
          <w:p>
            <w:pPr>
              <w:spacing w:after="20"/>
              <w:jc w:val="right"/>
            </w:pPr>
            <w:r>
              <w:rPr>
                <w:color w:val="1C3A36"/>
                <w:sz w:val="17"/>
              </w:rPr>
              <w:t>-0.25</w:t>
            </w:r>
          </w:p>
        </w:tc>
        <w:tc>
          <w:tcPr>
            <w:tcW w:type="dxa" w:w="1483"/>
          </w:tcPr>
          <w:p>
            <w:pPr>
              <w:spacing w:after="20"/>
              <w:jc w:val="right"/>
            </w:pPr>
            <w:r>
              <w:rPr>
                <w:color w:val="1C3A36"/>
                <w:sz w:val="17"/>
              </w:rPr>
              <w:t>1.09</w:t>
            </w:r>
          </w:p>
        </w:tc>
        <w:tc>
          <w:tcPr>
            <w:tcW w:type="dxa" w:w="1483"/>
          </w:tcPr>
          <w:p>
            <w:pPr>
              <w:spacing w:after="20"/>
              <w:jc w:val="right"/>
            </w:pPr>
            <w:r>
              <w:rPr>
                <w:color w:val="1C3A36"/>
                <w:sz w:val="17"/>
              </w:rPr>
              <w:t>2.43</w:t>
            </w:r>
          </w:p>
        </w:tc>
      </w:tr>
    </w:tbl>
    <w:p>
      <w:pPr>
        <w:spacing w:after="40"/>
      </w:pPr>
    </w:p>
    <w:p>
      <w:pPr>
        <w:spacing w:after="200" w:before="0"/>
      </w:pPr>
      <w:r>
        <w:rPr>
          <w:b w:val="0"/>
          <w:i/>
          <w:color w:val="6E7B77"/>
          <w:sz w:val="17"/>
        </w:rPr>
        <w:t>Table 19.  The highest cell in the grid is EGP 4.26,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-2.76 to 3.14</w:t>
            </w:r>
          </w:p>
        </w:tc>
        <w:tc>
          <w:tcPr>
            <w:tcW w:type="dxa" w:w="1152"/>
            <w:shd w:val="clear" w:color="auto" w:fill="F6F1E6"/>
          </w:tcPr>
          <w:p>
            <w:pPr>
              <w:spacing w:after="20"/>
              <w:jc w:val="right"/>
            </w:pPr>
            <w:r>
              <w:rPr>
                <w:b/>
                <w:color w:val="1C3A36"/>
                <w:sz w:val="16"/>
              </w:rPr>
              <w:t>5.89</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2.31 to 6.26</w:t>
            </w:r>
          </w:p>
        </w:tc>
        <w:tc>
          <w:tcPr>
            <w:tcW w:type="dxa" w:w="1152"/>
          </w:tcPr>
          <w:p>
            <w:pPr>
              <w:spacing w:after="20"/>
              <w:jc w:val="right"/>
            </w:pPr>
            <w:r>
              <w:rPr>
                <w:color w:val="1C3A36"/>
                <w:sz w:val="16"/>
              </w:rPr>
              <w:t>3.95</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0.25 to 2.31</w:t>
            </w:r>
          </w:p>
        </w:tc>
        <w:tc>
          <w:tcPr>
            <w:tcW w:type="dxa" w:w="1152"/>
          </w:tcPr>
          <w:p>
            <w:pPr>
              <w:spacing w:after="20"/>
              <w:jc w:val="right"/>
            </w:pPr>
            <w:r>
              <w:rPr>
                <w:color w:val="1C3A36"/>
                <w:sz w:val="16"/>
              </w:rPr>
              <w:t>2.06</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2.31 to 3.50</w:t>
            </w:r>
          </w:p>
        </w:tc>
        <w:tc>
          <w:tcPr>
            <w:tcW w:type="dxa" w:w="1152"/>
          </w:tcPr>
          <w:p>
            <w:pPr>
              <w:spacing w:after="20"/>
              <w:jc w:val="right"/>
            </w:pPr>
            <w:r>
              <w:rPr>
                <w:color w:val="1C3A36"/>
                <w:sz w:val="16"/>
              </w:rPr>
              <w:t>1.19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-0.25 to 0.89</w:t>
            </w:r>
          </w:p>
        </w:tc>
        <w:tc>
          <w:tcPr>
            <w:tcW w:type="dxa" w:w="1152"/>
          </w:tcPr>
          <w:p>
            <w:pPr>
              <w:spacing w:after="20"/>
              <w:jc w:val="right"/>
            </w:pPr>
            <w:r>
              <w:rPr>
                <w:color w:val="1C3A36"/>
                <w:sz w:val="16"/>
              </w:rPr>
              <w:t>1.13</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1.40 to 2.31</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1.54 to 2.31</w:t>
            </w:r>
          </w:p>
        </w:tc>
        <w:tc>
          <w:tcPr>
            <w:tcW w:type="dxa" w:w="1152"/>
          </w:tcPr>
          <w:p>
            <w:pPr>
              <w:spacing w:after="20"/>
              <w:jc w:val="right"/>
            </w:pPr>
            <w:r>
              <w:rPr>
                <w:color w:val="1C3A36"/>
                <w:sz w:val="16"/>
              </w:rPr>
              <w:t>0.78</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2.31 to 2.56</w:t>
            </w:r>
          </w:p>
        </w:tc>
        <w:tc>
          <w:tcPr>
            <w:tcW w:type="dxa" w:w="1152"/>
          </w:tcPr>
          <w:p>
            <w:pPr>
              <w:spacing w:after="20"/>
              <w:jc w:val="right"/>
            </w:pPr>
            <w:r>
              <w:rPr>
                <w:color w:val="1C3A36"/>
                <w:sz w:val="16"/>
              </w:rPr>
              <w:t>0.25</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2.20 to 2.31</w:t>
            </w:r>
          </w:p>
        </w:tc>
        <w:tc>
          <w:tcPr>
            <w:tcW w:type="dxa" w:w="1152"/>
          </w:tcPr>
          <w:p>
            <w:pPr>
              <w:spacing w:after="20"/>
              <w:jc w:val="right"/>
            </w:pPr>
            <w:r>
              <w:rPr>
                <w:color w:val="1C3A36"/>
                <w:sz w:val="16"/>
              </w:rPr>
              <w:t>0.11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2.31 to 2.31</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3.50 instead of EGP 2.31.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2.31</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6.26</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3.95</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11.5%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2.06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0.93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65.4% of enterprise value on the carried-through case and 41.9% on the stopped case. The explicit years are a construction window: free cash flow to the firm is positive in 5 of the five years and negative in the other 0, and their present value is EGP 3,837 million against a terminal block of EGP 7,248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188</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298</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14,623</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9,934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9,553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10,387</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7,451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3.92 a share.</w:t>
      </w:r>
    </w:p>
    <w:p>
      <w:pPr>
        <w:spacing w:after="120" w:before="0"/>
      </w:pPr>
      <w:r>
        <w:rPr>
          <w:b w:val="0"/>
          <w:i w:val="0"/>
          <w:color w:val="1C3A36"/>
          <w:sz w:val="19"/>
        </w:rPr>
        <w:t>On both sides of the contested judgement.  With the programme carried through the claim is worth EGP 3.75 a share (EGP 0.00 to 3.92 across the volatility range); with the programme stopped the enterprise value rises to EGP 22,467 million and the same claim is worth EGP 6.58 (EGP 6.49 to 6.72).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14,623m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2.62 a share, and at 60% over seven years EGP 4.53.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2.62</w:t>
            </w:r>
          </w:p>
        </w:tc>
        <w:tc>
          <w:tcPr>
            <w:tcW w:type="dxa" w:w="1541"/>
          </w:tcPr>
          <w:p>
            <w:pPr>
              <w:spacing w:after="20"/>
              <w:jc w:val="right"/>
            </w:pPr>
            <w:r>
              <w:rPr>
                <w:color w:val="1C3A36"/>
                <w:sz w:val="17"/>
              </w:rPr>
              <w:t>2.69</w:t>
            </w:r>
          </w:p>
        </w:tc>
        <w:tc>
          <w:tcPr>
            <w:tcW w:type="dxa" w:w="1541"/>
          </w:tcPr>
          <w:p>
            <w:pPr>
              <w:spacing w:after="20"/>
              <w:jc w:val="right"/>
            </w:pPr>
            <w:r>
              <w:rPr>
                <w:color w:val="1C3A36"/>
                <w:sz w:val="17"/>
              </w:rPr>
              <w:t>2.88</w:t>
            </w:r>
          </w:p>
        </w:tc>
        <w:tc>
          <w:tcPr>
            <w:tcW w:type="dxa" w:w="1541"/>
          </w:tcPr>
          <w:p>
            <w:pPr>
              <w:spacing w:after="20"/>
              <w:jc w:val="right"/>
            </w:pPr>
            <w:r>
              <w:rPr>
                <w:color w:val="1C3A36"/>
                <w:sz w:val="17"/>
              </w:rPr>
              <w:t>3.08</w:t>
            </w:r>
          </w:p>
        </w:tc>
        <w:tc>
          <w:tcPr>
            <w:tcW w:type="dxa" w:w="1541"/>
          </w:tcPr>
          <w:p>
            <w:pPr>
              <w:spacing w:after="20"/>
              <w:jc w:val="right"/>
            </w:pPr>
            <w:r>
              <w:rPr>
                <w:color w:val="1C3A36"/>
                <w:sz w:val="17"/>
              </w:rPr>
              <w:t>3.18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3.55</w:t>
            </w:r>
          </w:p>
        </w:tc>
        <w:tc>
          <w:tcPr>
            <w:tcW w:type="dxa" w:w="1541"/>
          </w:tcPr>
          <w:p>
            <w:pPr>
              <w:spacing w:after="20"/>
              <w:jc w:val="right"/>
            </w:pPr>
            <w:r>
              <w:rPr>
                <w:color w:val="1C3A36"/>
                <w:sz w:val="17"/>
              </w:rPr>
              <w:t>3.61</w:t>
            </w:r>
          </w:p>
        </w:tc>
        <w:tc>
          <w:tcPr>
            <w:tcW w:type="dxa" w:w="1541"/>
          </w:tcPr>
          <w:p>
            <w:pPr>
              <w:spacing w:after="20"/>
              <w:jc w:val="right"/>
            </w:pPr>
            <w:r>
              <w:rPr>
                <w:color w:val="1C3A36"/>
                <w:sz w:val="17"/>
              </w:rPr>
              <w:t>3.75</w:t>
            </w:r>
          </w:p>
        </w:tc>
        <w:tc>
          <w:tcPr>
            <w:tcW w:type="dxa" w:w="1541"/>
          </w:tcPr>
          <w:p>
            <w:pPr>
              <w:spacing w:after="20"/>
              <w:jc w:val="right"/>
            </w:pPr>
            <w:r>
              <w:rPr>
                <w:color w:val="1C3A36"/>
                <w:sz w:val="17"/>
              </w:rPr>
              <w:t>3.92</w:t>
            </w:r>
          </w:p>
        </w:tc>
        <w:tc>
          <w:tcPr>
            <w:tcW w:type="dxa" w:w="1541"/>
          </w:tcPr>
          <w:p>
            <w:pPr>
              <w:spacing w:after="20"/>
              <w:jc w:val="right"/>
            </w:pPr>
            <w:r>
              <w:rPr>
                <w:color w:val="1C3A36"/>
                <w:sz w:val="17"/>
              </w:rPr>
              <w:t>4.01</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4.19</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c>
          <w:tcPr>
            <w:tcW w:type="dxa" w:w="1541"/>
          </w:tcPr>
          <w:p>
            <w:pPr>
              <w:spacing w:after="20"/>
              <w:jc w:val="right"/>
            </w:pPr>
            <w:r>
              <w:rPr>
                <w:color w:val="1C3A36"/>
                <w:sz w:val="17"/>
              </w:rPr>
              <w:t>4.46</w:t>
            </w:r>
          </w:p>
        </w:tc>
        <w:tc>
          <w:tcPr>
            <w:tcW w:type="dxa" w:w="1541"/>
          </w:tcPr>
          <w:p>
            <w:pPr>
              <w:spacing w:after="20"/>
              <w:jc w:val="right"/>
            </w:pPr>
            <w:r>
              <w:rPr>
                <w:color w:val="1C3A36"/>
                <w:sz w:val="17"/>
              </w:rPr>
              <w:t>4.53</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3.61 a share, at 55% EGP 3.92.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-1.14</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-0.10</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-2.31</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-12.10</w:t>
            </w:r>
          </w:p>
        </w:tc>
        <w:tc>
          <w:tcPr>
            <w:tcW w:type="dxa" w:w="5904"/>
          </w:tcPr>
          <w:p>
            <w:pPr>
              <w:spacing w:after="20"/>
            </w:pPr>
            <w:r>
              <w:rPr>
                <w:color w:val="1C3A36"/>
                <w:sz w:val="16"/>
              </w:rPr>
              <w:t>The discount rate, and only the discount rate. At about 11.5%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298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