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5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2024 (audited, translated from Arabic)</w:t>
            </w:r>
          </w:p>
        </w:tc>
        <w:tc>
          <w:tcPr>
            <w:tcW w:type="dxa" w:w="1800"/>
          </w:tcPr>
          <w:p>
            <w:pPr>
              <w:spacing w:after="20"/>
            </w:pPr>
            <w:r>
              <w:rPr>
                <w:color w:val="1C3A36"/>
                <w:sz w:val="16"/>
              </w:rPr>
              <w:t>Elsewedy Electric Company</w:t>
            </w:r>
          </w:p>
        </w:tc>
        <w:tc>
          <w:tcPr>
            <w:tcW w:type="dxa" w:w="1368"/>
          </w:tcPr>
          <w:p>
            <w:pPr>
              <w:spacing w:after="20"/>
            </w:pPr>
            <w:r>
              <w:rPr>
                <w:color w:val="1C3A36"/>
                <w:sz w:val="16"/>
              </w:rPr>
              <w:t>12 March 2025</w:t>
            </w:r>
          </w:p>
        </w:tc>
        <w:tc>
          <w:tcPr>
            <w:tcW w:type="dxa" w:w="4680"/>
          </w:tcPr>
          <w:p>
            <w:pPr>
              <w:spacing w:after="20"/>
            </w:pPr>
            <w:r>
              <w:rPr>
                <w:color w:val="1C3A36"/>
                <w:sz w:val="16"/>
              </w:rPr>
              <w:t>Full consolidated statement of cash flows; loans and borrowings note including the financing-liability reconciliation; interest-rate risk note with average rates by currency; currency risk note; goodwill impairment note</w:t>
            </w:r>
          </w:p>
        </w:tc>
      </w:tr>
      <w:tr>
        <w:tc>
          <w:tcPr>
            <w:tcW w:type="dxa" w:w="2232"/>
          </w:tcPr>
          <w:p>
            <w:pPr>
              <w:spacing w:after="20"/>
            </w:pPr>
            <w:r>
              <w:rPr>
                <w:color w:val="1C3A36"/>
                <w:sz w:val="16"/>
              </w:rPr>
              <w:t>Q4 2024 earnings release (FY 2024 results)</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Consolidated income statement FY2024 with FY2023 comparatives; consolidated balance sheet at 31 December 2024 and 2023; segment revenue and gross profit table; net debt; share count; shareholder structure; proposed dividend</w:t>
            </w:r>
          </w:p>
        </w:tc>
      </w:tr>
      <w:tr>
        <w:tc>
          <w:tcPr>
            <w:tcW w:type="dxa" w:w="2232"/>
          </w:tcPr>
          <w:p>
            <w:pPr>
              <w:spacing w:after="20"/>
            </w:pPr>
            <w:r>
              <w:rPr>
                <w:color w:val="1C3A36"/>
                <w:sz w:val="16"/>
              </w:rPr>
              <w:t>Q2 2024 earnings release (H1 2024 results)</w:t>
            </w:r>
          </w:p>
        </w:tc>
        <w:tc>
          <w:tcPr>
            <w:tcW w:type="dxa" w:w="1800"/>
          </w:tcPr>
          <w:p>
            <w:pPr>
              <w:spacing w:after="20"/>
            </w:pPr>
            <w:r>
              <w:rPr>
                <w:color w:val="1C3A36"/>
                <w:sz w:val="16"/>
              </w:rPr>
              <w:t>Elsewedy Electric Company</w:t>
            </w:r>
          </w:p>
        </w:tc>
        <w:tc>
          <w:tcPr>
            <w:tcW w:type="dxa" w:w="1368"/>
          </w:tcPr>
          <w:p>
            <w:pPr>
              <w:spacing w:after="20"/>
            </w:pPr>
            <w:r>
              <w:rPr>
                <w:color w:val="1C3A36"/>
                <w:sz w:val="16"/>
              </w:rPr>
              <w:t>15 August 2024</w:t>
            </w:r>
          </w:p>
        </w:tc>
        <w:tc>
          <w:tcPr>
            <w:tcW w:type="dxa" w:w="4680"/>
          </w:tcPr>
          <w:p>
            <w:pPr>
              <w:spacing w:after="20"/>
            </w:pPr>
            <w:r>
              <w:rPr>
                <w:color w:val="1C3A36"/>
                <w:sz w:val="16"/>
              </w:rPr>
              <w:t>Segment operating detail including cable sales volumes and gross profit per tonne; turnkey backlog and awards by sector and region; balance sheet at 31 December 2023</w:t>
            </w:r>
          </w:p>
        </w:tc>
      </w:tr>
      <w:tr>
        <w:tc>
          <w:tcPr>
            <w:tcW w:type="dxa" w:w="2232"/>
          </w:tcPr>
          <w:p>
            <w:pPr>
              <w:spacing w:after="20"/>
            </w:pPr>
            <w:r>
              <w:rPr>
                <w:color w:val="1C3A36"/>
                <w:sz w:val="16"/>
              </w:rPr>
              <w:t>Q1 2025 earnings release</w:t>
            </w:r>
          </w:p>
        </w:tc>
        <w:tc>
          <w:tcPr>
            <w:tcW w:type="dxa" w:w="1800"/>
          </w:tcPr>
          <w:p>
            <w:pPr>
              <w:spacing w:after="20"/>
            </w:pPr>
            <w:r>
              <w:rPr>
                <w:color w:val="1C3A36"/>
                <w:sz w:val="16"/>
              </w:rPr>
              <w:t>Elsewedy Electric Company</w:t>
            </w:r>
          </w:p>
        </w:tc>
        <w:tc>
          <w:tcPr>
            <w:tcW w:type="dxa" w:w="1368"/>
          </w:tcPr>
          <w:p>
            <w:pPr>
              <w:spacing w:after="20"/>
            </w:pPr>
            <w:r>
              <w:rPr>
                <w:color w:val="1C3A36"/>
                <w:sz w:val="16"/>
              </w:rPr>
              <w:t>26 May 2025</w:t>
            </w:r>
          </w:p>
        </w:tc>
        <w:tc>
          <w:tcPr>
            <w:tcW w:type="dxa" w:w="4680"/>
          </w:tcPr>
          <w:p>
            <w:pPr>
              <w:spacing w:after="20"/>
            </w:pPr>
            <w:r>
              <w:rPr>
                <w:color w:val="1C3A36"/>
                <w:sz w:val="16"/>
              </w:rPr>
              <w:t>Q1-2025 income statement, EBITDA and net bank debt; the restated five-segment reporting structure; shareholder structure at 31 March 2025</w:t>
            </w:r>
          </w:p>
        </w:tc>
      </w:tr>
      <w:tr>
        <w:tc>
          <w:tcPr>
            <w:tcW w:type="dxa" w:w="2232"/>
          </w:tcPr>
          <w:p>
            <w:pPr>
              <w:spacing w:after="20"/>
            </w:pPr>
            <w:r>
              <w:rPr>
                <w:color w:val="1C3A36"/>
                <w:sz w:val="16"/>
              </w:rPr>
              <w:t>Condensed consolidated interim financial statements, three months ended 31 March 2025</w:t>
            </w:r>
          </w:p>
        </w:tc>
        <w:tc>
          <w:tcPr>
            <w:tcW w:type="dxa" w:w="1800"/>
          </w:tcPr>
          <w:p>
            <w:pPr>
              <w:spacing w:after="20"/>
            </w:pPr>
            <w:r>
              <w:rPr>
                <w:color w:val="1C3A36"/>
                <w:sz w:val="16"/>
              </w:rPr>
              <w:t>Elsewedy Electric Company</w:t>
            </w:r>
          </w:p>
        </w:tc>
        <w:tc>
          <w:tcPr>
            <w:tcW w:type="dxa" w:w="1368"/>
          </w:tcPr>
          <w:p>
            <w:pPr>
              <w:spacing w:after="20"/>
            </w:pPr>
            <w:r>
              <w:rPr>
                <w:color w:val="1C3A36"/>
                <w:sz w:val="16"/>
              </w:rPr>
              <w:t>26 May 2025</w:t>
            </w:r>
          </w:p>
        </w:tc>
        <w:tc>
          <w:tcPr>
            <w:tcW w:type="dxa" w:w="4680"/>
          </w:tcPr>
          <w:p>
            <w:pPr>
              <w:spacing w:after="20"/>
            </w:pPr>
            <w:r>
              <w:rPr>
                <w:color w:val="1C3A36"/>
                <w:sz w:val="16"/>
              </w:rPr>
              <w:t>Q1-2025 statement of profit or loss; interim statement of cash flows including depreciation, capital expenditure, interest paid and net movement in borrowings</w:t>
            </w:r>
          </w:p>
        </w:tc>
      </w:tr>
      <w:tr>
        <w:tc>
          <w:tcPr>
            <w:tcW w:type="dxa" w:w="2232"/>
          </w:tcPr>
          <w:p>
            <w:pPr>
              <w:spacing w:after="20"/>
            </w:pPr>
            <w:r>
              <w:rPr>
                <w:color w:val="1C3A36"/>
                <w:sz w:val="16"/>
              </w:rPr>
              <w:t>Segment analysis workbooks, Q4 2024 and Q1 2025</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 / 26 May 2025</w:t>
            </w:r>
          </w:p>
        </w:tc>
        <w:tc>
          <w:tcPr>
            <w:tcW w:type="dxa" w:w="4680"/>
          </w:tcPr>
          <w:p>
            <w:pPr>
              <w:spacing w:after="20"/>
            </w:pPr>
            <w:r>
              <w:rPr>
                <w:color w:val="1C3A36"/>
                <w:sz w:val="16"/>
              </w:rPr>
              <w:t>Segment revenue, gross profit, selling expense and depreciation by segment on both the old and the restated segment taxonomy</w:t>
            </w:r>
          </w:p>
        </w:tc>
      </w:tr>
      <w:tr>
        <w:tc>
          <w:tcPr>
            <w:tcW w:type="dxa" w:w="2232"/>
          </w:tcPr>
          <w:p>
            <w:pPr>
              <w:spacing w:after="20"/>
            </w:pPr>
            <w:r>
              <w:rPr>
                <w:color w:val="1C3A36"/>
                <w:sz w:val="16"/>
              </w:rPr>
              <w:t>Q4 2025 earnings release (FY 2025 results) — reported figures</w:t>
            </w:r>
          </w:p>
        </w:tc>
        <w:tc>
          <w:tcPr>
            <w:tcW w:type="dxa" w:w="1800"/>
          </w:tcPr>
          <w:p>
            <w:pPr>
              <w:spacing w:after="20"/>
            </w:pPr>
            <w:r>
              <w:rPr>
                <w:color w:val="1C3A36"/>
                <w:sz w:val="16"/>
              </w:rPr>
              <w:t>Elsewedy Electric Company, via financial press covering the exchange filing</w:t>
            </w:r>
          </w:p>
        </w:tc>
        <w:tc>
          <w:tcPr>
            <w:tcW w:type="dxa" w:w="1368"/>
          </w:tcPr>
          <w:p>
            <w:pPr>
              <w:spacing w:after="20"/>
            </w:pPr>
            <w:r>
              <w:rPr>
                <w:color w:val="1C3A36"/>
                <w:sz w:val="16"/>
              </w:rPr>
              <w:t>March 2026</w:t>
            </w:r>
          </w:p>
        </w:tc>
        <w:tc>
          <w:tcPr>
            <w:tcW w:type="dxa" w:w="4680"/>
          </w:tcPr>
          <w:p>
            <w:pPr>
              <w:spacing w:after="20"/>
            </w:pPr>
            <w:r>
              <w:rPr>
                <w:color w:val="1C3A36"/>
                <w:sz w:val="16"/>
              </w:rPr>
              <w:t>FY2025 revenue, profit after tax, profit after minority interests, total assets, net bank debt, fourth-quarter gross profit and EBITDA. The release itself was not directly reachable — see the negative results below</w:t>
            </w:r>
          </w:p>
        </w:tc>
      </w:tr>
      <w:tr>
        <w:tc>
          <w:tcPr>
            <w:tcW w:type="dxa" w:w="2232"/>
          </w:tcPr>
          <w:p>
            <w:pPr>
              <w:spacing w:after="20"/>
            </w:pPr>
            <w:r>
              <w:rPr>
                <w:color w:val="1C3A36"/>
                <w:sz w:val="16"/>
              </w:rPr>
              <w:t>Q1 2026 exchange filing — reported figures</w:t>
            </w:r>
          </w:p>
        </w:tc>
        <w:tc>
          <w:tcPr>
            <w:tcW w:type="dxa" w:w="1800"/>
          </w:tcPr>
          <w:p>
            <w:pPr>
              <w:spacing w:after="20"/>
            </w:pPr>
            <w:r>
              <w:rPr>
                <w:color w:val="1C3A36"/>
                <w:sz w:val="16"/>
              </w:rPr>
              <w:t>Elsewedy Electric Company, via financial press covering the exchange filing</w:t>
            </w:r>
          </w:p>
        </w:tc>
        <w:tc>
          <w:tcPr>
            <w:tcW w:type="dxa" w:w="1368"/>
          </w:tcPr>
          <w:p>
            <w:pPr>
              <w:spacing w:after="20"/>
            </w:pPr>
            <w:r>
              <w:rPr>
                <w:color w:val="1C3A36"/>
                <w:sz w:val="16"/>
              </w:rPr>
              <w:t>13 May 2026</w:t>
            </w:r>
          </w:p>
        </w:tc>
        <w:tc>
          <w:tcPr>
            <w:tcW w:type="dxa" w:w="4680"/>
          </w:tcPr>
          <w:p>
            <w:pPr>
              <w:spacing w:after="20"/>
            </w:pPr>
            <w:r>
              <w:rPr>
                <w:color w:val="1C3A36"/>
                <w:sz w:val="16"/>
              </w:rPr>
              <w:t>Q1-2026 revenue and profit attributable to the parent</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Daily price history for the covered Egyptian equity library</w:t>
            </w:r>
          </w:p>
        </w:tc>
        <w:tc>
          <w:tcPr>
            <w:tcW w:type="dxa" w:w="1800"/>
          </w:tcPr>
          <w:p>
            <w:pPr>
              <w:spacing w:after="20"/>
            </w:pPr>
            <w:r>
              <w:rPr>
                <w:color w:val="1C3A36"/>
                <w:sz w:val="16"/>
              </w:rPr>
              <w:t>House data library</w:t>
            </w:r>
          </w:p>
        </w:tc>
        <w:tc>
          <w:tcPr>
            <w:tcW w:type="dxa" w:w="1368"/>
          </w:tcPr>
          <w:p>
            <w:pPr>
              <w:spacing w:after="20"/>
            </w:pPr>
            <w:r>
              <w:rPr>
                <w:color w:val="1C3A36"/>
                <w:sz w:val="16"/>
              </w:rPr>
              <w:t>to August 2026</w:t>
            </w:r>
          </w:p>
        </w:tc>
        <w:tc>
          <w:tcPr>
            <w:tcW w:type="dxa" w:w="4680"/>
          </w:tcPr>
          <w:p>
            <w:pPr>
              <w:spacing w:after="20"/>
            </w:pPr>
            <w:r>
              <w:rPr>
                <w:color w:val="1C3A36"/>
                <w:sz w:val="16"/>
              </w:rPr>
              <w:t>The 31-name equal-weight composite used as the market proxy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105.2</w:t>
            </w:r>
          </w:p>
        </w:tc>
        <w:tc>
          <w:tcPr>
            <w:tcW w:type="dxa" w:w="1037"/>
          </w:tcPr>
          <w:p>
            <w:pPr>
              <w:spacing w:after="20"/>
            </w:pPr>
            <w:r>
              <w:rPr>
                <w:color w:val="1C3A36"/>
                <w:sz w:val="15"/>
              </w:rPr>
              <w:t>2026-08-05</w:t>
            </w:r>
          </w:p>
        </w:tc>
        <w:tc>
          <w:tcPr>
            <w:tcW w:type="dxa" w:w="6019"/>
          </w:tcPr>
          <w:p>
            <w:pPr>
              <w:spacing w:after="20"/>
            </w:pPr>
            <w:r>
              <w:rPr>
                <w:color w:val="1C3A36"/>
                <w:sz w:val="15"/>
              </w:rPr>
              <w:t>Uploaded EGX daily price history, last close</w:t>
            </w:r>
          </w:p>
        </w:tc>
      </w:tr>
    </w:tbl>
    <w:p>
      <w:pPr>
        <w:spacing w:after="40"/>
      </w:pPr>
    </w:p>
    <w:p>
      <w:pPr>
        <w:spacing w:after="60" w:before="160"/>
      </w:pPr>
      <w:r>
        <w:rPr>
          <w:b/>
          <w:i w:val="0"/>
          <w:color w:val="1C3A36"/>
          <w:sz w:val="22"/>
        </w:rPr>
        <w:t>Company layer — 81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037"/>
          </w:tcPr>
          <w:p>
            <w:pPr>
              <w:spacing w:after="20"/>
            </w:pPr>
            <w:r>
              <w:rPr>
                <w:color w:val="1C3A36"/>
                <w:sz w:val="15"/>
              </w:rPr>
              <w:t>2025-05-26</w:t>
            </w:r>
          </w:p>
        </w:tc>
        <w:tc>
          <w:tcPr>
            <w:tcW w:type="dxa" w:w="6019"/>
          </w:tcPr>
          <w:p>
            <w:pPr>
              <w:spacing w:after="20"/>
            </w:pPr>
            <w:r>
              <w:rPr>
                <w:color w:val="1C3A36"/>
                <w:sz w:val="15"/>
              </w:rPr>
              <w:t>Number of shares 2,140,777,876 — company earnings release, Share Information panel (unchanged across FY2024 and Q1-2025 releases). An EGM-approved capital cut writes off 1.422mn expired ESOP shares, taking issued capital to EGP 2.139bn; immaterial (0.07%) and not yet listed, so the disclosed count is used</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 (FY-2023 comparative)</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w:t>
            </w:r>
          </w:p>
        </w:tc>
      </w:tr>
      <w:tr>
        <w:tc>
          <w:tcPr>
            <w:tcW w:type="dxa" w:w="1656"/>
          </w:tcPr>
          <w:p>
            <w:pPr>
              <w:spacing w:after="20"/>
            </w:pPr>
            <w:r>
              <w:rPr>
                <w:color w:val="1C3A36"/>
                <w:sz w:val="15"/>
              </w:rPr>
              <w:t>rev fy25</w:t>
            </w:r>
          </w:p>
        </w:tc>
        <w:tc>
          <w:tcPr>
            <w:tcW w:type="dxa" w:w="1368"/>
          </w:tcPr>
          <w:p>
            <w:pPr>
              <w:spacing w:after="20"/>
            </w:pPr>
            <w:r>
              <w:rPr>
                <w:color w:val="1C3A36"/>
                <w:sz w:val="15"/>
              </w:rPr>
              <w:t>281,049.0</w:t>
            </w:r>
          </w:p>
        </w:tc>
        <w:tc>
          <w:tcPr>
            <w:tcW w:type="dxa" w:w="1037"/>
          </w:tcPr>
          <w:p>
            <w:pPr>
              <w:spacing w:after="20"/>
            </w:pPr>
            <w:r>
              <w:rPr>
                <w:color w:val="1C3A36"/>
                <w:sz w:val="15"/>
              </w:rPr>
              <w:t>2026-03</w:t>
            </w:r>
          </w:p>
        </w:tc>
        <w:tc>
          <w:tcPr>
            <w:tcW w:type="dxa" w:w="6019"/>
          </w:tcPr>
          <w:p>
            <w:pPr>
              <w:spacing w:after="20"/>
            </w:pPr>
            <w:r>
              <w:rPr>
                <w:color w:val="1C3A36"/>
                <w:sz w:val="15"/>
              </w:rPr>
              <w:t>FY2025 consolidated revenues EGP 281.04bn (EGX filing, reported by Arab Finance / Mubasher; +21.15% on FY2024)</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 (comparative)</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earnings release (comparative)</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earnings release</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037"/>
          </w:tcPr>
          <w:p>
            <w:pPr>
              <w:spacing w:after="20"/>
            </w:pPr>
            <w:r>
              <w:rPr>
                <w:color w:val="1C3A36"/>
                <w:sz w:val="15"/>
              </w:rPr>
              <w:t>2025-03-12</w:t>
            </w:r>
          </w:p>
        </w:tc>
        <w:tc>
          <w:tcPr>
            <w:tcW w:type="dxa" w:w="6019"/>
          </w:tcPr>
          <w:p>
            <w:pPr>
              <w:spacing w:after="20"/>
            </w:pPr>
            <w:r>
              <w:rPr>
                <w:color w:val="1C3A36"/>
                <w:sz w:val="15"/>
              </w:rPr>
              <w:t>Audited consolidated statement of cash flows FY2024 (2023 column): PP&amp;E depreciation 2,120.8 + investment property 6.4 + intangibles amortisation 53.9 + right-of-use 114.9</w:t>
            </w:r>
          </w:p>
        </w:tc>
      </w:tr>
      <w:tr>
        <w:tc>
          <w:tcPr>
            <w:tcW w:type="dxa" w:w="1656"/>
          </w:tcPr>
          <w:p>
            <w:pPr>
              <w:spacing w:after="20"/>
            </w:pPr>
            <w:r>
              <w:rPr>
                <w:color w:val="1C3A36"/>
                <w:sz w:val="15"/>
              </w:rPr>
              <w:t>dna fy24</w:t>
            </w:r>
          </w:p>
        </w:tc>
        <w:tc>
          <w:tcPr>
            <w:tcW w:type="dxa" w:w="1368"/>
          </w:tcPr>
          <w:p>
            <w:pPr>
              <w:spacing w:after="20"/>
            </w:pPr>
            <w:r>
              <w:rPr>
                <w:color w:val="1C3A36"/>
                <w:sz w:val="15"/>
              </w:rPr>
              <w:t>2,259.9</w:t>
            </w:r>
          </w:p>
        </w:tc>
        <w:tc>
          <w:tcPr>
            <w:tcW w:type="dxa" w:w="1037"/>
          </w:tcPr>
          <w:p>
            <w:pPr>
              <w:spacing w:after="20"/>
            </w:pPr>
            <w:r>
              <w:rPr>
                <w:color w:val="1C3A36"/>
                <w:sz w:val="15"/>
              </w:rPr>
              <w:t>2025-03-12</w:t>
            </w:r>
          </w:p>
        </w:tc>
        <w:tc>
          <w:tcPr>
            <w:tcW w:type="dxa" w:w="6019"/>
          </w:tcPr>
          <w:p>
            <w:pPr>
              <w:spacing w:after="20"/>
            </w:pPr>
            <w:r>
              <w:rPr>
                <w:color w:val="1C3A36"/>
                <w:sz w:val="15"/>
              </w:rPr>
              <w:t>Audited consolidated statement of cash flows FY2024: PP&amp;E depreciation 2,019.6 + investment property 1.5 + intangibles amortisation 80.7 + right-of-use 157.9</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earnings release (comparative)</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earnings release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037"/>
          </w:tcPr>
          <w:p>
            <w:pPr>
              <w:spacing w:after="20"/>
            </w:pPr>
            <w:r>
              <w:rPr>
                <w:color w:val="1C3A36"/>
                <w:sz w:val="15"/>
              </w:rPr>
              <w:t>2025-03-13</w:t>
            </w:r>
          </w:p>
        </w:tc>
        <w:tc>
          <w:tcPr>
            <w:tcW w:type="dxa" w:w="6019"/>
          </w:tcPr>
          <w:p>
            <w:pPr>
              <w:spacing w:after="20"/>
            </w:pPr>
            <w:r>
              <w:rPr>
                <w:color w:val="1C3A36"/>
                <w:sz w:val="15"/>
              </w:rPr>
              <w:t>Share of profit of equity-accounted investees, FY2024 release (comparative)</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037"/>
          </w:tcPr>
          <w:p>
            <w:pPr>
              <w:spacing w:after="20"/>
            </w:pPr>
            <w:r>
              <w:rPr>
                <w:color w:val="1C3A36"/>
                <w:sz w:val="15"/>
              </w:rPr>
              <w:t>2025-03-13</w:t>
            </w:r>
          </w:p>
        </w:tc>
        <w:tc>
          <w:tcPr>
            <w:tcW w:type="dxa" w:w="6019"/>
          </w:tcPr>
          <w:p>
            <w:pPr>
              <w:spacing w:after="20"/>
            </w:pPr>
            <w:r>
              <w:rPr>
                <w:color w:val="1C3A36"/>
                <w:sz w:val="15"/>
              </w:rPr>
              <w:t>Share of profit of equity-accounted investees, FY2024 release</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earnings release (comparative)</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earnings release</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037"/>
          </w:tcPr>
          <w:p>
            <w:pPr>
              <w:spacing w:after="20"/>
            </w:pPr>
            <w:r>
              <w:rPr>
                <w:color w:val="1C3A36"/>
                <w:sz w:val="15"/>
              </w:rPr>
              <w:t>2025-03-13</w:t>
            </w:r>
          </w:p>
        </w:tc>
        <w:tc>
          <w:tcPr>
            <w:tcW w:type="dxa" w:w="6019"/>
          </w:tcPr>
          <w:p>
            <w:pPr>
              <w:spacing w:after="20"/>
            </w:pPr>
            <w:r>
              <w:rPr>
                <w:color w:val="1C3A36"/>
                <w:sz w:val="15"/>
              </w:rPr>
              <w:t>Profit for the period, FY2024 earnings release (comparative)</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037"/>
          </w:tcPr>
          <w:p>
            <w:pPr>
              <w:spacing w:after="20"/>
            </w:pPr>
            <w:r>
              <w:rPr>
                <w:color w:val="1C3A36"/>
                <w:sz w:val="15"/>
              </w:rPr>
              <w:t>2025-03-13</w:t>
            </w:r>
          </w:p>
        </w:tc>
        <w:tc>
          <w:tcPr>
            <w:tcW w:type="dxa" w:w="6019"/>
          </w:tcPr>
          <w:p>
            <w:pPr>
              <w:spacing w:after="20"/>
            </w:pPr>
            <w:r>
              <w:rPr>
                <w:color w:val="1C3A36"/>
                <w:sz w:val="15"/>
              </w:rPr>
              <w:t>Profit for the period, FY2024 earnings release</w:t>
            </w:r>
          </w:p>
        </w:tc>
      </w:tr>
      <w:tr>
        <w:tc>
          <w:tcPr>
            <w:tcW w:type="dxa" w:w="1656"/>
          </w:tcPr>
          <w:p>
            <w:pPr>
              <w:spacing w:after="20"/>
            </w:pPr>
            <w:r>
              <w:rPr>
                <w:color w:val="1C3A36"/>
                <w:sz w:val="15"/>
              </w:rPr>
              <w:t>pat fy25</w:t>
            </w:r>
          </w:p>
        </w:tc>
        <w:tc>
          <w:tcPr>
            <w:tcW w:type="dxa" w:w="1368"/>
          </w:tcPr>
          <w:p>
            <w:pPr>
              <w:spacing w:after="20"/>
            </w:pPr>
            <w:r>
              <w:rPr>
                <w:color w:val="1C3A36"/>
                <w:sz w:val="15"/>
              </w:rPr>
              <w:t>19,180.0</w:t>
            </w:r>
          </w:p>
        </w:tc>
        <w:tc>
          <w:tcPr>
            <w:tcW w:type="dxa" w:w="1037"/>
          </w:tcPr>
          <w:p>
            <w:pPr>
              <w:spacing w:after="20"/>
            </w:pPr>
            <w:r>
              <w:rPr>
                <w:color w:val="1C3A36"/>
                <w:sz w:val="15"/>
              </w:rPr>
              <w:t>2026-03</w:t>
            </w:r>
          </w:p>
        </w:tc>
        <w:tc>
          <w:tcPr>
            <w:tcW w:type="dxa" w:w="6019"/>
          </w:tcPr>
          <w:p>
            <w:pPr>
              <w:spacing w:after="20"/>
            </w:pPr>
            <w:r>
              <w:rPr>
                <w:color w:val="1C3A36"/>
                <w:sz w:val="15"/>
              </w:rPr>
              <w:t>FY2025 consolidated net profit after tax EGP 19.18bn vs EGP 18.83bn FY2024 (EGX filing via Mubasher). The FY2024 comparative reconciles exactly to the audited 'Profit for the period' of 18,837.2, confirming this is the pre-minority line</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company, FY2024 release (comparative)</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company, FY2024 release</w:t>
            </w:r>
          </w:p>
        </w:tc>
      </w:tr>
      <w:tr>
        <w:tc>
          <w:tcPr>
            <w:tcW w:type="dxa" w:w="1656"/>
          </w:tcPr>
          <w:p>
            <w:pPr>
              <w:spacing w:after="20"/>
            </w:pPr>
            <w:r>
              <w:rPr>
                <w:color w:val="1C3A36"/>
                <w:sz w:val="15"/>
              </w:rPr>
              <w:t>npa fy25</w:t>
            </w:r>
          </w:p>
        </w:tc>
        <w:tc>
          <w:tcPr>
            <w:tcW w:type="dxa" w:w="1368"/>
          </w:tcPr>
          <w:p>
            <w:pPr>
              <w:spacing w:after="20"/>
            </w:pPr>
            <w:r>
              <w:rPr>
                <w:color w:val="1C3A36"/>
                <w:sz w:val="15"/>
              </w:rPr>
              <w:t>17,330.0</w:t>
            </w:r>
          </w:p>
        </w:tc>
        <w:tc>
          <w:tcPr>
            <w:tcW w:type="dxa" w:w="1037"/>
          </w:tcPr>
          <w:p>
            <w:pPr>
              <w:spacing w:after="20"/>
            </w:pPr>
            <w:r>
              <w:rPr>
                <w:color w:val="1C3A36"/>
                <w:sz w:val="15"/>
              </w:rPr>
              <w:t>2026-03</w:t>
            </w:r>
          </w:p>
        </w:tc>
        <w:tc>
          <w:tcPr>
            <w:tcW w:type="dxa" w:w="6019"/>
          </w:tcPr>
          <w:p>
            <w:pPr>
              <w:spacing w:after="20"/>
            </w:pPr>
            <w:r>
              <w:rPr>
                <w:color w:val="1C3A36"/>
                <w:sz w:val="15"/>
              </w:rPr>
              <w:t>FY2025 net profit after minority: FY2024's 17,461.4 less the disclosed -0.75% y/y move (Arab Finance headline on the FY2025 filing). Cross-checks to the quarterly build: 9M-2025 12,670 + Q4-2025 4,660 (Q4 release: +10.6% y/y on Q4-2024's 4,209)</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037"/>
          </w:tcPr>
          <w:p>
            <w:pPr>
              <w:spacing w:after="20"/>
            </w:pPr>
            <w:r>
              <w:rPr>
                <w:color w:val="1C3A36"/>
                <w:sz w:val="15"/>
              </w:rPr>
              <w:t>2025-03-13</w:t>
            </w:r>
          </w:p>
        </w:tc>
        <w:tc>
          <w:tcPr>
            <w:tcW w:type="dxa" w:w="6019"/>
          </w:tcPr>
          <w:p>
            <w:pPr>
              <w:spacing w:after="20"/>
            </w:pPr>
            <w:r>
              <w:rPr>
                <w:color w:val="1C3A36"/>
                <w:sz w:val="15"/>
              </w:rPr>
              <w:t>Consolidated Balance Sheet 31/12/2023, FY2024 earnings release</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037"/>
          </w:tcPr>
          <w:p>
            <w:pPr>
              <w:spacing w:after="20"/>
            </w:pPr>
            <w:r>
              <w:rPr>
                <w:color w:val="1C3A36"/>
                <w:sz w:val="15"/>
              </w:rPr>
              <w:t>2025-03-13</w:t>
            </w:r>
          </w:p>
        </w:tc>
        <w:tc>
          <w:tcPr>
            <w:tcW w:type="dxa" w:w="6019"/>
          </w:tcPr>
          <w:p>
            <w:pPr>
              <w:spacing w:after="20"/>
            </w:pPr>
            <w:r>
              <w:rPr>
                <w:color w:val="1C3A36"/>
                <w:sz w:val="15"/>
              </w:rPr>
              <w:t>Consolidated Balance Sheet 31/12/2024, FY2024 earnings release</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037"/>
          </w:tcPr>
          <w:p>
            <w:pPr>
              <w:spacing w:after="20"/>
            </w:pPr>
            <w:r>
              <w:rPr>
                <w:color w:val="1C3A36"/>
                <w:sz w:val="15"/>
              </w:rPr>
              <w:t>2025-03-13</w:t>
            </w:r>
          </w:p>
        </w:tc>
        <w:tc>
          <w:tcPr>
            <w:tcW w:type="dxa" w:w="6019"/>
          </w:tcPr>
          <w:p>
            <w:pPr>
              <w:spacing w:after="20"/>
            </w:pPr>
            <w:r>
              <w:rPr>
                <w:color w:val="1C3A36"/>
                <w:sz w:val="15"/>
              </w:rPr>
              <w:t>Inventories 31/12/2023</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037"/>
          </w:tcPr>
          <w:p>
            <w:pPr>
              <w:spacing w:after="20"/>
            </w:pPr>
            <w:r>
              <w:rPr>
                <w:color w:val="1C3A36"/>
                <w:sz w:val="15"/>
              </w:rPr>
              <w:t>2025-03-13</w:t>
            </w:r>
          </w:p>
        </w:tc>
        <w:tc>
          <w:tcPr>
            <w:tcW w:type="dxa" w:w="6019"/>
          </w:tcPr>
          <w:p>
            <w:pPr>
              <w:spacing w:after="20"/>
            </w:pPr>
            <w:r>
              <w:rPr>
                <w:color w:val="1C3A36"/>
                <w:sz w:val="15"/>
              </w:rPr>
              <w:t>Inventories 31/12/2024</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037"/>
          </w:tcPr>
          <w:p>
            <w:pPr>
              <w:spacing w:after="20"/>
            </w:pPr>
            <w:r>
              <w:rPr>
                <w:color w:val="1C3A36"/>
                <w:sz w:val="15"/>
              </w:rPr>
              <w:t>2025-03-13</w:t>
            </w:r>
          </w:p>
        </w:tc>
        <w:tc>
          <w:tcPr>
            <w:tcW w:type="dxa" w:w="6019"/>
          </w:tcPr>
          <w:p>
            <w:pPr>
              <w:spacing w:after="20"/>
            </w:pPr>
            <w:r>
              <w:rPr>
                <w:color w:val="1C3A36"/>
                <w:sz w:val="15"/>
              </w:rPr>
              <w:t>Contract assets 31/12/2023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037"/>
          </w:tcPr>
          <w:p>
            <w:pPr>
              <w:spacing w:after="20"/>
            </w:pPr>
            <w:r>
              <w:rPr>
                <w:color w:val="1C3A36"/>
                <w:sz w:val="15"/>
              </w:rPr>
              <w:t>2025-03-13</w:t>
            </w:r>
          </w:p>
        </w:tc>
        <w:tc>
          <w:tcPr>
            <w:tcW w:type="dxa" w:w="6019"/>
          </w:tcPr>
          <w:p>
            <w:pPr>
              <w:spacing w:after="20"/>
            </w:pPr>
            <w:r>
              <w:rPr>
                <w:color w:val="1C3A36"/>
                <w:sz w:val="15"/>
              </w:rPr>
              <w:t>Contract assets 31/12/2024</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receivables (current) 31/12/2023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receivables (current) 31/12/2024</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payables 31/12/2023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payables 31/12/2024</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31/12/2023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31/12/2024</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31/12/2023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31/12/2024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037"/>
          </w:tcPr>
          <w:p>
            <w:pPr>
              <w:spacing w:after="20"/>
            </w:pPr>
            <w:r>
              <w:rPr>
                <w:color w:val="1C3A36"/>
                <w:sz w:val="15"/>
              </w:rPr>
              <w:t>2025-03-13</w:t>
            </w:r>
          </w:p>
        </w:tc>
        <w:tc>
          <w:tcPr>
            <w:tcW w:type="dxa" w:w="6019"/>
          </w:tcPr>
          <w:p>
            <w:pPr>
              <w:spacing w:after="20"/>
            </w:pPr>
            <w:r>
              <w:rPr>
                <w:color w:val="1C3A36"/>
                <w:sz w:val="15"/>
              </w:rPr>
              <w:t>Total assets 31/12/2023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037"/>
          </w:tcPr>
          <w:p>
            <w:pPr>
              <w:spacing w:after="20"/>
            </w:pPr>
            <w:r>
              <w:rPr>
                <w:color w:val="1C3A36"/>
                <w:sz w:val="15"/>
              </w:rPr>
              <w:t>2025-03-13</w:t>
            </w:r>
          </w:p>
        </w:tc>
        <w:tc>
          <w:tcPr>
            <w:tcW w:type="dxa" w:w="6019"/>
          </w:tcPr>
          <w:p>
            <w:pPr>
              <w:spacing w:after="20"/>
            </w:pPr>
            <w:r>
              <w:rPr>
                <w:color w:val="1C3A36"/>
                <w:sz w:val="15"/>
              </w:rPr>
              <w:t>Total assets 31/12/2024</w:t>
            </w:r>
          </w:p>
        </w:tc>
      </w:tr>
      <w:tr>
        <w:tc>
          <w:tcPr>
            <w:tcW w:type="dxa" w:w="1656"/>
          </w:tcPr>
          <w:p>
            <w:pPr>
              <w:spacing w:after="20"/>
            </w:pPr>
            <w:r>
              <w:rPr>
                <w:color w:val="1C3A36"/>
                <w:sz w:val="15"/>
              </w:rPr>
              <w:t>assets fy25</w:t>
            </w:r>
          </w:p>
        </w:tc>
        <w:tc>
          <w:tcPr>
            <w:tcW w:type="dxa" w:w="1368"/>
          </w:tcPr>
          <w:p>
            <w:pPr>
              <w:spacing w:after="20"/>
            </w:pPr>
            <w:r>
              <w:rPr>
                <w:color w:val="1C3A36"/>
                <w:sz w:val="15"/>
              </w:rPr>
              <w:t>311,090.0</w:t>
            </w:r>
          </w:p>
        </w:tc>
        <w:tc>
          <w:tcPr>
            <w:tcW w:type="dxa" w:w="1037"/>
          </w:tcPr>
          <w:p>
            <w:pPr>
              <w:spacing w:after="20"/>
            </w:pPr>
            <w:r>
              <w:rPr>
                <w:color w:val="1C3A36"/>
                <w:sz w:val="15"/>
              </w:rPr>
              <w:t>2026-03</w:t>
            </w:r>
          </w:p>
        </w:tc>
        <w:tc>
          <w:tcPr>
            <w:tcW w:type="dxa" w:w="6019"/>
          </w:tcPr>
          <w:p>
            <w:pPr>
              <w:spacing w:after="20"/>
            </w:pPr>
            <w:r>
              <w:rPr>
                <w:color w:val="1C3A36"/>
                <w:sz w:val="15"/>
              </w:rPr>
              <w:t>Total assets EGP 311.09bn at 31 December 2025 (EGX filing coverage)</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037"/>
          </w:tcPr>
          <w:p>
            <w:pPr>
              <w:spacing w:after="20"/>
            </w:pPr>
            <w:r>
              <w:rPr>
                <w:color w:val="1C3A36"/>
                <w:sz w:val="15"/>
              </w:rPr>
              <w:t>2025-03-13</w:t>
            </w:r>
          </w:p>
        </w:tc>
        <w:tc>
          <w:tcPr>
            <w:tcW w:type="dxa" w:w="6019"/>
          </w:tcPr>
          <w:p>
            <w:pPr>
              <w:spacing w:after="20"/>
            </w:pPr>
            <w:r>
              <w:rPr>
                <w:color w:val="1C3A36"/>
                <w:sz w:val="15"/>
              </w:rPr>
              <w:t>Loans and borrowings, current 34,950.8 + non-current 6,815.7 (31/12/2023)</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037"/>
          </w:tcPr>
          <w:p>
            <w:pPr>
              <w:spacing w:after="20"/>
            </w:pPr>
            <w:r>
              <w:rPr>
                <w:color w:val="1C3A36"/>
                <w:sz w:val="15"/>
              </w:rPr>
              <w:t>2025-03-12</w:t>
            </w:r>
          </w:p>
        </w:tc>
        <w:tc>
          <w:tcPr>
            <w:tcW w:type="dxa" w:w="6019"/>
          </w:tcPr>
          <w:p>
            <w:pPr>
              <w:spacing w:after="20"/>
            </w:pPr>
            <w:r>
              <w:rPr>
                <w:color w:val="1C3A36"/>
                <w:sz w:val="15"/>
              </w:rPr>
              <w:t>Loans and borrowings, current 52,733.9 + non-current 6,349.0 (31/12/2024). Note 32 splits this into loans 18,747.3, bank credit facilities 40,049.5 and lease liabilities 286.1</w:t>
            </w:r>
          </w:p>
        </w:tc>
      </w:tr>
      <w:tr>
        <w:tc>
          <w:tcPr>
            <w:tcW w:type="dxa" w:w="1656"/>
          </w:tcPr>
          <w:p>
            <w:pPr>
              <w:spacing w:after="20"/>
            </w:pPr>
            <w:r>
              <w:rPr>
                <w:color w:val="1C3A36"/>
                <w:sz w:val="15"/>
              </w:rPr>
              <w:t>nd fy23</w:t>
            </w:r>
          </w:p>
        </w:tc>
        <w:tc>
          <w:tcPr>
            <w:tcW w:type="dxa" w:w="1368"/>
          </w:tcPr>
          <w:p>
            <w:pPr>
              <w:spacing w:after="20"/>
            </w:pPr>
            <w:r>
              <w:rPr>
                <w:color w:val="1C3A36"/>
                <w:sz w:val="15"/>
              </w:rPr>
              <w:t>14,768.0</w:t>
            </w:r>
          </w:p>
        </w:tc>
        <w:tc>
          <w:tcPr>
            <w:tcW w:type="dxa" w:w="1037"/>
          </w:tcPr>
          <w:p>
            <w:pPr>
              <w:spacing w:after="20"/>
            </w:pPr>
            <w:r>
              <w:rPr>
                <w:color w:val="1C3A36"/>
                <w:sz w:val="15"/>
              </w:rPr>
              <w:t>2025-03-13</w:t>
            </w:r>
          </w:p>
        </w:tc>
        <w:tc>
          <w:tcPr>
            <w:tcW w:type="dxa" w:w="6019"/>
          </w:tcPr>
          <w:p>
            <w:pPr>
              <w:spacing w:after="20"/>
            </w:pPr>
            <w:r>
              <w:rPr>
                <w:color w:val="1C3A36"/>
                <w:sz w:val="15"/>
              </w:rPr>
              <w:t>Net debt at 31 December 2023, stated in the FY2024 earnings release</w:t>
            </w:r>
          </w:p>
        </w:tc>
      </w:tr>
      <w:tr>
        <w:tc>
          <w:tcPr>
            <w:tcW w:type="dxa" w:w="1656"/>
          </w:tcPr>
          <w:p>
            <w:pPr>
              <w:spacing w:after="20"/>
            </w:pPr>
            <w:r>
              <w:rPr>
                <w:color w:val="1C3A36"/>
                <w:sz w:val="15"/>
              </w:rPr>
              <w:t>nd fy24</w:t>
            </w:r>
          </w:p>
        </w:tc>
        <w:tc>
          <w:tcPr>
            <w:tcW w:type="dxa" w:w="1368"/>
          </w:tcPr>
          <w:p>
            <w:pPr>
              <w:spacing w:after="20"/>
            </w:pPr>
            <w:r>
              <w:rPr>
                <w:color w:val="1C3A36"/>
                <w:sz w:val="15"/>
              </w:rPr>
              <w:t>20,028.0</w:t>
            </w:r>
          </w:p>
        </w:tc>
        <w:tc>
          <w:tcPr>
            <w:tcW w:type="dxa" w:w="1037"/>
          </w:tcPr>
          <w:p>
            <w:pPr>
              <w:spacing w:after="20"/>
            </w:pPr>
            <w:r>
              <w:rPr>
                <w:color w:val="1C3A36"/>
                <w:sz w:val="15"/>
              </w:rPr>
              <w:t>2025-03-13</w:t>
            </w:r>
          </w:p>
        </w:tc>
        <w:tc>
          <w:tcPr>
            <w:tcW w:type="dxa" w:w="6019"/>
          </w:tcPr>
          <w:p>
            <w:pPr>
              <w:spacing w:after="20"/>
            </w:pPr>
            <w:r>
              <w:rPr>
                <w:color w:val="1C3A36"/>
                <w:sz w:val="15"/>
              </w:rPr>
              <w:t>Net debt at 31 December 2024, stated in the FY2024 earnings release. The Q1-2025 release restates the same date as net BANK debt of 19,727 (leases excluded); the 301 difference is immaterial and the larger figure is carried</w:t>
            </w:r>
          </w:p>
        </w:tc>
      </w:tr>
      <w:tr>
        <w:tc>
          <w:tcPr>
            <w:tcW w:type="dxa" w:w="1656"/>
          </w:tcPr>
          <w:p>
            <w:pPr>
              <w:spacing w:after="20"/>
            </w:pPr>
            <w:r>
              <w:rPr>
                <w:color w:val="1C3A36"/>
                <w:sz w:val="15"/>
              </w:rPr>
              <w:t>nd fy25</w:t>
            </w:r>
          </w:p>
        </w:tc>
        <w:tc>
          <w:tcPr>
            <w:tcW w:type="dxa" w:w="1368"/>
          </w:tcPr>
          <w:p>
            <w:pPr>
              <w:spacing w:after="20"/>
            </w:pPr>
            <w:r>
              <w:rPr>
                <w:color w:val="1C3A36"/>
                <w:sz w:val="15"/>
              </w:rPr>
              <w:t>19,789.0</w:t>
            </w:r>
          </w:p>
        </w:tc>
        <w:tc>
          <w:tcPr>
            <w:tcW w:type="dxa" w:w="1037"/>
          </w:tcPr>
          <w:p>
            <w:pPr>
              <w:spacing w:after="20"/>
            </w:pPr>
            <w:r>
              <w:rPr>
                <w:color w:val="1C3A36"/>
                <w:sz w:val="15"/>
              </w:rPr>
              <w:t>2026-03</w:t>
            </w:r>
          </w:p>
        </w:tc>
        <w:tc>
          <w:tcPr>
            <w:tcW w:type="dxa" w:w="6019"/>
          </w:tcPr>
          <w:p>
            <w:pPr>
              <w:spacing w:after="20"/>
            </w:pPr>
            <w:r>
              <w:rPr>
                <w:color w:val="1C3A36"/>
                <w:sz w:val="15"/>
              </w:rPr>
              <w:t>Net bank debt EGP 19,789mn at 31 December 2025, stated in the Q4-2025 earnings release ('remained almost flat')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31/12/2023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31/12/2024</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31/12/2023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31/12/2024</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037"/>
          </w:tcPr>
          <w:p>
            <w:pPr>
              <w:spacing w:after="20"/>
            </w:pPr>
            <w:r>
              <w:rPr>
                <w:color w:val="1C3A36"/>
                <w:sz w:val="15"/>
              </w:rPr>
              <w:t>2025-03-13</w:t>
            </w:r>
          </w:p>
        </w:tc>
        <w:tc>
          <w:tcPr>
            <w:tcW w:type="dxa" w:w="6019"/>
          </w:tcPr>
          <w:p>
            <w:pPr>
              <w:spacing w:after="20"/>
            </w:pPr>
            <w:r>
              <w:rPr>
                <w:color w:val="1C3A36"/>
                <w:sz w:val="15"/>
              </w:rPr>
              <w:t>Equity-accounted investees (carrying value) 31/12/2024</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037"/>
          </w:tcPr>
          <w:p>
            <w:pPr>
              <w:spacing w:after="20"/>
            </w:pPr>
            <w:r>
              <w:rPr>
                <w:color w:val="1C3A36"/>
                <w:sz w:val="15"/>
              </w:rPr>
              <w:t>2025-03-13</w:t>
            </w:r>
          </w:p>
        </w:tc>
        <w:tc>
          <w:tcPr>
            <w:tcW w:type="dxa" w:w="6019"/>
          </w:tcPr>
          <w:p>
            <w:pPr>
              <w:spacing w:after="20"/>
            </w:pPr>
            <w:r>
              <w:rPr>
                <w:color w:val="1C3A36"/>
                <w:sz w:val="15"/>
              </w:rPr>
              <w:t>Intangible assets and goodwill 31/12/2024</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037"/>
          </w:tcPr>
          <w:p>
            <w:pPr>
              <w:spacing w:after="20"/>
            </w:pPr>
            <w:r>
              <w:rPr>
                <w:color w:val="1C3A36"/>
                <w:sz w:val="15"/>
              </w:rPr>
              <w:t>2025-03-13</w:t>
            </w:r>
          </w:p>
        </w:tc>
        <w:tc>
          <w:tcPr>
            <w:tcW w:type="dxa" w:w="6019"/>
          </w:tcPr>
          <w:p>
            <w:pPr>
              <w:spacing w:after="20"/>
            </w:pPr>
            <w:r>
              <w:rPr>
                <w:color w:val="1C3A36"/>
                <w:sz w:val="15"/>
              </w:rPr>
              <w:t>Board proposed a dividend of EGP 1.00 per share on the FY2024 result (CEO statement, FY2024 earnings release); shareholder dividends of 2,176.0 were paid in the FY2024 cash flow statement for the prior year</w:t>
            </w:r>
          </w:p>
        </w:tc>
      </w:tr>
      <w:tr>
        <w:tc>
          <w:tcPr>
            <w:tcW w:type="dxa" w:w="1656"/>
          </w:tcPr>
          <w:p>
            <w:pPr>
              <w:spacing w:after="20"/>
            </w:pPr>
            <w:r>
              <w:rPr>
                <w:color w:val="1C3A36"/>
                <w:sz w:val="15"/>
              </w:rPr>
              <w:t>capex fy23</w:t>
            </w:r>
          </w:p>
        </w:tc>
        <w:tc>
          <w:tcPr>
            <w:tcW w:type="dxa" w:w="1368"/>
          </w:tcPr>
          <w:p>
            <w:pPr>
              <w:spacing w:after="20"/>
            </w:pPr>
            <w:r>
              <w:rPr>
                <w:color w:val="1C3A36"/>
                <w:sz w:val="15"/>
              </w:rPr>
              <w:t>4,830.0</w:t>
            </w:r>
          </w:p>
        </w:tc>
        <w:tc>
          <w:tcPr>
            <w:tcW w:type="dxa" w:w="1037"/>
          </w:tcPr>
          <w:p>
            <w:pPr>
              <w:spacing w:after="20"/>
            </w:pPr>
            <w:r>
              <w:rPr>
                <w:color w:val="1C3A36"/>
                <w:sz w:val="15"/>
              </w:rPr>
              <w:t>2025-03-12</w:t>
            </w:r>
          </w:p>
        </w:tc>
        <w:tc>
          <w:tcPr>
            <w:tcW w:type="dxa" w:w="6019"/>
          </w:tcPr>
          <w:p>
            <w:pPr>
              <w:spacing w:after="20"/>
            </w:pPr>
            <w:r>
              <w:rPr>
                <w:color w:val="1C3A36"/>
                <w:sz w:val="15"/>
              </w:rPr>
              <w:t>Audited FY2024 cash flow (2023 column): PP&amp;E and projects under construction 4,748.6 + intangibles 81.4</w:t>
            </w:r>
          </w:p>
        </w:tc>
      </w:tr>
      <w:tr>
        <w:tc>
          <w:tcPr>
            <w:tcW w:type="dxa" w:w="1656"/>
          </w:tcPr>
          <w:p>
            <w:pPr>
              <w:spacing w:after="20"/>
            </w:pPr>
            <w:r>
              <w:rPr>
                <w:color w:val="1C3A36"/>
                <w:sz w:val="15"/>
              </w:rPr>
              <w:t>capex fy24</w:t>
            </w:r>
          </w:p>
        </w:tc>
        <w:tc>
          <w:tcPr>
            <w:tcW w:type="dxa" w:w="1368"/>
          </w:tcPr>
          <w:p>
            <w:pPr>
              <w:spacing w:after="20"/>
            </w:pPr>
            <w:r>
              <w:rPr>
                <w:color w:val="1C3A36"/>
                <w:sz w:val="15"/>
              </w:rPr>
              <w:t>8,765.7</w:t>
            </w:r>
          </w:p>
        </w:tc>
        <w:tc>
          <w:tcPr>
            <w:tcW w:type="dxa" w:w="1037"/>
          </w:tcPr>
          <w:p>
            <w:pPr>
              <w:spacing w:after="20"/>
            </w:pPr>
            <w:r>
              <w:rPr>
                <w:color w:val="1C3A36"/>
                <w:sz w:val="15"/>
              </w:rPr>
              <w:t>2025-03-12</w:t>
            </w:r>
          </w:p>
        </w:tc>
        <w:tc>
          <w:tcPr>
            <w:tcW w:type="dxa" w:w="6019"/>
          </w:tcPr>
          <w:p>
            <w:pPr>
              <w:spacing w:after="20"/>
            </w:pPr>
            <w:r>
              <w:rPr>
                <w:color w:val="1C3A36"/>
                <w:sz w:val="15"/>
              </w:rPr>
              <w:t>Audited FY2024 cash flow: PP&amp;E and projects under construction 8,489.8 + intangibles 275.9</w:t>
            </w:r>
          </w:p>
        </w:tc>
      </w:tr>
      <w:tr>
        <w:tc>
          <w:tcPr>
            <w:tcW w:type="dxa" w:w="1656"/>
          </w:tcPr>
          <w:p>
            <w:pPr>
              <w:spacing w:after="20"/>
            </w:pPr>
            <w:r>
              <w:rPr>
                <w:color w:val="1C3A36"/>
                <w:sz w:val="15"/>
              </w:rPr>
              <w:t>int paid fy24</w:t>
            </w:r>
          </w:p>
        </w:tc>
        <w:tc>
          <w:tcPr>
            <w:tcW w:type="dxa" w:w="1368"/>
          </w:tcPr>
          <w:p>
            <w:pPr>
              <w:spacing w:after="20"/>
            </w:pPr>
            <w:r>
              <w:rPr>
                <w:color w:val="1C3A36"/>
                <w:sz w:val="15"/>
              </w:rPr>
              <w:t>7,706.9</w:t>
            </w:r>
          </w:p>
        </w:tc>
        <w:tc>
          <w:tcPr>
            <w:tcW w:type="dxa" w:w="1037"/>
          </w:tcPr>
          <w:p>
            <w:pPr>
              <w:spacing w:after="20"/>
            </w:pPr>
            <w:r>
              <w:rPr>
                <w:color w:val="1C3A36"/>
                <w:sz w:val="15"/>
              </w:rPr>
              <w:t>2025-03-12</w:t>
            </w:r>
          </w:p>
        </w:tc>
        <w:tc>
          <w:tcPr>
            <w:tcW w:type="dxa" w:w="6019"/>
          </w:tcPr>
          <w:p>
            <w:pPr>
              <w:spacing w:after="20"/>
            </w:pPr>
            <w:r>
              <w:rPr>
                <w:color w:val="1C3A36"/>
                <w:sz w:val="15"/>
              </w:rPr>
              <w:t>Interest paid, audited FY2024 consolidated statement of cash flows</w:t>
            </w:r>
          </w:p>
        </w:tc>
      </w:tr>
      <w:tr>
        <w:tc>
          <w:tcPr>
            <w:tcW w:type="dxa" w:w="1656"/>
          </w:tcPr>
          <w:p>
            <w:pPr>
              <w:spacing w:after="20"/>
            </w:pPr>
            <w:r>
              <w:rPr>
                <w:color w:val="1C3A36"/>
                <w:sz w:val="15"/>
              </w:rPr>
              <w:t>tax paid fy24</w:t>
            </w:r>
          </w:p>
        </w:tc>
        <w:tc>
          <w:tcPr>
            <w:tcW w:type="dxa" w:w="1368"/>
          </w:tcPr>
          <w:p>
            <w:pPr>
              <w:spacing w:after="20"/>
            </w:pPr>
            <w:r>
              <w:rPr>
                <w:color w:val="1C3A36"/>
                <w:sz w:val="15"/>
              </w:rPr>
              <w:t>4,891.0</w:t>
            </w:r>
          </w:p>
        </w:tc>
        <w:tc>
          <w:tcPr>
            <w:tcW w:type="dxa" w:w="1037"/>
          </w:tcPr>
          <w:p>
            <w:pPr>
              <w:spacing w:after="20"/>
            </w:pPr>
            <w:r>
              <w:rPr>
                <w:color w:val="1C3A36"/>
                <w:sz w:val="15"/>
              </w:rPr>
              <w:t>2025-03-12</w:t>
            </w:r>
          </w:p>
        </w:tc>
        <w:tc>
          <w:tcPr>
            <w:tcW w:type="dxa" w:w="6019"/>
          </w:tcPr>
          <w:p>
            <w:pPr>
              <w:spacing w:after="20"/>
            </w:pPr>
            <w:r>
              <w:rPr>
                <w:color w:val="1C3A36"/>
                <w:sz w:val="15"/>
              </w:rPr>
              <w:t>Income tax paid, audited FY2024 consolidated statement of cash flows</w:t>
            </w:r>
          </w:p>
        </w:tc>
      </w:tr>
      <w:tr>
        <w:tc>
          <w:tcPr>
            <w:tcW w:type="dxa" w:w="1656"/>
          </w:tcPr>
          <w:p>
            <w:pPr>
              <w:spacing w:after="20"/>
            </w:pPr>
            <w:r>
              <w:rPr>
                <w:color w:val="1C3A36"/>
                <w:sz w:val="15"/>
              </w:rPr>
              <w:t>ocf fy24</w:t>
            </w:r>
          </w:p>
        </w:tc>
        <w:tc>
          <w:tcPr>
            <w:tcW w:type="dxa" w:w="1368"/>
          </w:tcPr>
          <w:p>
            <w:pPr>
              <w:spacing w:after="20"/>
            </w:pPr>
            <w:r>
              <w:rPr>
                <w:color w:val="1C3A36"/>
                <w:sz w:val="15"/>
              </w:rPr>
              <w:t>3,979.4</w:t>
            </w:r>
          </w:p>
        </w:tc>
        <w:tc>
          <w:tcPr>
            <w:tcW w:type="dxa" w:w="1037"/>
          </w:tcPr>
          <w:p>
            <w:pPr>
              <w:spacing w:after="20"/>
            </w:pPr>
            <w:r>
              <w:rPr>
                <w:color w:val="1C3A36"/>
                <w:sz w:val="15"/>
              </w:rPr>
              <w:t>2025-03-12</w:t>
            </w:r>
          </w:p>
        </w:tc>
        <w:tc>
          <w:tcPr>
            <w:tcW w:type="dxa" w:w="6019"/>
          </w:tcPr>
          <w:p>
            <w:pPr>
              <w:spacing w:after="20"/>
            </w:pPr>
            <w:r>
              <w:rPr>
                <w:color w:val="1C3A36"/>
                <w:sz w:val="15"/>
              </w:rPr>
              <w:t>Net cash flows from operating activities FY2024 (after interest and tax) — only 3,979 against EBITDA of 31,602, the working-capital absorption in one number</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037"/>
          </w:tcPr>
          <w:p>
            <w:pPr>
              <w:spacing w:after="20"/>
            </w:pPr>
            <w:r>
              <w:rPr>
                <w:color w:val="1C3A36"/>
                <w:sz w:val="15"/>
              </w:rPr>
              <w:t>2025-05-26</w:t>
            </w:r>
          </w:p>
        </w:tc>
        <w:tc>
          <w:tcPr>
            <w:tcW w:type="dxa" w:w="6019"/>
          </w:tcPr>
          <w:p>
            <w:pPr>
              <w:spacing w:after="20"/>
            </w:pPr>
            <w:r>
              <w:rPr>
                <w:color w:val="1C3A36"/>
                <w:sz w:val="15"/>
              </w:rPr>
              <w:t>Condensed consolidated interim statement of profit or loss, 3M to 31-Mar-2025</w:t>
            </w:r>
          </w:p>
        </w:tc>
      </w:tr>
      <w:tr>
        <w:tc>
          <w:tcPr>
            <w:tcW w:type="dxa" w:w="1656"/>
          </w:tcPr>
          <w:p>
            <w:pPr>
              <w:spacing w:after="20"/>
            </w:pPr>
            <w:r>
              <w:rPr>
                <w:color w:val="1C3A36"/>
                <w:sz w:val="15"/>
              </w:rPr>
              <w:t>q1 25 gp</w:t>
            </w:r>
          </w:p>
        </w:tc>
        <w:tc>
          <w:tcPr>
            <w:tcW w:type="dxa" w:w="1368"/>
          </w:tcPr>
          <w:p>
            <w:pPr>
              <w:spacing w:after="20"/>
            </w:pPr>
            <w:r>
              <w:rPr>
                <w:color w:val="1C3A36"/>
                <w:sz w:val="15"/>
              </w:rPr>
              <w:t>9,973.7</w:t>
            </w:r>
          </w:p>
        </w:tc>
        <w:tc>
          <w:tcPr>
            <w:tcW w:type="dxa" w:w="1037"/>
          </w:tcPr>
          <w:p>
            <w:pPr>
              <w:spacing w:after="20"/>
            </w:pPr>
            <w:r>
              <w:rPr>
                <w:color w:val="1C3A36"/>
                <w:sz w:val="15"/>
              </w:rPr>
              <w:t>2025-05-26</w:t>
            </w:r>
          </w:p>
        </w:tc>
        <w:tc>
          <w:tcPr>
            <w:tcW w:type="dxa" w:w="6019"/>
          </w:tcPr>
          <w:p>
            <w:pPr>
              <w:spacing w:after="20"/>
            </w:pPr>
            <w:r>
              <w:rPr>
                <w:color w:val="1C3A36"/>
                <w:sz w:val="15"/>
              </w:rPr>
              <w:t>Gross profit, Q1-2025 interim statements</w:t>
            </w:r>
          </w:p>
        </w:tc>
      </w:tr>
      <w:tr>
        <w:tc>
          <w:tcPr>
            <w:tcW w:type="dxa" w:w="1656"/>
          </w:tcPr>
          <w:p>
            <w:pPr>
              <w:spacing w:after="20"/>
            </w:pPr>
            <w:r>
              <w:rPr>
                <w:color w:val="1C3A36"/>
                <w:sz w:val="15"/>
              </w:rPr>
              <w:t>q1 25 op</w:t>
            </w:r>
          </w:p>
        </w:tc>
        <w:tc>
          <w:tcPr>
            <w:tcW w:type="dxa" w:w="1368"/>
          </w:tcPr>
          <w:p>
            <w:pPr>
              <w:spacing w:after="20"/>
            </w:pPr>
            <w:r>
              <w:rPr>
                <w:color w:val="1C3A36"/>
                <w:sz w:val="15"/>
              </w:rPr>
              <w:t>6,503.9</w:t>
            </w:r>
          </w:p>
        </w:tc>
        <w:tc>
          <w:tcPr>
            <w:tcW w:type="dxa" w:w="1037"/>
          </w:tcPr>
          <w:p>
            <w:pPr>
              <w:spacing w:after="20"/>
            </w:pPr>
            <w:r>
              <w:rPr>
                <w:color w:val="1C3A36"/>
                <w:sz w:val="15"/>
              </w:rPr>
              <w:t>2025-05-26</w:t>
            </w:r>
          </w:p>
        </w:tc>
        <w:tc>
          <w:tcPr>
            <w:tcW w:type="dxa" w:w="6019"/>
          </w:tcPr>
          <w:p>
            <w:pPr>
              <w:spacing w:after="20"/>
            </w:pPr>
            <w:r>
              <w:rPr>
                <w:color w:val="1C3A36"/>
                <w:sz w:val="15"/>
              </w:rPr>
              <w:t>Operating profit, Q1-2025 interim statements</w:t>
            </w:r>
          </w:p>
        </w:tc>
      </w:tr>
      <w:tr>
        <w:tc>
          <w:tcPr>
            <w:tcW w:type="dxa" w:w="1656"/>
          </w:tcPr>
          <w:p>
            <w:pPr>
              <w:spacing w:after="20"/>
            </w:pPr>
            <w:r>
              <w:rPr>
                <w:color w:val="1C3A36"/>
                <w:sz w:val="15"/>
              </w:rPr>
              <w:t>q1 25 ebitda</w:t>
            </w:r>
          </w:p>
        </w:tc>
        <w:tc>
          <w:tcPr>
            <w:tcW w:type="dxa" w:w="1368"/>
          </w:tcPr>
          <w:p>
            <w:pPr>
              <w:spacing w:after="20"/>
            </w:pPr>
            <w:r>
              <w:rPr>
                <w:color w:val="1C3A36"/>
                <w:sz w:val="15"/>
              </w:rPr>
              <w:t>7,488.8</w:t>
            </w:r>
          </w:p>
        </w:tc>
        <w:tc>
          <w:tcPr>
            <w:tcW w:type="dxa" w:w="1037"/>
          </w:tcPr>
          <w:p>
            <w:pPr>
              <w:spacing w:after="20"/>
            </w:pPr>
            <w:r>
              <w:rPr>
                <w:color w:val="1C3A36"/>
                <w:sz w:val="15"/>
              </w:rPr>
              <w:t>2025-05-26</w:t>
            </w:r>
          </w:p>
        </w:tc>
        <w:tc>
          <w:tcPr>
            <w:tcW w:type="dxa" w:w="6019"/>
          </w:tcPr>
          <w:p>
            <w:pPr>
              <w:spacing w:after="20"/>
            </w:pPr>
            <w:r>
              <w:rPr>
                <w:color w:val="1C3A36"/>
                <w:sz w:val="15"/>
              </w:rPr>
              <w:t>EBITDA, Q1-2025 earnings release (12.6% margin)</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037"/>
          </w:tcPr>
          <w:p>
            <w:pPr>
              <w:spacing w:after="20"/>
            </w:pPr>
            <w:r>
              <w:rPr>
                <w:color w:val="1C3A36"/>
                <w:sz w:val="15"/>
              </w:rPr>
              <w:t>2025-05-26</w:t>
            </w:r>
          </w:p>
        </w:tc>
        <w:tc>
          <w:tcPr>
            <w:tcW w:type="dxa" w:w="6019"/>
          </w:tcPr>
          <w:p>
            <w:pPr>
              <w:spacing w:after="20"/>
            </w:pPr>
            <w:r>
              <w:rPr>
                <w:color w:val="1C3A36"/>
                <w:sz w:val="15"/>
              </w:rPr>
              <w:t>Profit attributable to owners of the parent, Q1-2025</w:t>
            </w:r>
          </w:p>
        </w:tc>
      </w:tr>
      <w:tr>
        <w:tc>
          <w:tcPr>
            <w:tcW w:type="dxa" w:w="1656"/>
          </w:tcPr>
          <w:p>
            <w:pPr>
              <w:spacing w:after="20"/>
            </w:pPr>
            <w:r>
              <w:rPr>
                <w:color w:val="1C3A36"/>
                <w:sz w:val="15"/>
              </w:rPr>
              <w:t>q1 25 fincost</w:t>
            </w:r>
          </w:p>
        </w:tc>
        <w:tc>
          <w:tcPr>
            <w:tcW w:type="dxa" w:w="1368"/>
          </w:tcPr>
          <w:p>
            <w:pPr>
              <w:spacing w:after="20"/>
            </w:pPr>
            <w:r>
              <w:rPr>
                <w:color w:val="1C3A36"/>
                <w:sz w:val="15"/>
              </w:rPr>
              <w:t>1,745.6</w:t>
            </w:r>
          </w:p>
        </w:tc>
        <w:tc>
          <w:tcPr>
            <w:tcW w:type="dxa" w:w="1037"/>
          </w:tcPr>
          <w:p>
            <w:pPr>
              <w:spacing w:after="20"/>
            </w:pPr>
            <w:r>
              <w:rPr>
                <w:color w:val="1C3A36"/>
                <w:sz w:val="15"/>
              </w:rPr>
              <w:t>2025-05-26</w:t>
            </w:r>
          </w:p>
        </w:tc>
        <w:tc>
          <w:tcPr>
            <w:tcW w:type="dxa" w:w="6019"/>
          </w:tcPr>
          <w:p>
            <w:pPr>
              <w:spacing w:after="20"/>
            </w:pPr>
            <w:r>
              <w:rPr>
                <w:color w:val="1C3A36"/>
                <w:sz w:val="15"/>
              </w:rPr>
              <w:t>Finance costs (gross), Q1-2025 interim statements</w:t>
            </w:r>
          </w:p>
        </w:tc>
      </w:tr>
      <w:tr>
        <w:tc>
          <w:tcPr>
            <w:tcW w:type="dxa" w:w="1656"/>
          </w:tcPr>
          <w:p>
            <w:pPr>
              <w:spacing w:after="20"/>
            </w:pPr>
            <w:r>
              <w:rPr>
                <w:color w:val="1C3A36"/>
                <w:sz w:val="15"/>
              </w:rPr>
              <w:t>q1 25 netfin</w:t>
            </w:r>
          </w:p>
        </w:tc>
        <w:tc>
          <w:tcPr>
            <w:tcW w:type="dxa" w:w="1368"/>
          </w:tcPr>
          <w:p>
            <w:pPr>
              <w:spacing w:after="20"/>
            </w:pPr>
            <w:r>
              <w:rPr>
                <w:color w:val="1C3A36"/>
                <w:sz w:val="15"/>
              </w:rPr>
              <w:t>-755.7</w:t>
            </w:r>
          </w:p>
        </w:tc>
        <w:tc>
          <w:tcPr>
            <w:tcW w:type="dxa" w:w="1037"/>
          </w:tcPr>
          <w:p>
            <w:pPr>
              <w:spacing w:after="20"/>
            </w:pPr>
            <w:r>
              <w:rPr>
                <w:color w:val="1C3A36"/>
                <w:sz w:val="15"/>
              </w:rPr>
              <w:t>2025-05-26</w:t>
            </w:r>
          </w:p>
        </w:tc>
        <w:tc>
          <w:tcPr>
            <w:tcW w:type="dxa" w:w="6019"/>
          </w:tcPr>
          <w:p>
            <w:pPr>
              <w:spacing w:after="20"/>
            </w:pPr>
            <w:r>
              <w:rPr>
                <w:color w:val="1C3A36"/>
                <w:sz w:val="15"/>
              </w:rPr>
              <w:t>NET finance costs Q1-2025: finance costs 1,745.6 less finance income 989.9. The group carries very large cash and short-term deposits, so gross interest expense materially overstates the net charge</w:t>
            </w:r>
          </w:p>
        </w:tc>
      </w:tr>
      <w:tr>
        <w:tc>
          <w:tcPr>
            <w:tcW w:type="dxa" w:w="1656"/>
          </w:tcPr>
          <w:p>
            <w:pPr>
              <w:spacing w:after="20"/>
            </w:pPr>
            <w:r>
              <w:rPr>
                <w:color w:val="1C3A36"/>
                <w:sz w:val="15"/>
              </w:rPr>
              <w:t>q1 25 dna</w:t>
            </w:r>
          </w:p>
        </w:tc>
        <w:tc>
          <w:tcPr>
            <w:tcW w:type="dxa" w:w="1368"/>
          </w:tcPr>
          <w:p>
            <w:pPr>
              <w:spacing w:after="20"/>
            </w:pPr>
            <w:r>
              <w:rPr>
                <w:color w:val="1C3A36"/>
                <w:sz w:val="15"/>
              </w:rPr>
              <w:t>681.0</w:t>
            </w:r>
          </w:p>
        </w:tc>
        <w:tc>
          <w:tcPr>
            <w:tcW w:type="dxa" w:w="1037"/>
          </w:tcPr>
          <w:p>
            <w:pPr>
              <w:spacing w:after="20"/>
            </w:pPr>
            <w:r>
              <w:rPr>
                <w:color w:val="1C3A36"/>
                <w:sz w:val="15"/>
              </w:rPr>
              <w:t>2025-05-26</w:t>
            </w:r>
          </w:p>
        </w:tc>
        <w:tc>
          <w:tcPr>
            <w:tcW w:type="dxa" w:w="6019"/>
          </w:tcPr>
          <w:p>
            <w:pPr>
              <w:spacing w:after="20"/>
            </w:pPr>
            <w:r>
              <w:rPr>
                <w:color w:val="1C3A36"/>
                <w:sz w:val="15"/>
              </w:rPr>
              <w:t>Q1-2025 interim cash flow: PP&amp;E depreciation 637.5 + investment property 0.4 + intangibles 2.0 + right-of-use 41.2</w:t>
            </w:r>
          </w:p>
        </w:tc>
      </w:tr>
      <w:tr>
        <w:tc>
          <w:tcPr>
            <w:tcW w:type="dxa" w:w="1656"/>
          </w:tcPr>
          <w:p>
            <w:pPr>
              <w:spacing w:after="20"/>
            </w:pPr>
            <w:r>
              <w:rPr>
                <w:color w:val="1C3A36"/>
                <w:sz w:val="15"/>
              </w:rPr>
              <w:t>q1 26 rev</w:t>
            </w:r>
          </w:p>
        </w:tc>
        <w:tc>
          <w:tcPr>
            <w:tcW w:type="dxa" w:w="1368"/>
          </w:tcPr>
          <w:p>
            <w:pPr>
              <w:spacing w:after="20"/>
            </w:pPr>
            <w:r>
              <w:rPr>
                <w:color w:val="1C3A36"/>
                <w:sz w:val="15"/>
              </w:rPr>
              <w:t>75,298.0</w:t>
            </w:r>
          </w:p>
        </w:tc>
        <w:tc>
          <w:tcPr>
            <w:tcW w:type="dxa" w:w="1037"/>
          </w:tcPr>
          <w:p>
            <w:pPr>
              <w:spacing w:after="20"/>
            </w:pPr>
            <w:r>
              <w:rPr>
                <w:color w:val="1C3A36"/>
                <w:sz w:val="15"/>
              </w:rPr>
              <w:t>2026-05-13</w:t>
            </w:r>
          </w:p>
        </w:tc>
        <w:tc>
          <w:tcPr>
            <w:tcW w:type="dxa" w:w="6019"/>
          </w:tcPr>
          <w:p>
            <w:pPr>
              <w:spacing w:after="20"/>
            </w:pPr>
            <w:r>
              <w:rPr>
                <w:color w:val="1C3A36"/>
                <w:sz w:val="15"/>
              </w:rPr>
              <w:t>Q1-2026 consolidated revenues EGP 75.298bn (EGX filing 13-May-2026, via Arab Finance)</w:t>
            </w:r>
          </w:p>
        </w:tc>
      </w:tr>
      <w:tr>
        <w:tc>
          <w:tcPr>
            <w:tcW w:type="dxa" w:w="1656"/>
          </w:tcPr>
          <w:p>
            <w:pPr>
              <w:spacing w:after="20"/>
            </w:pPr>
            <w:r>
              <w:rPr>
                <w:color w:val="1C3A36"/>
                <w:sz w:val="15"/>
              </w:rPr>
              <w:t>q1 26 npa</w:t>
            </w:r>
          </w:p>
        </w:tc>
        <w:tc>
          <w:tcPr>
            <w:tcW w:type="dxa" w:w="1368"/>
          </w:tcPr>
          <w:p>
            <w:pPr>
              <w:spacing w:after="20"/>
            </w:pPr>
            <w:r>
              <w:rPr>
                <w:color w:val="1C3A36"/>
                <w:sz w:val="15"/>
              </w:rPr>
              <w:t>4,845.0</w:t>
            </w:r>
          </w:p>
        </w:tc>
        <w:tc>
          <w:tcPr>
            <w:tcW w:type="dxa" w:w="1037"/>
          </w:tcPr>
          <w:p>
            <w:pPr>
              <w:spacing w:after="20"/>
            </w:pPr>
            <w:r>
              <w:rPr>
                <w:color w:val="1C3A36"/>
                <w:sz w:val="15"/>
              </w:rPr>
              <w:t>2026-05-13</w:t>
            </w:r>
          </w:p>
        </w:tc>
        <w:tc>
          <w:tcPr>
            <w:tcW w:type="dxa" w:w="6019"/>
          </w:tcPr>
          <w:p>
            <w:pPr>
              <w:spacing w:after="20"/>
            </w:pPr>
            <w:r>
              <w:rPr>
                <w:color w:val="1C3A36"/>
                <w:sz w:val="15"/>
              </w:rPr>
              <w:t>Q1-2026 consolidated net profit attributable to the parent EGP 4.845bn, +16.86% y/y (EGX filing 13-May-2026)</w:t>
            </w:r>
          </w:p>
        </w:tc>
      </w:tr>
      <w:tr>
        <w:tc>
          <w:tcPr>
            <w:tcW w:type="dxa" w:w="1656"/>
          </w:tcPr>
          <w:p>
            <w:pPr>
              <w:spacing w:after="20"/>
            </w:pPr>
            <w:r>
              <w:rPr>
                <w:color w:val="1C3A36"/>
                <w:sz w:val="15"/>
              </w:rPr>
              <w:t>seg hist</w:t>
            </w:r>
          </w:p>
        </w:tc>
        <w:tc>
          <w:tcPr>
            <w:tcW w:type="dxa" w:w="1368"/>
          </w:tcPr>
          <w:p>
            <w:pPr>
              <w:spacing w:after="20"/>
            </w:pPr>
            <w:r>
              <w:rPr>
                <w:color w:val="1C3A36"/>
                <w:sz w:val="15"/>
              </w:rPr>
              <w:t>FY23: rawmat: 25,869.7, 3,478.6; cables: 56,551.5, 14,110.5; ec: 52,896.4, 6,130.0; meters: 7,092.9, 1,694.3; transformers: 6,614.1, 1,979.9; elecprod: 2,575.1, 1,386.7; infra: 586.5, 297.5; FY24: rawmat: 49,608.2, 7,647.2; cables: 87,581.6, 19,959.3; ec: 70,042.4, 7,831.1; meters: 9,996.7, 2,722.5; transformers: 11,308.7, 3,895.0; elecprod: 2,565.2, 1,300.4; infra: 879.1, 542.9</w:t>
            </w:r>
          </w:p>
        </w:tc>
        <w:tc>
          <w:tcPr>
            <w:tcW w:type="dxa" w:w="1037"/>
          </w:tcPr>
          <w:p>
            <w:pPr>
              <w:spacing w:after="20"/>
            </w:pPr>
            <w:r>
              <w:rPr>
                <w:color w:val="1C3A36"/>
                <w:sz w:val="15"/>
              </w:rPr>
              <w:t>2025-03-13</w:t>
            </w:r>
          </w:p>
        </w:tc>
        <w:tc>
          <w:tcPr>
            <w:tcW w:type="dxa" w:w="6019"/>
          </w:tcPr>
          <w:p>
            <w:pPr>
              <w:spacing w:after="20"/>
            </w:pPr>
            <w:r>
              <w:rPr>
                <w:color w:val="1C3A36"/>
                <w:sz w:val="15"/>
              </w:rPr>
              <w:t>Sub-segment revenue and gross profit (EGP mn) from the company's own published segment analysis workbooks for FY2024 (with FY2023 comparatives). The reported 'Wires &amp; Cables' segment splits into Cables and Raw Material (the copper-rod pass-through arm) and the two sum exactly to it. Turnkey gross profit is taken from the income statement where it differs marginally from the workbook</w:t>
            </w:r>
          </w:p>
        </w:tc>
      </w:tr>
      <w:tr>
        <w:tc>
          <w:tcPr>
            <w:tcW w:type="dxa" w:w="1656"/>
          </w:tcPr>
          <w:p>
            <w:pPr>
              <w:spacing w:after="20"/>
            </w:pPr>
            <w:r>
              <w:rPr>
                <w:color w:val="1C3A36"/>
                <w:sz w:val="15"/>
              </w:rPr>
              <w:t>vol hist</w:t>
            </w:r>
          </w:p>
        </w:tc>
        <w:tc>
          <w:tcPr>
            <w:tcW w:type="dxa" w:w="1368"/>
          </w:tcPr>
          <w:p>
            <w:pPr>
              <w:spacing w:after="20"/>
            </w:pPr>
            <w:r>
              <w:rPr>
                <w:color w:val="1C3A36"/>
                <w:sz w:val="15"/>
              </w:rPr>
              <w:t>cables: FY23: 156,748.0; FY24: 167,665.0; meters: FY23: 4,057,065.0; FY24: 3,850,726.0; transformers: FY23: 14,521.0; FY24: 17,619.0</w:t>
            </w:r>
          </w:p>
        </w:tc>
        <w:tc>
          <w:tcPr>
            <w:tcW w:type="dxa" w:w="1037"/>
          </w:tcPr>
          <w:p>
            <w:pPr>
              <w:spacing w:after="20"/>
            </w:pPr>
            <w:r>
              <w:rPr>
                <w:color w:val="1C3A36"/>
                <w:sz w:val="15"/>
              </w:rPr>
              <w:t>2025-03-13</w:t>
            </w:r>
          </w:p>
        </w:tc>
        <w:tc>
          <w:tcPr>
            <w:tcW w:type="dxa" w:w="6019"/>
          </w:tcPr>
          <w:p>
            <w:pPr>
              <w:spacing w:after="20"/>
            </w:pPr>
            <w:r>
              <w:rPr>
                <w:color w:val="1C3A36"/>
                <w:sz w:val="15"/>
              </w:rPr>
              <w:t>Disclosed sales volumes: cables in tonnes, meters in units, transformers in MVA (company earnings releases, FY2024 with FY2023 comparatives). These reproduce the disclosed gross profit per tonne (90,020 / 119,043), per meter (418 / 707) and per MVA (136,345 / 221,065) exactly</w:t>
            </w:r>
          </w:p>
        </w:tc>
      </w:tr>
      <w:tr>
        <w:tc>
          <w:tcPr>
            <w:tcW w:type="dxa" w:w="1656"/>
          </w:tcPr>
          <w:p>
            <w:pPr>
              <w:spacing w:after="20"/>
            </w:pPr>
            <w:r>
              <w:rPr>
                <w:color w:val="1C3A36"/>
                <w:sz w:val="15"/>
              </w:rPr>
              <w:t>q1 units</w:t>
            </w:r>
          </w:p>
        </w:tc>
        <w:tc>
          <w:tcPr>
            <w:tcW w:type="dxa" w:w="1368"/>
          </w:tcPr>
          <w:p>
            <w:pPr>
              <w:spacing w:after="20"/>
            </w:pPr>
            <w:r>
              <w:rPr>
                <w:color w:val="1C3A36"/>
                <w:sz w:val="15"/>
              </w:rPr>
              <w:t>cables_q1_25: 41,476.0; cables_q1_24: 44,975.0; meters_q1_25: 1,169,502.0; meters_q1_24: 811,357.0; transformers_q1_25: 5,112.0; transformers_q1_24: 5,142.0</w:t>
            </w:r>
          </w:p>
        </w:tc>
        <w:tc>
          <w:tcPr>
            <w:tcW w:type="dxa" w:w="1037"/>
          </w:tcPr>
          <w:p>
            <w:pPr>
              <w:spacing w:after="20"/>
            </w:pPr>
            <w:r>
              <w:rPr>
                <w:color w:val="1C3A36"/>
                <w:sz w:val="15"/>
              </w:rPr>
              <w:t>2025-05-26</w:t>
            </w:r>
          </w:p>
        </w:tc>
        <w:tc>
          <w:tcPr>
            <w:tcW w:type="dxa" w:w="6019"/>
          </w:tcPr>
          <w:p>
            <w:pPr>
              <w:spacing w:after="20"/>
            </w:pPr>
            <w:r>
              <w:rPr>
                <w:color w:val="1C3A36"/>
                <w:sz w:val="15"/>
              </w:rPr>
              <w:t>Q1-2025 disclosed volumes with Q1-2024 comparatives (Q1-2025 earnings release): cables 41,476t (-7.8%), meters 1,169,502 (+44.1%), transformers 5,112 MVA (-0.6%). Used with the FY2024 seasonal share to estimate the FY2025 volume base, which is not itself disclosed</w:t>
            </w:r>
          </w:p>
        </w:tc>
      </w:tr>
      <w:tr>
        <w:tc>
          <w:tcPr>
            <w:tcW w:type="dxa" w:w="1656"/>
          </w:tcPr>
          <w:p>
            <w:pPr>
              <w:spacing w:after="20"/>
            </w:pPr>
            <w:r>
              <w:rPr>
                <w:color w:val="1C3A36"/>
                <w:sz w:val="15"/>
              </w:rPr>
              <w:t>cables gp t fy25</w:t>
            </w:r>
          </w:p>
        </w:tc>
        <w:tc>
          <w:tcPr>
            <w:tcW w:type="dxa" w:w="1368"/>
          </w:tcPr>
          <w:p>
            <w:pPr>
              <w:spacing w:after="20"/>
            </w:pPr>
            <w:r>
              <w:rPr>
                <w:color w:val="1C3A36"/>
                <w:sz w:val="15"/>
              </w:rPr>
              <w:t>88,173.0</w:t>
            </w:r>
          </w:p>
        </w:tc>
        <w:tc>
          <w:tcPr>
            <w:tcW w:type="dxa" w:w="1037"/>
          </w:tcPr>
          <w:p>
            <w:pPr>
              <w:spacing w:after="20"/>
            </w:pPr>
            <w:r>
              <w:rPr>
                <w:color w:val="1C3A36"/>
                <w:sz w:val="15"/>
              </w:rPr>
              <w:t>2025-05-26</w:t>
            </w:r>
          </w:p>
        </w:tc>
        <w:tc>
          <w:tcPr>
            <w:tcW w:type="dxa" w:w="6019"/>
          </w:tcPr>
          <w:p>
            <w:pPr>
              <w:spacing w:after="20"/>
            </w:pPr>
            <w:r>
              <w:rPr>
                <w:color w:val="1C3A36"/>
                <w:sz w:val="15"/>
              </w:rPr>
              <w:t>Cable gross profit per tonne, Q1-2025 as disclosed (against 93,672 in Q1-2024 on the restated basis). Taken as the FY2025 run-rate: it is the hard evidence for how far cable conversion margins actually compressed, and it is what pins the FY2025 unit build to reality rather than to an assumption</w:t>
            </w:r>
          </w:p>
        </w:tc>
      </w:tr>
      <w:tr>
        <w:tc>
          <w:tcPr>
            <w:tcW w:type="dxa" w:w="1656"/>
          </w:tcPr>
          <w:p>
            <w:pPr>
              <w:spacing w:after="20"/>
            </w:pPr>
            <w:r>
              <w:rPr>
                <w:color w:val="1C3A36"/>
                <w:sz w:val="15"/>
              </w:rPr>
              <w:t>ec backlog</w:t>
            </w:r>
          </w:p>
        </w:tc>
        <w:tc>
          <w:tcPr>
            <w:tcW w:type="dxa" w:w="1368"/>
          </w:tcPr>
          <w:p>
            <w:pPr>
              <w:spacing w:after="20"/>
            </w:pPr>
            <w:r>
              <w:rPr>
                <w:color w:val="1C3A36"/>
                <w:sz w:val="15"/>
              </w:rPr>
              <w:t>323,700.0</w:t>
            </w:r>
          </w:p>
        </w:tc>
        <w:tc>
          <w:tcPr>
            <w:tcW w:type="dxa" w:w="1037"/>
          </w:tcPr>
          <w:p>
            <w:pPr>
              <w:spacing w:after="20"/>
            </w:pPr>
            <w:r>
              <w:rPr>
                <w:color w:val="1C3A36"/>
                <w:sz w:val="15"/>
              </w:rPr>
              <w:t>2026-03</w:t>
            </w:r>
          </w:p>
        </w:tc>
        <w:tc>
          <w:tcPr>
            <w:tcW w:type="dxa" w:w="6019"/>
          </w:tcPr>
          <w:p>
            <w:pPr>
              <w:spacing w:after="20"/>
            </w:pPr>
            <w:r>
              <w:rPr>
                <w:color w:val="1C3A36"/>
                <w:sz w:val="15"/>
              </w:rPr>
              <w:t>Engineering and construction order book: USD 6.5bn translated at the spot rate. Disclosed as 'approximately USD 6.5bn, above the group's typical historical range'. The reported turnkey backlog was EGP 165bn (Mar-2024), 239bn (Jun-2024) and 196bn (Dec-2024), so the current book is a genuine step up</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037"/>
          </w:tcPr>
          <w:p>
            <w:pPr>
              <w:spacing w:after="20"/>
            </w:pPr>
            <w:r>
              <w:rPr>
                <w:color w:val="1C3A36"/>
                <w:sz w:val="15"/>
              </w:rPr>
              <w:t>2026-03</w:t>
            </w:r>
          </w:p>
        </w:tc>
        <w:tc>
          <w:tcPr>
            <w:tcW w:type="dxa" w:w="6019"/>
          </w:tcPr>
          <w:p>
            <w:pPr>
              <w:spacing w:after="20"/>
            </w:pPr>
            <w:r>
              <w:rPr>
                <w:color w:val="1C3A36"/>
                <w:sz w:val="15"/>
              </w:rPr>
              <w:t>'Over 70% of revenues generated abroad' (company 2025 commentary). Used to report the currency split of the bottom-up revenue build, and to translate the copper-linked lines, which are dollar-priced by construction</w:t>
            </w:r>
          </w:p>
        </w:tc>
      </w:tr>
      <w:tr>
        <w:tc>
          <w:tcPr>
            <w:tcW w:type="dxa" w:w="1656"/>
          </w:tcPr>
          <w:p>
            <w:pPr>
              <w:spacing w:after="20"/>
            </w:pPr>
            <w:r>
              <w:rPr>
                <w:color w:val="1C3A36"/>
                <w:sz w:val="15"/>
              </w:rPr>
              <w:t>kd egp note</w:t>
            </w:r>
          </w:p>
        </w:tc>
        <w:tc>
          <w:tcPr>
            <w:tcW w:type="dxa" w:w="1368"/>
          </w:tcPr>
          <w:p>
            <w:pPr>
              <w:spacing w:after="20"/>
            </w:pPr>
            <w:r>
              <w:rPr>
                <w:color w:val="1C3A36"/>
                <w:sz w:val="15"/>
              </w:rPr>
              <w:t>0.2868</w:t>
            </w:r>
          </w:p>
        </w:tc>
        <w:tc>
          <w:tcPr>
            <w:tcW w:type="dxa" w:w="1037"/>
          </w:tcPr>
          <w:p>
            <w:pPr>
              <w:spacing w:after="20"/>
            </w:pPr>
            <w:r>
              <w:rPr>
                <w:color w:val="1C3A36"/>
                <w:sz w:val="15"/>
              </w:rPr>
              <w:t>2025-03-12</w:t>
            </w:r>
          </w:p>
        </w:tc>
        <w:tc>
          <w:tcPr>
            <w:tcW w:type="dxa" w:w="6019"/>
          </w:tcPr>
          <w:p>
            <w:pPr>
              <w:spacing w:after="20"/>
            </w:pPr>
            <w:r>
              <w:rPr>
                <w:color w:val="1C3A36"/>
                <w:sz w:val="15"/>
              </w:rPr>
              <w:t>Average interest rate on Egyptian-pound financial liabilities, audited FY2024 interest-rate-risk note</w:t>
            </w:r>
          </w:p>
        </w:tc>
      </w:tr>
      <w:tr>
        <w:tc>
          <w:tcPr>
            <w:tcW w:type="dxa" w:w="1656"/>
          </w:tcPr>
          <w:p>
            <w:pPr>
              <w:spacing w:after="20"/>
            </w:pPr>
            <w:r>
              <w:rPr>
                <w:color w:val="1C3A36"/>
                <w:sz w:val="15"/>
              </w:rPr>
              <w:t>kd usd note</w:t>
            </w:r>
          </w:p>
        </w:tc>
        <w:tc>
          <w:tcPr>
            <w:tcW w:type="dxa" w:w="1368"/>
          </w:tcPr>
          <w:p>
            <w:pPr>
              <w:spacing w:after="20"/>
            </w:pPr>
            <w:r>
              <w:rPr>
                <w:color w:val="1C3A36"/>
                <w:sz w:val="15"/>
              </w:rPr>
              <w:t>0.0649</w:t>
            </w:r>
          </w:p>
        </w:tc>
        <w:tc>
          <w:tcPr>
            <w:tcW w:type="dxa" w:w="1037"/>
          </w:tcPr>
          <w:p>
            <w:pPr>
              <w:spacing w:after="20"/>
            </w:pPr>
            <w:r>
              <w:rPr>
                <w:color w:val="1C3A36"/>
                <w:sz w:val="15"/>
              </w:rPr>
              <w:t>2025-03-12</w:t>
            </w:r>
          </w:p>
        </w:tc>
        <w:tc>
          <w:tcPr>
            <w:tcW w:type="dxa" w:w="6019"/>
          </w:tcPr>
          <w:p>
            <w:pPr>
              <w:spacing w:after="20"/>
            </w:pPr>
            <w:r>
              <w:rPr>
                <w:color w:val="1C3A36"/>
                <w:sz w:val="15"/>
              </w:rPr>
              <w:t>Average interest rate on US-dollar financial liabilities, audited FY2024 interest-rate-risk note</w:t>
            </w:r>
          </w:p>
        </w:tc>
      </w:tr>
      <w:tr>
        <w:tc>
          <w:tcPr>
            <w:tcW w:type="dxa" w:w="1656"/>
          </w:tcPr>
          <w:p>
            <w:pPr>
              <w:spacing w:after="20"/>
            </w:pPr>
            <w:r>
              <w:rPr>
                <w:color w:val="1C3A36"/>
                <w:sz w:val="15"/>
              </w:rPr>
              <w:t>kd eur note</w:t>
            </w:r>
          </w:p>
        </w:tc>
        <w:tc>
          <w:tcPr>
            <w:tcW w:type="dxa" w:w="1368"/>
          </w:tcPr>
          <w:p>
            <w:pPr>
              <w:spacing w:after="20"/>
            </w:pPr>
            <w:r>
              <w:rPr>
                <w:color w:val="1C3A36"/>
                <w:sz w:val="15"/>
              </w:rPr>
              <w:t>0.0392</w:t>
            </w:r>
          </w:p>
        </w:tc>
        <w:tc>
          <w:tcPr>
            <w:tcW w:type="dxa" w:w="1037"/>
          </w:tcPr>
          <w:p>
            <w:pPr>
              <w:spacing w:after="20"/>
            </w:pPr>
            <w:r>
              <w:rPr>
                <w:color w:val="1C3A36"/>
                <w:sz w:val="15"/>
              </w:rPr>
              <w:t>2025-03-12</w:t>
            </w:r>
          </w:p>
        </w:tc>
        <w:tc>
          <w:tcPr>
            <w:tcW w:type="dxa" w:w="6019"/>
          </w:tcPr>
          <w:p>
            <w:pPr>
              <w:spacing w:after="20"/>
            </w:pPr>
            <w:r>
              <w:rPr>
                <w:color w:val="1C3A36"/>
                <w:sz w:val="15"/>
              </w:rPr>
              <w:t>Average interest rate on euro financial liabilities, audited FY2024 interest-rate-risk note</w:t>
            </w:r>
          </w:p>
        </w:tc>
      </w:tr>
      <w:tr>
        <w:tc>
          <w:tcPr>
            <w:tcW w:type="dxa" w:w="1656"/>
          </w:tcPr>
          <w:p>
            <w:pPr>
              <w:spacing w:after="20"/>
            </w:pPr>
            <w:r>
              <w:rPr>
                <w:color w:val="1C3A36"/>
                <w:sz w:val="15"/>
              </w:rPr>
              <w:t>debt open fy24</w:t>
            </w:r>
          </w:p>
        </w:tc>
        <w:tc>
          <w:tcPr>
            <w:tcW w:type="dxa" w:w="1368"/>
          </w:tcPr>
          <w:p>
            <w:pPr>
              <w:spacing w:after="20"/>
            </w:pPr>
            <w:r>
              <w:rPr>
                <w:color w:val="1C3A36"/>
                <w:sz w:val="15"/>
              </w:rPr>
              <w:t>41,167.5</w:t>
            </w:r>
          </w:p>
        </w:tc>
        <w:tc>
          <w:tcPr>
            <w:tcW w:type="dxa" w:w="1037"/>
          </w:tcPr>
          <w:p>
            <w:pPr>
              <w:spacing w:after="20"/>
            </w:pPr>
            <w:r>
              <w:rPr>
                <w:color w:val="1C3A36"/>
                <w:sz w:val="15"/>
              </w:rPr>
              <w:t>2025-03-12</w:t>
            </w:r>
          </w:p>
        </w:tc>
        <w:tc>
          <w:tcPr>
            <w:tcW w:type="dxa" w:w="6019"/>
          </w:tcPr>
          <w:p>
            <w:pPr>
              <w:spacing w:after="20"/>
            </w:pPr>
            <w:r>
              <w:rPr>
                <w:color w:val="1C3A36"/>
                <w:sz w:val="15"/>
              </w:rPr>
              <w:t>Loans and credit facilities at 1 January 2024, financing-liability reconciliation, audited FY2024 note 32</w:t>
            </w:r>
          </w:p>
        </w:tc>
      </w:tr>
      <w:tr>
        <w:tc>
          <w:tcPr>
            <w:tcW w:type="dxa" w:w="1656"/>
          </w:tcPr>
          <w:p>
            <w:pPr>
              <w:spacing w:after="20"/>
            </w:pPr>
            <w:r>
              <w:rPr>
                <w:color w:val="1C3A36"/>
                <w:sz w:val="15"/>
              </w:rPr>
              <w:t>debt close fy24</w:t>
            </w:r>
          </w:p>
        </w:tc>
        <w:tc>
          <w:tcPr>
            <w:tcW w:type="dxa" w:w="1368"/>
          </w:tcPr>
          <w:p>
            <w:pPr>
              <w:spacing w:after="20"/>
            </w:pPr>
            <w:r>
              <w:rPr>
                <w:color w:val="1C3A36"/>
                <w:sz w:val="15"/>
              </w:rPr>
              <w:t>58,796.8</w:t>
            </w:r>
          </w:p>
        </w:tc>
        <w:tc>
          <w:tcPr>
            <w:tcW w:type="dxa" w:w="1037"/>
          </w:tcPr>
          <w:p>
            <w:pPr>
              <w:spacing w:after="20"/>
            </w:pPr>
            <w:r>
              <w:rPr>
                <w:color w:val="1C3A36"/>
                <w:sz w:val="15"/>
              </w:rPr>
              <w:t>2025-03-12</w:t>
            </w:r>
          </w:p>
        </w:tc>
        <w:tc>
          <w:tcPr>
            <w:tcW w:type="dxa" w:w="6019"/>
          </w:tcPr>
          <w:p>
            <w:pPr>
              <w:spacing w:after="20"/>
            </w:pPr>
            <w:r>
              <w:rPr>
                <w:color w:val="1C3A36"/>
                <w:sz w:val="15"/>
              </w:rPr>
              <w:t>Loans and credit facilities at 31 December 2024, financing-liability reconciliation, audited FY2024 note 32 (excludes 286.1 of lease liabilities)</w:t>
            </w:r>
          </w:p>
        </w:tc>
      </w:tr>
      <w:tr>
        <w:tc>
          <w:tcPr>
            <w:tcW w:type="dxa" w:w="1656"/>
          </w:tcPr>
          <w:p>
            <w:pPr>
              <w:spacing w:after="20"/>
            </w:pPr>
            <w:r>
              <w:rPr>
                <w:color w:val="1C3A36"/>
                <w:sz w:val="15"/>
              </w:rPr>
              <w:t>int exp fy24</w:t>
            </w:r>
          </w:p>
        </w:tc>
        <w:tc>
          <w:tcPr>
            <w:tcW w:type="dxa" w:w="1368"/>
          </w:tcPr>
          <w:p>
            <w:pPr>
              <w:spacing w:after="20"/>
            </w:pPr>
            <w:r>
              <w:rPr>
                <w:color w:val="1C3A36"/>
                <w:sz w:val="15"/>
              </w:rPr>
              <w:t>7,706.9</w:t>
            </w:r>
          </w:p>
        </w:tc>
        <w:tc>
          <w:tcPr>
            <w:tcW w:type="dxa" w:w="1037"/>
          </w:tcPr>
          <w:p>
            <w:pPr>
              <w:spacing w:after="20"/>
            </w:pPr>
            <w:r>
              <w:rPr>
                <w:color w:val="1C3A36"/>
                <w:sz w:val="15"/>
              </w:rPr>
              <w:t>2025-03-12</w:t>
            </w:r>
          </w:p>
        </w:tc>
        <w:tc>
          <w:tcPr>
            <w:tcW w:type="dxa" w:w="6019"/>
          </w:tcPr>
          <w:p>
            <w:pPr>
              <w:spacing w:after="20"/>
            </w:pPr>
            <w:r>
              <w:rPr>
                <w:color w:val="1C3A36"/>
                <w:sz w:val="15"/>
              </w:rPr>
              <w:t>Interest expense on loans and credit facilities, audited FY2024 note 32 financing-liability reconciliation</w:t>
            </w:r>
          </w:p>
        </w:tc>
      </w:tr>
      <w:tr>
        <w:tc>
          <w:tcPr>
            <w:tcW w:type="dxa" w:w="1656"/>
          </w:tcPr>
          <w:p>
            <w:pPr>
              <w:spacing w:after="20"/>
            </w:pPr>
            <w:r>
              <w:rPr>
                <w:color w:val="1C3A36"/>
                <w:sz w:val="15"/>
              </w:rPr>
              <w:t>debt q1 25</w:t>
            </w:r>
          </w:p>
        </w:tc>
        <w:tc>
          <w:tcPr>
            <w:tcW w:type="dxa" w:w="1368"/>
          </w:tcPr>
          <w:p>
            <w:pPr>
              <w:spacing w:after="20"/>
            </w:pPr>
            <w:r>
              <w:rPr>
                <w:color w:val="1C3A36"/>
                <w:sz w:val="15"/>
              </w:rPr>
              <w:t>55,149.9</w:t>
            </w:r>
          </w:p>
        </w:tc>
        <w:tc>
          <w:tcPr>
            <w:tcW w:type="dxa" w:w="1037"/>
          </w:tcPr>
          <w:p>
            <w:pPr>
              <w:spacing w:after="20"/>
            </w:pPr>
            <w:r>
              <w:rPr>
                <w:color w:val="1C3A36"/>
                <w:sz w:val="15"/>
              </w:rPr>
              <w:t>2025-05-26</w:t>
            </w:r>
          </w:p>
        </w:tc>
        <w:tc>
          <w:tcPr>
            <w:tcW w:type="dxa" w:w="6019"/>
          </w:tcPr>
          <w:p>
            <w:pPr>
              <w:spacing w:after="20"/>
            </w:pPr>
            <w:r>
              <w:rPr>
                <w:color w:val="1C3A36"/>
                <w:sz w:val="15"/>
              </w:rPr>
              <w:t>Loans and credit facilities at 31 March 2025: the FY2024 closing balance of 58,796.8 less the 3,646.9 net repayment shown in the Q1-2025 interim cash flow statement</w:t>
            </w:r>
          </w:p>
        </w:tc>
      </w:tr>
      <w:tr>
        <w:tc>
          <w:tcPr>
            <w:tcW w:type="dxa" w:w="1656"/>
          </w:tcPr>
          <w:p>
            <w:pPr>
              <w:spacing w:after="20"/>
            </w:pPr>
            <w:r>
              <w:rPr>
                <w:color w:val="1C3A36"/>
                <w:sz w:val="15"/>
              </w:rPr>
              <w:t>backlog usd bn</w:t>
            </w:r>
          </w:p>
        </w:tc>
        <w:tc>
          <w:tcPr>
            <w:tcW w:type="dxa" w:w="1368"/>
          </w:tcPr>
          <w:p>
            <w:pPr>
              <w:spacing w:after="20"/>
            </w:pPr>
            <w:r>
              <w:rPr>
                <w:color w:val="1C3A36"/>
                <w:sz w:val="15"/>
              </w:rPr>
              <w:t>6.5</w:t>
            </w:r>
          </w:p>
        </w:tc>
        <w:tc>
          <w:tcPr>
            <w:tcW w:type="dxa" w:w="1037"/>
          </w:tcPr>
          <w:p>
            <w:pPr>
              <w:spacing w:after="20"/>
            </w:pPr>
            <w:r>
              <w:rPr>
                <w:color w:val="1C3A36"/>
                <w:sz w:val="15"/>
              </w:rPr>
              <w:t>2026-03</w:t>
            </w:r>
          </w:p>
        </w:tc>
        <w:tc>
          <w:tcPr>
            <w:tcW w:type="dxa" w:w="6019"/>
          </w:tcPr>
          <w:p>
            <w:pPr>
              <w:spacing w:after="20"/>
            </w:pPr>
            <w:r>
              <w:rPr>
                <w:color w:val="1C3A36"/>
                <w:sz w:val="15"/>
              </w:rPr>
              <w:t>Group project backlog approximately USD 6.5bn, above the group's typical historical range (company 2025 commentary)</w:t>
            </w:r>
          </w:p>
        </w:tc>
      </w:tr>
      <w:tr>
        <w:tc>
          <w:tcPr>
            <w:tcW w:type="dxa" w:w="1656"/>
          </w:tcPr>
          <w:p>
            <w:pPr>
              <w:spacing w:after="20"/>
            </w:pPr>
            <w:r>
              <w:rPr>
                <w:color w:val="1C3A36"/>
                <w:sz w:val="15"/>
              </w:rPr>
              <w:t>ownership</w:t>
            </w:r>
          </w:p>
        </w:tc>
        <w:tc>
          <w:tcPr>
            <w:tcW w:type="dxa" w:w="1368"/>
          </w:tcPr>
          <w:p>
            <w:pPr>
              <w:spacing w:after="20"/>
            </w:pPr>
            <w:r>
              <w:rPr>
                <w:color w:val="1C3A36"/>
                <w:sz w:val="15"/>
              </w:rPr>
              <w:t>family: 0.7818; float: 0.2037; electra: 0.0145</w:t>
            </w:r>
          </w:p>
        </w:tc>
        <w:tc>
          <w:tcPr>
            <w:tcW w:type="dxa" w:w="1037"/>
          </w:tcPr>
          <w:p>
            <w:pPr>
              <w:spacing w:after="20"/>
            </w:pPr>
            <w:r>
              <w:rPr>
                <w:color w:val="1C3A36"/>
                <w:sz w:val="15"/>
              </w:rPr>
              <w:t>2025-05-26</w:t>
            </w:r>
          </w:p>
        </w:tc>
        <w:tc>
          <w:tcPr>
            <w:tcW w:type="dxa" w:w="6019"/>
          </w:tcPr>
          <w:p>
            <w:pPr>
              <w:spacing w:after="20"/>
            </w:pPr>
            <w:r>
              <w:rPr>
                <w:color w:val="1C3A36"/>
                <w:sz w:val="15"/>
              </w:rPr>
              <w:t>Shareholder structure at 31 December 2024 and unchanged at 31 March 2025: El Sewedy family 78.18%, free float 20.37%, Electra Investment Holding 1.45%</w:t>
            </w:r>
          </w:p>
        </w:tc>
      </w:tr>
    </w:tbl>
    <w:p>
      <w:pPr>
        <w:spacing w:after="40"/>
      </w:pPr>
    </w:p>
    <w:p>
      <w:pPr>
        <w:spacing w:after="60" w:before="160"/>
      </w:pPr>
      <w:r>
        <w:rPr>
          <w:b/>
          <w:i w:val="0"/>
          <w:color w:val="1C3A36"/>
          <w:sz w:val="22"/>
        </w:rPr>
        <w:t>Country layer — 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037"/>
          </w:tcPr>
          <w:p>
            <w:pPr>
              <w:spacing w:after="20"/>
            </w:pPr>
            <w:r>
              <w:rPr>
                <w:color w:val="1C3A36"/>
                <w:sz w:val="15"/>
              </w:rPr>
              <w:t>2026</w:t>
            </w:r>
          </w:p>
        </w:tc>
        <w:tc>
          <w:tcPr>
            <w:tcW w:type="dxa" w:w="6019"/>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037"/>
          </w:tcPr>
          <w:p>
            <w:pPr>
              <w:spacing w:after="20"/>
            </w:pPr>
            <w:r>
              <w:rPr>
                <w:color w:val="1C3A36"/>
                <w:sz w:val="15"/>
              </w:rPr>
              <w:t>2026-08-05</w:t>
            </w:r>
          </w:p>
        </w:tc>
        <w:tc>
          <w:tcPr>
            <w:tcW w:type="dxa" w:w="6019"/>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fx hist</w:t>
            </w:r>
          </w:p>
        </w:tc>
        <w:tc>
          <w:tcPr>
            <w:tcW w:type="dxa" w:w="1368"/>
          </w:tcPr>
          <w:p>
            <w:pPr>
              <w:spacing w:after="20"/>
            </w:pPr>
            <w:r>
              <w:rPr>
                <w:color w:val="1C3A36"/>
                <w:sz w:val="15"/>
              </w:rPr>
              <w:t>FY23: 30.7; FY24: 45.3; FY25: 49.5</w:t>
            </w:r>
          </w:p>
        </w:tc>
        <w:tc>
          <w:tcPr>
            <w:tcW w:type="dxa" w:w="1037"/>
          </w:tcPr>
          <w:p>
            <w:pPr>
              <w:spacing w:after="20"/>
            </w:pPr>
            <w:r>
              <w:rPr>
                <w:color w:val="1C3A36"/>
                <w:sz w:val="15"/>
              </w:rPr>
              <w:t>2026-08-05</w:t>
            </w:r>
          </w:p>
        </w:tc>
        <w:tc>
          <w:tcPr>
            <w:tcW w:type="dxa" w:w="6019"/>
          </w:tcPr>
          <w:p>
            <w:pPr>
              <w:spacing w:after="20"/>
            </w:pPr>
            <w:r>
              <w:rPr>
                <w:color w:val="1C3A36"/>
                <w:sz w:val="15"/>
              </w:rPr>
              <w:t>Annual average USD/EGP. The audited FY2024 note discloses closing 50.91 / average 43.96 for 2024 and closing 30.96 / average 30.59 for 2023; the figures here are the house averages consistent with those disclosures</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037"/>
          </w:tcPr>
          <w:p>
            <w:pPr>
              <w:spacing w:after="20"/>
            </w:pPr>
            <w:r>
              <w:rPr>
                <w:color w:val="1C3A36"/>
                <w:sz w:val="15"/>
              </w:rPr>
              <w:t>2026-07-21</w:t>
            </w:r>
          </w:p>
        </w:tc>
        <w:tc>
          <w:tcPr>
            <w:tcW w:type="dxa" w:w="6019"/>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037"/>
          </w:tcPr>
          <w:p>
            <w:pPr>
              <w:spacing w:after="20"/>
            </w:pPr>
            <w:r>
              <w:rPr>
                <w:color w:val="1C3A36"/>
                <w:sz w:val="15"/>
              </w:rPr>
              <w:t>2026-01-05</w:t>
            </w:r>
          </w:p>
        </w:tc>
        <w:tc>
          <w:tcPr>
            <w:tcW w:type="dxa" w:w="6019"/>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037"/>
          </w:tcPr>
          <w:p>
            <w:pPr>
              <w:spacing w:after="20"/>
            </w:pPr>
            <w:r>
              <w:rPr>
                <w:color w:val="1C3A36"/>
                <w:sz w:val="15"/>
              </w:rPr>
              <w:t>2026-01-05</w:t>
            </w:r>
          </w:p>
        </w:tc>
        <w:tc>
          <w:tcPr>
            <w:tcW w:type="dxa" w:w="6019"/>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rating basis, January-2026 — the alternative</w:t>
            </w:r>
          </w:p>
        </w:tc>
      </w:tr>
    </w:tbl>
    <w:p>
      <w:pPr>
        <w:spacing w:after="40"/>
      </w:pPr>
    </w:p>
    <w:p>
      <w:pPr>
        <w:spacing w:after="60" w:before="160"/>
      </w:pPr>
      <w:r>
        <w:rPr>
          <w:b/>
          <w:i w:val="0"/>
          <w:color w:val="1C3A36"/>
          <w:sz w:val="22"/>
        </w:rPr>
        <w:t>House layer — 39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Group effective tax rate used for NOPAT. Reported effective rates: FY2023 31.3%, FY2024 30.1%, FY2025 25.2% (derived, see P&amp;L closure). The group pays tax in 15 countries; 25% is struck between the FY25 derived rate and the Egyptian statutory 22.5%, above the statutory rate because foreign profits are taxed in higher-rate jurisdictions and withholding leaks on repatriation</w:t>
            </w:r>
          </w:p>
        </w:tc>
      </w:tr>
      <w:tr>
        <w:tc>
          <w:tcPr>
            <w:tcW w:type="dxa" w:w="1656"/>
          </w:tcPr>
          <w:p>
            <w:pPr>
              <w:spacing w:after="20"/>
            </w:pPr>
            <w:r>
              <w:rPr>
                <w:color w:val="1C3A36"/>
                <w:sz w:val="15"/>
              </w:rPr>
              <w:t>gp fy25</w:t>
            </w:r>
          </w:p>
        </w:tc>
        <w:tc>
          <w:tcPr>
            <w:tcW w:type="dxa" w:w="1368"/>
          </w:tcPr>
          <w:p>
            <w:pPr>
              <w:spacing w:after="20"/>
            </w:pPr>
            <w:r>
              <w:rPr>
                <w:color w:val="1C3A36"/>
                <w:sz w:val="15"/>
              </w:rPr>
              <w:t>40,720.0</w:t>
            </w:r>
          </w:p>
        </w:tc>
        <w:tc>
          <w:tcPr>
            <w:tcW w:type="dxa" w:w="1037"/>
          </w:tcPr>
          <w:p>
            <w:pPr>
              <w:spacing w:after="20"/>
            </w:pPr>
            <w:r>
              <w:rPr>
                <w:color w:val="1C3A36"/>
                <w:sz w:val="15"/>
              </w:rPr>
              <w:t>2026-03</w:t>
            </w:r>
          </w:p>
        </w:tc>
        <w:tc>
          <w:tcPr>
            <w:tcW w:type="dxa" w:w="6019"/>
          </w:tcPr>
          <w:p>
            <w:pPr>
              <w:spacing w:after="20"/>
            </w:pPr>
            <w:r>
              <w:rPr>
                <w:color w:val="1C3A36"/>
                <w:sz w:val="15"/>
              </w:rPr>
              <w:t>DERIVED: 9M-2025 gross profit ~EGP 30.0bn (15.0% of the 199.71bn 9M revenue, press coverage of the 9M filing) + Q4-2025 gross profit 10.77bn (Q4-2025 release: -0.7% y/y on Q4-2024's 10,841, 13.2% margin). Blends to a 14.5% FY margin</w:t>
            </w:r>
          </w:p>
        </w:tc>
      </w:tr>
      <w:tr>
        <w:tc>
          <w:tcPr>
            <w:tcW w:type="dxa" w:w="1656"/>
          </w:tcPr>
          <w:p>
            <w:pPr>
              <w:spacing w:after="20"/>
            </w:pPr>
            <w:r>
              <w:rPr>
                <w:color w:val="1C3A36"/>
                <w:sz w:val="15"/>
              </w:rPr>
              <w:t>netfin fy25</w:t>
            </w:r>
          </w:p>
        </w:tc>
        <w:tc>
          <w:tcPr>
            <w:tcW w:type="dxa" w:w="1368"/>
          </w:tcPr>
          <w:p>
            <w:pPr>
              <w:spacing w:after="20"/>
            </w:pPr>
            <w:r>
              <w:rPr>
                <w:color w:val="1C3A36"/>
                <w:sz w:val="15"/>
              </w:rPr>
              <w:t>-3,400.0</w:t>
            </w:r>
          </w:p>
        </w:tc>
        <w:tc>
          <w:tcPr>
            <w:tcW w:type="dxa" w:w="1037"/>
          </w:tcPr>
          <w:p>
            <w:pPr>
              <w:spacing w:after="20"/>
            </w:pPr>
            <w:r>
              <w:rPr>
                <w:color w:val="1C3A36"/>
                <w:sz w:val="15"/>
              </w:rPr>
              <w:t>2026-08-05</w:t>
            </w:r>
          </w:p>
        </w:tc>
        <w:tc>
          <w:tcPr>
            <w:tcW w:type="dxa" w:w="6019"/>
          </w:tcPr>
          <w:p>
            <w:pPr>
              <w:spacing w:after="20"/>
            </w:pPr>
            <w:r>
              <w:rPr>
                <w:color w:val="1C3A36"/>
                <w:sz w:val="15"/>
              </w:rPr>
              <w:t>DERIVED FY2025 net finance cost. The Q1-2025 net run-rate annualises to -3,023 and FY2024 printed -3,515 on a smaller debt book; -3,400 is struck between them, allowing for a larger balance sheet against a falling policy rate. This is the one materially estimated line in the FY2025 income statement and it is what the implied tax rate is most sensitive to</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037"/>
          </w:tcPr>
          <w:p>
            <w:pPr>
              <w:spacing w:after="20"/>
            </w:pPr>
            <w:r>
              <w:rPr>
                <w:color w:val="1C3A36"/>
                <w:sz w:val="15"/>
              </w:rPr>
              <w:t>2026-08-05</w:t>
            </w:r>
          </w:p>
        </w:tc>
        <w:tc>
          <w:tcPr>
            <w:tcW w:type="dxa" w:w="6019"/>
          </w:tcPr>
          <w:p>
            <w:pPr>
              <w:spacing w:after="20"/>
            </w:pPr>
            <w:r>
              <w:rPr>
                <w:color w:val="1C3A36"/>
                <w:sz w:val="15"/>
              </w:rPr>
              <w:t>USD/EGP average-rate path, about 6%/yr of depreciation from the FY2025 average of 49.5. This is a genuine driver in the bottom-up build, not a translation convenience: copper is priced in dollars, so it sets the Egyptian-pound price per tonne of cable and rod directly. DELIBERATELY BELOW covered-interest parity, which on the 22.31% pound against a ~4.3% dollar rate implies about 17%/yr — the base case assumes disinflation closes most of that gap rather than the currency absorbing it. The parity case is carried as an explicit sensitivity</w:t>
            </w:r>
          </w:p>
        </w:tc>
      </w:tr>
      <w:tr>
        <w:tc>
          <w:tcPr>
            <w:tcW w:type="dxa" w:w="1656"/>
          </w:tcPr>
          <w:p>
            <w:pPr>
              <w:spacing w:after="20"/>
            </w:pPr>
            <w:r>
              <w:rPr>
                <w:color w:val="1C3A36"/>
                <w:sz w:val="15"/>
              </w:rPr>
              <w:t>cables vol growth</w:t>
            </w:r>
          </w:p>
        </w:tc>
        <w:tc>
          <w:tcPr>
            <w:tcW w:type="dxa" w:w="1368"/>
          </w:tcPr>
          <w:p>
            <w:pPr>
              <w:spacing w:after="20"/>
            </w:pPr>
            <w:r>
              <w:rPr>
                <w:color w:val="1C3A36"/>
                <w:sz w:val="15"/>
              </w:rPr>
              <w:t>0.06, 0.05, 0.04, 0.04, 0.04</w:t>
            </w:r>
          </w:p>
        </w:tc>
        <w:tc>
          <w:tcPr>
            <w:tcW w:type="dxa" w:w="1037"/>
          </w:tcPr>
          <w:p>
            <w:pPr>
              <w:spacing w:after="20"/>
            </w:pPr>
            <w:r>
              <w:rPr>
                <w:color w:val="1C3A36"/>
                <w:sz w:val="15"/>
              </w:rPr>
              <w:t>2026-08-05</w:t>
            </w:r>
          </w:p>
        </w:tc>
        <w:tc>
          <w:tcPr>
            <w:tcW w:type="dxa" w:w="6019"/>
          </w:tcPr>
          <w:p>
            <w:pPr>
              <w:spacing w:after="20"/>
            </w:pPr>
            <w:r>
              <w:rPr>
                <w:color w:val="1C3A36"/>
                <w:sz w:val="15"/>
              </w:rPr>
              <w:t>Cable tonnage growth. The FY2025 base is a 7.7% volume DECLINE on FY2024 (disclosed Q1-2025 -7.8%), so the forecast is a recovery to roughly the FY2024 level by FY2028 and modest growth thereafter, supported by regional grid build-out, data-centre demand and the export book. No capacity step-change is assumed</w:t>
            </w:r>
          </w:p>
        </w:tc>
      </w:tr>
      <w:tr>
        <w:tc>
          <w:tcPr>
            <w:tcW w:type="dxa" w:w="1656"/>
          </w:tcPr>
          <w:p>
            <w:pPr>
              <w:spacing w:after="20"/>
            </w:pPr>
            <w:r>
              <w:rPr>
                <w:color w:val="1C3A36"/>
                <w:sz w:val="15"/>
              </w:rPr>
              <w:t>cables uplift</w:t>
            </w:r>
          </w:p>
        </w:tc>
        <w:tc>
          <w:tcPr>
            <w:tcW w:type="dxa" w:w="1368"/>
          </w:tcPr>
          <w:p>
            <w:pPr>
              <w:spacing w:after="20"/>
            </w:pPr>
            <w:r>
              <w:rPr>
                <w:color w:val="1C3A36"/>
                <w:sz w:val="15"/>
              </w:rPr>
              <w:t>1.3, 1.3, 1.3, 1.3, 1.3</w:t>
            </w:r>
          </w:p>
        </w:tc>
        <w:tc>
          <w:tcPr>
            <w:tcW w:type="dxa" w:w="1037"/>
          </w:tcPr>
          <w:p>
            <w:pPr>
              <w:spacing w:after="20"/>
            </w:pPr>
            <w:r>
              <w:rPr>
                <w:color w:val="1C3A36"/>
                <w:sz w:val="15"/>
              </w:rPr>
              <w:t>2026-08-05</w:t>
            </w:r>
          </w:p>
        </w:tc>
        <w:tc>
          <w:tcPr>
            <w:tcW w:type="dxa" w:w="6019"/>
          </w:tcPr>
          <w:p>
            <w:pPr>
              <w:spacing w:after="20"/>
            </w:pPr>
            <w:r>
              <w:rPr>
                <w:color w:val="1C3A36"/>
                <w:sz w:val="15"/>
              </w:rPr>
              <w:t>Fabrication uplift: cable price per tonne divided by the copper cost per tonne. History back-solves to 1.386 (FY2023) and 1.261 (FY2024); the forecast is held at 1.30, between the two. This is the term that converts a copper price into a cable price, and holding it flat means no pricing-power assumption is being smuggled in</w:t>
            </w:r>
          </w:p>
        </w:tc>
      </w:tr>
      <w:tr>
        <w:tc>
          <w:tcPr>
            <w:tcW w:type="dxa" w:w="1656"/>
          </w:tcPr>
          <w:p>
            <w:pPr>
              <w:spacing w:after="20"/>
            </w:pPr>
            <w:r>
              <w:rPr>
                <w:color w:val="1C3A36"/>
                <w:sz w:val="15"/>
              </w:rPr>
              <w:t>cables conv</w:t>
            </w:r>
          </w:p>
        </w:tc>
        <w:tc>
          <w:tcPr>
            <w:tcW w:type="dxa" w:w="1368"/>
          </w:tcPr>
          <w:p>
            <w:pPr>
              <w:spacing w:after="20"/>
            </w:pPr>
            <w:r>
              <w:rPr>
                <w:color w:val="1C3A36"/>
                <w:sz w:val="15"/>
              </w:rPr>
              <w:t>0.15, 0.16, 0.17, 0.175, 0.175</w:t>
            </w:r>
          </w:p>
        </w:tc>
        <w:tc>
          <w:tcPr>
            <w:tcW w:type="dxa" w:w="1037"/>
          </w:tcPr>
          <w:p>
            <w:pPr>
              <w:spacing w:after="20"/>
            </w:pPr>
            <w:r>
              <w:rPr>
                <w:color w:val="1C3A36"/>
                <w:sz w:val="15"/>
              </w:rPr>
              <w:t>2026-08-05</w:t>
            </w:r>
          </w:p>
        </w:tc>
        <w:tc>
          <w:tcPr>
            <w:tcW w:type="dxa" w:w="6019"/>
          </w:tcPr>
          <w:p>
            <w:pPr>
              <w:spacing w:after="20"/>
            </w:pPr>
            <w:r>
              <w:rPr>
                <w:color w:val="1C3A36"/>
                <w:sz w:val="15"/>
              </w:rPr>
              <w:t>Cable conversion margin — gross profit as a share of the realised price per tonne — for the forecast years. History back-solves to 25.0% (FY2023), 22.8% (FY2024) and roughly 13.8% (FY2025, from the disclosed gross profit per tonne against the back-solved price per tonne). The forecast recovers only part of that collapse and never approaches the FY2023-24 levels, which carried devaluation gains on cheaply bought copper inventory</w:t>
            </w:r>
          </w:p>
        </w:tc>
      </w:tr>
      <w:tr>
        <w:tc>
          <w:tcPr>
            <w:tcW w:type="dxa" w:w="1656"/>
          </w:tcPr>
          <w:p>
            <w:pPr>
              <w:spacing w:after="20"/>
            </w:pPr>
            <w:r>
              <w:rPr>
                <w:color w:val="1C3A36"/>
                <w:sz w:val="15"/>
              </w:rPr>
              <w:t>unit gp growth</w:t>
            </w:r>
          </w:p>
        </w:tc>
        <w:tc>
          <w:tcPr>
            <w:tcW w:type="dxa" w:w="1368"/>
          </w:tcPr>
          <w:p>
            <w:pPr>
              <w:spacing w:after="20"/>
            </w:pPr>
            <w:r>
              <w:rPr>
                <w:color w:val="1C3A36"/>
                <w:sz w:val="15"/>
              </w:rPr>
              <w:t>0.085, 0.08, 0.075, 0.07, 0.07</w:t>
            </w:r>
          </w:p>
        </w:tc>
        <w:tc>
          <w:tcPr>
            <w:tcW w:type="dxa" w:w="1037"/>
          </w:tcPr>
          <w:p>
            <w:pPr>
              <w:spacing w:after="20"/>
            </w:pPr>
            <w:r>
              <w:rPr>
                <w:color w:val="1C3A36"/>
                <w:sz w:val="15"/>
              </w:rPr>
              <w:t>2026-08-05</w:t>
            </w:r>
          </w:p>
        </w:tc>
        <w:tc>
          <w:tcPr>
            <w:tcW w:type="dxa" w:w="6019"/>
          </w:tcPr>
          <w:p>
            <w:pPr>
              <w:spacing w:after="20"/>
            </w:pPr>
            <w:r>
              <w:rPr>
                <w:color w:val="1C3A36"/>
                <w:sz w:val="15"/>
              </w:rPr>
              <w:t>Growth in gross profit PER UNIT for the manufacturing lines — per tonne of cable and rod, per MVA of transformer, per meter. This is the correct structure for a converter: when copper spikes, revenue rises because the metal is passed through, but the conversion margin earned on each tonne does not, so the percentage margin falls. Modelling these as a percentage of a copper-inflated price would manufacture profit out of a commodity move. The path is set at roughly Egyptian cost inflation, i.e. a flat real conversion margin with no recovery in unit profitability assumed</w:t>
            </w:r>
          </w:p>
        </w:tc>
      </w:tr>
      <w:tr>
        <w:tc>
          <w:tcPr>
            <w:tcW w:type="dxa" w:w="1656"/>
          </w:tcPr>
          <w:p>
            <w:pPr>
              <w:spacing w:after="20"/>
            </w:pPr>
            <w:r>
              <w:rPr>
                <w:color w:val="1C3A36"/>
                <w:sz w:val="15"/>
              </w:rPr>
              <w:t>margin recovery</w:t>
            </w:r>
          </w:p>
        </w:tc>
        <w:tc>
          <w:tcPr>
            <w:tcW w:type="dxa" w:w="1368"/>
          </w:tcPr>
          <w:p>
            <w:pPr>
              <w:spacing w:after="20"/>
            </w:pPr>
            <w:r>
              <w:rPr>
                <w:color w:val="1C3A36"/>
                <w:sz w:val="15"/>
              </w:rPr>
              <w:t>1, 1.04, 1.07, 1.09, 1.1</w:t>
            </w:r>
          </w:p>
        </w:tc>
        <w:tc>
          <w:tcPr>
            <w:tcW w:type="dxa" w:w="1037"/>
          </w:tcPr>
          <w:p>
            <w:pPr>
              <w:spacing w:after="20"/>
            </w:pPr>
            <w:r>
              <w:rPr>
                <w:color w:val="1C3A36"/>
                <w:sz w:val="15"/>
              </w:rPr>
              <w:t>2026-08-05</w:t>
            </w:r>
          </w:p>
        </w:tc>
        <w:tc>
          <w:tcPr>
            <w:tcW w:type="dxa" w:w="6019"/>
          </w:tcPr>
          <w:p>
            <w:pPr>
              <w:spacing w:after="20"/>
            </w:pPr>
            <w:r>
              <w:rPr>
                <w:color w:val="1C3A36"/>
                <w:sz w:val="15"/>
              </w:rPr>
              <w:t>Recovery factor applied to the FY2025 gross margins of the non-cable lines. FY2025 margins are calibrated to the disclosed group gross profit, which implies roughly a 10% compression against FY2024 across those lines; the forecast recovers about half of it by FY2030 and no more</w:t>
            </w:r>
          </w:p>
        </w:tc>
      </w:tr>
      <w:tr>
        <w:tc>
          <w:tcPr>
            <w:tcW w:type="dxa" w:w="1656"/>
          </w:tcPr>
          <w:p>
            <w:pPr>
              <w:spacing w:after="20"/>
            </w:pPr>
            <w:r>
              <w:rPr>
                <w:color w:val="1C3A36"/>
                <w:sz w:val="15"/>
              </w:rPr>
              <w:t>rawmat vol growth</w:t>
            </w:r>
          </w:p>
        </w:tc>
        <w:tc>
          <w:tcPr>
            <w:tcW w:type="dxa" w:w="1368"/>
          </w:tcPr>
          <w:p>
            <w:pPr>
              <w:spacing w:after="20"/>
            </w:pPr>
            <w:r>
              <w:rPr>
                <w:color w:val="1C3A36"/>
                <w:sz w:val="15"/>
              </w:rPr>
              <w:t>0.04, 0.04, 0.03, 0.03, 0.03</w:t>
            </w:r>
          </w:p>
        </w:tc>
        <w:tc>
          <w:tcPr>
            <w:tcW w:type="dxa" w:w="1037"/>
          </w:tcPr>
          <w:p>
            <w:pPr>
              <w:spacing w:after="20"/>
            </w:pPr>
            <w:r>
              <w:rPr>
                <w:color w:val="1C3A36"/>
                <w:sz w:val="15"/>
              </w:rPr>
              <w:t>2026-08-05</w:t>
            </w:r>
          </w:p>
        </w:tc>
        <w:tc>
          <w:tcPr>
            <w:tcW w:type="dxa" w:w="6019"/>
          </w:tcPr>
          <w:p>
            <w:pPr>
              <w:spacing w:after="20"/>
            </w:pPr>
            <w:r>
              <w:rPr>
                <w:color w:val="1C3A36"/>
                <w:sz w:val="15"/>
              </w:rPr>
              <w:t>Raw-material (copper rod) tonnage growth. This arm is close to a pure pass-through: implied volume was 99kt in FY2023 and 120kt in FY2024</w:t>
            </w:r>
          </w:p>
        </w:tc>
      </w:tr>
      <w:tr>
        <w:tc>
          <w:tcPr>
            <w:tcW w:type="dxa" w:w="1656"/>
          </w:tcPr>
          <w:p>
            <w:pPr>
              <w:spacing w:after="20"/>
            </w:pPr>
            <w:r>
              <w:rPr>
                <w:color w:val="1C3A36"/>
                <w:sz w:val="15"/>
              </w:rPr>
              <w:t>rawmat uplift</w:t>
            </w:r>
          </w:p>
        </w:tc>
        <w:tc>
          <w:tcPr>
            <w:tcW w:type="dxa" w:w="1368"/>
          </w:tcPr>
          <w:p>
            <w:pPr>
              <w:spacing w:after="20"/>
            </w:pPr>
            <w:r>
              <w:rPr>
                <w:color w:val="1C3A36"/>
                <w:sz w:val="15"/>
              </w:rPr>
              <w:t>1.02</w:t>
            </w:r>
          </w:p>
        </w:tc>
        <w:tc>
          <w:tcPr>
            <w:tcW w:type="dxa" w:w="1037"/>
          </w:tcPr>
          <w:p>
            <w:pPr>
              <w:spacing w:after="20"/>
            </w:pPr>
            <w:r>
              <w:rPr>
                <w:color w:val="1C3A36"/>
                <w:sz w:val="15"/>
              </w:rPr>
              <w:t>2026-08-05</w:t>
            </w:r>
          </w:p>
        </w:tc>
        <w:tc>
          <w:tcPr>
            <w:tcW w:type="dxa" w:w="6019"/>
          </w:tcPr>
          <w:p>
            <w:pPr>
              <w:spacing w:after="20"/>
            </w:pPr>
            <w:r>
              <w:rPr>
                <w:color w:val="1C3A36"/>
                <w:sz w:val="15"/>
              </w:rPr>
              <w:t>Raw-material price per tonne as a multiple of the copper cost — a thin conversion spread over the metal</w:t>
            </w:r>
          </w:p>
        </w:tc>
      </w:tr>
      <w:tr>
        <w:tc>
          <w:tcPr>
            <w:tcW w:type="dxa" w:w="1656"/>
          </w:tcPr>
          <w:p>
            <w:pPr>
              <w:spacing w:after="20"/>
            </w:pPr>
            <w:r>
              <w:rPr>
                <w:color w:val="1C3A36"/>
                <w:sz w:val="15"/>
              </w:rPr>
              <w:t>rawmat gp</w:t>
            </w:r>
          </w:p>
        </w:tc>
        <w:tc>
          <w:tcPr>
            <w:tcW w:type="dxa" w:w="1368"/>
          </w:tcPr>
          <w:p>
            <w:pPr>
              <w:spacing w:after="20"/>
            </w:pPr>
            <w:r>
              <w:rPr>
                <w:color w:val="1C3A36"/>
                <w:sz w:val="15"/>
              </w:rPr>
              <w:t>0.135</w:t>
            </w:r>
          </w:p>
        </w:tc>
        <w:tc>
          <w:tcPr>
            <w:tcW w:type="dxa" w:w="1037"/>
          </w:tcPr>
          <w:p>
            <w:pPr>
              <w:spacing w:after="20"/>
            </w:pPr>
            <w:r>
              <w:rPr>
                <w:color w:val="1C3A36"/>
                <w:sz w:val="15"/>
              </w:rPr>
              <w:t>2026-08-05</w:t>
            </w:r>
          </w:p>
        </w:tc>
        <w:tc>
          <w:tcPr>
            <w:tcW w:type="dxa" w:w="6019"/>
          </w:tcPr>
          <w:p>
            <w:pPr>
              <w:spacing w:after="20"/>
            </w:pPr>
            <w:r>
              <w:rPr>
                <w:color w:val="1C3A36"/>
                <w:sz w:val="15"/>
              </w:rPr>
              <w:t>Raw-material gross margin. History 13.4% (FY2023), 15.4% (FY2024); the forecast is struck at the lower end</w:t>
            </w:r>
          </w:p>
        </w:tc>
      </w:tr>
      <w:tr>
        <w:tc>
          <w:tcPr>
            <w:tcW w:type="dxa" w:w="1656"/>
          </w:tcPr>
          <w:p>
            <w:pPr>
              <w:spacing w:after="20"/>
            </w:pPr>
            <w:r>
              <w:rPr>
                <w:color w:val="1C3A36"/>
                <w:sz w:val="15"/>
              </w:rPr>
              <w:t>ec burn</w:t>
            </w:r>
          </w:p>
        </w:tc>
        <w:tc>
          <w:tcPr>
            <w:tcW w:type="dxa" w:w="1368"/>
          </w:tcPr>
          <w:p>
            <w:pPr>
              <w:spacing w:after="20"/>
            </w:pPr>
            <w:r>
              <w:rPr>
                <w:color w:val="1C3A36"/>
                <w:sz w:val="15"/>
              </w:rPr>
              <w:t>0.27, 0.265, 0.26, 0.255, 0.25</w:t>
            </w:r>
          </w:p>
        </w:tc>
        <w:tc>
          <w:tcPr>
            <w:tcW w:type="dxa" w:w="1037"/>
          </w:tcPr>
          <w:p>
            <w:pPr>
              <w:spacing w:after="20"/>
            </w:pPr>
            <w:r>
              <w:rPr>
                <w:color w:val="1C3A36"/>
                <w:sz w:val="15"/>
              </w:rPr>
              <w:t>2026-08-05</w:t>
            </w:r>
          </w:p>
        </w:tc>
        <w:tc>
          <w:tcPr>
            <w:tcW w:type="dxa" w:w="6019"/>
          </w:tcPr>
          <w:p>
            <w:pPr>
              <w:spacing w:after="20"/>
            </w:pPr>
            <w:r>
              <w:rPr>
                <w:color w:val="1C3A36"/>
                <w:sz w:val="15"/>
              </w:rPr>
              <w:t>Share of the opening order book converted to revenue each year. The FY2025 revenue of roughly EGP 88bn against a book of EGP 324bn implies about 27%, i.e. a three-and-a-half-year book. The rate is tapered as the book lengthens</w:t>
            </w:r>
          </w:p>
        </w:tc>
      </w:tr>
      <w:tr>
        <w:tc>
          <w:tcPr>
            <w:tcW w:type="dxa" w:w="1656"/>
          </w:tcPr>
          <w:p>
            <w:pPr>
              <w:spacing w:after="20"/>
            </w:pPr>
            <w:r>
              <w:rPr>
                <w:color w:val="1C3A36"/>
                <w:sz w:val="15"/>
              </w:rPr>
              <w:t>ec book to bill</w:t>
            </w:r>
          </w:p>
        </w:tc>
        <w:tc>
          <w:tcPr>
            <w:tcW w:type="dxa" w:w="1368"/>
          </w:tcPr>
          <w:p>
            <w:pPr>
              <w:spacing w:after="20"/>
            </w:pPr>
            <w:r>
              <w:rPr>
                <w:color w:val="1C3A36"/>
                <w:sz w:val="15"/>
              </w:rPr>
              <w:t>1.05, 1.05, 1.03, 1.02, 1</w:t>
            </w:r>
          </w:p>
        </w:tc>
        <w:tc>
          <w:tcPr>
            <w:tcW w:type="dxa" w:w="1037"/>
          </w:tcPr>
          <w:p>
            <w:pPr>
              <w:spacing w:after="20"/>
            </w:pPr>
            <w:r>
              <w:rPr>
                <w:color w:val="1C3A36"/>
                <w:sz w:val="15"/>
              </w:rPr>
              <w:t>2026-08-05</w:t>
            </w:r>
          </w:p>
        </w:tc>
        <w:tc>
          <w:tcPr>
            <w:tcW w:type="dxa" w:w="6019"/>
          </w:tcPr>
          <w:p>
            <w:pPr>
              <w:spacing w:after="20"/>
            </w:pPr>
            <w:r>
              <w:rPr>
                <w:color w:val="1C3A36"/>
                <w:sz w:val="15"/>
              </w:rPr>
              <w:t>New awards as a multiple of revenue recognised. Above one early, reflecting the disclosed step up in the order book, converging to replacement</w:t>
            </w:r>
          </w:p>
        </w:tc>
      </w:tr>
      <w:tr>
        <w:tc>
          <w:tcPr>
            <w:tcW w:type="dxa" w:w="1656"/>
          </w:tcPr>
          <w:p>
            <w:pPr>
              <w:spacing w:after="20"/>
            </w:pPr>
            <w:r>
              <w:rPr>
                <w:color w:val="1C3A36"/>
                <w:sz w:val="15"/>
              </w:rPr>
              <w:t>ec gp</w:t>
            </w:r>
          </w:p>
        </w:tc>
        <w:tc>
          <w:tcPr>
            <w:tcW w:type="dxa" w:w="1368"/>
          </w:tcPr>
          <w:p>
            <w:pPr>
              <w:spacing w:after="20"/>
            </w:pPr>
            <w:r>
              <w:rPr>
                <w:color w:val="1C3A36"/>
                <w:sz w:val="15"/>
              </w:rPr>
              <w:t>0.11</w:t>
            </w:r>
          </w:p>
        </w:tc>
        <w:tc>
          <w:tcPr>
            <w:tcW w:type="dxa" w:w="1037"/>
          </w:tcPr>
          <w:p>
            <w:pPr>
              <w:spacing w:after="20"/>
            </w:pPr>
            <w:r>
              <w:rPr>
                <w:color w:val="1C3A36"/>
                <w:sz w:val="15"/>
              </w:rPr>
              <w:t>2026-08-05</w:t>
            </w:r>
          </w:p>
        </w:tc>
        <w:tc>
          <w:tcPr>
            <w:tcW w:type="dxa" w:w="6019"/>
          </w:tcPr>
          <w:p>
            <w:pPr>
              <w:spacing w:after="20"/>
            </w:pPr>
            <w:r>
              <w:rPr>
                <w:color w:val="1C3A36"/>
                <w:sz w:val="15"/>
              </w:rPr>
              <w:t>Engineering and construction gross margin. History 11.6% (FY2023) and 11.2% (FY2024); held at 11.0%</w:t>
            </w:r>
          </w:p>
        </w:tc>
      </w:tr>
      <w:tr>
        <w:tc>
          <w:tcPr>
            <w:tcW w:type="dxa" w:w="1656"/>
          </w:tcPr>
          <w:p>
            <w:pPr>
              <w:spacing w:after="20"/>
            </w:pPr>
            <w:r>
              <w:rPr>
                <w:color w:val="1C3A36"/>
                <w:sz w:val="15"/>
              </w:rPr>
              <w:t>transformers vol growth</w:t>
            </w:r>
          </w:p>
        </w:tc>
        <w:tc>
          <w:tcPr>
            <w:tcW w:type="dxa" w:w="1368"/>
          </w:tcPr>
          <w:p>
            <w:pPr>
              <w:spacing w:after="20"/>
            </w:pPr>
            <w:r>
              <w:rPr>
                <w:color w:val="1C3A36"/>
                <w:sz w:val="15"/>
              </w:rPr>
              <w:t>0.08, 0.07, 0.06, 0.05, 0.05</w:t>
            </w:r>
          </w:p>
        </w:tc>
        <w:tc>
          <w:tcPr>
            <w:tcW w:type="dxa" w:w="1037"/>
          </w:tcPr>
          <w:p>
            <w:pPr>
              <w:spacing w:after="20"/>
            </w:pPr>
            <w:r>
              <w:rPr>
                <w:color w:val="1C3A36"/>
                <w:sz w:val="15"/>
              </w:rPr>
              <w:t>2026-08-05</w:t>
            </w:r>
          </w:p>
        </w:tc>
        <w:tc>
          <w:tcPr>
            <w:tcW w:type="dxa" w:w="6019"/>
          </w:tcPr>
          <w:p>
            <w:pPr>
              <w:spacing w:after="20"/>
            </w:pPr>
            <w:r>
              <w:rPr>
                <w:color w:val="1C3A36"/>
                <w:sz w:val="15"/>
              </w:rPr>
              <w:t>Transformer MVA growth. History: 14,521 MVA (FY2023) to 17,619 (FY2024), +21.3%, then broadly flat through Q1-2025. Regional transmission investment supports mid-single-digit growth</w:t>
            </w:r>
          </w:p>
        </w:tc>
      </w:tr>
      <w:tr>
        <w:tc>
          <w:tcPr>
            <w:tcW w:type="dxa" w:w="1656"/>
          </w:tcPr>
          <w:p>
            <w:pPr>
              <w:spacing w:after="20"/>
            </w:pPr>
            <w:r>
              <w:rPr>
                <w:color w:val="1C3A36"/>
                <w:sz w:val="15"/>
              </w:rPr>
              <w:t>transformers gp</w:t>
            </w:r>
          </w:p>
        </w:tc>
        <w:tc>
          <w:tcPr>
            <w:tcW w:type="dxa" w:w="1368"/>
          </w:tcPr>
          <w:p>
            <w:pPr>
              <w:spacing w:after="20"/>
            </w:pPr>
            <w:r>
              <w:rPr>
                <w:color w:val="1C3A36"/>
                <w:sz w:val="15"/>
              </w:rPr>
              <w:t>0.32</w:t>
            </w:r>
          </w:p>
        </w:tc>
        <w:tc>
          <w:tcPr>
            <w:tcW w:type="dxa" w:w="1037"/>
          </w:tcPr>
          <w:p>
            <w:pPr>
              <w:spacing w:after="20"/>
            </w:pPr>
            <w:r>
              <w:rPr>
                <w:color w:val="1C3A36"/>
                <w:sz w:val="15"/>
              </w:rPr>
              <w:t>2026-08-05</w:t>
            </w:r>
          </w:p>
        </w:tc>
        <w:tc>
          <w:tcPr>
            <w:tcW w:type="dxa" w:w="6019"/>
          </w:tcPr>
          <w:p>
            <w:pPr>
              <w:spacing w:after="20"/>
            </w:pPr>
            <w:r>
              <w:rPr>
                <w:color w:val="1C3A36"/>
                <w:sz w:val="15"/>
              </w:rPr>
              <w:t>Transformer gross margin as a share of price per MVA. History 29.9% (FY2023) and 34.4% (FY2024); struck between them</w:t>
            </w:r>
          </w:p>
        </w:tc>
      </w:tr>
      <w:tr>
        <w:tc>
          <w:tcPr>
            <w:tcW w:type="dxa" w:w="1656"/>
          </w:tcPr>
          <w:p>
            <w:pPr>
              <w:spacing w:after="20"/>
            </w:pPr>
            <w:r>
              <w:rPr>
                <w:color w:val="1C3A36"/>
                <w:sz w:val="15"/>
              </w:rPr>
              <w:t>meters vol growth</w:t>
            </w:r>
          </w:p>
        </w:tc>
        <w:tc>
          <w:tcPr>
            <w:tcW w:type="dxa" w:w="1368"/>
          </w:tcPr>
          <w:p>
            <w:pPr>
              <w:spacing w:after="20"/>
            </w:pPr>
            <w:r>
              <w:rPr>
                <w:color w:val="1C3A36"/>
                <w:sz w:val="15"/>
              </w:rPr>
              <w:t>0.06, 0.05, 0.05, 0.04, 0.04</w:t>
            </w:r>
          </w:p>
        </w:tc>
        <w:tc>
          <w:tcPr>
            <w:tcW w:type="dxa" w:w="1037"/>
          </w:tcPr>
          <w:p>
            <w:pPr>
              <w:spacing w:after="20"/>
            </w:pPr>
            <w:r>
              <w:rPr>
                <w:color w:val="1C3A36"/>
                <w:sz w:val="15"/>
              </w:rPr>
              <w:t>2026-08-05</w:t>
            </w:r>
          </w:p>
        </w:tc>
        <w:tc>
          <w:tcPr>
            <w:tcW w:type="dxa" w:w="6019"/>
          </w:tcPr>
          <w:p>
            <w:pPr>
              <w:spacing w:after="20"/>
            </w:pPr>
            <w:r>
              <w:rPr>
                <w:color w:val="1C3A36"/>
                <w:sz w:val="15"/>
              </w:rPr>
              <w:t>Smart-meter unit growth. Volumes fell 5.1% in FY2024 but Q1-2025 ran +44.1% y/y as national metering programmes restarted</w:t>
            </w:r>
          </w:p>
        </w:tc>
      </w:tr>
      <w:tr>
        <w:tc>
          <w:tcPr>
            <w:tcW w:type="dxa" w:w="1656"/>
          </w:tcPr>
          <w:p>
            <w:pPr>
              <w:spacing w:after="20"/>
            </w:pPr>
            <w:r>
              <w:rPr>
                <w:color w:val="1C3A36"/>
                <w:sz w:val="15"/>
              </w:rPr>
              <w:t>meters gp</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Meter gross margin as a share of price per unit. History 23.9% (FY2023) and 27.2% (FY2024)</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037"/>
          </w:tcPr>
          <w:p>
            <w:pPr>
              <w:spacing w:after="20"/>
            </w:pPr>
            <w:r>
              <w:rPr>
                <w:color w:val="1C3A36"/>
                <w:sz w:val="15"/>
              </w:rPr>
              <w:t>2026-08-05</w:t>
            </w:r>
          </w:p>
        </w:tc>
        <w:tc>
          <w:tcPr>
            <w:tcW w:type="dxa" w:w="6019"/>
          </w:tcPr>
          <w:p>
            <w:pPr>
              <w:spacing w:after="20"/>
            </w:pPr>
            <w:r>
              <w:rPr>
                <w:color w:val="1C3A36"/>
                <w:sz w:val="15"/>
              </w:rPr>
              <w:t>Nominal price growth for the units not priced off copper (meters). Set below Egyptian headline inflation on the disinflation path</w:t>
            </w:r>
          </w:p>
        </w:tc>
      </w:tr>
      <w:tr>
        <w:tc>
          <w:tcPr>
            <w:tcW w:type="dxa" w:w="1656"/>
          </w:tcPr>
          <w:p>
            <w:pPr>
              <w:spacing w:after="20"/>
            </w:pPr>
            <w:r>
              <w:rPr>
                <w:color w:val="1C3A36"/>
                <w:sz w:val="15"/>
              </w:rPr>
              <w:t>other growth</w:t>
            </w:r>
          </w:p>
        </w:tc>
        <w:tc>
          <w:tcPr>
            <w:tcW w:type="dxa" w:w="1368"/>
          </w:tcPr>
          <w:p>
            <w:pPr>
              <w:spacing w:after="20"/>
            </w:pPr>
            <w:r>
              <w:rPr>
                <w:color w:val="1C3A36"/>
                <w:sz w:val="15"/>
              </w:rPr>
              <w:t>0.12, 0.11, 0.1, 0.09, 0.08</w:t>
            </w:r>
          </w:p>
        </w:tc>
        <w:tc>
          <w:tcPr>
            <w:tcW w:type="dxa" w:w="1037"/>
          </w:tcPr>
          <w:p>
            <w:pPr>
              <w:spacing w:after="20"/>
            </w:pPr>
            <w:r>
              <w:rPr>
                <w:color w:val="1C3A36"/>
                <w:sz w:val="15"/>
              </w:rPr>
              <w:t>2026-08-05</w:t>
            </w:r>
          </w:p>
        </w:tc>
        <w:tc>
          <w:tcPr>
            <w:tcW w:type="dxa" w:w="6019"/>
          </w:tcPr>
          <w:p>
            <w:pPr>
              <w:spacing w:after="20"/>
            </w:pPr>
            <w:r>
              <w:rPr>
                <w:color w:val="1C3A36"/>
                <w:sz w:val="15"/>
              </w:rPr>
              <w:t>Revenue growth for the two smallest lines — other electrical products, and infrastructure investment (industrial development, logistics, utilities, dry port and independent power projects). Together under 3% of revenue</w:t>
            </w:r>
          </w:p>
        </w:tc>
      </w:tr>
      <w:tr>
        <w:tc>
          <w:tcPr>
            <w:tcW w:type="dxa" w:w="1656"/>
          </w:tcPr>
          <w:p>
            <w:pPr>
              <w:spacing w:after="20"/>
            </w:pPr>
            <w:r>
              <w:rPr>
                <w:color w:val="1C3A36"/>
                <w:sz w:val="15"/>
              </w:rPr>
              <w:t>other gp</w:t>
            </w:r>
          </w:p>
        </w:tc>
        <w:tc>
          <w:tcPr>
            <w:tcW w:type="dxa" w:w="1368"/>
          </w:tcPr>
          <w:p>
            <w:pPr>
              <w:spacing w:after="20"/>
            </w:pPr>
            <w:r>
              <w:rPr>
                <w:color w:val="1C3A36"/>
                <w:sz w:val="15"/>
              </w:rPr>
              <w:t>elecprod: 0.45; infra: 0.6</w:t>
            </w:r>
          </w:p>
        </w:tc>
        <w:tc>
          <w:tcPr>
            <w:tcW w:type="dxa" w:w="1037"/>
          </w:tcPr>
          <w:p>
            <w:pPr>
              <w:spacing w:after="20"/>
            </w:pPr>
            <w:r>
              <w:rPr>
                <w:color w:val="1C3A36"/>
                <w:sz w:val="15"/>
              </w:rPr>
              <w:t>2026-08-05</w:t>
            </w:r>
          </w:p>
        </w:tc>
        <w:tc>
          <w:tcPr>
            <w:tcW w:type="dxa" w:w="6019"/>
          </w:tcPr>
          <w:p>
            <w:pPr>
              <w:spacing w:after="20"/>
            </w:pPr>
            <w:r>
              <w:rPr>
                <w:color w:val="1C3A36"/>
                <w:sz w:val="15"/>
              </w:rPr>
              <w:t>Gross margins on the two residual lines. History: other electrical products 53.9% (FY2023) and 50.7% (FY2024); infrastructure 50.7% and 61.8%. Struck conservatively</w:t>
            </w:r>
          </w:p>
        </w:tc>
      </w:tr>
      <w:tr>
        <w:tc>
          <w:tcPr>
            <w:tcW w:type="dxa" w:w="1656"/>
          </w:tcPr>
          <w:p>
            <w:pPr>
              <w:spacing w:after="20"/>
            </w:pPr>
            <w:r>
              <w:rPr>
                <w:color w:val="1C3A36"/>
                <w:sz w:val="15"/>
              </w:rPr>
              <w:t>opex pct</w:t>
            </w:r>
          </w:p>
        </w:tc>
        <w:tc>
          <w:tcPr>
            <w:tcW w:type="dxa" w:w="1368"/>
          </w:tcPr>
          <w:p>
            <w:pPr>
              <w:spacing w:after="20"/>
            </w:pPr>
            <w:r>
              <w:rPr>
                <w:color w:val="1C3A36"/>
                <w:sz w:val="15"/>
              </w:rPr>
              <w:t>0.04, 0.043, 0.046, 0.048, 0.05</w:t>
            </w:r>
          </w:p>
        </w:tc>
        <w:tc>
          <w:tcPr>
            <w:tcW w:type="dxa" w:w="1037"/>
          </w:tcPr>
          <w:p>
            <w:pPr>
              <w:spacing w:after="20"/>
            </w:pPr>
            <w:r>
              <w:rPr>
                <w:color w:val="1C3A36"/>
                <w:sz w:val="15"/>
              </w:rPr>
              <w:t>2026-08-05</w:t>
            </w:r>
          </w:p>
        </w:tc>
        <w:tc>
          <w:tcPr>
            <w:tcW w:type="dxa" w:w="6019"/>
          </w:tcPr>
          <w:p>
            <w:pPr>
              <w:spacing w:after="20"/>
            </w:pPr>
            <w:r>
              <w:rPr>
                <w:color w:val="1C3A36"/>
                <w:sz w:val="15"/>
              </w:rPr>
              <w:t>The net operating load between gross profit and EBITDA, as a share of revenue — selling, general and administrative costs and other expenses, less other income. History: 5.94% (FY2023) and 5.30% (FY2024). FY2025 solves to a much lower level, so the forecast glides back TOWARD the historical norm rather than assuming the FY2025 load persists. This is the single most conservative choice in the rebuild</w:t>
            </w:r>
          </w:p>
        </w:tc>
      </w:tr>
      <w:tr>
        <w:tc>
          <w:tcPr>
            <w:tcW w:type="dxa" w:w="1656"/>
          </w:tcPr>
          <w:p>
            <w:pPr>
              <w:spacing w:after="20"/>
            </w:pPr>
            <w:r>
              <w:rPr>
                <w:color w:val="1C3A36"/>
                <w:sz w:val="15"/>
              </w:rPr>
              <w:t>nwc pct</w:t>
            </w:r>
          </w:p>
        </w:tc>
        <w:tc>
          <w:tcPr>
            <w:tcW w:type="dxa" w:w="1368"/>
          </w:tcPr>
          <w:p>
            <w:pPr>
              <w:spacing w:after="20"/>
            </w:pPr>
            <w:r>
              <w:rPr>
                <w:color w:val="1C3A36"/>
                <w:sz w:val="15"/>
              </w:rPr>
              <w:t>0.23</w:t>
            </w:r>
          </w:p>
        </w:tc>
        <w:tc>
          <w:tcPr>
            <w:tcW w:type="dxa" w:w="1037"/>
          </w:tcPr>
          <w:p>
            <w:pPr>
              <w:spacing w:after="20"/>
            </w:pPr>
            <w:r>
              <w:rPr>
                <w:color w:val="1C3A36"/>
                <w:sz w:val="15"/>
              </w:rPr>
              <w:t>2026-08-05</w:t>
            </w:r>
          </w:p>
        </w:tc>
        <w:tc>
          <w:tcPr>
            <w:tcW w:type="dxa" w:w="6019"/>
          </w:tcPr>
          <w:p>
            <w:pPr>
              <w:spacing w:after="20"/>
            </w:pPr>
            <w:r>
              <w:rPr>
                <w:color w:val="1C3A36"/>
                <w:sz w:val="15"/>
              </w:rPr>
              <w:t>Net working capital as a share of revenue, held flat at the historical level. Computed from the audited balance sheets: FY2023 24.1% and FY2024 23.1% (inventories + contract assets + receivables less payables less contract liabilities). This is the single largest cash-flow driver in the model</w:t>
            </w:r>
          </w:p>
        </w:tc>
      </w:tr>
      <w:tr>
        <w:tc>
          <w:tcPr>
            <w:tcW w:type="dxa" w:w="1656"/>
          </w:tcPr>
          <w:p>
            <w:pPr>
              <w:spacing w:after="20"/>
            </w:pPr>
            <w:r>
              <w:rPr>
                <w:color w:val="1C3A36"/>
                <w:sz w:val="15"/>
              </w:rPr>
              <w:t>capex pct</w:t>
            </w:r>
          </w:p>
        </w:tc>
        <w:tc>
          <w:tcPr>
            <w:tcW w:type="dxa" w:w="1368"/>
          </w:tcPr>
          <w:p>
            <w:pPr>
              <w:spacing w:after="20"/>
            </w:pPr>
            <w:r>
              <w:rPr>
                <w:color w:val="1C3A36"/>
                <w:sz w:val="15"/>
              </w:rPr>
              <w:t>0.03, 0.029, 0.028, 0.026, 0.024</w:t>
            </w:r>
          </w:p>
        </w:tc>
        <w:tc>
          <w:tcPr>
            <w:tcW w:type="dxa" w:w="1037"/>
          </w:tcPr>
          <w:p>
            <w:pPr>
              <w:spacing w:after="20"/>
            </w:pPr>
            <w:r>
              <w:rPr>
                <w:color w:val="1C3A36"/>
                <w:sz w:val="15"/>
              </w:rPr>
              <w:t>2026-08-05</w:t>
            </w:r>
          </w:p>
        </w:tc>
        <w:tc>
          <w:tcPr>
            <w:tcW w:type="dxa" w:w="6019"/>
          </w:tcPr>
          <w:p>
            <w:pPr>
              <w:spacing w:after="20"/>
            </w:pPr>
            <w:r>
              <w:rPr>
                <w:color w:val="1C3A36"/>
                <w:sz w:val="15"/>
              </w:rPr>
              <w:t>Capex as a share of revenue, tapering. History: FY2023 3.2%, FY2024 3.8% (a capacity burst — property, plant and equipment rose 53% in one year), Q1-2025 4.7% annualised. The taper assumes the current expansion cycle completes and spending settles toward maintenance plus modest capacity addition</w:t>
            </w:r>
          </w:p>
        </w:tc>
      </w:tr>
      <w:tr>
        <w:tc>
          <w:tcPr>
            <w:tcW w:type="dxa" w:w="1656"/>
          </w:tcPr>
          <w:p>
            <w:pPr>
              <w:spacing w:after="20"/>
            </w:pPr>
            <w:r>
              <w:rPr>
                <w:color w:val="1C3A36"/>
                <w:sz w:val="15"/>
              </w:rPr>
              <w:t>dna pct</w:t>
            </w:r>
          </w:p>
        </w:tc>
        <w:tc>
          <w:tcPr>
            <w:tcW w:type="dxa" w:w="1368"/>
          </w:tcPr>
          <w:p>
            <w:pPr>
              <w:spacing w:after="20"/>
            </w:pPr>
            <w:r>
              <w:rPr>
                <w:color w:val="1C3A36"/>
                <w:sz w:val="15"/>
              </w:rPr>
              <w:t>0.0105</w:t>
            </w:r>
          </w:p>
        </w:tc>
        <w:tc>
          <w:tcPr>
            <w:tcW w:type="dxa" w:w="1037"/>
          </w:tcPr>
          <w:p>
            <w:pPr>
              <w:spacing w:after="20"/>
            </w:pPr>
            <w:r>
              <w:rPr>
                <w:color w:val="1C3A36"/>
                <w:sz w:val="15"/>
              </w:rPr>
              <w:t>2026-08-05</w:t>
            </w:r>
          </w:p>
        </w:tc>
        <w:tc>
          <w:tcPr>
            <w:tcW w:type="dxa" w:w="6019"/>
          </w:tcPr>
          <w:p>
            <w:pPr>
              <w:spacing w:after="20"/>
            </w:pPr>
            <w:r>
              <w:rPr>
                <w:color w:val="1C3A36"/>
                <w:sz w:val="15"/>
              </w:rPr>
              <w:t>Depreciation and amortisation as a share of revenue. History: FY2024 0.97%, Q1-2025 1.15%; set at 1.05% rising with the enlarged asset base</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037"/>
          </w:tcPr>
          <w:p>
            <w:pPr>
              <w:spacing w:after="20"/>
            </w:pPr>
            <w:r>
              <w:rPr>
                <w:color w:val="1C3A36"/>
                <w:sz w:val="15"/>
              </w:rPr>
              <w:t>2026-08-05</w:t>
            </w:r>
          </w:p>
        </w:tc>
        <w:tc>
          <w:tcPr>
            <w:tcW w:type="dxa" w:w="6019"/>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1.009</w:t>
            </w:r>
          </w:p>
        </w:tc>
        <w:tc>
          <w:tcPr>
            <w:tcW w:type="dxa" w:w="1037"/>
          </w:tcPr>
          <w:p>
            <w:pPr>
              <w:spacing w:after="20"/>
            </w:pPr>
            <w:r>
              <w:rPr>
                <w:color w:val="1C3A36"/>
                <w:sz w:val="15"/>
              </w:rPr>
              <w:t>2026-08-05</w:t>
            </w:r>
          </w:p>
        </w:tc>
        <w:tc>
          <w:tcPr>
            <w:tcW w:type="dxa" w:w="6019"/>
          </w:tcPr>
          <w:p>
            <w:pPr>
              <w:spacing w:after="20"/>
            </w:pPr>
            <w:r>
              <w:rPr>
                <w:color w:val="1C3A36"/>
                <w:sz w:val="15"/>
              </w:rPr>
              <w:t>Own-stock tier-1 regression: SWDY weekly log-returns against a 31-name equal-weight EGX composite built from the full covered library, 5-year window. R-squared 0.291, n = 258, standard error 0.098, 90% confidence interval [0.85, 1.17]. Comfortably clears the usability gate and is NOT weak-instrument flagged (R-squared well above 10%, interval span 0.32 against a 1.009 point estimate)</w:t>
            </w:r>
          </w:p>
        </w:tc>
      </w:tr>
      <w:tr>
        <w:tc>
          <w:tcPr>
            <w:tcW w:type="dxa" w:w="1656"/>
          </w:tcPr>
          <w:p>
            <w:pPr>
              <w:spacing w:after="20"/>
            </w:pPr>
            <w:r>
              <w:rPr>
                <w:color w:val="1C3A36"/>
                <w:sz w:val="15"/>
              </w:rPr>
              <w:t>kd</w:t>
            </w:r>
          </w:p>
        </w:tc>
        <w:tc>
          <w:tcPr>
            <w:tcW w:type="dxa" w:w="1368"/>
          </w:tcPr>
          <w:p>
            <w:pPr>
              <w:spacing w:after="20"/>
            </w:pPr>
            <w:r>
              <w:rPr>
                <w:color w:val="1C3A36"/>
                <w:sz w:val="15"/>
              </w:rPr>
              <w:t>0.13</w:t>
            </w:r>
          </w:p>
        </w:tc>
        <w:tc>
          <w:tcPr>
            <w:tcW w:type="dxa" w:w="1037"/>
          </w:tcPr>
          <w:p>
            <w:pPr>
              <w:spacing w:after="20"/>
            </w:pPr>
            <w:r>
              <w:rPr>
                <w:color w:val="1C3A36"/>
                <w:sz w:val="15"/>
              </w:rPr>
              <w:t>2026-08-05</w:t>
            </w:r>
          </w:p>
        </w:tc>
        <w:tc>
          <w:tcPr>
            <w:tcW w:type="dxa" w:w="6019"/>
          </w:tcPr>
          <w:p>
            <w:pPr>
              <w:spacing w:after="20"/>
            </w:pPr>
            <w:r>
              <w:rPr>
                <w:color w:val="1C3A36"/>
                <w:sz w:val="15"/>
              </w:rPr>
              <w:t>Marginal cost of debt, CURRENCY-BLENDED. The audited FY2024 interest-rate note discloses average rates on financial liabilities of 28.68% in Egyptian pounds, 6.49% in US dollars and 3.92% in euros, and Note 32 confirms 28.6% / 6.45% / 7.45%. The blended rate the company actually pays is far below the Egyptian rate because a majority of the book is hard currency. Set at 13.0% against the independently computed effective rates below, allowing for the CBE's easing since the FY2024 note</w:t>
            </w:r>
          </w:p>
        </w:tc>
      </w:tr>
      <w:tr>
        <w:tc>
          <w:tcPr>
            <w:tcW w:type="dxa" w:w="1656"/>
          </w:tcPr>
          <w:p>
            <w:pPr>
              <w:spacing w:after="20"/>
            </w:pPr>
            <w:r>
              <w:rPr>
                <w:color w:val="1C3A36"/>
                <w:sz w:val="15"/>
              </w:rPr>
              <w:t>kd path</w:t>
            </w:r>
          </w:p>
        </w:tc>
        <w:tc>
          <w:tcPr>
            <w:tcW w:type="dxa" w:w="1368"/>
          </w:tcPr>
          <w:p>
            <w:pPr>
              <w:spacing w:after="20"/>
            </w:pPr>
            <w:r>
              <w:rPr>
                <w:color w:val="1C3A36"/>
                <w:sz w:val="15"/>
              </w:rPr>
              <w:t>0.13, 0.122, 0.115, 0.11, 0.106</w:t>
            </w:r>
          </w:p>
        </w:tc>
        <w:tc>
          <w:tcPr>
            <w:tcW w:type="dxa" w:w="1037"/>
          </w:tcPr>
          <w:p>
            <w:pPr>
              <w:spacing w:after="20"/>
            </w:pPr>
            <w:r>
              <w:rPr>
                <w:color w:val="1C3A36"/>
                <w:sz w:val="15"/>
              </w:rPr>
              <w:t>2026-08-05</w:t>
            </w:r>
          </w:p>
        </w:tc>
        <w:tc>
          <w:tcPr>
            <w:tcW w:type="dxa" w:w="6019"/>
          </w:tcPr>
          <w:p>
            <w:pPr>
              <w:spacing w:after="20"/>
            </w:pPr>
            <w:r>
              <w:rPr>
                <w:color w:val="1C3A36"/>
                <w:sz w:val="15"/>
              </w:rPr>
              <w:t>Forward cost-of-debt path FY26E-FY30E on the blended book. The Egyptian leg follows the CBE easing cycle (main operation rate 19.50%, held since April 2026 after three consecutive pauses) toward the 7% (2026) and 5% (2028) inflation targets; the hard-currency leg is broadly flat.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blended cost of debt: ~45% Egyptian pound at the 15% long-run Egyptian corporate-borrowing norm and ~55% hard currency at ~6.5%</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risk-free rate, norm-built: the CBE's own stated medium-term inflation target of 5% plus the standard ~5.5pp emerging-market real-rate convention.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037"/>
          </w:tcPr>
          <w:p>
            <w:pPr>
              <w:spacing w:after="20"/>
            </w:pPr>
            <w:r>
              <w:rPr>
                <w:color w:val="1C3A36"/>
                <w:sz w:val="15"/>
              </w:rPr>
              <w:t>2026-08-05</w:t>
            </w:r>
          </w:p>
        </w:tc>
        <w:tc>
          <w:tcPr>
            <w:tcW w:type="dxa" w:w="6019"/>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Terminal debt weight D/(D+E), NORMALISED rather than today's weights. The company runs a gross debt book sized to fund working capital but carries very large offsetting cash, so its net leverage is light; 25% is the steady-state structure for a diversified industrial of this scale</w:t>
            </w:r>
          </w:p>
        </w:tc>
      </w:tr>
      <w:tr>
        <w:tc>
          <w:tcPr>
            <w:tcW w:type="dxa" w:w="1656"/>
          </w:tcPr>
          <w:p>
            <w:pPr>
              <w:spacing w:after="20"/>
            </w:pPr>
            <w:r>
              <w:rPr>
                <w:color w:val="1C3A36"/>
                <w:sz w:val="15"/>
              </w:rPr>
              <w:t>g term</w:t>
            </w:r>
          </w:p>
        </w:tc>
        <w:tc>
          <w:tcPr>
            <w:tcW w:type="dxa" w:w="1368"/>
          </w:tcPr>
          <w:p>
            <w:pPr>
              <w:spacing w:after="20"/>
            </w:pPr>
            <w:r>
              <w:rPr>
                <w:color w:val="1C3A36"/>
                <w:sz w:val="15"/>
              </w:rPr>
              <w:t>0.05</w:t>
            </w:r>
          </w:p>
        </w:tc>
        <w:tc>
          <w:tcPr>
            <w:tcW w:type="dxa" w:w="1037"/>
          </w:tcPr>
          <w:p>
            <w:pPr>
              <w:spacing w:after="20"/>
            </w:pPr>
            <w:r>
              <w:rPr>
                <w:color w:val="1C3A36"/>
                <w:sz w:val="15"/>
              </w:rPr>
              <w:t>2026-08-05</w:t>
            </w:r>
          </w:p>
        </w:tc>
        <w:tc>
          <w:tcPr>
            <w:tcW w:type="dxa" w:w="6019"/>
          </w:tcPr>
          <w:p>
            <w:pPr>
              <w:spacing w:after="20"/>
            </w:pPr>
            <w:r>
              <w:rPr>
                <w:color w:val="1C3A36"/>
                <w:sz w:val="15"/>
              </w:rPr>
              <w:t>Terminal growth, 5% — the standing centre for established names in this market post-disinflation, sensitised 3-7%. Note this is an EGP-NOMINAL rate struck against a terminal risk-free rate that itself embeds 5% inflation, so the base case assumes approximately zero real terminal growth: a deliberate conservatism for a company whose revenue is majority hard-currency</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037"/>
          </w:tcPr>
          <w:p>
            <w:pPr>
              <w:spacing w:after="20"/>
            </w:pPr>
            <w:r>
              <w:rPr>
                <w:color w:val="1C3A36"/>
                <w:sz w:val="15"/>
              </w:rPr>
              <w:t>2026-08-05</w:t>
            </w:r>
          </w:p>
        </w:tc>
        <w:tc>
          <w:tcPr>
            <w:tcW w:type="dxa" w:w="6019"/>
          </w:tcPr>
          <w:p>
            <w:pPr>
              <w:spacing w:after="20"/>
            </w:pPr>
            <w:r>
              <w:rPr>
                <w:color w:val="1C3A36"/>
                <w:sz w:val="15"/>
              </w:rPr>
              <w:t>Justified EV/EBITDA on mid-cycle FY27E EBITDA. The company's own trailing multiple is ~7.9x;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037"/>
          </w:tcPr>
          <w:p>
            <w:pPr>
              <w:spacing w:after="20"/>
            </w:pPr>
            <w:r>
              <w:rPr>
                <w:color w:val="1C3A36"/>
                <w:sz w:val="15"/>
              </w:rPr>
              <w:t>2026-08-05</w:t>
            </w:r>
          </w:p>
        </w:tc>
        <w:tc>
          <w:tcPr>
            <w:tcW w:type="dxa" w:w="6019"/>
          </w:tcPr>
          <w:p>
            <w:pPr>
              <w:spacing w:after="20"/>
            </w:pPr>
            <w:r>
              <w:rPr>
                <w:color w:val="1C3A36"/>
                <w:sz w:val="15"/>
              </w:rPr>
              <w:t>Justified through-cycle P/E on normalised earnings. Trailing is ~13.0x.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037"/>
          </w:tcPr>
          <w:p>
            <w:pPr>
              <w:spacing w:after="20"/>
            </w:pPr>
            <w:r>
              <w:rPr>
                <w:color w:val="1C3A36"/>
                <w:sz w:val="15"/>
              </w:rPr>
              <w:t>2026-08-05</w:t>
            </w:r>
          </w:p>
        </w:tc>
        <w:tc>
          <w:tcPr>
            <w:tcW w:type="dxa" w:w="6019"/>
          </w:tcPr>
          <w:p>
            <w:pPr>
              <w:spacing w:after="20"/>
            </w:pPr>
            <w:r>
              <w:rPr>
                <w:color w:val="1C3A36"/>
                <w:sz w:val="15"/>
              </w:rPr>
              <w:t>Sustainable return on equity for the book lens. Trailing ROE is ~27.5% on average parent equity;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037"/>
          </w:tcPr>
          <w:p>
            <w:pPr>
              <w:spacing w:after="20"/>
            </w:pPr>
            <w:r>
              <w:rPr>
                <w:color w:val="1C3A36"/>
                <w:sz w:val="15"/>
              </w:rPr>
              <w:t>2026-08-05</w:t>
            </w:r>
          </w:p>
        </w:tc>
        <w:tc>
          <w:tcPr>
            <w:tcW w:type="dxa" w:w="6019"/>
          </w:tcPr>
          <w:p>
            <w:pPr>
              <w:spacing w:after="20"/>
            </w:pPr>
            <w:r>
              <w:rPr>
                <w:color w:val="1C3A36"/>
                <w:sz w:val="15"/>
              </w:rPr>
              <w:t>DCF primary for an operating manufacturer with a long,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flat at the historical share of revenue</w:t>
            </w:r>
          </w:p>
        </w:tc>
        <w:tc>
          <w:tcPr>
            <w:tcW w:type="dxa" w:w="2520"/>
          </w:tcPr>
          <w:p>
            <w:pPr>
              <w:spacing w:after="20"/>
            </w:pPr>
            <w:r>
              <w:rPr>
                <w:color w:val="1C3A36"/>
                <w:sz w:val="15"/>
              </w:rPr>
              <w:t>Net working capital stays near the level the two audited years show</w:t>
            </w:r>
          </w:p>
        </w:tc>
        <w:tc>
          <w:tcPr>
            <w:tcW w:type="dxa" w:w="2952"/>
          </w:tcPr>
          <w:p>
            <w:pPr>
              <w:spacing w:after="20"/>
            </w:pPr>
            <w:r>
              <w:rPr>
                <w:color w:val="1C3A36"/>
                <w:sz w:val="15"/>
              </w:rPr>
              <w:t>Two audited years show it rising with revenue rather than converting</w:t>
            </w:r>
          </w:p>
        </w:tc>
        <w:tc>
          <w:tcPr>
            <w:tcW w:type="dxa" w:w="2664"/>
          </w:tcPr>
          <w:p>
            <w:pPr>
              <w:spacing w:after="20"/>
            </w:pPr>
            <w:r>
              <w:rPr>
                <w:color w:val="1C3A36"/>
                <w:sz w:val="15"/>
              </w:rPr>
              <w:t>Two consecutive halves of operating cash flow above 60% of EBITDA</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25% for NOPAT</w:t>
            </w:r>
          </w:p>
        </w:tc>
        <w:tc>
          <w:tcPr>
            <w:tcW w:type="dxa" w:w="2520"/>
          </w:tcPr>
          <w:p>
            <w:pPr>
              <w:spacing w:after="20"/>
            </w:pPr>
            <w:r>
              <w:rPr>
                <w:color w:val="1C3A36"/>
                <w:sz w:val="15"/>
              </w:rPr>
              <w:t>Above the Egyptian statutory rate</w:t>
            </w:r>
          </w:p>
        </w:tc>
        <w:tc>
          <w:tcPr>
            <w:tcW w:type="dxa" w:w="2952"/>
          </w:tcPr>
          <w:p>
            <w:pPr>
              <w:spacing w:after="20"/>
            </w:pPr>
            <w:r>
              <w:rPr>
                <w:color w:val="1C3A36"/>
                <w:sz w:val="15"/>
              </w:rPr>
              <w:t>Reported effective rates ran above statutory in every historical year because foreign profits are taxed elsewhere</w:t>
            </w:r>
          </w:p>
        </w:tc>
        <w:tc>
          <w:tcPr>
            <w:tcW w:type="dxa" w:w="2664"/>
          </w:tcPr>
          <w:p>
            <w:pPr>
              <w:spacing w:after="20"/>
            </w:pPr>
            <w:r>
              <w:rPr>
                <w:color w:val="1C3A36"/>
                <w:sz w:val="15"/>
              </w:rPr>
              <w:t>The audited FY2025 tax note</w:t>
            </w:r>
          </w:p>
        </w:tc>
      </w:tr>
      <w:tr>
        <w:tc>
          <w:tcPr>
            <w:tcW w:type="dxa" w:w="1944"/>
          </w:tcPr>
          <w:p>
            <w:pPr>
              <w:spacing w:after="20"/>
            </w:pPr>
            <w:r>
              <w:rPr>
                <w:color w:val="1C3A36"/>
                <w:sz w:val="15"/>
              </w:rPr>
              <w:t>FY2025 income statement closed to reported profit</w:t>
            </w:r>
          </w:p>
        </w:tc>
        <w:tc>
          <w:tcPr>
            <w:tcW w:type="dxa" w:w="2520"/>
          </w:tcPr>
          <w:p>
            <w:pPr>
              <w:spacing w:after="20"/>
            </w:pPr>
            <w:r>
              <w:rPr>
                <w:color w:val="1C3A36"/>
                <w:sz w:val="15"/>
              </w:rPr>
              <w:t>EBITDA set at the disclosed margin; the tax rate closes the account</w:t>
            </w:r>
          </w:p>
        </w:tc>
        <w:tc>
          <w:tcPr>
            <w:tcW w:type="dxa" w:w="2952"/>
          </w:tcPr>
          <w:p>
            <w:pPr>
              <w:spacing w:after="20"/>
            </w:pPr>
            <w:r>
              <w:rPr>
                <w:color w:val="1C3A36"/>
                <w:sz w:val="15"/>
              </w:rPr>
              <w:t>Only the top and bottom lines were disclosed for FY2025</w:t>
            </w:r>
          </w:p>
        </w:tc>
        <w:tc>
          <w:tcPr>
            <w:tcW w:type="dxa" w:w="2664"/>
          </w:tcPr>
          <w:p>
            <w:pPr>
              <w:spacing w:after="20"/>
            </w:pPr>
            <w:r>
              <w:rPr>
                <w:color w:val="1C3A36"/>
                <w:sz w:val="15"/>
              </w:rPr>
              <w:t>The audited FY2025 consolidated statements</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because an unsourced gap that is not disclosed becomes an invisible assumption.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Audited consolidated financial statements for FY2025</w:t>
            </w:r>
          </w:p>
        </w:tc>
        <w:tc>
          <w:tcPr>
            <w:tcW w:type="dxa" w:w="3384"/>
          </w:tcPr>
          <w:p>
            <w:pPr>
              <w:spacing w:after="20"/>
            </w:pPr>
            <w:r>
              <w:rPr>
                <w:color w:val="1C3A36"/>
                <w:sz w:val="15"/>
              </w:rPr>
              <w:t>Not reachable. The company's investor-relations site and the exchange's filing archive were both unreachable from the research environment; the company's document repository was reachable but its contents stop at the first quarter of 2025</w:t>
            </w:r>
          </w:p>
        </w:tc>
        <w:tc>
          <w:tcPr>
            <w:tcW w:type="dxa" w:w="4464"/>
          </w:tcPr>
          <w:p>
            <w:pPr>
              <w:spacing w:after="20"/>
            </w:pPr>
            <w:r>
              <w:rPr>
                <w:color w:val="1C3A36"/>
                <w:sz w:val="15"/>
              </w:rPr>
              <w:t>FY2025 was built from the disclosed headline figures reported by financial press covering the exchange filing, cross-checked against each other and against the quarterly path. Every derived line is labelled in the study and in the register above</w:t>
            </w:r>
          </w:p>
        </w:tc>
      </w:tr>
      <w:tr>
        <w:tc>
          <w:tcPr>
            <w:tcW w:type="dxa" w:w="2232"/>
          </w:tcPr>
          <w:p>
            <w:pPr>
              <w:spacing w:after="20"/>
            </w:pPr>
            <w:r>
              <w:rPr>
                <w:color w:val="1C3A36"/>
                <w:sz w:val="15"/>
              </w:rPr>
              <w:t>The Q4 2025 and Q1 2026 earnings releases in full</w:t>
            </w:r>
          </w:p>
        </w:tc>
        <w:tc>
          <w:tcPr>
            <w:tcW w:type="dxa" w:w="3384"/>
          </w:tcPr>
          <w:p>
            <w:pPr>
              <w:spacing w:after="20"/>
            </w:pPr>
            <w:r>
              <w:rPr>
                <w:color w:val="1C3A36"/>
                <w:sz w:val="15"/>
              </w:rPr>
              <w:t>Located but not retrievable; the hosting domains were unreachable</w:t>
            </w:r>
          </w:p>
        </w:tc>
        <w:tc>
          <w:tcPr>
            <w:tcW w:type="dxa" w:w="4464"/>
          </w:tcPr>
          <w:p>
            <w:pPr>
              <w:spacing w:after="20"/>
            </w:pPr>
            <w:r>
              <w:rPr>
                <w:color w:val="1C3A36"/>
                <w:sz w:val="15"/>
              </w:rPr>
              <w:t>Headline figures were taken from press coverage of the filings. Segment detail for FY2025 and Q1 2026 does not exist in the study as a result — segment shares are apportioned from company commentary and the last fully disclosed segment table</w:t>
            </w:r>
          </w:p>
        </w:tc>
      </w:tr>
      <w:tr>
        <w:tc>
          <w:tcPr>
            <w:tcW w:type="dxa" w:w="2232"/>
          </w:tcPr>
          <w:p>
            <w:pPr>
              <w:spacing w:after="20"/>
            </w:pPr>
            <w:r>
              <w:rPr>
                <w:color w:val="1C3A36"/>
                <w:sz w:val="15"/>
              </w:rPr>
              <w:t>FY2025 balance sheet beyond total assets and net bank debt</w:t>
            </w:r>
          </w:p>
        </w:tc>
        <w:tc>
          <w:tcPr>
            <w:tcW w:type="dxa" w:w="3384"/>
          </w:tcPr>
          <w:p>
            <w:pPr>
              <w:spacing w:after="20"/>
            </w:pPr>
            <w:r>
              <w:rPr>
                <w:color w:val="1C3A36"/>
                <w:sz w:val="15"/>
              </w:rPr>
              <w:t>Not disclosed in any reachable source</w:t>
            </w:r>
          </w:p>
        </w:tc>
        <w:tc>
          <w:tcPr>
            <w:tcW w:type="dxa" w:w="4464"/>
          </w:tcPr>
          <w:p>
            <w:pPr>
              <w:spacing w:after="20"/>
            </w:pPr>
            <w:r>
              <w:rPr>
                <w:color w:val="1C3A36"/>
                <w:sz w:val="15"/>
              </w:rPr>
              <w:t>Triangulated by three independent methods; the spread is shown in the study and only the disclosed net debt enters the valuation bridge</w:t>
            </w:r>
          </w:p>
        </w:tc>
      </w:tr>
      <w:tr>
        <w:tc>
          <w:tcPr>
            <w:tcW w:type="dxa" w:w="2232"/>
          </w:tcPr>
          <w:p>
            <w:pPr>
              <w:spacing w:after="20"/>
            </w:pPr>
            <w:r>
              <w:rPr>
                <w:color w:val="1C3A36"/>
                <w:sz w:val="15"/>
              </w:rPr>
              <w:t>A facility-by-facility currency split of the debt book</w:t>
            </w:r>
          </w:p>
        </w:tc>
        <w:tc>
          <w:tcPr>
            <w:tcW w:type="dxa" w:w="3384"/>
          </w:tcPr>
          <w:p>
            <w:pPr>
              <w:spacing w:after="20"/>
            </w:pPr>
            <w:r>
              <w:rPr>
                <w:color w:val="1C3A36"/>
                <w:sz w:val="15"/>
              </w:rPr>
              <w:t>Not disclosed at that granularity</w:t>
            </w:r>
          </w:p>
        </w:tc>
        <w:tc>
          <w:tcPr>
            <w:tcW w:type="dxa" w:w="4464"/>
          </w:tcPr>
          <w:p>
            <w:pPr>
              <w:spacing w:after="20"/>
            </w:pPr>
            <w:r>
              <w:rPr>
                <w:color w:val="1C3A36"/>
                <w:sz w:val="15"/>
              </w:rPr>
              <w:t>The split was inferred from the disclosed average rates by currency and the independently computed blended effective rate, and is labelled as inferred</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data</w:t>
      </w:r>
    </w:p>
    <w:p>
      <w:pPr>
        <w:spacing w:after="100" w:before="0"/>
      </w:pPr>
      <w:r>
        <w:rPr>
          <w:b w:val="0"/>
          <w:i w:val="0"/>
          <w:color w:val="1C3A36"/>
          <w:sz w:val="20"/>
        </w:rPr>
        <w:t>Aggregator and data-vendor figures were used only where a company source was unavailable, and they were checked against the company's own disclosures wherever both existed. One material discrepancy was found and is recorded here: a widely syndicated "FY2025" balance sheet — total assets, total equity, total debt and cash — reproduces the company's audited 31 December 2024 figures exactly, one year stale. It was discarded. The FY2025 balance-sheet figures used in this study are the disclosed total assets and net bank debt, plus the triangulation described above.</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