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keepNext/>
        <w:spacing w:after="80" w:before="200"/>
      </w:pPr>
      <w:r>
        <w:rPr>
          <w:b/>
          <w:i w:val="0"/>
          <w:color w:val="1C3A36"/>
          <w:sz w:val="24"/>
        </w:rPr>
        <w:t>Independent Valuation Study — Educational Analysis</w:t>
      </w:r>
    </w:p>
    <w:p>
      <w:pPr>
        <w:keepNext/>
        <w:spacing w:after="120" w:before="280"/>
      </w:pPr>
      <w:r>
        <w:rPr>
          <w:b/>
          <w:i w:val="0"/>
          <w:color w:val="1C3A36"/>
          <w:sz w:val="30"/>
        </w:rPr>
        <w:t>ADNOC Logistics &amp; Services plc (ADX: ADNOCLS)</w:t>
      </w:r>
    </w:p>
    <w:p>
      <w:pPr>
        <w:spacing w:after="120" w:before="0"/>
      </w:pPr>
      <w:r>
        <w:rPr>
          <w:b w:val="0"/>
          <w:i w:val="0"/>
          <w:color w:val="6E7B77"/>
          <w:sz w:val="20"/>
        </w:rPr>
        <w:t>Marine logistics and shipping group — integrated logistics, shipping and services · Abu Dhabi Securities Exchange · reports in US dollars, trades in UAE dirhams · analysis anchored on the closing price of AED 6.16 on 2026-08-07, with the cash-flow model built at 2026-03-31.</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credit opinion on the shares and no forecast of where the price will go. What it contains is a fair-value range built from the company's own audited and reviewed financial statements, a sourced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Two currencies, one company. </w:t>
            </w:r>
            <w:r>
              <w:rPr>
                <w:color w:val="1C3A36"/>
                <w:sz w:val="19"/>
              </w:rPr>
              <w:t>The company reports in US dollars and its shares trade in UAE dirhams. Every number in this study is built in dollars, and converted to dirhams only at the final per-share line, at the fixed parity of 3.6725 dirhams to the dollar that the Central Bank of the UAE has maintained since 1997. Amounts are in US dollars unless a dirham sign says otherwise; per-share figures are in dirhams so that they can be compared with the screen.</w:t>
            </w:r>
          </w:p>
          <w:p>
            <w:pPr>
              <w:spacing w:after="100"/>
            </w:pPr>
            <w:r>
              <w:rPr>
                <w:b/>
                <w:color w:val="1C3A36"/>
                <w:sz w:val="19"/>
              </w:rPr>
              <w:t xml:space="preserve">How the market is measured, and it is published both ways. </w:t>
            </w:r>
            <w:r>
              <w:rPr>
                <w:color w:val="1C3A36"/>
                <w:sz w:val="19"/>
              </w:rPr>
              <w:t>The cost of equity here rests on a beta of 1.085, measured by regressing the share's own weekly returns on the published index of its own exchange — the FTSE ADX General Index. That is the index the share is listed against, and it is the right yardstick. An earlier construction of this study measured the market instead as an equal-weight composite of the same exchange's names and obtained 0.705. The difference is a property of index construction rather than of the company: the published index is weighted by size and is dominated by the same large-capitalisation group this share belongs to, while an equal-weight composite gives the exchange's smallest names the same say as its largest. On the published index the cash-flow model gives AED 6.03 a share; on the composite, AED 8.59. The first is adopted. Both are computed in full, both appear side by side in every table that matters, and they are never averaged into a single number.</w:t>
            </w:r>
          </w:p>
          <w:p>
            <w:pPr>
              <w:spacing w:after="100"/>
            </w:pPr>
            <w:r>
              <w:rPr>
                <w:b/>
                <w:color w:val="1C3A36"/>
                <w:sz w:val="19"/>
              </w:rPr>
              <w:t xml:space="preserve">This is a corrected edition, and the corrections are listed. </w:t>
            </w:r>
            <w:r>
              <w:rPr>
                <w:color w:val="1C3A36"/>
                <w:sz w:val="19"/>
              </w:rPr>
              <w:t>An earlier edition of this study was sent out for review, and four independent readers came back with findings. Five were substantive enough to change the answer and all five have been acted on: the tanker fleet is now built vessel by vessel, the cost of capital now charges for every kind of capital the company actually uses, the earnings of the joint ventures are no longer counted twice, the asset lens has been rebuilt on a method this company's distribution policy does not break, and earnings per share is now struck after the coupon on securities that rank ahead of the ordinary shares. Two of those moved the value up and three moved it down. The section headed “What changed in this edition, and why”, immediately after the caveats, sets out every one of them with its direction and its size. A study that has been corrected and does not say so is worse than one that was right the first time.</w:t>
            </w:r>
          </w:p>
        </w:tc>
      </w:tr>
    </w:tbl>
    <w:p>
      <w:pPr>
        <w:spacing w:after="40"/>
      </w:pPr>
    </w:p>
    <w:p>
      <w:pPr>
        <w:keepNext/>
        <w:spacing w:after="80" w:before="200"/>
      </w:pPr>
      <w:r>
        <w:rPr>
          <w:b/>
          <w:i w:val="0"/>
          <w:color w:val="1C3A36"/>
          <w:sz w:val="24"/>
        </w:rPr>
        <w:t>Headline</w:t>
      </w:r>
    </w:p>
    <w:p>
      <w:pPr>
        <w:spacing w:after="120" w:before="0"/>
      </w:pPr>
      <w:r>
        <w:rPr>
          <w:b w:val="0"/>
          <w:i w:val="0"/>
          <w:color w:val="1C3A36"/>
          <w:sz w:val="21"/>
        </w:rPr>
        <w:t>ADNOC Logistics &amp; Services is the marine logistics and shipping arm of the Abu Dhabi National Oil Company, listed on the Abu Dhabi Securities Exchange since June 2023. It runs three disclosed business units. Integrated Logistics — offshore contracting, offshore services and offshore projects — owns 33 jack-up barges and 40 offshore support vessels and works almost entirely for the parent group. Shipping owns 52 tankers, 20 gas carriers and a dry-bulk and container fleet. Services runs petroleum ports, bunkering and onshore logistics. Revenue was USD 5,016 million in FY2025, compounding +35% a year over the two years from FY2023, and the group earned USD 1,469 million before interest, tax, depreciation and amortisation.</w:t>
      </w:r>
    </w:p>
    <w:p>
      <w:pPr>
        <w:spacing w:after="120" w:before="0"/>
      </w:pPr>
      <w:r>
        <w:rPr>
          <w:b w:val="0"/>
          <w:i w:val="0"/>
          <w:color w:val="1C3A36"/>
          <w:sz w:val="21"/>
        </w:rPr>
        <w:t>The two halves of the business behave completely differently, and averaging them is the main way this company gets mis-valued. About 53% of 2026E revenue is already contracted with the parent group, against a long-term contracted revenue backlog of roughly USD 25.0 billion. The other half is a merchant fleet: 56 vessels across the group trade at spot rates, and the company discloses that a change of USD 1,000 a day in what they earn moves group earnings by about USD 20 million a year. On the company's own disclosure 31% of 2026E earnings sits on spot rates, falling to 23% by 2029E as contracted gas and logistics capacity comes in.</w:t>
      </w:r>
    </w:p>
    <w:p>
      <w:pPr>
        <w:spacing w:after="120" w:before="0"/>
      </w:pPr>
      <w:r>
        <w:rPr>
          <w:b w:val="0"/>
          <w:i w:val="0"/>
          <w:color w:val="1C3A36"/>
          <w:sz w:val="21"/>
        </w:rPr>
        <w:t>That merchant half is having an extraordinary year, and reading how extraordinary takes one step of care. The company publishes a single rate per vessel class per quarter, and that rate is a blend: it averages the vessels trading in the open market together with the vessels already fixed on charters out at rates agreed months or years earlier. Asked about the figure for the largest class on the first-quarter call, the chief financial officer said it “was related to our full fleet of 8, and it includes all the vessels on long-term charter as well … it's a blended rate that we give there, which is obviously less than the spot rate.” So the published figure understates what an uncommitted vessel earns, by exactly the drag of the vessels inside it that are not free to earn it. Very large crude carriers earned a published average of USD 52,466 a day across FY2025; the published figure was USD 145,000 for the first quarter of 2026 and USD 260,000 was indicated for the second. Strip out the 4 of 8 vessels in that class already on charter out, each at its own disclosed rate, and the rate the remaining vessels must have earned in the first quarter is USD 199,838 a day. The long-range classes moved the same way. The first quarter as a whole showed revenue of USD 1,083 million (-8% year on year, because low-margin chartered-in trading fell away), earnings before interest, tax, depreciation and amortisation of USD 368 million (+7%) and attributable profit of USD 203 million (+12%). Whether those rates hold is the whole valuation.</w:t>
      </w:r>
    </w:p>
    <w:p>
      <w:pPr>
        <w:spacing w:after="120" w:before="0"/>
      </w:pPr>
      <w:r>
        <w:rPr>
          <w:b w:val="0"/>
          <w:i w:val="0"/>
          <w:color w:val="1C3A36"/>
          <w:sz w:val="21"/>
        </w:rPr>
        <w:t>This study says they do not hold, and prices the fleet reverting over five years to the average of what it earned in FY2024 and FY2025. That is a judgement, and section 1.7 sets out the outside evidence for it. On that base the four lenses centre at AED 6.58 against a market price of 6.16 — 7% above the market price. The cash-flow lens on its own lands at AED 6.03, 2% below the market price. The honest conclusion is that this share is close to fairly priced on the evidence assembled here, not materially cheap.</w:t>
      </w:r>
    </w:p>
    <w:p>
      <w:pPr>
        <w:spacing w:after="200" w:before="0"/>
      </w:pPr>
      <w:r>
        <w:rPr>
          <w:b w:val="0"/>
          <w:i w:val="0"/>
          <w:color w:val="1C3A36"/>
          <w:sz w:val="21"/>
        </w:rPr>
        <w:t>The reason that conclusion is stronger than it looks rests on the discount rate. Measured against the published index of its own exchange, this share's beta is 1.085 — it moves with the market, near enough one for one, on 161 weekly observations. The economic prior for an asset-heavy fleet owner is that it carries the risk of the market its ships trade in whoever signs the charter, and that prior is now confirmed by the regression rather than contradicted by it. The two views have converged, which they had not done when the market was measured a different way: an equal-weight composite of the same exchange's names gives 0.705 and lifts the cash-flow lens to AED 8.59. That construction is published beside the adopted one throughout, because a gap of AED 2.56 a share that turns on how an index is weighted is something a reader is entitled to see rather than a detail to bury. What remains genuinely open is not the discount rate but where tanker rates settle after 2026, which is section 1.7.</w:t>
      </w:r>
    </w:p>
    <w:p>
      <w:pPr>
        <w:keepNext/>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4118"/>
        <w:gridCol w:w="1526"/>
        <w:gridCol w:w="1181"/>
        <w:gridCol w:w="1210"/>
      </w:tblGrid>
      <w:tr>
        <w:trPr>
          <w:cantSplit/>
          <w:tblHeader/>
        </w:trPr>
        <w:tc>
          <w:tcPr>
            <w:tcW w:type="dxa" w:w="2045"/>
            <w:shd w:val="clear" w:color="auto" w:fill="EAF0EE"/>
          </w:tcPr>
          <w:p>
            <w:pPr>
              <w:spacing w:after="20"/>
            </w:pPr>
            <w:r>
              <w:rPr>
                <w:b/>
                <w:color w:val="1C3A36"/>
                <w:sz w:val="16"/>
              </w:rPr>
              <w:t>Read</w:t>
            </w:r>
          </w:p>
        </w:tc>
        <w:tc>
          <w:tcPr>
            <w:tcW w:type="dxa" w:w="4118"/>
            <w:shd w:val="clear" w:color="auto" w:fill="EAF0EE"/>
          </w:tcPr>
          <w:p>
            <w:pPr>
              <w:spacing w:after="20"/>
              <w:jc w:val="left"/>
            </w:pPr>
            <w:r>
              <w:rPr>
                <w:b/>
                <w:color w:val="1C3A36"/>
                <w:sz w:val="16"/>
              </w:rPr>
              <w:t>Basis</w:t>
            </w:r>
          </w:p>
        </w:tc>
        <w:tc>
          <w:tcPr>
            <w:tcW w:type="dxa" w:w="1526"/>
            <w:shd w:val="clear" w:color="auto" w:fill="EAF0EE"/>
          </w:tcPr>
          <w:p>
            <w:pPr>
              <w:spacing w:after="20"/>
            </w:pPr>
            <w:r>
              <w:rPr>
                <w:b/>
                <w:color w:val="1C3A36"/>
                <w:sz w:val="16"/>
              </w:rPr>
              <w:t>Range (AED/sh)</w:t>
            </w:r>
          </w:p>
        </w:tc>
        <w:tc>
          <w:tcPr>
            <w:tcW w:type="dxa" w:w="1181"/>
            <w:shd w:val="clear" w:color="auto" w:fill="EAF0EE"/>
          </w:tcPr>
          <w:p>
            <w:pPr>
              <w:spacing w:after="20"/>
            </w:pPr>
            <w:r>
              <w:rPr>
                <w:b/>
                <w:color w:val="1C3A36"/>
                <w:sz w:val="16"/>
              </w:rPr>
              <w:t>Central</w:t>
            </w:r>
          </w:p>
        </w:tc>
        <w:tc>
          <w:tcPr>
            <w:tcW w:type="dxa" w:w="1210"/>
            <w:shd w:val="clear" w:color="auto" w:fill="EAF0EE"/>
          </w:tcPr>
          <w:p>
            <w:pPr>
              <w:spacing w:after="20"/>
            </w:pPr>
            <w:r>
              <w:rPr>
                <w:b/>
                <w:color w:val="1C3A36"/>
                <w:sz w:val="16"/>
              </w:rPr>
              <w:t>vs price</w:t>
            </w:r>
          </w:p>
        </w:tc>
      </w:tr>
      <w:tr>
        <w:trPr>
          <w:cantSplit/>
        </w:trPr>
        <w:tc>
          <w:tcPr>
            <w:tcW w:type="dxa" w:w="2045"/>
          </w:tcPr>
          <w:p>
            <w:pPr>
              <w:spacing w:after="20"/>
            </w:pPr>
            <w:r>
              <w:rPr>
                <w:color w:val="1C3A36"/>
                <w:sz w:val="16"/>
              </w:rPr>
              <w:t>Discounted cash flow</w:t>
            </w:r>
          </w:p>
        </w:tc>
        <w:tc>
          <w:tcPr>
            <w:tcW w:type="dxa" w:w="4118"/>
          </w:tcPr>
          <w:p>
            <w:pPr>
              <w:spacing w:after="20"/>
              <w:jc w:val="left"/>
            </w:pPr>
            <w:r>
              <w:rPr>
                <w:color w:val="1C3A36"/>
                <w:sz w:val="16"/>
              </w:rPr>
              <w:t>five-year free cash flow to the firm, cost of capital gliding 8.5% to 7.7% on the share's own beta of 1.085 against the published index of its own exchange and on all three kinds of capital the company uses — ordinary equity 80.0%, debt 7.2%, perpetual capital securities 12.8% at their own coupon; terminal growth 2%; 78% of enterprise value comes from the terminal value</w:t>
            </w:r>
          </w:p>
        </w:tc>
        <w:tc>
          <w:tcPr>
            <w:tcW w:type="dxa" w:w="1526"/>
          </w:tcPr>
          <w:p>
            <w:pPr>
              <w:spacing w:after="20"/>
              <w:jc w:val="right"/>
            </w:pPr>
            <w:r>
              <w:rPr>
                <w:color w:val="1C3A36"/>
                <w:sz w:val="16"/>
              </w:rPr>
              <w:t>3.79 – 9.27</w:t>
            </w:r>
          </w:p>
        </w:tc>
        <w:tc>
          <w:tcPr>
            <w:tcW w:type="dxa" w:w="1181"/>
          </w:tcPr>
          <w:p>
            <w:pPr>
              <w:spacing w:after="20"/>
              <w:jc w:val="right"/>
            </w:pPr>
            <w:r>
              <w:rPr>
                <w:color w:val="1C3A36"/>
                <w:sz w:val="16"/>
              </w:rPr>
              <w:t>6.03</w:t>
            </w:r>
          </w:p>
        </w:tc>
        <w:tc>
          <w:tcPr>
            <w:tcW w:type="dxa" w:w="1210"/>
          </w:tcPr>
          <w:p>
            <w:pPr>
              <w:spacing w:after="20"/>
              <w:jc w:val="right"/>
            </w:pPr>
            <w:r>
              <w:rPr>
                <w:color w:val="1C3A36"/>
                <w:sz w:val="16"/>
              </w:rPr>
              <w:t>-2%</w:t>
            </w:r>
          </w:p>
        </w:tc>
      </w:tr>
      <w:tr>
        <w:trPr>
          <w:cantSplit/>
        </w:trPr>
        <w:tc>
          <w:tcPr>
            <w:tcW w:type="dxa" w:w="2045"/>
          </w:tcPr>
          <w:p>
            <w:pPr>
              <w:spacing w:after="20"/>
            </w:pPr>
            <w:r>
              <w:rPr>
                <w:color w:val="1C3A36"/>
                <w:sz w:val="16"/>
              </w:rPr>
              <w:t>Relative multiples</w:t>
            </w:r>
          </w:p>
        </w:tc>
        <w:tc>
          <w:tcPr>
            <w:tcW w:type="dxa" w:w="4118"/>
          </w:tcPr>
          <w:p>
            <w:pPr>
              <w:spacing w:after="20"/>
              <w:jc w:val="left"/>
            </w:pPr>
            <w:r>
              <w:rPr>
                <w:color w:val="1C3A36"/>
                <w:sz w:val="16"/>
              </w:rPr>
              <w:t>a blended 11.10× enterprise value to earnings and 11.64× price to earnings on 2026E, weighted 70% to the enterprise measure</w:t>
            </w:r>
          </w:p>
        </w:tc>
        <w:tc>
          <w:tcPr>
            <w:tcW w:type="dxa" w:w="1526"/>
          </w:tcPr>
          <w:p>
            <w:pPr>
              <w:spacing w:after="20"/>
              <w:jc w:val="right"/>
            </w:pPr>
            <w:r>
              <w:rPr>
                <w:color w:val="1C3A36"/>
                <w:sz w:val="16"/>
              </w:rPr>
              <w:t>6.78 – 10.28</w:t>
            </w:r>
          </w:p>
        </w:tc>
        <w:tc>
          <w:tcPr>
            <w:tcW w:type="dxa" w:w="1181"/>
          </w:tcPr>
          <w:p>
            <w:pPr>
              <w:spacing w:after="20"/>
              <w:jc w:val="right"/>
            </w:pPr>
            <w:r>
              <w:rPr>
                <w:color w:val="1C3A36"/>
                <w:sz w:val="16"/>
              </w:rPr>
              <w:t>8.25</w:t>
            </w:r>
          </w:p>
        </w:tc>
        <w:tc>
          <w:tcPr>
            <w:tcW w:type="dxa" w:w="1210"/>
          </w:tcPr>
          <w:p>
            <w:pPr>
              <w:spacing w:after="20"/>
              <w:jc w:val="right"/>
            </w:pPr>
            <w:r>
              <w:rPr>
                <w:color w:val="1C3A36"/>
                <w:sz w:val="16"/>
              </w:rPr>
              <w:t>+34%</w:t>
            </w:r>
          </w:p>
        </w:tc>
      </w:tr>
      <w:tr>
        <w:trPr>
          <w:cantSplit/>
        </w:trPr>
        <w:tc>
          <w:tcPr>
            <w:tcW w:type="dxa" w:w="2045"/>
          </w:tcPr>
          <w:p>
            <w:pPr>
              <w:spacing w:after="20"/>
            </w:pPr>
            <w:r>
              <w:rPr>
                <w:color w:val="1C3A36"/>
                <w:sz w:val="16"/>
              </w:rPr>
              <w:t>Normalised earnings power</w:t>
            </w:r>
          </w:p>
        </w:tc>
        <w:tc>
          <w:tcPr>
            <w:tcW w:type="dxa" w:w="4118"/>
          </w:tcPr>
          <w:p>
            <w:pPr>
              <w:spacing w:after="20"/>
              <w:jc w:val="left"/>
            </w:pPr>
            <w:r>
              <w:rPr>
                <w:color w:val="1C3A36"/>
                <w:sz w:val="16"/>
              </w:rPr>
              <w:t>the five-year average of the build's own earnings — USD 1,989 million before interest, tax, depreciation and amortisation — at the same blended multiples</w:t>
            </w:r>
          </w:p>
        </w:tc>
        <w:tc>
          <w:tcPr>
            <w:tcW w:type="dxa" w:w="1526"/>
          </w:tcPr>
          <w:p>
            <w:pPr>
              <w:spacing w:after="20"/>
              <w:jc w:val="right"/>
            </w:pPr>
            <w:r>
              <w:rPr>
                <w:color w:val="1C3A36"/>
                <w:sz w:val="16"/>
              </w:rPr>
              <w:t>7.15 – 10.81</w:t>
            </w:r>
          </w:p>
        </w:tc>
        <w:tc>
          <w:tcPr>
            <w:tcW w:type="dxa" w:w="1181"/>
          </w:tcPr>
          <w:p>
            <w:pPr>
              <w:spacing w:after="20"/>
              <w:jc w:val="right"/>
            </w:pPr>
            <w:r>
              <w:rPr>
                <w:color w:val="1C3A36"/>
                <w:sz w:val="16"/>
              </w:rPr>
              <w:t>7.90</w:t>
            </w:r>
          </w:p>
        </w:tc>
        <w:tc>
          <w:tcPr>
            <w:tcW w:type="dxa" w:w="1210"/>
          </w:tcPr>
          <w:p>
            <w:pPr>
              <w:spacing w:after="20"/>
              <w:jc w:val="right"/>
            </w:pPr>
            <w:r>
              <w:rPr>
                <w:color w:val="1C3A36"/>
                <w:sz w:val="16"/>
              </w:rPr>
              <w:t>+28%</w:t>
            </w:r>
          </w:p>
        </w:tc>
      </w:tr>
      <w:tr>
        <w:trPr>
          <w:cantSplit/>
        </w:trPr>
        <w:tc>
          <w:tcPr>
            <w:tcW w:type="dxa" w:w="2045"/>
          </w:tcPr>
          <w:p>
            <w:pPr>
              <w:spacing w:after="20"/>
            </w:pPr>
            <w:r>
              <w:rPr>
                <w:color w:val="1C3A36"/>
                <w:sz w:val="16"/>
              </w:rPr>
              <w:t>Book value and sustainable return</w:t>
            </w:r>
          </w:p>
        </w:tc>
        <w:tc>
          <w:tcPr>
            <w:tcW w:type="dxa" w:w="4118"/>
          </w:tcPr>
          <w:p>
            <w:pPr>
              <w:spacing w:after="20"/>
              <w:jc w:val="left"/>
            </w:pPr>
            <w:r>
              <w:rPr>
                <w:color w:val="1C3A36"/>
                <w:sz w:val="16"/>
              </w:rPr>
              <w:t>the ordinary book of AED 2.52 a share, plus five years of returns earned above the cost of equity of 9.34% on that book, discounted, plus a remainder that fades at 10% a year — worth 1.38× the book it starts from</w:t>
            </w:r>
          </w:p>
        </w:tc>
        <w:tc>
          <w:tcPr>
            <w:tcW w:type="dxa" w:w="1526"/>
          </w:tcPr>
          <w:p>
            <w:pPr>
              <w:spacing w:after="20"/>
              <w:jc w:val="right"/>
            </w:pPr>
            <w:r>
              <w:rPr>
                <w:color w:val="1C3A36"/>
                <w:sz w:val="16"/>
              </w:rPr>
              <w:t>2.53 – 4.63</w:t>
            </w:r>
          </w:p>
        </w:tc>
        <w:tc>
          <w:tcPr>
            <w:tcW w:type="dxa" w:w="1181"/>
          </w:tcPr>
          <w:p>
            <w:pPr>
              <w:spacing w:after="20"/>
              <w:jc w:val="right"/>
            </w:pPr>
            <w:r>
              <w:rPr>
                <w:color w:val="1C3A36"/>
                <w:sz w:val="16"/>
              </w:rPr>
              <w:t>3.47</w:t>
            </w:r>
          </w:p>
        </w:tc>
        <w:tc>
          <w:tcPr>
            <w:tcW w:type="dxa" w:w="1210"/>
          </w:tcPr>
          <w:p>
            <w:pPr>
              <w:spacing w:after="20"/>
              <w:jc w:val="right"/>
            </w:pPr>
            <w:r>
              <w:rPr>
                <w:color w:val="1C3A36"/>
                <w:sz w:val="16"/>
              </w:rPr>
              <w:t>-44%</w:t>
            </w:r>
          </w:p>
        </w:tc>
      </w:tr>
      <w:tr>
        <w:trPr>
          <w:cantSplit/>
        </w:trPr>
        <w:tc>
          <w:tcPr>
            <w:tcW w:type="dxa" w:w="2045"/>
            <w:shd w:val="clear" w:color="auto" w:fill="F6F1E6"/>
          </w:tcPr>
          <w:p>
            <w:pPr>
              <w:spacing w:after="20"/>
            </w:pPr>
            <w:r>
              <w:rPr>
                <w:b/>
                <w:color w:val="1C3A36"/>
                <w:sz w:val="16"/>
              </w:rPr>
              <w:t>Weighted central</w:t>
            </w:r>
          </w:p>
        </w:tc>
        <w:tc>
          <w:tcPr>
            <w:tcW w:type="dxa" w:w="4118"/>
            <w:shd w:val="clear" w:color="auto" w:fill="F6F1E6"/>
          </w:tcPr>
          <w:p>
            <w:pPr>
              <w:spacing w:after="20"/>
              <w:jc w:val="left"/>
            </w:pPr>
            <w:r>
              <w:rPr>
                <w:b/>
                <w:color w:val="1C3A36"/>
                <w:sz w:val="16"/>
              </w:rPr>
              <w:t>discounted cash flow 40% · relative 25% · normalised 20% · book 15%, on the beta measured against the published index of its own exchange</w:t>
            </w:r>
          </w:p>
        </w:tc>
        <w:tc>
          <w:tcPr>
            <w:tcW w:type="dxa" w:w="1526"/>
            <w:shd w:val="clear" w:color="auto" w:fill="F6F1E6"/>
          </w:tcPr>
          <w:p>
            <w:pPr>
              <w:spacing w:after="20"/>
              <w:jc w:val="right"/>
            </w:pPr>
            <w:r>
              <w:rPr>
                <w:b/>
                <w:color w:val="1C3A36"/>
                <w:sz w:val="16"/>
              </w:rPr>
              <w:t>5.02 – 9.13</w:t>
            </w:r>
          </w:p>
        </w:tc>
        <w:tc>
          <w:tcPr>
            <w:tcW w:type="dxa" w:w="1181"/>
            <w:shd w:val="clear" w:color="auto" w:fill="F6F1E6"/>
          </w:tcPr>
          <w:p>
            <w:pPr>
              <w:spacing w:after="20"/>
              <w:jc w:val="right"/>
            </w:pPr>
            <w:r>
              <w:rPr>
                <w:b/>
                <w:color w:val="1C3A36"/>
                <w:sz w:val="16"/>
              </w:rPr>
              <w:t>6.58</w:t>
            </w:r>
          </w:p>
        </w:tc>
        <w:tc>
          <w:tcPr>
            <w:tcW w:type="dxa" w:w="1210"/>
            <w:shd w:val="clear" w:color="auto" w:fill="F6F1E6"/>
          </w:tcPr>
          <w:p>
            <w:pPr>
              <w:spacing w:after="20"/>
              <w:jc w:val="right"/>
            </w:pPr>
            <w:r>
              <w:rPr>
                <w:b/>
                <w:color w:val="1C3A36"/>
                <w:sz w:val="16"/>
              </w:rPr>
              <w:t>+7%</w:t>
            </w:r>
          </w:p>
        </w:tc>
      </w:tr>
      <w:tr>
        <w:trPr>
          <w:cantSplit/>
        </w:trPr>
        <w:tc>
          <w:tcPr>
            <w:tcW w:type="dxa" w:w="2045"/>
          </w:tcPr>
          <w:p>
            <w:pPr>
              <w:spacing w:after="20"/>
            </w:pPr>
            <w:r>
              <w:rPr>
                <w:color w:val="1C3A36"/>
                <w:sz w:val="16"/>
              </w:rPr>
              <w:t>Market price</w:t>
            </w:r>
          </w:p>
        </w:tc>
        <w:tc>
          <w:tcPr>
            <w:tcW w:type="dxa" w:w="4118"/>
          </w:tcPr>
          <w:p>
            <w:pPr>
              <w:spacing w:after="20"/>
              <w:jc w:val="left"/>
            </w:pPr>
            <w:r>
              <w:rPr>
                <w:color w:val="1C3A36"/>
                <w:sz w:val="16"/>
              </w:rPr>
              <w:t>closing price on 2026-08-07</w:t>
            </w:r>
          </w:p>
        </w:tc>
        <w:tc>
          <w:tcPr>
            <w:tcW w:type="dxa" w:w="1526"/>
          </w:tcPr>
          <w:p>
            <w:pPr>
              <w:spacing w:after="20"/>
              <w:jc w:val="right"/>
            </w:pPr>
            <w:r>
              <w:rPr>
                <w:color w:val="1C3A36"/>
                <w:sz w:val="16"/>
              </w:rPr>
              <w:t>—</w:t>
            </w:r>
          </w:p>
        </w:tc>
        <w:tc>
          <w:tcPr>
            <w:tcW w:type="dxa" w:w="1181"/>
          </w:tcPr>
          <w:p>
            <w:pPr>
              <w:spacing w:after="20"/>
              <w:jc w:val="right"/>
            </w:pPr>
            <w:r>
              <w:rPr>
                <w:color w:val="1C3A36"/>
                <w:sz w:val="16"/>
              </w:rPr>
              <w:t>6.16</w:t>
            </w:r>
          </w:p>
        </w:tc>
        <w:tc>
          <w:tcPr>
            <w:tcW w:type="dxa" w:w="1210"/>
          </w:tcPr>
          <w:p>
            <w:pPr>
              <w:spacing w:after="20"/>
              <w:jc w:val="right"/>
            </w:pPr>
            <w:r>
              <w:rPr>
                <w:color w:val="1C3A36"/>
                <w:sz w:val="16"/>
              </w:rPr>
              <w:t>—</w:t>
            </w:r>
          </w:p>
        </w:tc>
      </w:tr>
      <w:tr>
        <w:trPr>
          <w:cantSplit/>
        </w:trPr>
        <w:tc>
          <w:tcPr>
            <w:tcW w:type="dxa" w:w="2045"/>
            <w:shd w:val="clear" w:color="auto" w:fill="F6F1E6"/>
          </w:tcPr>
          <w:p>
            <w:pPr>
              <w:spacing w:after="20"/>
            </w:pPr>
            <w:r>
              <w:rPr>
                <w:b/>
                <w:color w:val="1C3A36"/>
                <w:sz w:val="16"/>
              </w:rPr>
              <w:t>ALTERNATIVE READINGS — not included in the weighted central above</w:t>
            </w:r>
          </w:p>
        </w:tc>
        <w:tc>
          <w:tcPr>
            <w:tcW w:type="dxa" w:w="4118"/>
            <w:shd w:val="clear" w:color="auto" w:fill="F6F1E6"/>
          </w:tcPr>
          <w:p>
            <w:pPr>
              <w:spacing w:after="20"/>
              <w:jc w:val="left"/>
            </w:pPr>
            <w:r>
              <w:rPr>
                <w:b/>
                <w:color w:val="1C3A36"/>
                <w:sz w:val="16"/>
              </w:rPr>
            </w:r>
          </w:p>
        </w:tc>
        <w:tc>
          <w:tcPr>
            <w:tcW w:type="dxa" w:w="1526"/>
            <w:shd w:val="clear" w:color="auto" w:fill="F6F1E6"/>
          </w:tcPr>
          <w:p>
            <w:pPr>
              <w:spacing w:after="20"/>
              <w:jc w:val="right"/>
            </w:pPr>
            <w:r>
              <w:rPr>
                <w:b/>
                <w:color w:val="1C3A36"/>
                <w:sz w:val="16"/>
              </w:rPr>
            </w:r>
          </w:p>
        </w:tc>
        <w:tc>
          <w:tcPr>
            <w:tcW w:type="dxa" w:w="1181"/>
            <w:shd w:val="clear" w:color="auto" w:fill="F6F1E6"/>
          </w:tcPr>
          <w:p>
            <w:pPr>
              <w:spacing w:after="20"/>
              <w:jc w:val="right"/>
            </w:pPr>
            <w:r>
              <w:rPr>
                <w:b/>
                <w:color w:val="1C3A36"/>
                <w:sz w:val="16"/>
              </w:rPr>
            </w:r>
          </w:p>
        </w:tc>
        <w:tc>
          <w:tcPr>
            <w:tcW w:type="dxa" w:w="1210"/>
            <w:shd w:val="clear" w:color="auto" w:fill="F6F1E6"/>
          </w:tcPr>
          <w:p>
            <w:pPr>
              <w:spacing w:after="20"/>
              <w:jc w:val="right"/>
            </w:pPr>
            <w:r>
              <w:rPr>
                <w:b/>
                <w:color w:val="1C3A36"/>
                <w:sz w:val="16"/>
              </w:rPr>
            </w:r>
          </w:p>
        </w:tc>
      </w:tr>
      <w:tr>
        <w:trPr>
          <w:cantSplit/>
        </w:trPr>
        <w:tc>
          <w:tcPr>
            <w:tcW w:type="dxa" w:w="2045"/>
          </w:tcPr>
          <w:p>
            <w:pPr>
              <w:spacing w:after="20"/>
            </w:pPr>
            <w:r>
              <w:rPr>
                <w:color w:val="1C3A36"/>
                <w:sz w:val="16"/>
              </w:rPr>
              <w:t>The market measured as an equal-weight composite</w:t>
            </w:r>
          </w:p>
        </w:tc>
        <w:tc>
          <w:tcPr>
            <w:tcW w:type="dxa" w:w="4118"/>
          </w:tcPr>
          <w:p>
            <w:pPr>
              <w:spacing w:after="20"/>
              <w:jc w:val="left"/>
            </w:pPr>
            <w:r>
              <w:rPr>
                <w:color w:val="1C3A36"/>
                <w:sz w:val="16"/>
              </w:rPr>
              <w:t>the identical model and identical cash flows with the beta regressed against an equal-weight composite of the same exchange's names instead of the published index of its own exchange — 0.705 instead of 1.085, cost of capital gliding 7.0% to 6.3%, and 83% of enterprise value from the terminal value. The published index is the yardstick this study adopts; the composite is shown because the gap turns on index weighting rather than on the company (section 1.8). The weighted central on this construction is AED 7.60</w:t>
            </w:r>
          </w:p>
        </w:tc>
        <w:tc>
          <w:tcPr>
            <w:tcW w:type="dxa" w:w="1526"/>
          </w:tcPr>
          <w:p>
            <w:pPr>
              <w:spacing w:after="20"/>
              <w:jc w:val="right"/>
            </w:pPr>
            <w:r>
              <w:rPr>
                <w:color w:val="1C3A36"/>
                <w:sz w:val="16"/>
              </w:rPr>
              <w:t>—</w:t>
            </w:r>
          </w:p>
        </w:tc>
        <w:tc>
          <w:tcPr>
            <w:tcW w:type="dxa" w:w="1181"/>
          </w:tcPr>
          <w:p>
            <w:pPr>
              <w:spacing w:after="20"/>
              <w:jc w:val="right"/>
            </w:pPr>
            <w:r>
              <w:rPr>
                <w:color w:val="1C3A36"/>
                <w:sz w:val="16"/>
              </w:rPr>
              <w:t>8.59</w:t>
            </w:r>
          </w:p>
        </w:tc>
        <w:tc>
          <w:tcPr>
            <w:tcW w:type="dxa" w:w="1210"/>
          </w:tcPr>
          <w:p>
            <w:pPr>
              <w:spacing w:after="20"/>
              <w:jc w:val="right"/>
            </w:pPr>
            <w:r>
              <w:rPr>
                <w:color w:val="1C3A36"/>
                <w:sz w:val="16"/>
              </w:rPr>
              <w:t>+39%</w:t>
            </w:r>
          </w:p>
        </w:tc>
      </w:tr>
      <w:tr>
        <w:trPr>
          <w:cantSplit/>
        </w:trPr>
        <w:tc>
          <w:tcPr>
            <w:tcW w:type="dxa" w:w="2045"/>
          </w:tcPr>
          <w:p>
            <w:pPr>
              <w:spacing w:after="20"/>
            </w:pPr>
            <w:r>
              <w:rPr>
                <w:color w:val="1C3A36"/>
                <w:sz w:val="16"/>
              </w:rPr>
              <w:t>Rates hold near current levels</w:t>
            </w:r>
          </w:p>
        </w:tc>
        <w:tc>
          <w:tcPr>
            <w:tcW w:type="dxa" w:w="4118"/>
          </w:tcPr>
          <w:p>
            <w:pPr>
              <w:spacing w:after="20"/>
              <w:jc w:val="left"/>
            </w:pPr>
            <w:r>
              <w:rPr>
                <w:color w:val="1C3A36"/>
                <w:sz w:val="16"/>
              </w:rPr>
              <w:t>the same model with the fleet reverting to a rate anchor 30% above the 2024-2025 average rather than to it — the direction the company's own guidance points, and not this study's base (section 1.7)</w:t>
            </w:r>
          </w:p>
        </w:tc>
        <w:tc>
          <w:tcPr>
            <w:tcW w:type="dxa" w:w="1526"/>
          </w:tcPr>
          <w:p>
            <w:pPr>
              <w:spacing w:after="20"/>
              <w:jc w:val="right"/>
            </w:pPr>
            <w:r>
              <w:rPr>
                <w:color w:val="1C3A36"/>
                <w:sz w:val="16"/>
              </w:rPr>
              <w:t>—</w:t>
            </w:r>
          </w:p>
        </w:tc>
        <w:tc>
          <w:tcPr>
            <w:tcW w:type="dxa" w:w="1181"/>
          </w:tcPr>
          <w:p>
            <w:pPr>
              <w:spacing w:after="20"/>
              <w:jc w:val="right"/>
            </w:pPr>
            <w:r>
              <w:rPr>
                <w:color w:val="1C3A36"/>
                <w:sz w:val="16"/>
              </w:rPr>
              <w:t>7.39</w:t>
            </w:r>
          </w:p>
        </w:tc>
        <w:tc>
          <w:tcPr>
            <w:tcW w:type="dxa" w:w="1210"/>
          </w:tcPr>
          <w:p>
            <w:pPr>
              <w:spacing w:after="20"/>
              <w:jc w:val="right"/>
            </w:pPr>
            <w:r>
              <w:rPr>
                <w:color w:val="1C3A36"/>
                <w:sz w:val="16"/>
              </w:rPr>
              <w:t>+20%</w:t>
            </w:r>
          </w:p>
        </w:tc>
      </w:tr>
      <w:tr>
        <w:trPr>
          <w:cantSplit/>
        </w:trPr>
        <w:tc>
          <w:tcPr>
            <w:tcW w:type="dxa" w:w="2045"/>
          </w:tcPr>
          <w:p>
            <w:pPr>
              <w:spacing w:after="20"/>
            </w:pPr>
            <w:r>
              <w:rPr>
                <w:color w:val="1C3A36"/>
                <w:sz w:val="16"/>
              </w:rPr>
              <w:t>Perpetual securities at coupon value</w:t>
            </w:r>
          </w:p>
        </w:tc>
        <w:tc>
          <w:tcPr>
            <w:tcW w:type="dxa" w:w="4118"/>
          </w:tcPr>
          <w:p>
            <w:pPr>
              <w:spacing w:after="20"/>
              <w:jc w:val="left"/>
            </w:pPr>
            <w:r>
              <w:rPr>
                <w:color w:val="1C3A36"/>
                <w:sz w:val="16"/>
              </w:rPr>
              <w:t>the same model deducting the perpetual capital securities at the present value of their coupon, USD 1,254 million, instead of their carrying value of USD 1,979 million (section 1.1)</w:t>
            </w:r>
          </w:p>
        </w:tc>
        <w:tc>
          <w:tcPr>
            <w:tcW w:type="dxa" w:w="1526"/>
          </w:tcPr>
          <w:p>
            <w:pPr>
              <w:spacing w:after="20"/>
              <w:jc w:val="right"/>
            </w:pPr>
            <w:r>
              <w:rPr>
                <w:color w:val="1C3A36"/>
                <w:sz w:val="16"/>
              </w:rPr>
              <w:t>—</w:t>
            </w:r>
          </w:p>
        </w:tc>
        <w:tc>
          <w:tcPr>
            <w:tcW w:type="dxa" w:w="1181"/>
          </w:tcPr>
          <w:p>
            <w:pPr>
              <w:spacing w:after="20"/>
              <w:jc w:val="right"/>
            </w:pPr>
            <w:r>
              <w:rPr>
                <w:color w:val="1C3A36"/>
                <w:sz w:val="16"/>
              </w:rPr>
              <w:t>6.39</w:t>
            </w:r>
          </w:p>
        </w:tc>
        <w:tc>
          <w:tcPr>
            <w:tcW w:type="dxa" w:w="1210"/>
          </w:tcPr>
          <w:p>
            <w:pPr>
              <w:spacing w:after="20"/>
              <w:jc w:val="right"/>
            </w:pPr>
            <w:r>
              <w:rPr>
                <w:color w:val="1C3A36"/>
                <w:sz w:val="16"/>
              </w:rPr>
              <w:t>+4%</w:t>
            </w:r>
          </w:p>
        </w:tc>
      </w:tr>
    </w:tbl>
    <w:p>
      <w:pPr>
        <w:spacing w:after="40"/>
      </w:pPr>
    </w:p>
    <w:p>
      <w:pPr>
        <w:spacing w:after="200" w:before="0"/>
      </w:pPr>
      <w:r>
        <w:rPr>
          <w:b w:val="0"/>
          <w:i/>
          <w:color w:val="6E7B77"/>
          <w:sz w:val="17"/>
        </w:rPr>
        <w:t>The alternative readings are shown so that each genuinely contested or consequential choice carries a number the reader can see, rather than being averaged silently into the headline. They are deliberately excluded from the weighted central because each answers a different question — how the market against which this share's risk is measured should itself be measured, where shipping rates settle, and whether a perpetual security is a liability at face or at coupon — and blending them would hide the difference instead of showing it. Ranges are bear-to-bull within each lens; within the cash-flow lens the two bounds are set by the two ends of the beta's own 90% confidence interval, 1.412 at the bear end and 0.758 at the bull end, so the published span is the span the estimate itself supports rather than a pair of round numbers chosen by hand. The index reading is the largest of the three alternatives: AED 2.56 a share separates the two constructions on the cash-flow lens and AED 1.02 on the weighted central, and both are carried at full size through section 1.1, section 1.8, the comparison in section 4 and the expert panel. Terminal value is 78% of the cash-flow model's enterprise value — a high share, disclosed here, again in the bridge, and stressed in section 1.9.</w:t>
      </w:r>
    </w:p>
    <w:p>
      <w:pPr>
        <w:keepNext/>
        <w:spacing w:after="80" w:before="200"/>
      </w:pPr>
      <w:r>
        <w:rPr>
          <w:b/>
          <w:i w:val="0"/>
          <w:color w:val="1C3A36"/>
          <w:sz w:val="24"/>
        </w:rPr>
        <w:t>Company overview — ADNOC Logistics &amp; Services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rPr>
          <w:cantSplit/>
          <w:tblHeader/>
        </w:trP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rPr>
          <w:cantSplit/>
        </w:trPr>
        <w:tc>
          <w:tcPr>
            <w:tcW w:type="dxa" w:w="2232"/>
          </w:tcPr>
          <w:p>
            <w:pPr>
              <w:spacing w:after="20"/>
            </w:pPr>
            <w:r>
              <w:rPr>
                <w:color w:val="1C3A36"/>
                <w:sz w:val="17"/>
              </w:rPr>
              <w:t>Listed / parent</w:t>
            </w:r>
          </w:p>
        </w:tc>
        <w:tc>
          <w:tcPr>
            <w:tcW w:type="dxa" w:w="7848"/>
          </w:tcPr>
          <w:p>
            <w:pPr>
              <w:spacing w:after="20"/>
            </w:pPr>
            <w:r>
              <w:rPr>
                <w:color w:val="1C3A36"/>
                <w:sz w:val="17"/>
              </w:rPr>
              <w:t>Listed on the Abu Dhabi Securities Exchange in June 2023 under the code ADNOCLS (ISIN AEE01268A239). The Abu Dhabi National Oil Company remains the controlling shareholder, and is also the principal customer</w:t>
            </w:r>
          </w:p>
        </w:tc>
      </w:tr>
      <w:tr>
        <w:trPr>
          <w:cantSplit/>
        </w:trPr>
        <w:tc>
          <w:tcPr>
            <w:tcW w:type="dxa" w:w="2232"/>
          </w:tcPr>
          <w:p>
            <w:pPr>
              <w:spacing w:after="20"/>
            </w:pPr>
            <w:r>
              <w:rPr>
                <w:color w:val="1C3A36"/>
                <w:sz w:val="17"/>
              </w:rPr>
              <w:t>What it does</w:t>
            </w:r>
          </w:p>
        </w:tc>
        <w:tc>
          <w:tcPr>
            <w:tcW w:type="dxa" w:w="7848"/>
          </w:tcPr>
          <w:p>
            <w:pPr>
              <w:spacing w:after="20"/>
            </w:pPr>
            <w:r>
              <w:rPr>
                <w:color w:val="1C3A36"/>
                <w:sz w:val="17"/>
              </w:rPr>
              <w:t>Three disclosed business units. Integrated Logistics covers offshore contracting (jack-up barges and accommodation on the parent’s offshore fields), offshore services (support and supply vessels) and offshore projects (engineering, procurement and construction contracts). Shipping covers crude and product tankers, gas carriers, and dry-bulk and container vessels. Services covers petroleum port operations, bunkering fuel and water, onshore logistics and ship management</w:t>
            </w:r>
          </w:p>
        </w:tc>
      </w:tr>
      <w:tr>
        <w:trPr>
          <w:cantSplit/>
        </w:trPr>
        <w:tc>
          <w:tcPr>
            <w:tcW w:type="dxa" w:w="2232"/>
          </w:tcPr>
          <w:p>
            <w:pPr>
              <w:spacing w:after="20"/>
            </w:pPr>
            <w:r>
              <w:rPr>
                <w:color w:val="1C3A36"/>
                <w:sz w:val="17"/>
              </w:rPr>
              <w:t>Fleet</w:t>
            </w:r>
          </w:p>
        </w:tc>
        <w:tc>
          <w:tcPr>
            <w:tcW w:type="dxa" w:w="7848"/>
          </w:tcPr>
          <w:p>
            <w:pPr>
              <w:spacing w:after="20"/>
            </w:pPr>
            <w:r>
              <w:rPr>
                <w:color w:val="1C3A36"/>
                <w:sz w:val="17"/>
              </w:rPr>
              <w:t>52 owned tankers across five size classes, of which 40 trade at spot rates and 12 are on charters out at rates already fixed; 20 owned gas carriers, 15 of them on long-term contracts; 33 owned jack-up barges plus 12 chartered in; 40 owned offshore support vessels</w:t>
            </w:r>
          </w:p>
        </w:tc>
      </w:tr>
      <w:tr>
        <w:trPr>
          <w:cantSplit/>
        </w:trPr>
        <w:tc>
          <w:tcPr>
            <w:tcW w:type="dxa" w:w="2232"/>
          </w:tcPr>
          <w:p>
            <w:pPr>
              <w:spacing w:after="20"/>
            </w:pPr>
            <w:r>
              <w:rPr>
                <w:color w:val="1C3A36"/>
                <w:sz w:val="17"/>
              </w:rPr>
              <w:t>Scale</w:t>
            </w:r>
          </w:p>
        </w:tc>
        <w:tc>
          <w:tcPr>
            <w:tcW w:type="dxa" w:w="7848"/>
          </w:tcPr>
          <w:p>
            <w:pPr>
              <w:spacing w:after="20"/>
            </w:pPr>
            <w:r>
              <w:rPr>
                <w:color w:val="1C3A36"/>
                <w:sz w:val="17"/>
              </w:rPr>
              <w:t>FY2025 revenue USD 5,016 million; earnings before interest, tax, depreciation and amortisation of USD 1,469 million on the operating definition used throughout this study, or USD 1,515 million on the company's own reported definition, which adds the share of joint ventures and one-off items; attributable profit USD 839 million</w:t>
            </w:r>
          </w:p>
        </w:tc>
      </w:tr>
      <w:tr>
        <w:trPr>
          <w:cantSplit/>
        </w:trPr>
        <w:tc>
          <w:tcPr>
            <w:tcW w:type="dxa" w:w="2232"/>
          </w:tcPr>
          <w:p>
            <w:pPr>
              <w:spacing w:after="20"/>
            </w:pPr>
            <w:r>
              <w:rPr>
                <w:color w:val="1C3A36"/>
                <w:sz w:val="17"/>
              </w:rPr>
              <w:t>How much is contracted</w:t>
            </w:r>
          </w:p>
        </w:tc>
        <w:tc>
          <w:tcPr>
            <w:tcW w:type="dxa" w:w="7848"/>
          </w:tcPr>
          <w:p>
            <w:pPr>
              <w:spacing w:after="20"/>
            </w:pPr>
            <w:r>
              <w:rPr>
                <w:color w:val="1C3A36"/>
                <w:sz w:val="17"/>
              </w:rPr>
              <w:t>About 53% of 2026E revenue is already contracted with the parent group, against long-term contracted revenue of roughly USD 25.0 billion</w:t>
            </w:r>
          </w:p>
        </w:tc>
      </w:tr>
      <w:tr>
        <w:trPr>
          <w:cantSplit/>
        </w:trPr>
        <w:tc>
          <w:tcPr>
            <w:tcW w:type="dxa" w:w="2232"/>
          </w:tcPr>
          <w:p>
            <w:pPr>
              <w:spacing w:after="20"/>
            </w:pPr>
            <w:r>
              <w:rPr>
                <w:color w:val="1C3A36"/>
                <w:sz w:val="17"/>
              </w:rPr>
              <w:t>How much is exposed to the market</w:t>
            </w:r>
          </w:p>
        </w:tc>
        <w:tc>
          <w:tcPr>
            <w:tcW w:type="dxa" w:w="7848"/>
          </w:tcPr>
          <w:p>
            <w:pPr>
              <w:spacing w:after="20"/>
            </w:pPr>
            <w:r>
              <w:rPr>
                <w:color w:val="1C3A36"/>
                <w:sz w:val="17"/>
              </w:rPr>
              <w:t>56 vessels trade at spot rates on the company's own group-wide count at the FY2025 year end — wider than the 40 owned tankers free to earn the market at the valuation date in the row above, because it also covers the dry-bulk and container fleet. The company discloses that group earnings move about USD 20 million for every USD 1,000 a day change in the rate they earn, and that 31% of 2026E earnings and 23% of 2029E earnings sit on that exposure</w:t>
            </w:r>
          </w:p>
        </w:tc>
      </w:tr>
      <w:tr>
        <w:trPr>
          <w:cantSplit/>
        </w:trPr>
        <w:tc>
          <w:tcPr>
            <w:tcW w:type="dxa" w:w="2232"/>
          </w:tcPr>
          <w:p>
            <w:pPr>
              <w:spacing w:after="20"/>
            </w:pPr>
            <w:r>
              <w:rPr>
                <w:color w:val="1C3A36"/>
                <w:sz w:val="17"/>
              </w:rPr>
              <w:t>Reporting and trading currency</w:t>
            </w:r>
          </w:p>
        </w:tc>
        <w:tc>
          <w:tcPr>
            <w:tcW w:type="dxa" w:w="7848"/>
          </w:tcPr>
          <w:p>
            <w:pPr>
              <w:spacing w:after="20"/>
            </w:pPr>
            <w:r>
              <w:rPr>
                <w:color w:val="1C3A36"/>
                <w:sz w:val="17"/>
              </w:rPr>
              <w:t>Reports in US dollars; the shares trade in UAE dirhams at the fixed parity of 3.6725. The valuation runs in dollars and converts at the peg only at the per-share line, so no exchange-rate view is embedded anywhere in it</w:t>
            </w:r>
          </w:p>
        </w:tc>
      </w:tr>
      <w:tr>
        <w:trPr>
          <w:cantSplit/>
        </w:trPr>
        <w:tc>
          <w:tcPr>
            <w:tcW w:type="dxa" w:w="2232"/>
          </w:tcPr>
          <w:p>
            <w:pPr>
              <w:spacing w:after="20"/>
            </w:pPr>
            <w:r>
              <w:rPr>
                <w:color w:val="1C3A36"/>
                <w:sz w:val="17"/>
              </w:rPr>
              <w:t>Shares outstanding</w:t>
            </w:r>
          </w:p>
        </w:tc>
        <w:tc>
          <w:tcPr>
            <w:tcW w:type="dxa" w:w="7848"/>
          </w:tcPr>
          <w:p>
            <w:pPr>
              <w:spacing w:after="20"/>
            </w:pPr>
            <w:r>
              <w:rPr>
                <w:color w:val="1C3A36"/>
                <w:sz w:val="17"/>
              </w:rPr>
              <w:t>7,398 million ordinary shares</w:t>
            </w:r>
          </w:p>
        </w:tc>
      </w:tr>
      <w:tr>
        <w:trPr>
          <w:cantSplit/>
        </w:trPr>
        <w:tc>
          <w:tcPr>
            <w:tcW w:type="dxa" w:w="2232"/>
          </w:tcPr>
          <w:p>
            <w:pPr>
              <w:spacing w:after="20"/>
            </w:pPr>
            <w:r>
              <w:rPr>
                <w:color w:val="1C3A36"/>
                <w:sz w:val="17"/>
              </w:rPr>
              <w:t>Market capitalisation</w:t>
            </w:r>
          </w:p>
        </w:tc>
        <w:tc>
          <w:tcPr>
            <w:tcW w:type="dxa" w:w="7848"/>
          </w:tcPr>
          <w:p>
            <w:pPr>
              <w:spacing w:after="20"/>
            </w:pPr>
            <w:r>
              <w:rPr>
                <w:color w:val="1C3A36"/>
                <w:sz w:val="17"/>
              </w:rPr>
              <w:t>USD 12,410 million at the anchor price, or AED 45,575 million</w:t>
            </w:r>
          </w:p>
        </w:tc>
      </w:tr>
      <w:tr>
        <w:trPr>
          <w:cantSplit/>
        </w:trPr>
        <w:tc>
          <w:tcPr>
            <w:tcW w:type="dxa" w:w="2232"/>
          </w:tcPr>
          <w:p>
            <w:pPr>
              <w:spacing w:after="20"/>
            </w:pPr>
            <w:r>
              <w:rPr>
                <w:color w:val="1C3A36"/>
                <w:sz w:val="17"/>
              </w:rPr>
              <w:t>Net debt</w:t>
            </w:r>
          </w:p>
        </w:tc>
        <w:tc>
          <w:tcPr>
            <w:tcW w:type="dxa" w:w="7848"/>
          </w:tcPr>
          <w:p>
            <w:pPr>
              <w:spacing w:after="20"/>
            </w:pPr>
            <w:r>
              <w:rPr>
                <w:color w:val="1C3A36"/>
                <w:sz w:val="17"/>
              </w:rPr>
              <w:t>USD 420 million at 31 March 2026 — 0.22× the 2026E earnings this study forecasts, against the company's own stated medium-term target range of 2.0× to 2.5×</w:t>
            </w:r>
          </w:p>
        </w:tc>
      </w:tr>
      <w:tr>
        <w:trPr>
          <w:cantSplit/>
        </w:trPr>
        <w:tc>
          <w:tcPr>
            <w:tcW w:type="dxa" w:w="2232"/>
          </w:tcPr>
          <w:p>
            <w:pPr>
              <w:spacing w:after="20"/>
            </w:pPr>
            <w:r>
              <w:rPr>
                <w:color w:val="1C3A36"/>
                <w:sz w:val="17"/>
              </w:rPr>
              <w:t>Perpetual capital securities</w:t>
            </w:r>
          </w:p>
        </w:tc>
        <w:tc>
          <w:tcPr>
            <w:tcW w:type="dxa" w:w="7848"/>
          </w:tcPr>
          <w:p>
            <w:pPr>
              <w:spacing w:after="20"/>
            </w:pPr>
            <w:r>
              <w:rPr>
                <w:color w:val="1C3A36"/>
                <w:sz w:val="17"/>
              </w:rPr>
              <w:t>USD 2.0 billion of perpetual capital securities were issued in FY2025, carried at USD 1,979 million and priced at the secured overnight financing rate plus 125 basis points. They sit inside total equity in the accounts but rank ahead of the ordinary shares, so this study deducts them in the bridge — both at carrying value and at the present value of their coupon — and, because they are a third kind of capital and not a rounding on the other two, also weights them in the cost of capital at 12.8% of the total, at their own coupon of 4.90%</w:t>
            </w:r>
          </w:p>
        </w:tc>
      </w:tr>
      <w:tr>
        <w:trPr>
          <w:cantSplit/>
        </w:trPr>
        <w:tc>
          <w:tcPr>
            <w:tcW w:type="dxa" w:w="2232"/>
          </w:tcPr>
          <w:p>
            <w:pPr>
              <w:spacing w:after="20"/>
            </w:pPr>
            <w:r>
              <w:rPr>
                <w:color w:val="1C3A36"/>
                <w:sz w:val="17"/>
              </w:rPr>
              <w:t>Distribution policy</w:t>
            </w:r>
          </w:p>
        </w:tc>
        <w:tc>
          <w:tcPr>
            <w:tcW w:type="dxa" w:w="7848"/>
          </w:tcPr>
          <w:p>
            <w:pPr>
              <w:spacing w:after="20"/>
            </w:pPr>
            <w:r>
              <w:rPr>
                <w:color w:val="1C3A36"/>
                <w:sz w:val="17"/>
              </w:rPr>
              <w:t>USD 341 million for 2026, paid quarterly, rising 5% a year to 2030 on the company's own stated policy — about 2.7% on the anchor price</w:t>
            </w:r>
          </w:p>
        </w:tc>
      </w:tr>
      <w:tr>
        <w:trPr>
          <w:cantSplit/>
        </w:trPr>
        <w:tc>
          <w:tcPr>
            <w:tcW w:type="dxa" w:w="2232"/>
          </w:tcPr>
          <w:p>
            <w:pPr>
              <w:spacing w:after="20"/>
            </w:pPr>
            <w:r>
              <w:rPr>
                <w:color w:val="1C3A36"/>
                <w:sz w:val="17"/>
              </w:rPr>
              <w:t>Tax</w:t>
            </w:r>
          </w:p>
        </w:tc>
        <w:tc>
          <w:tcPr>
            <w:tcW w:type="dxa" w:w="7848"/>
          </w:tcPr>
          <w:p>
            <w:pPr>
              <w:spacing w:after="20"/>
            </w:pPr>
            <w:r>
              <w:rPr>
                <w:color w:val="1C3A36"/>
                <w:sz w:val="17"/>
              </w:rPr>
              <w:t>The UAE standard corporate rate is 9%. International shipping income is relieved, so the shipping units bore about 1% of their own pre-tax profit in FY2025 against 9% in Integrated Logistics and 4% in Services. The model taxes each unit at its own disclosed rate, and prices the top-up-tax risk separately in section 1.9</w:t>
            </w:r>
          </w:p>
        </w:tc>
      </w:tr>
    </w:tbl>
    <w:p>
      <w:pPr>
        <w:spacing w:after="40"/>
      </w:pPr>
    </w:p>
    <w:p>
      <w:pPr>
        <w:spacing w:after="200" w:before="0"/>
      </w:pPr>
      <w:r>
        <w:rPr>
          <w:b w:val="0"/>
          <w:i w:val="0"/>
          <w:color w:val="1C3A36"/>
          <w:sz w:val="21"/>
        </w:rPr>
        <w:t>Two structural facts govern everything that follows. First, this is two businesses in one listing: a contracted, fee-like logistics operation that earns steady margins from a single creditworthy customer, and a merchant fleet whose earnings are set by a world market the company does not control. In FY2025 Integrated Logistics turned USD 2,529 million of revenue into USD 829 million of earnings, a margin of 32.8%; Shipping turned USD 2,125 million into USD 619 million, a margin of 29.1%. Second, the balance sheet is unusually light for an asset-heavy fleet owner: property, plant and equipment of USD 6,884 million is funded with net debt of only USD 420 million, because USD 2.0 billion of perpetual capital securities and a USD 0.5 billion parent facility sit between the fleet and the ordinary shares. How those securities are treated is the second contested judgement in this study, and it too is published both ways.</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built at 2026-03-31, the date of the most recent reviewed balance sheet. Revenue is not a growth rate applied to a revenue line. Each of the seven units the company discloses is forecast on its own physical driver: the tankers literally vessel by vessel — each of the 12 vessels chartered out earns its own disclosed rate for exactly the days its own contract runs, and every other vessel earns the open-market rate solved out of the company's published class averages — the gas carriers on contracted vessel-years at the day rate implied by their own revenue, and the remaining units on what they actually earned in the first quarter of 2026, annualised and grown. Sections 1.6 and 1.7 set the build out unit by unit and vessel by vessel.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Revenue</w:t>
            </w:r>
          </w:p>
        </w:tc>
        <w:tc>
          <w:tcPr>
            <w:tcW w:type="dxa" w:w="1382"/>
          </w:tcPr>
          <w:p>
            <w:pPr>
              <w:spacing w:after="20"/>
              <w:jc w:val="right"/>
            </w:pPr>
            <w:r>
              <w:rPr>
                <w:color w:val="1C3A36"/>
                <w:sz w:val="16"/>
              </w:rPr>
              <w:t>4,715</w:t>
            </w:r>
          </w:p>
        </w:tc>
        <w:tc>
          <w:tcPr>
            <w:tcW w:type="dxa" w:w="1382"/>
          </w:tcPr>
          <w:p>
            <w:pPr>
              <w:spacing w:after="20"/>
              <w:jc w:val="right"/>
            </w:pPr>
            <w:r>
              <w:rPr>
                <w:color w:val="1C3A36"/>
                <w:sz w:val="16"/>
              </w:rPr>
              <w:t>4,968</w:t>
            </w:r>
          </w:p>
        </w:tc>
        <w:tc>
          <w:tcPr>
            <w:tcW w:type="dxa" w:w="1382"/>
          </w:tcPr>
          <w:p>
            <w:pPr>
              <w:spacing w:after="20"/>
              <w:jc w:val="right"/>
            </w:pPr>
            <w:r>
              <w:rPr>
                <w:color w:val="1C3A36"/>
                <w:sz w:val="16"/>
              </w:rPr>
              <w:t>5,144</w:t>
            </w:r>
          </w:p>
        </w:tc>
        <w:tc>
          <w:tcPr>
            <w:tcW w:type="dxa" w:w="1382"/>
          </w:tcPr>
          <w:p>
            <w:pPr>
              <w:spacing w:after="20"/>
              <w:jc w:val="right"/>
            </w:pPr>
            <w:r>
              <w:rPr>
                <w:color w:val="1C3A36"/>
                <w:sz w:val="16"/>
              </w:rPr>
              <w:t>5,056</w:t>
            </w:r>
          </w:p>
        </w:tc>
        <w:tc>
          <w:tcPr>
            <w:tcW w:type="dxa" w:w="1382"/>
          </w:tcPr>
          <w:p>
            <w:pPr>
              <w:spacing w:after="20"/>
              <w:jc w:val="right"/>
            </w:pPr>
            <w:r>
              <w:rPr>
                <w:color w:val="1C3A36"/>
                <w:sz w:val="16"/>
              </w:rPr>
              <w:t>4,885</w:t>
            </w:r>
          </w:p>
        </w:tc>
      </w:tr>
      <w:tr>
        <w:trPr>
          <w:cantSplit/>
        </w:trPr>
        <w:tc>
          <w:tcPr>
            <w:tcW w:type="dxa" w:w="3168"/>
          </w:tcPr>
          <w:p>
            <w:pPr>
              <w:spacing w:after="20"/>
            </w:pPr>
            <w:r>
              <w:rPr>
                <w:color w:val="1C3A36"/>
                <w:sz w:val="16"/>
              </w:rPr>
              <w:t>Less operating costs</w:t>
            </w:r>
          </w:p>
        </w:tc>
        <w:tc>
          <w:tcPr>
            <w:tcW w:type="dxa" w:w="1382"/>
          </w:tcPr>
          <w:p>
            <w:pPr>
              <w:spacing w:after="20"/>
              <w:jc w:val="right"/>
            </w:pPr>
            <w:r>
              <w:rPr>
                <w:color w:val="1C3A36"/>
                <w:sz w:val="16"/>
              </w:rPr>
              <w:t>(2,814)</w:t>
            </w:r>
          </w:p>
        </w:tc>
        <w:tc>
          <w:tcPr>
            <w:tcW w:type="dxa" w:w="1382"/>
          </w:tcPr>
          <w:p>
            <w:pPr>
              <w:spacing w:after="20"/>
              <w:jc w:val="right"/>
            </w:pPr>
            <w:r>
              <w:rPr>
                <w:color w:val="1C3A36"/>
                <w:sz w:val="16"/>
              </w:rPr>
              <w:t>(2,932)</w:t>
            </w:r>
          </w:p>
        </w:tc>
        <w:tc>
          <w:tcPr>
            <w:tcW w:type="dxa" w:w="1382"/>
          </w:tcPr>
          <w:p>
            <w:pPr>
              <w:spacing w:after="20"/>
              <w:jc w:val="right"/>
            </w:pPr>
            <w:r>
              <w:rPr>
                <w:color w:val="1C3A36"/>
                <w:sz w:val="16"/>
              </w:rPr>
              <w:t>(3,025)</w:t>
            </w:r>
          </w:p>
        </w:tc>
        <w:tc>
          <w:tcPr>
            <w:tcW w:type="dxa" w:w="1382"/>
          </w:tcPr>
          <w:p>
            <w:pPr>
              <w:spacing w:after="20"/>
              <w:jc w:val="right"/>
            </w:pPr>
            <w:r>
              <w:rPr>
                <w:color w:val="1C3A36"/>
                <w:sz w:val="16"/>
              </w:rPr>
              <w:t>(3,034)</w:t>
            </w:r>
          </w:p>
        </w:tc>
        <w:tc>
          <w:tcPr>
            <w:tcW w:type="dxa" w:w="1382"/>
          </w:tcPr>
          <w:p>
            <w:pPr>
              <w:spacing w:after="20"/>
              <w:jc w:val="right"/>
            </w:pPr>
            <w:r>
              <w:rPr>
                <w:color w:val="1C3A36"/>
                <w:sz w:val="16"/>
              </w:rPr>
              <w:t>(3,020)</w:t>
            </w:r>
          </w:p>
        </w:tc>
      </w:tr>
      <w:tr>
        <w:trPr>
          <w:cantSplit/>
        </w:trPr>
        <w:tc>
          <w:tcPr>
            <w:tcW w:type="dxa" w:w="3168"/>
          </w:tcPr>
          <w:p>
            <w:pPr>
              <w:spacing w:after="20"/>
            </w:pPr>
            <w:r>
              <w:rPr>
                <w:color w:val="1C3A36"/>
                <w:sz w:val="16"/>
              </w:rPr>
              <w:t>Earnings before interest, tax, depreciation and amortisation</w:t>
            </w:r>
          </w:p>
        </w:tc>
        <w:tc>
          <w:tcPr>
            <w:tcW w:type="dxa" w:w="1382"/>
          </w:tcPr>
          <w:p>
            <w:pPr>
              <w:spacing w:after="20"/>
              <w:jc w:val="right"/>
            </w:pPr>
            <w:r>
              <w:rPr>
                <w:color w:val="1C3A36"/>
                <w:sz w:val="16"/>
              </w:rPr>
              <w:t>1,900</w:t>
            </w:r>
          </w:p>
        </w:tc>
        <w:tc>
          <w:tcPr>
            <w:tcW w:type="dxa" w:w="1382"/>
          </w:tcPr>
          <w:p>
            <w:pPr>
              <w:spacing w:after="20"/>
              <w:jc w:val="right"/>
            </w:pPr>
            <w:r>
              <w:rPr>
                <w:color w:val="1C3A36"/>
                <w:sz w:val="16"/>
              </w:rPr>
              <w:t>2,036</w:t>
            </w:r>
          </w:p>
        </w:tc>
        <w:tc>
          <w:tcPr>
            <w:tcW w:type="dxa" w:w="1382"/>
          </w:tcPr>
          <w:p>
            <w:pPr>
              <w:spacing w:after="20"/>
              <w:jc w:val="right"/>
            </w:pPr>
            <w:r>
              <w:rPr>
                <w:color w:val="1C3A36"/>
                <w:sz w:val="16"/>
              </w:rPr>
              <w:t>2,119</w:t>
            </w:r>
          </w:p>
        </w:tc>
        <w:tc>
          <w:tcPr>
            <w:tcW w:type="dxa" w:w="1382"/>
          </w:tcPr>
          <w:p>
            <w:pPr>
              <w:spacing w:after="20"/>
              <w:jc w:val="right"/>
            </w:pPr>
            <w:r>
              <w:rPr>
                <w:color w:val="1C3A36"/>
                <w:sz w:val="16"/>
              </w:rPr>
              <w:t>2,022</w:t>
            </w:r>
          </w:p>
        </w:tc>
        <w:tc>
          <w:tcPr>
            <w:tcW w:type="dxa" w:w="1382"/>
          </w:tcPr>
          <w:p>
            <w:pPr>
              <w:spacing w:after="20"/>
              <w:jc w:val="right"/>
            </w:pPr>
            <w:r>
              <w:rPr>
                <w:color w:val="1C3A36"/>
                <w:sz w:val="16"/>
              </w:rPr>
              <w:t>1,865</w:t>
            </w:r>
          </w:p>
        </w:tc>
      </w:tr>
      <w:tr>
        <w:trPr>
          <w:cantSplit/>
        </w:trPr>
        <w:tc>
          <w:tcPr>
            <w:tcW w:type="dxa" w:w="3168"/>
          </w:tcPr>
          <w:p>
            <w:pPr>
              <w:spacing w:after="20"/>
            </w:pPr>
            <w:r>
              <w:rPr>
                <w:color w:val="1C3A36"/>
                <w:sz w:val="16"/>
              </w:rPr>
              <w:t xml:space="preserve">  margin on revenue</w:t>
            </w:r>
          </w:p>
        </w:tc>
        <w:tc>
          <w:tcPr>
            <w:tcW w:type="dxa" w:w="1382"/>
          </w:tcPr>
          <w:p>
            <w:pPr>
              <w:spacing w:after="20"/>
              <w:jc w:val="right"/>
            </w:pPr>
            <w:r>
              <w:rPr>
                <w:color w:val="1C3A36"/>
                <w:sz w:val="16"/>
              </w:rPr>
              <w:t>40.3%</w:t>
            </w:r>
          </w:p>
        </w:tc>
        <w:tc>
          <w:tcPr>
            <w:tcW w:type="dxa" w:w="1382"/>
          </w:tcPr>
          <w:p>
            <w:pPr>
              <w:spacing w:after="20"/>
              <w:jc w:val="right"/>
            </w:pPr>
            <w:r>
              <w:rPr>
                <w:color w:val="1C3A36"/>
                <w:sz w:val="16"/>
              </w:rPr>
              <w:t>41.0%</w:t>
            </w:r>
          </w:p>
        </w:tc>
        <w:tc>
          <w:tcPr>
            <w:tcW w:type="dxa" w:w="1382"/>
          </w:tcPr>
          <w:p>
            <w:pPr>
              <w:spacing w:after="20"/>
              <w:jc w:val="right"/>
            </w:pPr>
            <w:r>
              <w:rPr>
                <w:color w:val="1C3A36"/>
                <w:sz w:val="16"/>
              </w:rPr>
              <w:t>41.2%</w:t>
            </w:r>
          </w:p>
        </w:tc>
        <w:tc>
          <w:tcPr>
            <w:tcW w:type="dxa" w:w="1382"/>
          </w:tcPr>
          <w:p>
            <w:pPr>
              <w:spacing w:after="20"/>
              <w:jc w:val="right"/>
            </w:pPr>
            <w:r>
              <w:rPr>
                <w:color w:val="1C3A36"/>
                <w:sz w:val="16"/>
              </w:rPr>
              <w:t>40.0%</w:t>
            </w:r>
          </w:p>
        </w:tc>
        <w:tc>
          <w:tcPr>
            <w:tcW w:type="dxa" w:w="1382"/>
          </w:tcPr>
          <w:p>
            <w:pPr>
              <w:spacing w:after="20"/>
              <w:jc w:val="right"/>
            </w:pPr>
            <w:r>
              <w:rPr>
                <w:color w:val="1C3A36"/>
                <w:sz w:val="16"/>
              </w:rPr>
              <w:t>38.2%</w:t>
            </w:r>
          </w:p>
        </w:tc>
      </w:tr>
      <w:tr>
        <w:trPr>
          <w:cantSplit/>
        </w:trPr>
        <w:tc>
          <w:tcPr>
            <w:tcW w:type="dxa" w:w="3168"/>
          </w:tcPr>
          <w:p>
            <w:pPr>
              <w:spacing w:after="20"/>
            </w:pPr>
            <w:r>
              <w:rPr>
                <w:color w:val="1C3A36"/>
                <w:sz w:val="16"/>
              </w:rPr>
              <w:t>Less depreciation and amortisation</w:t>
            </w:r>
          </w:p>
        </w:tc>
        <w:tc>
          <w:tcPr>
            <w:tcW w:type="dxa" w:w="1382"/>
          </w:tcPr>
          <w:p>
            <w:pPr>
              <w:spacing w:after="20"/>
              <w:jc w:val="right"/>
            </w:pPr>
            <w:r>
              <w:rPr>
                <w:color w:val="1C3A36"/>
                <w:sz w:val="16"/>
              </w:rPr>
              <w:t>(538)</w:t>
            </w:r>
          </w:p>
        </w:tc>
        <w:tc>
          <w:tcPr>
            <w:tcW w:type="dxa" w:w="1382"/>
          </w:tcPr>
          <w:p>
            <w:pPr>
              <w:spacing w:after="20"/>
              <w:jc w:val="right"/>
            </w:pPr>
            <w:r>
              <w:rPr>
                <w:color w:val="1C3A36"/>
                <w:sz w:val="16"/>
              </w:rPr>
              <w:t>(590)</w:t>
            </w:r>
          </w:p>
        </w:tc>
        <w:tc>
          <w:tcPr>
            <w:tcW w:type="dxa" w:w="1382"/>
          </w:tcPr>
          <w:p>
            <w:pPr>
              <w:spacing w:after="20"/>
              <w:jc w:val="right"/>
            </w:pPr>
            <w:r>
              <w:rPr>
                <w:color w:val="1C3A36"/>
                <w:sz w:val="16"/>
              </w:rPr>
              <w:t>(636)</w:t>
            </w:r>
          </w:p>
        </w:tc>
        <w:tc>
          <w:tcPr>
            <w:tcW w:type="dxa" w:w="1382"/>
          </w:tcPr>
          <w:p>
            <w:pPr>
              <w:spacing w:after="20"/>
              <w:jc w:val="right"/>
            </w:pPr>
            <w:r>
              <w:rPr>
                <w:color w:val="1C3A36"/>
                <w:sz w:val="16"/>
              </w:rPr>
              <w:t>(664)</w:t>
            </w:r>
          </w:p>
        </w:tc>
        <w:tc>
          <w:tcPr>
            <w:tcW w:type="dxa" w:w="1382"/>
          </w:tcPr>
          <w:p>
            <w:pPr>
              <w:spacing w:after="20"/>
              <w:jc w:val="right"/>
            </w:pPr>
            <w:r>
              <w:rPr>
                <w:color w:val="1C3A36"/>
                <w:sz w:val="16"/>
              </w:rPr>
              <w:t>(674)</w:t>
            </w:r>
          </w:p>
        </w:tc>
      </w:tr>
      <w:tr>
        <w:trPr>
          <w:cantSplit/>
        </w:trPr>
        <w:tc>
          <w:tcPr>
            <w:tcW w:type="dxa" w:w="3168"/>
          </w:tcPr>
          <w:p>
            <w:pPr>
              <w:spacing w:after="20"/>
            </w:pPr>
            <w:r>
              <w:rPr>
                <w:color w:val="1C3A36"/>
                <w:sz w:val="16"/>
              </w:rPr>
              <w:t>Earnings before interest and tax</w:t>
            </w:r>
          </w:p>
        </w:tc>
        <w:tc>
          <w:tcPr>
            <w:tcW w:type="dxa" w:w="1382"/>
          </w:tcPr>
          <w:p>
            <w:pPr>
              <w:spacing w:after="20"/>
              <w:jc w:val="right"/>
            </w:pPr>
            <w:r>
              <w:rPr>
                <w:color w:val="1C3A36"/>
                <w:sz w:val="16"/>
              </w:rPr>
              <w:t>1,362</w:t>
            </w:r>
          </w:p>
        </w:tc>
        <w:tc>
          <w:tcPr>
            <w:tcW w:type="dxa" w:w="1382"/>
          </w:tcPr>
          <w:p>
            <w:pPr>
              <w:spacing w:after="20"/>
              <w:jc w:val="right"/>
            </w:pPr>
            <w:r>
              <w:rPr>
                <w:color w:val="1C3A36"/>
                <w:sz w:val="16"/>
              </w:rPr>
              <w:t>1,446</w:t>
            </w:r>
          </w:p>
        </w:tc>
        <w:tc>
          <w:tcPr>
            <w:tcW w:type="dxa" w:w="1382"/>
          </w:tcPr>
          <w:p>
            <w:pPr>
              <w:spacing w:after="20"/>
              <w:jc w:val="right"/>
            </w:pPr>
            <w:r>
              <w:rPr>
                <w:color w:val="1C3A36"/>
                <w:sz w:val="16"/>
              </w:rPr>
              <w:t>1,483</w:t>
            </w:r>
          </w:p>
        </w:tc>
        <w:tc>
          <w:tcPr>
            <w:tcW w:type="dxa" w:w="1382"/>
          </w:tcPr>
          <w:p>
            <w:pPr>
              <w:spacing w:after="20"/>
              <w:jc w:val="right"/>
            </w:pPr>
            <w:r>
              <w:rPr>
                <w:color w:val="1C3A36"/>
                <w:sz w:val="16"/>
              </w:rPr>
              <w:t>1,358</w:t>
            </w:r>
          </w:p>
        </w:tc>
        <w:tc>
          <w:tcPr>
            <w:tcW w:type="dxa" w:w="1382"/>
          </w:tcPr>
          <w:p>
            <w:pPr>
              <w:spacing w:after="20"/>
              <w:jc w:val="right"/>
            </w:pPr>
            <w:r>
              <w:rPr>
                <w:color w:val="1C3A36"/>
                <w:sz w:val="16"/>
              </w:rPr>
              <w:t>1,191</w:t>
            </w:r>
          </w:p>
        </w:tc>
      </w:tr>
      <w:tr>
        <w:trPr>
          <w:cantSplit/>
        </w:trPr>
        <w:tc>
          <w:tcPr>
            <w:tcW w:type="dxa" w:w="3168"/>
          </w:tcPr>
          <w:p>
            <w:pPr>
              <w:spacing w:after="20"/>
            </w:pPr>
            <w:r>
              <w:rPr>
                <w:color w:val="1C3A36"/>
                <w:sz w:val="16"/>
              </w:rPr>
              <w:t xml:space="preserve">  effective tax rate on the units</w:t>
            </w:r>
          </w:p>
        </w:tc>
        <w:tc>
          <w:tcPr>
            <w:tcW w:type="dxa" w:w="1382"/>
          </w:tcPr>
          <w:p>
            <w:pPr>
              <w:spacing w:after="20"/>
              <w:jc w:val="right"/>
            </w:pPr>
            <w:r>
              <w:rPr>
                <w:color w:val="1C3A36"/>
                <w:sz w:val="16"/>
              </w:rPr>
              <w:t>3.6%</w:t>
            </w:r>
          </w:p>
        </w:tc>
        <w:tc>
          <w:tcPr>
            <w:tcW w:type="dxa" w:w="1382"/>
          </w:tcPr>
          <w:p>
            <w:pPr>
              <w:spacing w:after="20"/>
              <w:jc w:val="right"/>
            </w:pPr>
            <w:r>
              <w:rPr>
                <w:color w:val="1C3A36"/>
                <w:sz w:val="16"/>
              </w:rPr>
              <w:t>3.8%</w:t>
            </w:r>
          </w:p>
        </w:tc>
        <w:tc>
          <w:tcPr>
            <w:tcW w:type="dxa" w:w="1382"/>
          </w:tcPr>
          <w:p>
            <w:pPr>
              <w:spacing w:after="20"/>
              <w:jc w:val="right"/>
            </w:pPr>
            <w:r>
              <w:rPr>
                <w:color w:val="1C3A36"/>
                <w:sz w:val="16"/>
              </w:rPr>
              <w:t>3.9%</w:t>
            </w:r>
          </w:p>
        </w:tc>
        <w:tc>
          <w:tcPr>
            <w:tcW w:type="dxa" w:w="1382"/>
          </w:tcPr>
          <w:p>
            <w:pPr>
              <w:spacing w:after="20"/>
              <w:jc w:val="right"/>
            </w:pPr>
            <w:r>
              <w:rPr>
                <w:color w:val="1C3A36"/>
                <w:sz w:val="16"/>
              </w:rPr>
              <w:t>4.4%</w:t>
            </w:r>
          </w:p>
        </w:tc>
        <w:tc>
          <w:tcPr>
            <w:tcW w:type="dxa" w:w="1382"/>
          </w:tcPr>
          <w:p>
            <w:pPr>
              <w:spacing w:after="20"/>
              <w:jc w:val="right"/>
            </w:pPr>
            <w:r>
              <w:rPr>
                <w:color w:val="1C3A36"/>
                <w:sz w:val="16"/>
              </w:rPr>
              <w:t>5.1%</w:t>
            </w:r>
          </w:p>
        </w:tc>
      </w:tr>
      <w:tr>
        <w:trPr>
          <w:cantSplit/>
        </w:trPr>
        <w:tc>
          <w:tcPr>
            <w:tcW w:type="dxa" w:w="3168"/>
          </w:tcPr>
          <w:p>
            <w:pPr>
              <w:spacing w:after="20"/>
            </w:pPr>
            <w:r>
              <w:rPr>
                <w:color w:val="1C3A36"/>
                <w:sz w:val="16"/>
              </w:rPr>
              <w:t>Net operating profit after tax — earnings before interest and tax × (1 − t)</w:t>
            </w:r>
          </w:p>
        </w:tc>
        <w:tc>
          <w:tcPr>
            <w:tcW w:type="dxa" w:w="1382"/>
          </w:tcPr>
          <w:p>
            <w:pPr>
              <w:spacing w:after="20"/>
              <w:jc w:val="right"/>
            </w:pPr>
            <w:r>
              <w:rPr>
                <w:color w:val="1C3A36"/>
                <w:sz w:val="16"/>
              </w:rPr>
              <w:t>1,312</w:t>
            </w:r>
          </w:p>
        </w:tc>
        <w:tc>
          <w:tcPr>
            <w:tcW w:type="dxa" w:w="1382"/>
          </w:tcPr>
          <w:p>
            <w:pPr>
              <w:spacing w:after="20"/>
              <w:jc w:val="right"/>
            </w:pPr>
            <w:r>
              <w:rPr>
                <w:color w:val="1C3A36"/>
                <w:sz w:val="16"/>
              </w:rPr>
              <w:t>1,390</w:t>
            </w:r>
          </w:p>
        </w:tc>
        <w:tc>
          <w:tcPr>
            <w:tcW w:type="dxa" w:w="1382"/>
          </w:tcPr>
          <w:p>
            <w:pPr>
              <w:spacing w:after="20"/>
              <w:jc w:val="right"/>
            </w:pPr>
            <w:r>
              <w:rPr>
                <w:color w:val="1C3A36"/>
                <w:sz w:val="16"/>
              </w:rPr>
              <w:t>1,425</w:t>
            </w:r>
          </w:p>
        </w:tc>
        <w:tc>
          <w:tcPr>
            <w:tcW w:type="dxa" w:w="1382"/>
          </w:tcPr>
          <w:p>
            <w:pPr>
              <w:spacing w:after="20"/>
              <w:jc w:val="right"/>
            </w:pPr>
            <w:r>
              <w:rPr>
                <w:color w:val="1C3A36"/>
                <w:sz w:val="16"/>
              </w:rPr>
              <w:t>1,299</w:t>
            </w:r>
          </w:p>
        </w:tc>
        <w:tc>
          <w:tcPr>
            <w:tcW w:type="dxa" w:w="1382"/>
          </w:tcPr>
          <w:p>
            <w:pPr>
              <w:spacing w:after="20"/>
              <w:jc w:val="right"/>
            </w:pPr>
            <w:r>
              <w:rPr>
                <w:color w:val="1C3A36"/>
                <w:sz w:val="16"/>
              </w:rPr>
              <w:t>1,131</w:t>
            </w:r>
          </w:p>
        </w:tc>
      </w:tr>
      <w:tr>
        <w:trPr>
          <w:cantSplit/>
        </w:trPr>
        <w:tc>
          <w:tcPr>
            <w:tcW w:type="dxa" w:w="3168"/>
          </w:tcPr>
          <w:p>
            <w:pPr>
              <w:spacing w:after="20"/>
            </w:pPr>
            <w:r>
              <w:rPr>
                <w:color w:val="1C3A36"/>
                <w:sz w:val="16"/>
              </w:rPr>
              <w:t>Add back depreciation and amortisation</w:t>
            </w:r>
          </w:p>
        </w:tc>
        <w:tc>
          <w:tcPr>
            <w:tcW w:type="dxa" w:w="1382"/>
          </w:tcPr>
          <w:p>
            <w:pPr>
              <w:spacing w:after="20"/>
              <w:jc w:val="right"/>
            </w:pPr>
            <w:r>
              <w:rPr>
                <w:color w:val="1C3A36"/>
                <w:sz w:val="16"/>
              </w:rPr>
              <w:t>538</w:t>
            </w:r>
          </w:p>
        </w:tc>
        <w:tc>
          <w:tcPr>
            <w:tcW w:type="dxa" w:w="1382"/>
          </w:tcPr>
          <w:p>
            <w:pPr>
              <w:spacing w:after="20"/>
              <w:jc w:val="right"/>
            </w:pPr>
            <w:r>
              <w:rPr>
                <w:color w:val="1C3A36"/>
                <w:sz w:val="16"/>
              </w:rPr>
              <w:t>590</w:t>
            </w:r>
          </w:p>
        </w:tc>
        <w:tc>
          <w:tcPr>
            <w:tcW w:type="dxa" w:w="1382"/>
          </w:tcPr>
          <w:p>
            <w:pPr>
              <w:spacing w:after="20"/>
              <w:jc w:val="right"/>
            </w:pPr>
            <w:r>
              <w:rPr>
                <w:color w:val="1C3A36"/>
                <w:sz w:val="16"/>
              </w:rPr>
              <w:t>636</w:t>
            </w:r>
          </w:p>
        </w:tc>
        <w:tc>
          <w:tcPr>
            <w:tcW w:type="dxa" w:w="1382"/>
          </w:tcPr>
          <w:p>
            <w:pPr>
              <w:spacing w:after="20"/>
              <w:jc w:val="right"/>
            </w:pPr>
            <w:r>
              <w:rPr>
                <w:color w:val="1C3A36"/>
                <w:sz w:val="16"/>
              </w:rPr>
              <w:t>664</w:t>
            </w:r>
          </w:p>
        </w:tc>
        <w:tc>
          <w:tcPr>
            <w:tcW w:type="dxa" w:w="1382"/>
          </w:tcPr>
          <w:p>
            <w:pPr>
              <w:spacing w:after="20"/>
              <w:jc w:val="right"/>
            </w:pPr>
            <w:r>
              <w:rPr>
                <w:color w:val="1C3A36"/>
                <w:sz w:val="16"/>
              </w:rPr>
              <w:t>674</w:t>
            </w:r>
          </w:p>
        </w:tc>
      </w:tr>
      <w:tr>
        <w:trPr>
          <w:cantSplit/>
        </w:trPr>
        <w:tc>
          <w:tcPr>
            <w:tcW w:type="dxa" w:w="3168"/>
          </w:tcPr>
          <w:p>
            <w:pPr>
              <w:spacing w:after="20"/>
            </w:pPr>
            <w:r>
              <w:rPr>
                <w:color w:val="1C3A36"/>
                <w:sz w:val="16"/>
              </w:rPr>
              <w:t>Less capital expenditure</w:t>
            </w:r>
          </w:p>
        </w:tc>
        <w:tc>
          <w:tcPr>
            <w:tcW w:type="dxa" w:w="1382"/>
          </w:tcPr>
          <w:p>
            <w:pPr>
              <w:spacing w:after="20"/>
              <w:jc w:val="right"/>
            </w:pPr>
            <w:r>
              <w:rPr>
                <w:color w:val="1C3A36"/>
                <w:sz w:val="16"/>
              </w:rPr>
              <w:t>(1,375)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(700)</w:t>
            </w:r>
          </w:p>
        </w:tc>
        <w:tc>
          <w:tcPr>
            <w:tcW w:type="dxa" w:w="1382"/>
          </w:tcPr>
          <w:p>
            <w:pPr>
              <w:spacing w:after="20"/>
              <w:jc w:val="right"/>
            </w:pPr>
            <w:r>
              <w:rPr>
                <w:color w:val="1C3A36"/>
                <w:sz w:val="16"/>
              </w:rPr>
              <w:t>(650)</w:t>
            </w:r>
          </w:p>
        </w:tc>
      </w:tr>
      <w:tr>
        <w:trPr>
          <w:cantSplit/>
        </w:trPr>
        <w:tc>
          <w:tcPr>
            <w:tcW w:type="dxa" w:w="3168"/>
          </w:tcPr>
          <w:p>
            <w:pPr>
              <w:spacing w:after="20"/>
            </w:pPr>
            <w:r>
              <w:rPr>
                <w:color w:val="1C3A36"/>
                <w:sz w:val="16"/>
              </w:rPr>
              <w:t>Less change in working capital</w:t>
            </w:r>
          </w:p>
        </w:tc>
        <w:tc>
          <w:tcPr>
            <w:tcW w:type="dxa" w:w="1382"/>
          </w:tcPr>
          <w:p>
            <w:pPr>
              <w:spacing w:after="20"/>
              <w:jc w:val="right"/>
            </w:pPr>
            <w:r>
              <w:rPr>
                <w:color w:val="1C3A36"/>
                <w:sz w:val="16"/>
              </w:rPr>
              <w:t>(147)</w:t>
            </w:r>
          </w:p>
        </w:tc>
        <w:tc>
          <w:tcPr>
            <w:tcW w:type="dxa" w:w="1382"/>
          </w:tcPr>
          <w:p>
            <w:pPr>
              <w:spacing w:after="20"/>
              <w:jc w:val="right"/>
            </w:pPr>
            <w:r>
              <w:rPr>
                <w:color w:val="1C3A36"/>
                <w:sz w:val="16"/>
              </w:rPr>
              <w:t>(37)</w:t>
            </w:r>
          </w:p>
        </w:tc>
        <w:tc>
          <w:tcPr>
            <w:tcW w:type="dxa" w:w="1382"/>
          </w:tcPr>
          <w:p>
            <w:pPr>
              <w:spacing w:after="20"/>
              <w:jc w:val="right"/>
            </w:pPr>
            <w:r>
              <w:rPr>
                <w:color w:val="1C3A36"/>
                <w:sz w:val="16"/>
              </w:rPr>
              <w:t>(22)</w:t>
            </w:r>
          </w:p>
        </w:tc>
        <w:tc>
          <w:tcPr>
            <w:tcW w:type="dxa" w:w="1382"/>
          </w:tcPr>
          <w:p>
            <w:pPr>
              <w:spacing w:after="20"/>
              <w:jc w:val="right"/>
            </w:pPr>
            <w:r>
              <w:rPr>
                <w:color w:val="1C3A36"/>
                <w:sz w:val="16"/>
              </w:rPr>
              <w:t>29</w:t>
            </w:r>
          </w:p>
        </w:tc>
        <w:tc>
          <w:tcPr>
            <w:tcW w:type="dxa" w:w="1382"/>
          </w:tcPr>
          <w:p>
            <w:pPr>
              <w:spacing w:after="20"/>
              <w:jc w:val="right"/>
            </w:pPr>
            <w:r>
              <w:rPr>
                <w:color w:val="1C3A36"/>
                <w:sz w:val="16"/>
              </w:rPr>
              <w:t>46</w:t>
            </w:r>
          </w:p>
        </w:tc>
      </w:tr>
      <w:tr>
        <w:trPr>
          <w:cantSplit/>
        </w:trPr>
        <w:tc>
          <w:tcPr>
            <w:tcW w:type="dxa" w:w="3168"/>
            <w:shd w:val="clear" w:color="auto" w:fill="F6F1E6"/>
          </w:tcPr>
          <w:p>
            <w:pPr>
              <w:spacing w:after="20"/>
            </w:pPr>
            <w:r>
              <w:rPr>
                <w:b/>
                <w:color w:val="1C3A36"/>
                <w:sz w:val="16"/>
              </w:rPr>
              <w:t>Free cash flow to the firm</w:t>
            </w:r>
          </w:p>
        </w:tc>
        <w:tc>
          <w:tcPr>
            <w:tcW w:type="dxa" w:w="1382"/>
            <w:shd w:val="clear" w:color="auto" w:fill="F6F1E6"/>
          </w:tcPr>
          <w:p>
            <w:pPr>
              <w:spacing w:after="20"/>
              <w:jc w:val="right"/>
            </w:pPr>
            <w:r>
              <w:rPr>
                <w:b/>
                <w:color w:val="1C3A36"/>
                <w:sz w:val="16"/>
              </w:rPr>
              <w:t>329</w:t>
            </w:r>
          </w:p>
        </w:tc>
        <w:tc>
          <w:tcPr>
            <w:tcW w:type="dxa" w:w="1382"/>
            <w:shd w:val="clear" w:color="auto" w:fill="F6F1E6"/>
          </w:tcPr>
          <w:p>
            <w:pPr>
              <w:spacing w:after="20"/>
              <w:jc w:val="right"/>
            </w:pPr>
            <w:r>
              <w:rPr>
                <w:b/>
                <w:color w:val="1C3A36"/>
                <w:sz w:val="16"/>
              </w:rPr>
              <w:t>698</w:t>
            </w:r>
          </w:p>
        </w:tc>
        <w:tc>
          <w:tcPr>
            <w:tcW w:type="dxa" w:w="1382"/>
            <w:shd w:val="clear" w:color="auto" w:fill="F6F1E6"/>
          </w:tcPr>
          <w:p>
            <w:pPr>
              <w:spacing w:after="20"/>
              <w:jc w:val="right"/>
            </w:pPr>
            <w:r>
              <w:rPr>
                <w:b/>
                <w:color w:val="1C3A36"/>
                <w:sz w:val="16"/>
              </w:rPr>
              <w:t>793</w:t>
            </w:r>
          </w:p>
        </w:tc>
        <w:tc>
          <w:tcPr>
            <w:tcW w:type="dxa" w:w="1382"/>
            <w:shd w:val="clear" w:color="auto" w:fill="F6F1E6"/>
          </w:tcPr>
          <w:p>
            <w:pPr>
              <w:spacing w:after="20"/>
              <w:jc w:val="right"/>
            </w:pPr>
            <w:r>
              <w:rPr>
                <w:b/>
                <w:color w:val="1C3A36"/>
                <w:sz w:val="16"/>
              </w:rPr>
              <w:t>1,292</w:t>
            </w:r>
          </w:p>
        </w:tc>
        <w:tc>
          <w:tcPr>
            <w:tcW w:type="dxa" w:w="1382"/>
            <w:shd w:val="clear" w:color="auto" w:fill="F6F1E6"/>
          </w:tcPr>
          <w:p>
            <w:pPr>
              <w:spacing w:after="20"/>
              <w:jc w:val="right"/>
            </w:pPr>
            <w:r>
              <w:rPr>
                <w:b/>
                <w:color w:val="1C3A36"/>
                <w:sz w:val="16"/>
              </w:rPr>
              <w:t>1,201</w:t>
            </w:r>
          </w:p>
        </w:tc>
      </w:tr>
      <w:tr>
        <w:trPr>
          <w:cantSplit/>
        </w:trPr>
        <w:tc>
          <w:tcPr>
            <w:tcW w:type="dxa" w:w="3168"/>
          </w:tcPr>
          <w:p>
            <w:pPr>
              <w:spacing w:after="20"/>
            </w:pPr>
            <w:r>
              <w:rPr>
                <w:color w:val="1C3A36"/>
                <w:sz w:val="16"/>
              </w:rPr>
              <w:t>Less the first quarter already inside the balance sheet</w:t>
            </w:r>
          </w:p>
        </w:tc>
        <w:tc>
          <w:tcPr>
            <w:tcW w:type="dxa" w:w="1382"/>
          </w:tcPr>
          <w:p>
            <w:pPr>
              <w:spacing w:after="20"/>
              <w:jc w:val="right"/>
            </w:pPr>
            <w:r>
              <w:rPr>
                <w:color w:val="1C3A36"/>
                <w:sz w:val="16"/>
              </w:rPr>
              <w:t>(130)</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r>
      <w:tr>
        <w:trPr>
          <w:cantSplit/>
        </w:trPr>
        <w:tc>
          <w:tcPr>
            <w:tcW w:type="dxa" w:w="3168"/>
          </w:tcPr>
          <w:p>
            <w:pPr>
              <w:spacing w:after="20"/>
            </w:pPr>
            <w:r>
              <w:rPr>
                <w:color w:val="1C3A36"/>
                <w:sz w:val="16"/>
              </w:rPr>
              <w:t>Free cash flow from the valuation date</w:t>
            </w:r>
          </w:p>
        </w:tc>
        <w:tc>
          <w:tcPr>
            <w:tcW w:type="dxa" w:w="1382"/>
          </w:tcPr>
          <w:p>
            <w:pPr>
              <w:spacing w:after="20"/>
              <w:jc w:val="right"/>
            </w:pPr>
            <w:r>
              <w:rPr>
                <w:color w:val="1C3A36"/>
                <w:sz w:val="16"/>
              </w:rPr>
              <w:t>199</w:t>
            </w:r>
          </w:p>
        </w:tc>
        <w:tc>
          <w:tcPr>
            <w:tcW w:type="dxa" w:w="1382"/>
          </w:tcPr>
          <w:p>
            <w:pPr>
              <w:spacing w:after="20"/>
              <w:jc w:val="right"/>
            </w:pPr>
            <w:r>
              <w:rPr>
                <w:color w:val="1C3A36"/>
                <w:sz w:val="16"/>
              </w:rPr>
              <w:t>698</w:t>
            </w:r>
          </w:p>
        </w:tc>
        <w:tc>
          <w:tcPr>
            <w:tcW w:type="dxa" w:w="1382"/>
          </w:tcPr>
          <w:p>
            <w:pPr>
              <w:spacing w:after="20"/>
              <w:jc w:val="right"/>
            </w:pPr>
            <w:r>
              <w:rPr>
                <w:color w:val="1C3A36"/>
                <w:sz w:val="16"/>
              </w:rPr>
              <w:t>793</w:t>
            </w:r>
          </w:p>
        </w:tc>
        <w:tc>
          <w:tcPr>
            <w:tcW w:type="dxa" w:w="1382"/>
          </w:tcPr>
          <w:p>
            <w:pPr>
              <w:spacing w:after="20"/>
              <w:jc w:val="right"/>
            </w:pPr>
            <w:r>
              <w:rPr>
                <w:color w:val="1C3A36"/>
                <w:sz w:val="16"/>
              </w:rPr>
              <w:t>1,292</w:t>
            </w:r>
          </w:p>
        </w:tc>
        <w:tc>
          <w:tcPr>
            <w:tcW w:type="dxa" w:w="1382"/>
          </w:tcPr>
          <w:p>
            <w:pPr>
              <w:spacing w:after="20"/>
              <w:jc w:val="right"/>
            </w:pPr>
            <w:r>
              <w:rPr>
                <w:color w:val="1C3A36"/>
                <w:sz w:val="16"/>
              </w:rPr>
              <w:t>1,201</w:t>
            </w:r>
          </w:p>
        </w:tc>
      </w:tr>
      <w:tr>
        <w:trPr>
          <w:cantSplit/>
        </w:trPr>
        <w:tc>
          <w:tcPr>
            <w:tcW w:type="dxa" w:w="3168"/>
          </w:tcPr>
          <w:p>
            <w:pPr>
              <w:spacing w:after="20"/>
            </w:pPr>
            <w:r>
              <w:rPr>
                <w:color w:val="1C3A36"/>
                <w:sz w:val="16"/>
              </w:rPr>
              <w:t>Cost of capital that year</w:t>
            </w:r>
          </w:p>
        </w:tc>
        <w:tc>
          <w:tcPr>
            <w:tcW w:type="dxa" w:w="1382"/>
          </w:tcPr>
          <w:p>
            <w:pPr>
              <w:spacing w:after="20"/>
              <w:jc w:val="right"/>
            </w:pPr>
            <w:r>
              <w:rPr>
                <w:color w:val="1C3A36"/>
                <w:sz w:val="16"/>
              </w:rPr>
              <w:t>8.34%</w:t>
            </w:r>
          </w:p>
        </w:tc>
        <w:tc>
          <w:tcPr>
            <w:tcW w:type="dxa" w:w="1382"/>
          </w:tcPr>
          <w:p>
            <w:pPr>
              <w:spacing w:after="20"/>
              <w:jc w:val="right"/>
            </w:pPr>
            <w:r>
              <w:rPr>
                <w:color w:val="1C3A36"/>
                <w:sz w:val="16"/>
              </w:rPr>
              <w:t>8.18%</w:t>
            </w:r>
          </w:p>
        </w:tc>
        <w:tc>
          <w:tcPr>
            <w:tcW w:type="dxa" w:w="1382"/>
          </w:tcPr>
          <w:p>
            <w:pPr>
              <w:spacing w:after="20"/>
              <w:jc w:val="right"/>
            </w:pPr>
            <w:r>
              <w:rPr>
                <w:color w:val="1C3A36"/>
                <w:sz w:val="16"/>
              </w:rPr>
              <w:t>8.03%</w:t>
            </w:r>
          </w:p>
        </w:tc>
        <w:tc>
          <w:tcPr>
            <w:tcW w:type="dxa" w:w="1382"/>
          </w:tcPr>
          <w:p>
            <w:pPr>
              <w:spacing w:after="20"/>
              <w:jc w:val="right"/>
            </w:pPr>
            <w:r>
              <w:rPr>
                <w:color w:val="1C3A36"/>
                <w:sz w:val="16"/>
              </w:rPr>
              <w:t>7.88%</w:t>
            </w:r>
          </w:p>
        </w:tc>
        <w:tc>
          <w:tcPr>
            <w:tcW w:type="dxa" w:w="1382"/>
          </w:tcPr>
          <w:p>
            <w:pPr>
              <w:spacing w:after="20"/>
              <w:jc w:val="right"/>
            </w:pPr>
            <w:r>
              <w:rPr>
                <w:color w:val="1C3A36"/>
                <w:sz w:val="16"/>
              </w:rPr>
              <w:t>7.73%</w:t>
            </w:r>
          </w:p>
        </w:tc>
      </w:tr>
      <w:tr>
        <w:trPr>
          <w:cantSplit/>
        </w:trPr>
        <w:tc>
          <w:tcPr>
            <w:tcW w:type="dxa" w:w="3168"/>
          </w:tcPr>
          <w:p>
            <w:pPr>
              <w:spacing w:after="20"/>
            </w:pPr>
            <w:r>
              <w:rPr>
                <w:color w:val="1C3A36"/>
                <w:sz w:val="16"/>
              </w:rPr>
              <w:t>Discount factor</w:t>
            </w:r>
          </w:p>
        </w:tc>
        <w:tc>
          <w:tcPr>
            <w:tcW w:type="dxa" w:w="1382"/>
          </w:tcPr>
          <w:p>
            <w:pPr>
              <w:spacing w:after="20"/>
              <w:jc w:val="right"/>
            </w:pPr>
            <w:r>
              <w:rPr>
                <w:color w:val="1C3A36"/>
                <w:sz w:val="16"/>
              </w:rPr>
              <w:t>0.9417</w:t>
            </w:r>
          </w:p>
        </w:tc>
        <w:tc>
          <w:tcPr>
            <w:tcW w:type="dxa" w:w="1382"/>
          </w:tcPr>
          <w:p>
            <w:pPr>
              <w:spacing w:after="20"/>
              <w:jc w:val="right"/>
            </w:pPr>
            <w:r>
              <w:rPr>
                <w:color w:val="1C3A36"/>
                <w:sz w:val="16"/>
              </w:rPr>
              <w:t>0.8705</w:t>
            </w:r>
          </w:p>
        </w:tc>
        <w:tc>
          <w:tcPr>
            <w:tcW w:type="dxa" w:w="1382"/>
          </w:tcPr>
          <w:p>
            <w:pPr>
              <w:spacing w:after="20"/>
              <w:jc w:val="right"/>
            </w:pPr>
            <w:r>
              <w:rPr>
                <w:color w:val="1C3A36"/>
                <w:sz w:val="16"/>
              </w:rPr>
              <w:t>0.8057</w:t>
            </w:r>
          </w:p>
        </w:tc>
        <w:tc>
          <w:tcPr>
            <w:tcW w:type="dxa" w:w="1382"/>
          </w:tcPr>
          <w:p>
            <w:pPr>
              <w:spacing w:after="20"/>
              <w:jc w:val="right"/>
            </w:pPr>
            <w:r>
              <w:rPr>
                <w:color w:val="1C3A36"/>
                <w:sz w:val="16"/>
              </w:rPr>
              <w:t>0.7469</w:t>
            </w:r>
          </w:p>
        </w:tc>
        <w:tc>
          <w:tcPr>
            <w:tcW w:type="dxa" w:w="1382"/>
          </w:tcPr>
          <w:p>
            <w:pPr>
              <w:spacing w:after="20"/>
              <w:jc w:val="right"/>
            </w:pPr>
            <w:r>
              <w:rPr>
                <w:color w:val="1C3A36"/>
                <w:sz w:val="16"/>
              </w:rPr>
              <w:t>0.6932</w:t>
            </w:r>
          </w:p>
        </w:tc>
      </w:tr>
      <w:tr>
        <w:trPr>
          <w:cantSplit/>
        </w:trPr>
        <w:tc>
          <w:tcPr>
            <w:tcW w:type="dxa" w:w="3168"/>
            <w:shd w:val="clear" w:color="auto" w:fill="F6F1E6"/>
          </w:tcPr>
          <w:p>
            <w:pPr>
              <w:spacing w:after="20"/>
            </w:pPr>
            <w:r>
              <w:rPr>
                <w:b/>
                <w:color w:val="1C3A36"/>
                <w:sz w:val="16"/>
              </w:rPr>
              <w:t>Present value of free cash flow</w:t>
            </w:r>
          </w:p>
        </w:tc>
        <w:tc>
          <w:tcPr>
            <w:tcW w:type="dxa" w:w="1382"/>
            <w:shd w:val="clear" w:color="auto" w:fill="F6F1E6"/>
          </w:tcPr>
          <w:p>
            <w:pPr>
              <w:spacing w:after="20"/>
              <w:jc w:val="right"/>
            </w:pPr>
            <w:r>
              <w:rPr>
                <w:b/>
                <w:color w:val="1C3A36"/>
                <w:sz w:val="16"/>
              </w:rPr>
              <w:t>187</w:t>
            </w:r>
          </w:p>
        </w:tc>
        <w:tc>
          <w:tcPr>
            <w:tcW w:type="dxa" w:w="1382"/>
            <w:shd w:val="clear" w:color="auto" w:fill="F6F1E6"/>
          </w:tcPr>
          <w:p>
            <w:pPr>
              <w:spacing w:after="20"/>
              <w:jc w:val="right"/>
            </w:pPr>
            <w:r>
              <w:rPr>
                <w:b/>
                <w:color w:val="1C3A36"/>
                <w:sz w:val="16"/>
              </w:rPr>
              <w:t>608</w:t>
            </w:r>
          </w:p>
        </w:tc>
        <w:tc>
          <w:tcPr>
            <w:tcW w:type="dxa" w:w="1382"/>
            <w:shd w:val="clear" w:color="auto" w:fill="F6F1E6"/>
          </w:tcPr>
          <w:p>
            <w:pPr>
              <w:spacing w:after="20"/>
              <w:jc w:val="right"/>
            </w:pPr>
            <w:r>
              <w:rPr>
                <w:b/>
                <w:color w:val="1C3A36"/>
                <w:sz w:val="16"/>
              </w:rPr>
              <w:t>639</w:t>
            </w:r>
          </w:p>
        </w:tc>
        <w:tc>
          <w:tcPr>
            <w:tcW w:type="dxa" w:w="1382"/>
            <w:shd w:val="clear" w:color="auto" w:fill="F6F1E6"/>
          </w:tcPr>
          <w:p>
            <w:pPr>
              <w:spacing w:after="20"/>
              <w:jc w:val="right"/>
            </w:pPr>
            <w:r>
              <w:rPr>
                <w:b/>
                <w:color w:val="1C3A36"/>
                <w:sz w:val="16"/>
              </w:rPr>
              <w:t>965</w:t>
            </w:r>
          </w:p>
        </w:tc>
        <w:tc>
          <w:tcPr>
            <w:tcW w:type="dxa" w:w="1382"/>
            <w:shd w:val="clear" w:color="auto" w:fill="F6F1E6"/>
          </w:tcPr>
          <w:p>
            <w:pPr>
              <w:spacing w:after="20"/>
              <w:jc w:val="right"/>
            </w:pPr>
            <w:r>
              <w:rPr>
                <w:b/>
                <w:color w:val="1C3A36"/>
                <w:sz w:val="16"/>
              </w:rPr>
              <w:t>833</w:t>
            </w:r>
          </w:p>
        </w:tc>
      </w:tr>
    </w:tbl>
    <w:p>
      <w:pPr>
        <w:spacing w:after="40"/>
      </w:pPr>
    </w:p>
    <w:p>
      <w:pPr>
        <w:spacing w:after="200" w:before="0"/>
      </w:pPr>
      <w:r>
        <w:rPr>
          <w:b w:val="0"/>
          <w:i/>
          <w:color w:val="6E7B77"/>
          <w:sz w:val="17"/>
        </w:rPr>
        <w:t>Every line is computed, not typed. The waterfall runs earnings before interest, tax, depreciation and amortisation → depreciation and amortisation → earnings before interest and tax → net operating profit after tax → add back depreciation → less capital expenditure → less the change in working capital → free cash flow to the firm → discount factor → present value. Two conventions are visible in the first column and both are deliberate. The valuation date is 2026-03-31, so only three quarters of 2026 are discounted and the first quarter's own free cash flow of USD 130 million is removed rather than counted twice — it is already inside the net debt the bridge subtracts. And tax is charged unit by unit at each unit's own disclosed effective rate, which is why the group rate runs near 3.6% rather than the 9% statutory rate: international shipping income is relieved under UAE law and the shipping units bore about 1% in FY2025. Working capital is carried at the collection, inventory and payment cycle the FY2025 statements actually show.</w:t>
      </w:r>
    </w:p>
    <w:p>
      <w:pPr>
        <w:keepNext/>
        <w:spacing w:after="80" w:before="200"/>
      </w:pPr>
      <w:r>
        <w:rPr>
          <w:b/>
          <w:i w:val="0"/>
          <w:color w:val="1C3A36"/>
          <w:sz w:val="24"/>
        </w:rPr>
        <w:t>The bridge from enterprise value to the equity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368"/>
        <w:gridCol w:w="5040"/>
      </w:tblGrid>
      <w:tr>
        <w:trPr>
          <w:cantSplit/>
          <w:tblHeader/>
        </w:trPr>
        <w:tc>
          <w:tcPr>
            <w:tcW w:type="dxa" w:w="3672"/>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USD mn</w:t>
            </w:r>
          </w:p>
        </w:tc>
        <w:tc>
          <w:tcPr>
            <w:tcW w:type="dxa" w:w="5040"/>
            <w:shd w:val="clear" w:color="auto" w:fill="EAF0EE"/>
          </w:tcPr>
          <w:p>
            <w:pPr>
              <w:spacing w:after="20"/>
              <w:jc w:val="left"/>
            </w:pPr>
            <w:r>
              <w:rPr>
                <w:b/>
                <w:color w:val="1C3A36"/>
                <w:sz w:val="16"/>
              </w:rPr>
              <w:t>Note</w:t>
            </w:r>
          </w:p>
        </w:tc>
      </w:tr>
      <w:tr>
        <w:trPr>
          <w:cantSplit/>
        </w:trPr>
        <w:tc>
          <w:tcPr>
            <w:tcW w:type="dxa" w:w="3672"/>
          </w:tcPr>
          <w:p>
            <w:pPr>
              <w:spacing w:after="20"/>
            </w:pPr>
            <w:r>
              <w:rPr>
                <w:color w:val="1C3A36"/>
                <w:sz w:val="16"/>
              </w:rPr>
              <w:t>Present value of the five forecast years</w:t>
            </w:r>
          </w:p>
        </w:tc>
        <w:tc>
          <w:tcPr>
            <w:tcW w:type="dxa" w:w="1368"/>
          </w:tcPr>
          <w:p>
            <w:pPr>
              <w:spacing w:after="20"/>
              <w:jc w:val="right"/>
            </w:pPr>
            <w:r>
              <w:rPr>
                <w:color w:val="1C3A36"/>
                <w:sz w:val="16"/>
              </w:rPr>
              <w:t>3,232</w:t>
            </w:r>
          </w:p>
        </w:tc>
        <w:tc>
          <w:tcPr>
            <w:tcW w:type="dxa" w:w="5040"/>
          </w:tcPr>
          <w:p>
            <w:pPr>
              <w:spacing w:after="20"/>
              <w:jc w:val="left"/>
            </w:pPr>
            <w:r>
              <w:rPr>
                <w:color w:val="1C3A36"/>
                <w:sz w:val="16"/>
              </w:rPr>
              <w:t>the sum of the present-value row above</w:t>
            </w:r>
          </w:p>
        </w:tc>
      </w:tr>
      <w:tr>
        <w:trPr>
          <w:cantSplit/>
        </w:trPr>
        <w:tc>
          <w:tcPr>
            <w:tcW w:type="dxa" w:w="3672"/>
          </w:tcPr>
          <w:p>
            <w:pPr>
              <w:spacing w:after="20"/>
            </w:pPr>
            <w:r>
              <w:rPr>
                <w:color w:val="1C3A36"/>
                <w:sz w:val="16"/>
              </w:rPr>
              <w:t>Terminal-year free cash flow</w:t>
            </w:r>
          </w:p>
        </w:tc>
        <w:tc>
          <w:tcPr>
            <w:tcW w:type="dxa" w:w="1368"/>
          </w:tcPr>
          <w:p>
            <w:pPr>
              <w:spacing w:after="20"/>
              <w:jc w:val="right"/>
            </w:pPr>
            <w:r>
              <w:rPr>
                <w:color w:val="1C3A36"/>
                <w:sz w:val="16"/>
              </w:rPr>
              <w:t>947</w:t>
            </w:r>
          </w:p>
        </w:tc>
        <w:tc>
          <w:tcPr>
            <w:tcW w:type="dxa" w:w="5040"/>
          </w:tcPr>
          <w:p>
            <w:pPr>
              <w:spacing w:after="20"/>
              <w:jc w:val="left"/>
            </w:pPr>
            <w:r>
              <w:rPr>
                <w:color w:val="1C3A36"/>
                <w:sz w:val="16"/>
              </w:rPr>
              <w:t>2030E net operating profit after tax grown 2% and multiplied by one less the reinvestment rate of 17.9%; that reinvestment rate is forced to equal growth divided by the terminal return on invested capital of 11.2%, so the growth in the perpetuity is paid for rather than assumed free</w:t>
            </w:r>
          </w:p>
        </w:tc>
      </w:tr>
      <w:tr>
        <w:trPr>
          <w:cantSplit/>
        </w:trPr>
        <w:tc>
          <w:tcPr>
            <w:tcW w:type="dxa" w:w="3672"/>
          </w:tcPr>
          <w:p>
            <w:pPr>
              <w:spacing w:after="20"/>
            </w:pPr>
            <w:r>
              <w:rPr>
                <w:color w:val="1C3A36"/>
                <w:sz w:val="16"/>
              </w:rPr>
              <w:t>Present value of the terminal value</w:t>
            </w:r>
          </w:p>
        </w:tc>
        <w:tc>
          <w:tcPr>
            <w:tcW w:type="dxa" w:w="1368"/>
          </w:tcPr>
          <w:p>
            <w:pPr>
              <w:spacing w:after="20"/>
              <w:jc w:val="right"/>
            </w:pPr>
            <w:r>
              <w:rPr>
                <w:color w:val="1C3A36"/>
                <w:sz w:val="16"/>
              </w:rPr>
              <w:t>11,453</w:t>
            </w:r>
          </w:p>
        </w:tc>
        <w:tc>
          <w:tcPr>
            <w:tcW w:type="dxa" w:w="5040"/>
          </w:tcPr>
          <w:p>
            <w:pPr>
              <w:spacing w:after="20"/>
              <w:jc w:val="left"/>
            </w:pPr>
            <w:r>
              <w:rPr>
                <w:color w:val="1C3A36"/>
                <w:sz w:val="16"/>
              </w:rPr>
              <w:t>the terminal cash flow capitalised at 7.7% less 2% = USD 16,521 million, discounted at the same year-five factor of 0.6932 that the year-five cash flow uses</w:t>
            </w:r>
          </w:p>
        </w:tc>
      </w:tr>
      <w:tr>
        <w:trPr>
          <w:cantSplit/>
        </w:trPr>
        <w:tc>
          <w:tcPr>
            <w:tcW w:type="dxa" w:w="3672"/>
          </w:tcPr>
          <w:p>
            <w:pPr>
              <w:spacing w:after="20"/>
            </w:pPr>
            <w:r>
              <w:rPr>
                <w:color w:val="1C3A36"/>
                <w:sz w:val="16"/>
              </w:rPr>
              <w:t>Enterprise value of the operations</w:t>
            </w:r>
          </w:p>
        </w:tc>
        <w:tc>
          <w:tcPr>
            <w:tcW w:type="dxa" w:w="1368"/>
          </w:tcPr>
          <w:p>
            <w:pPr>
              <w:spacing w:after="20"/>
              <w:jc w:val="right"/>
            </w:pPr>
            <w:r>
              <w:rPr>
                <w:color w:val="1C3A36"/>
                <w:sz w:val="16"/>
              </w:rPr>
              <w:t>14,685</w:t>
            </w:r>
          </w:p>
        </w:tc>
        <w:tc>
          <w:tcPr>
            <w:tcW w:type="dxa" w:w="5040"/>
          </w:tcPr>
          <w:p>
            <w:pPr>
              <w:spacing w:after="20"/>
              <w:jc w:val="left"/>
            </w:pPr>
            <w:r>
              <w:rPr>
                <w:color w:val="1C3A36"/>
                <w:sz w:val="16"/>
              </w:rPr>
              <w:t>the two lines above</w:t>
            </w:r>
          </w:p>
        </w:tc>
      </w:tr>
      <w:tr>
        <w:trPr>
          <w:cantSplit/>
        </w:trPr>
        <w:tc>
          <w:tcPr>
            <w:tcW w:type="dxa" w:w="3672"/>
            <w:shd w:val="clear" w:color="auto" w:fill="F6F1E6"/>
          </w:tcPr>
          <w:p>
            <w:pPr>
              <w:spacing w:after="20"/>
            </w:pPr>
            <w:r>
              <w:rPr>
                <w:b/>
                <w:color w:val="1C3A36"/>
                <w:sz w:val="16"/>
              </w:rPr>
              <w:t>Terminal value as a share of enterprise value</w:t>
            </w:r>
          </w:p>
        </w:tc>
        <w:tc>
          <w:tcPr>
            <w:tcW w:type="dxa" w:w="1368"/>
            <w:shd w:val="clear" w:color="auto" w:fill="F6F1E6"/>
          </w:tcPr>
          <w:p>
            <w:pPr>
              <w:spacing w:after="20"/>
              <w:jc w:val="right"/>
            </w:pPr>
            <w:r>
              <w:rPr>
                <w:b/>
                <w:color w:val="1C3A36"/>
                <w:sz w:val="16"/>
              </w:rPr>
              <w:t>78.0%</w:t>
            </w:r>
          </w:p>
        </w:tc>
        <w:tc>
          <w:tcPr>
            <w:tcW w:type="dxa" w:w="5040"/>
            <w:shd w:val="clear" w:color="auto" w:fill="F6F1E6"/>
          </w:tcPr>
          <w:p>
            <w:pPr>
              <w:spacing w:after="20"/>
              <w:jc w:val="left"/>
            </w:pPr>
            <w:r>
              <w:rPr>
                <w:b/>
                <w:color w:val="1C3A36"/>
                <w:sz w:val="16"/>
              </w:rPr>
              <w:t>disclosed here, in the summary table and in section 7; stressed in section 1.9</w:t>
            </w:r>
          </w:p>
        </w:tc>
      </w:tr>
      <w:tr>
        <w:trPr>
          <w:cantSplit/>
        </w:trPr>
        <w:tc>
          <w:tcPr>
            <w:tcW w:type="dxa" w:w="3672"/>
          </w:tcPr>
          <w:p>
            <w:pPr>
              <w:spacing w:after="20"/>
            </w:pPr>
            <w:r>
              <w:rPr>
                <w:color w:val="1C3A36"/>
                <w:sz w:val="16"/>
              </w:rPr>
              <w:t>Plus joint ventures and associates</w:t>
            </w:r>
          </w:p>
        </w:tc>
        <w:tc>
          <w:tcPr>
            <w:tcW w:type="dxa" w:w="1368"/>
          </w:tcPr>
          <w:p>
            <w:pPr>
              <w:spacing w:after="20"/>
              <w:jc w:val="right"/>
            </w:pPr>
            <w:r>
              <w:rPr>
                <w:color w:val="1C3A36"/>
                <w:sz w:val="16"/>
              </w:rPr>
              <w:t>493</w:t>
            </w:r>
          </w:p>
        </w:tc>
        <w:tc>
          <w:tcPr>
            <w:tcW w:type="dxa" w:w="5040"/>
          </w:tcPr>
          <w:p>
            <w:pPr>
              <w:spacing w:after="20"/>
              <w:jc w:val="left"/>
            </w:pPr>
            <w:r>
              <w:rPr>
                <w:color w:val="1C3A36"/>
                <w:sz w:val="16"/>
              </w:rPr>
              <w:t>carried at the reviewed 31 March 2026 book value with no uplift; these earn outside the consolidated cash flow, principally the six gas carriers held fifty-fifty and the bunkering associate. Their earnings are taken OUT of the forecast before it starts — the disclosed unit earnings include the group's share of them, USD 21 million inside Gas Carriers and USD 16 million inside Services in FY2025 — so that adding the stakes here counts them once and not twice</w:t>
            </w:r>
          </w:p>
        </w:tc>
      </w:tr>
      <w:tr>
        <w:trPr>
          <w:cantSplit/>
        </w:trPr>
        <w:tc>
          <w:tcPr>
            <w:tcW w:type="dxa" w:w="3672"/>
          </w:tcPr>
          <w:p>
            <w:pPr>
              <w:spacing w:after="20"/>
            </w:pPr>
            <w:r>
              <w:rPr>
                <w:color w:val="1C3A36"/>
                <w:sz w:val="16"/>
              </w:rPr>
              <w:t>Enterprise value</w:t>
            </w:r>
          </w:p>
        </w:tc>
        <w:tc>
          <w:tcPr>
            <w:tcW w:type="dxa" w:w="1368"/>
          </w:tcPr>
          <w:p>
            <w:pPr>
              <w:spacing w:after="20"/>
              <w:jc w:val="right"/>
            </w:pPr>
            <w:r>
              <w:rPr>
                <w:color w:val="1C3A36"/>
                <w:sz w:val="16"/>
              </w:rPr>
              <w:t>15,178</w:t>
            </w:r>
          </w:p>
        </w:tc>
        <w:tc>
          <w:tcPr>
            <w:tcW w:type="dxa" w:w="5040"/>
          </w:tcPr>
          <w:p>
            <w:pPr>
              <w:spacing w:after="20"/>
              <w:jc w:val="left"/>
            </w:pPr>
            <w:r>
              <w:rPr>
                <w:color w:val="1C3A36"/>
                <w:sz w:val="16"/>
              </w:rPr>
            </w:r>
          </w:p>
        </w:tc>
      </w:tr>
      <w:tr>
        <w:trPr>
          <w:cantSplit/>
        </w:trPr>
        <w:tc>
          <w:tcPr>
            <w:tcW w:type="dxa" w:w="3672"/>
          </w:tcPr>
          <w:p>
            <w:pPr>
              <w:spacing w:after="20"/>
            </w:pPr>
            <w:r>
              <w:rPr>
                <w:color w:val="1C3A36"/>
                <w:sz w:val="16"/>
              </w:rPr>
              <w:t>Less net debt</w:t>
            </w:r>
          </w:p>
        </w:tc>
        <w:tc>
          <w:tcPr>
            <w:tcW w:type="dxa" w:w="1368"/>
          </w:tcPr>
          <w:p>
            <w:pPr>
              <w:spacing w:after="20"/>
              <w:jc w:val="right"/>
            </w:pPr>
            <w:r>
              <w:rPr>
                <w:color w:val="1C3A36"/>
                <w:sz w:val="16"/>
              </w:rPr>
              <w:t>(420)</w:t>
            </w:r>
          </w:p>
        </w:tc>
        <w:tc>
          <w:tcPr>
            <w:tcW w:type="dxa" w:w="5040"/>
          </w:tcPr>
          <w:p>
            <w:pPr>
              <w:spacing w:after="20"/>
              <w:jc w:val="left"/>
            </w:pPr>
            <w:r>
              <w:rPr>
                <w:color w:val="1C3A36"/>
                <w:sz w:val="16"/>
              </w:rPr>
              <w:t>the reviewed 31 March 2026 figure: the parent facility, third-party borrowings and lease liabilities less cash</w:t>
            </w:r>
          </w:p>
        </w:tc>
      </w:tr>
      <w:tr>
        <w:trPr>
          <w:cantSplit/>
        </w:trPr>
        <w:tc>
          <w:tcPr>
            <w:tcW w:type="dxa" w:w="3672"/>
          </w:tcPr>
          <w:p>
            <w:pPr>
              <w:spacing w:after="20"/>
            </w:pPr>
            <w:r>
              <w:rPr>
                <w:color w:val="1C3A36"/>
                <w:sz w:val="16"/>
              </w:rPr>
              <w:t>Less deferred consideration</w:t>
            </w:r>
          </w:p>
        </w:tc>
        <w:tc>
          <w:tcPr>
            <w:tcW w:type="dxa" w:w="1368"/>
          </w:tcPr>
          <w:p>
            <w:pPr>
              <w:spacing w:after="20"/>
              <w:jc w:val="right"/>
            </w:pPr>
            <w:r>
              <w:rPr>
                <w:color w:val="1C3A36"/>
                <w:sz w:val="16"/>
              </w:rPr>
              <w:t>(301)</w:t>
            </w:r>
          </w:p>
        </w:tc>
        <w:tc>
          <w:tcPr>
            <w:tcW w:type="dxa" w:w="5040"/>
          </w:tcPr>
          <w:p>
            <w:pPr>
              <w:spacing w:after="20"/>
              <w:jc w:val="left"/>
            </w:pPr>
            <w:r>
              <w:rPr>
                <w:color w:val="1C3A36"/>
                <w:sz w:val="16"/>
              </w:rPr>
              <w:t>the contracted price of the remaining 20% of the acquired tanker business, payable in mid-2027 and carried against the investment reserve — a real claim on the enterprise and treated as one. It is also the reason the minority line below is not simply the book figure</w:t>
            </w:r>
          </w:p>
        </w:tc>
      </w:tr>
      <w:tr>
        <w:trPr>
          <w:cantSplit/>
        </w:trPr>
        <w:tc>
          <w:tcPr>
            <w:tcW w:type="dxa" w:w="3672"/>
          </w:tcPr>
          <w:p>
            <w:pPr>
              <w:spacing w:after="20"/>
            </w:pPr>
            <w:r>
              <w:rPr>
                <w:color w:val="1C3A36"/>
                <w:sz w:val="16"/>
              </w:rPr>
              <w:t>Less perpetual capital securities</w:t>
            </w:r>
          </w:p>
        </w:tc>
        <w:tc>
          <w:tcPr>
            <w:tcW w:type="dxa" w:w="1368"/>
          </w:tcPr>
          <w:p>
            <w:pPr>
              <w:spacing w:after="20"/>
              <w:jc w:val="right"/>
            </w:pPr>
            <w:r>
              <w:rPr>
                <w:color w:val="1C3A36"/>
                <w:sz w:val="16"/>
              </w:rPr>
              <w:t>(1,979)</w:t>
            </w:r>
          </w:p>
        </w:tc>
        <w:tc>
          <w:tcPr>
            <w:tcW w:type="dxa" w:w="5040"/>
          </w:tcPr>
          <w:p>
            <w:pPr>
              <w:spacing w:after="20"/>
              <w:jc w:val="left"/>
            </w:pPr>
            <w:r>
              <w:rPr>
                <w:color w:val="1C3A36"/>
                <w:sz w:val="16"/>
              </w:rPr>
              <w:t>at carrying value. They sit inside total equity in the accounts but rank ahead of the ordinary shares and carry a coupon of USD 97 million a year, so the ordinary shareholder does not own them. Because they are deducted here they are also WEIGHTED in the cost of capital above, at 12.8% of the capital and at their own coupon of 4.90% — the two halves of one treatment. The alternative treatment is two lines below</w:t>
            </w:r>
          </w:p>
        </w:tc>
      </w:tr>
      <w:tr>
        <w:trPr>
          <w:cantSplit/>
        </w:trPr>
        <w:tc>
          <w:tcPr>
            <w:tcW w:type="dxa" w:w="3672"/>
          </w:tcPr>
          <w:p>
            <w:pPr>
              <w:spacing w:after="20"/>
            </w:pPr>
            <w:r>
              <w:rPr>
                <w:color w:val="1C3A36"/>
                <w:sz w:val="16"/>
              </w:rPr>
              <w:t>Less non-controlling interests</w:t>
            </w:r>
          </w:p>
        </w:tc>
        <w:tc>
          <w:tcPr>
            <w:tcW w:type="dxa" w:w="1368"/>
          </w:tcPr>
          <w:p>
            <w:pPr>
              <w:spacing w:after="20"/>
              <w:jc w:val="right"/>
            </w:pPr>
            <w:r>
              <w:rPr>
                <w:color w:val="1C3A36"/>
                <w:sz w:val="16"/>
              </w:rPr>
              <w:t>(333)</w:t>
            </w:r>
          </w:p>
        </w:tc>
        <w:tc>
          <w:tcPr>
            <w:tcW w:type="dxa" w:w="5040"/>
          </w:tcPr>
          <w:p>
            <w:pPr>
              <w:spacing w:after="20"/>
              <w:jc w:val="left"/>
            </w:pPr>
            <w:r>
              <w:rPr>
                <w:color w:val="1C3A36"/>
                <w:sz w:val="16"/>
              </w:rPr>
              <w:t>NOT the book value of USD 272 million. USD 252 million of that book arose on the tanker combination, and that 20% is contracted for purchase in mid-2027 at a price already deducted two lines above as deferred consideration, so deducting it again at a share of equity value would count it twice. Only the remaining USD 20 million of book is lifted to its share of value. That lift costs AED 0.03 a share, against the AED 0.41 it would cost to apply the 8.8% profit share to the whole equity value and net nothing off</w:t>
            </w:r>
          </w:p>
        </w:tc>
      </w:tr>
      <w:tr>
        <w:trPr>
          <w:cantSplit/>
        </w:trPr>
        <w:tc>
          <w:tcPr>
            <w:tcW w:type="dxa" w:w="3672"/>
            <w:shd w:val="clear" w:color="auto" w:fill="F6F1E6"/>
          </w:tcPr>
          <w:p>
            <w:pPr>
              <w:spacing w:after="20"/>
            </w:pPr>
            <w:r>
              <w:rPr>
                <w:b/>
                <w:color w:val="1C3A36"/>
                <w:sz w:val="16"/>
              </w:rPr>
              <w:t>Equity value attributable to ordinary shareholders</w:t>
            </w:r>
          </w:p>
        </w:tc>
        <w:tc>
          <w:tcPr>
            <w:tcW w:type="dxa" w:w="1368"/>
            <w:shd w:val="clear" w:color="auto" w:fill="F6F1E6"/>
          </w:tcPr>
          <w:p>
            <w:pPr>
              <w:spacing w:after="20"/>
              <w:jc w:val="right"/>
            </w:pPr>
            <w:r>
              <w:rPr>
                <w:b/>
                <w:color w:val="1C3A36"/>
                <w:sz w:val="16"/>
              </w:rPr>
              <w:t>12,145</w:t>
            </w:r>
          </w:p>
        </w:tc>
        <w:tc>
          <w:tcPr>
            <w:tcW w:type="dxa" w:w="5040"/>
            <w:shd w:val="clear" w:color="auto" w:fill="F6F1E6"/>
          </w:tcPr>
          <w:p>
            <w:pPr>
              <w:spacing w:after="20"/>
              <w:jc w:val="left"/>
            </w:pPr>
            <w:r>
              <w:rPr>
                <w:b/>
                <w:color w:val="1C3A36"/>
                <w:sz w:val="16"/>
              </w:rPr>
            </w:r>
          </w:p>
        </w:tc>
      </w:tr>
      <w:tr>
        <w:trPr>
          <w:cantSplit/>
        </w:trPr>
        <w:tc>
          <w:tcPr>
            <w:tcW w:type="dxa" w:w="3672"/>
          </w:tcPr>
          <w:p>
            <w:pPr>
              <w:spacing w:after="20"/>
            </w:pPr>
            <w:r>
              <w:rPr>
                <w:color w:val="1C3A36"/>
                <w:sz w:val="16"/>
              </w:rPr>
              <w:t>Fair value per share (USD)</w:t>
            </w:r>
          </w:p>
        </w:tc>
        <w:tc>
          <w:tcPr>
            <w:tcW w:type="dxa" w:w="1368"/>
          </w:tcPr>
          <w:p>
            <w:pPr>
              <w:spacing w:after="20"/>
              <w:jc w:val="right"/>
            </w:pPr>
            <w:r>
              <w:rPr>
                <w:color w:val="1C3A36"/>
                <w:sz w:val="16"/>
              </w:rPr>
              <w:t>1.64</w:t>
            </w:r>
          </w:p>
        </w:tc>
        <w:tc>
          <w:tcPr>
            <w:tcW w:type="dxa" w:w="5040"/>
          </w:tcPr>
          <w:p>
            <w:pPr>
              <w:spacing w:after="20"/>
              <w:jc w:val="left"/>
            </w:pPr>
            <w:r>
              <w:rPr>
                <w:color w:val="1C3A36"/>
                <w:sz w:val="16"/>
              </w:rPr>
              <w:t>against a market price of USD 1.68</w:t>
            </w:r>
          </w:p>
        </w:tc>
      </w:tr>
      <w:tr>
        <w:trPr>
          <w:cantSplit/>
        </w:trPr>
        <w:tc>
          <w:tcPr>
            <w:tcW w:type="dxa" w:w="3672"/>
            <w:shd w:val="clear" w:color="auto" w:fill="F6F1E6"/>
          </w:tcPr>
          <w:p>
            <w:pPr>
              <w:spacing w:after="20"/>
            </w:pPr>
            <w:r>
              <w:rPr>
                <w:b/>
                <w:color w:val="1C3A36"/>
                <w:sz w:val="16"/>
              </w:rPr>
              <w:t>Fair value per share (AED, at the peg)</w:t>
            </w:r>
          </w:p>
        </w:tc>
        <w:tc>
          <w:tcPr>
            <w:tcW w:type="dxa" w:w="1368"/>
            <w:shd w:val="clear" w:color="auto" w:fill="F6F1E6"/>
          </w:tcPr>
          <w:p>
            <w:pPr>
              <w:spacing w:after="20"/>
              <w:jc w:val="right"/>
            </w:pPr>
            <w:r>
              <w:rPr>
                <w:b/>
                <w:color w:val="1C3A36"/>
                <w:sz w:val="16"/>
              </w:rPr>
              <w:t>6.03</w:t>
            </w:r>
          </w:p>
        </w:tc>
        <w:tc>
          <w:tcPr>
            <w:tcW w:type="dxa" w:w="5040"/>
            <w:shd w:val="clear" w:color="auto" w:fill="F6F1E6"/>
          </w:tcPr>
          <w:p>
            <w:pPr>
              <w:spacing w:after="20"/>
              <w:jc w:val="left"/>
            </w:pPr>
            <w:r>
              <w:rPr>
                <w:b/>
                <w:color w:val="1C3A36"/>
                <w:sz w:val="16"/>
              </w:rPr>
              <w:t>against a market price of AED 6.16 (-2%)</w:t>
            </w:r>
          </w:p>
        </w:tc>
      </w:tr>
      <w:tr>
        <w:trPr>
          <w:cantSplit/>
        </w:trPr>
        <w:tc>
          <w:tcPr>
            <w:tcW w:type="dxa" w:w="3672"/>
            <w:shd w:val="clear" w:color="auto" w:fill="F6F1E6"/>
          </w:tcPr>
          <w:p>
            <w:pPr>
              <w:spacing w:after="20"/>
            </w:pPr>
            <w:r>
              <w:rPr>
                <w:b/>
                <w:color w:val="1C3A36"/>
                <w:sz w:val="16"/>
              </w:rPr>
              <w:t>ALTERNATIVE — perpetual securities at the present value of their coupon</w:t>
            </w:r>
          </w:p>
        </w:tc>
        <w:tc>
          <w:tcPr>
            <w:tcW w:type="dxa" w:w="1368"/>
            <w:shd w:val="clear" w:color="auto" w:fill="F6F1E6"/>
          </w:tcPr>
          <w:p>
            <w:pPr>
              <w:spacing w:after="20"/>
              <w:jc w:val="right"/>
            </w:pPr>
            <w:r>
              <w:rPr>
                <w:b/>
                <w:color w:val="1C3A36"/>
                <w:sz w:val="16"/>
              </w:rPr>
              <w:t>6.39</w:t>
            </w:r>
          </w:p>
        </w:tc>
        <w:tc>
          <w:tcPr>
            <w:tcW w:type="dxa" w:w="5040"/>
            <w:shd w:val="clear" w:color="auto" w:fill="F6F1E6"/>
          </w:tcPr>
          <w:p>
            <w:pPr>
              <w:spacing w:after="20"/>
              <w:jc w:val="left"/>
            </w:pPr>
            <w:r>
              <w:rPr>
                <w:b/>
                <w:color w:val="1C3A36"/>
                <w:sz w:val="16"/>
              </w:rPr>
              <w:t>deducting USD 1,254 million, the coupon capitalised at the terminal cost of capital, instead of the USD 1,979 million carrying value. Worth AED 0.36 a share. The securities are perpetual and non-amortising, so which of the two is right depends on whether the company ever calls them; both are shown</w:t>
            </w:r>
          </w:p>
        </w:tc>
      </w:tr>
    </w:tbl>
    <w:p>
      <w:pPr>
        <w:spacing w:after="40"/>
      </w:pPr>
    </w:p>
    <w:p>
      <w:pPr>
        <w:keepNext/>
        <w:spacing w:after="80" w:before="200"/>
      </w:pPr>
      <w:r>
        <w:rPr>
          <w:b/>
          <w:i w:val="0"/>
          <w:color w:val="1C3A36"/>
          <w:sz w:val="24"/>
        </w:rPr>
        <w:t>How the market is measured, computed both ways</w:t>
      </w:r>
    </w:p>
    <w:p>
      <w:pPr>
        <w:spacing w:after="120" w:before="0"/>
      </w:pPr>
      <w:r>
        <w:rPr>
          <w:b w:val="0"/>
          <w:i w:val="0"/>
          <w:color w:val="1C3A36"/>
          <w:sz w:val="21"/>
        </w:rPr>
        <w:t>One input in the construction above moves the answer further than any operating assumption in the study, and it is not a judgement about the company — it is a choice about what “the market” means. Regressed against the published index of its own exchange, the FTSE ADX General Index, the share's own weekly returns over its full listed history give a beta of 1.085 — 161 observations, an R-squared of 0.158, a standard error of 0.199 and a 90% interval of [0.76, 1.41]. That is the index the share is listed against, it is the yardstick this study adopts, and the estimate is close enough to one that this share is best described as moving with its market. It also settles an argument. The economic prior for a fleet owner is that it bears the risk of the market its ships trade in whoever signs the charter — a listed crude and product tanker owner would normally sit at 0.9-1.4 and a contracted marine services provider at 0.5-0.9 — and the regression now agrees with that prior rather than contradicting it.</w:t>
      </w:r>
    </w:p>
    <w:p>
      <w:pPr>
        <w:spacing w:after="120" w:before="0"/>
      </w:pPr>
      <w:r>
        <w:rPr>
          <w:b w:val="0"/>
          <w:i w:val="0"/>
          <w:color w:val="1C3A36"/>
          <w:sz w:val="21"/>
        </w:rPr>
        <w:t>Run the same regression against an equal-weight composite of the same exchange's names and it gives 0.705 instead. That is a large difference and it has nothing to do with this company: a published index is weighted by size and is therefore dominated by the same large-capitalisation group the subject belongs to, while an equal-weight composite gives the exchange's smallest and least liquid names the same say as its largest. Measuring a share's co-movement against the second is measuring it against a different market. The published index is adopted; the composite construction was what an earlier version of this study used, and it is set out in full beside the adopted one below because a reader is entitled to see how much of a valuation turns on a weighting convention.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2808"/>
        <w:gridCol w:w="2808"/>
      </w:tblGrid>
      <w:tr>
        <w:trPr>
          <w:cantSplit/>
          <w:tblHeader/>
        </w:trPr>
        <w:tc>
          <w:tcPr>
            <w:tcW w:type="dxa" w:w="4464"/>
            <w:shd w:val="clear" w:color="auto" w:fill="EAF0EE"/>
          </w:tcPr>
          <w:p>
            <w:pPr>
              <w:spacing w:after="20"/>
            </w:pPr>
            <w:r>
              <w:rPr>
                <w:b/>
                <w:color w:val="1C3A36"/>
                <w:sz w:val="17"/>
              </w:rPr>
              <w:t>Line</w:t>
            </w:r>
          </w:p>
        </w:tc>
        <w:tc>
          <w:tcPr>
            <w:tcW w:type="dxa" w:w="2808"/>
            <w:shd w:val="clear" w:color="auto" w:fill="EAF0EE"/>
          </w:tcPr>
          <w:p>
            <w:pPr>
              <w:spacing w:after="20"/>
            </w:pPr>
            <w:r>
              <w:rPr>
                <w:b/>
                <w:color w:val="1C3A36"/>
                <w:sz w:val="17"/>
              </w:rPr>
              <w:t>Against the published index of its own exchange</w:t>
            </w:r>
          </w:p>
        </w:tc>
        <w:tc>
          <w:tcPr>
            <w:tcW w:type="dxa" w:w="2808"/>
            <w:shd w:val="clear" w:color="auto" w:fill="EAF0EE"/>
          </w:tcPr>
          <w:p>
            <w:pPr>
              <w:spacing w:after="20"/>
            </w:pPr>
            <w:r>
              <w:rPr>
                <w:b/>
                <w:color w:val="1C3A36"/>
                <w:sz w:val="17"/>
              </w:rPr>
              <w:t>Against an equal-weight composite of the same exchange's names</w:t>
            </w:r>
          </w:p>
        </w:tc>
      </w:tr>
      <w:tr>
        <w:trPr>
          <w:cantSplit/>
        </w:trPr>
        <w:tc>
          <w:tcPr>
            <w:tcW w:type="dxa" w:w="4464"/>
          </w:tcPr>
          <w:p>
            <w:pPr>
              <w:spacing w:after="20"/>
            </w:pPr>
            <w:r>
              <w:rPr>
                <w:color w:val="1C3A36"/>
                <w:sz w:val="17"/>
              </w:rPr>
              <w:t>Beta used</w:t>
            </w:r>
          </w:p>
        </w:tc>
        <w:tc>
          <w:tcPr>
            <w:tcW w:type="dxa" w:w="2808"/>
          </w:tcPr>
          <w:p>
            <w:pPr>
              <w:spacing w:after="20"/>
              <w:jc w:val="right"/>
            </w:pPr>
            <w:r>
              <w:rPr>
                <w:color w:val="1C3A36"/>
                <w:sz w:val="17"/>
              </w:rPr>
              <w:t>1.085</w:t>
            </w:r>
          </w:p>
        </w:tc>
        <w:tc>
          <w:tcPr>
            <w:tcW w:type="dxa" w:w="2808"/>
          </w:tcPr>
          <w:p>
            <w:pPr>
              <w:spacing w:after="20"/>
              <w:jc w:val="right"/>
            </w:pPr>
            <w:r>
              <w:rPr>
                <w:color w:val="1C3A36"/>
                <w:sz w:val="17"/>
              </w:rPr>
              <w:t>0.705</w:t>
            </w:r>
          </w:p>
        </w:tc>
      </w:tr>
      <w:tr>
        <w:trPr>
          <w:cantSplit/>
        </w:trPr>
        <w:tc>
          <w:tcPr>
            <w:tcW w:type="dxa" w:w="4464"/>
          </w:tcPr>
          <w:p>
            <w:pPr>
              <w:spacing w:after="20"/>
            </w:pPr>
            <w:r>
              <w:rPr>
                <w:color w:val="1C3A36"/>
                <w:sz w:val="17"/>
              </w:rPr>
              <w:t>Cost of equity</w:t>
            </w:r>
          </w:p>
        </w:tc>
        <w:tc>
          <w:tcPr>
            <w:tcW w:type="dxa" w:w="2808"/>
          </w:tcPr>
          <w:p>
            <w:pPr>
              <w:spacing w:after="20"/>
              <w:jc w:val="right"/>
            </w:pPr>
            <w:r>
              <w:rPr>
                <w:color w:val="1C3A36"/>
                <w:sz w:val="17"/>
              </w:rPr>
              <w:t>9.34%</w:t>
            </w:r>
          </w:p>
        </w:tc>
        <w:tc>
          <w:tcPr>
            <w:tcW w:type="dxa" w:w="2808"/>
          </w:tcPr>
          <w:p>
            <w:pPr>
              <w:spacing w:after="20"/>
              <w:jc w:val="right"/>
            </w:pPr>
            <w:r>
              <w:rPr>
                <w:color w:val="1C3A36"/>
                <w:sz w:val="17"/>
              </w:rPr>
              <w:t>7.49%</w:t>
            </w:r>
          </w:p>
        </w:tc>
      </w:tr>
      <w:tr>
        <w:trPr>
          <w:cantSplit/>
        </w:trPr>
        <w:tc>
          <w:tcPr>
            <w:tcW w:type="dxa" w:w="4464"/>
          </w:tcPr>
          <w:p>
            <w:pPr>
              <w:spacing w:after="20"/>
            </w:pPr>
            <w:r>
              <w:rPr>
                <w:color w:val="1C3A36"/>
                <w:sz w:val="17"/>
              </w:rPr>
              <w:t>Cost of capital, explicit window</w:t>
            </w:r>
          </w:p>
        </w:tc>
        <w:tc>
          <w:tcPr>
            <w:tcW w:type="dxa" w:w="2808"/>
          </w:tcPr>
          <w:p>
            <w:pPr>
              <w:spacing w:after="20"/>
              <w:jc w:val="right"/>
            </w:pPr>
            <w:r>
              <w:rPr>
                <w:color w:val="1C3A36"/>
                <w:sz w:val="17"/>
              </w:rPr>
              <w:t>8.49%</w:t>
            </w:r>
          </w:p>
        </w:tc>
        <w:tc>
          <w:tcPr>
            <w:tcW w:type="dxa" w:w="2808"/>
          </w:tcPr>
          <w:p>
            <w:pPr>
              <w:spacing w:after="20"/>
              <w:jc w:val="right"/>
            </w:pPr>
            <w:r>
              <w:rPr>
                <w:color w:val="1C3A36"/>
                <w:sz w:val="17"/>
              </w:rPr>
              <w:t>7.00%</w:t>
            </w:r>
          </w:p>
        </w:tc>
      </w:tr>
      <w:tr>
        <w:trPr>
          <w:cantSplit/>
        </w:trPr>
        <w:tc>
          <w:tcPr>
            <w:tcW w:type="dxa" w:w="4464"/>
          </w:tcPr>
          <w:p>
            <w:pPr>
              <w:spacing w:after="20"/>
            </w:pPr>
            <w:r>
              <w:rPr>
                <w:color w:val="1C3A36"/>
                <w:sz w:val="17"/>
              </w:rPr>
              <w:t>Cost of capital, terminal</w:t>
            </w:r>
          </w:p>
        </w:tc>
        <w:tc>
          <w:tcPr>
            <w:tcW w:type="dxa" w:w="2808"/>
          </w:tcPr>
          <w:p>
            <w:pPr>
              <w:spacing w:after="20"/>
              <w:jc w:val="right"/>
            </w:pPr>
            <w:r>
              <w:rPr>
                <w:color w:val="1C3A36"/>
                <w:sz w:val="17"/>
              </w:rPr>
              <w:t>7.73%</w:t>
            </w:r>
          </w:p>
        </w:tc>
        <w:tc>
          <w:tcPr>
            <w:tcW w:type="dxa" w:w="2808"/>
          </w:tcPr>
          <w:p>
            <w:pPr>
              <w:spacing w:after="20"/>
              <w:jc w:val="right"/>
            </w:pPr>
            <w:r>
              <w:rPr>
                <w:color w:val="1C3A36"/>
                <w:sz w:val="17"/>
              </w:rPr>
              <w:t>6.25%</w:t>
            </w:r>
          </w:p>
        </w:tc>
      </w:tr>
      <w:tr>
        <w:trPr>
          <w:cantSplit/>
        </w:trPr>
        <w:tc>
          <w:tcPr>
            <w:tcW w:type="dxa" w:w="4464"/>
          </w:tcPr>
          <w:p>
            <w:pPr>
              <w:spacing w:after="20"/>
            </w:pPr>
            <w:r>
              <w:rPr>
                <w:color w:val="1C3A36"/>
                <w:sz w:val="17"/>
              </w:rPr>
              <w:t>Present value of the five forecast years (USD mn)</w:t>
            </w:r>
          </w:p>
        </w:tc>
        <w:tc>
          <w:tcPr>
            <w:tcW w:type="dxa" w:w="2808"/>
          </w:tcPr>
          <w:p>
            <w:pPr>
              <w:spacing w:after="20"/>
              <w:jc w:val="right"/>
            </w:pPr>
            <w:r>
              <w:rPr>
                <w:color w:val="1C3A36"/>
                <w:sz w:val="17"/>
              </w:rPr>
              <w:t>3,232</w:t>
            </w:r>
          </w:p>
        </w:tc>
        <w:tc>
          <w:tcPr>
            <w:tcW w:type="dxa" w:w="2808"/>
          </w:tcPr>
          <w:p>
            <w:pPr>
              <w:spacing w:after="20"/>
              <w:jc w:val="right"/>
            </w:pPr>
            <w:r>
              <w:rPr>
                <w:color w:val="1C3A36"/>
                <w:sz w:val="17"/>
              </w:rPr>
              <w:t>3,381</w:t>
            </w:r>
          </w:p>
        </w:tc>
      </w:tr>
      <w:tr>
        <w:trPr>
          <w:cantSplit/>
        </w:trPr>
        <w:tc>
          <w:tcPr>
            <w:tcW w:type="dxa" w:w="4464"/>
          </w:tcPr>
          <w:p>
            <w:pPr>
              <w:spacing w:after="20"/>
            </w:pPr>
            <w:r>
              <w:rPr>
                <w:color w:val="1C3A36"/>
                <w:sz w:val="17"/>
              </w:rPr>
              <w:t>Present value of the terminal value (USD mn)</w:t>
            </w:r>
          </w:p>
        </w:tc>
        <w:tc>
          <w:tcPr>
            <w:tcW w:type="dxa" w:w="2808"/>
          </w:tcPr>
          <w:p>
            <w:pPr>
              <w:spacing w:after="20"/>
              <w:jc w:val="right"/>
            </w:pPr>
            <w:r>
              <w:rPr>
                <w:color w:val="1C3A36"/>
                <w:sz w:val="17"/>
              </w:rPr>
              <w:t>11,453</w:t>
            </w:r>
          </w:p>
        </w:tc>
        <w:tc>
          <w:tcPr>
            <w:tcW w:type="dxa" w:w="2808"/>
          </w:tcPr>
          <w:p>
            <w:pPr>
              <w:spacing w:after="20"/>
              <w:jc w:val="right"/>
            </w:pPr>
            <w:r>
              <w:rPr>
                <w:color w:val="1C3A36"/>
                <w:sz w:val="17"/>
              </w:rPr>
              <w:t>16,489</w:t>
            </w:r>
          </w:p>
        </w:tc>
      </w:tr>
      <w:tr>
        <w:trPr>
          <w:cantSplit/>
        </w:trPr>
        <w:tc>
          <w:tcPr>
            <w:tcW w:type="dxa" w:w="4464"/>
          </w:tcPr>
          <w:p>
            <w:pPr>
              <w:spacing w:after="20"/>
            </w:pPr>
            <w:r>
              <w:rPr>
                <w:color w:val="1C3A36"/>
                <w:sz w:val="17"/>
              </w:rPr>
              <w:t>Terminal value as a share of enterprise value</w:t>
            </w:r>
          </w:p>
        </w:tc>
        <w:tc>
          <w:tcPr>
            <w:tcW w:type="dxa" w:w="2808"/>
          </w:tcPr>
          <w:p>
            <w:pPr>
              <w:spacing w:after="20"/>
              <w:jc w:val="right"/>
            </w:pPr>
            <w:r>
              <w:rPr>
                <w:color w:val="1C3A36"/>
                <w:sz w:val="17"/>
              </w:rPr>
              <w:t>78.0%</w:t>
            </w:r>
          </w:p>
        </w:tc>
        <w:tc>
          <w:tcPr>
            <w:tcW w:type="dxa" w:w="2808"/>
          </w:tcPr>
          <w:p>
            <w:pPr>
              <w:spacing w:after="20"/>
              <w:jc w:val="right"/>
            </w:pPr>
            <w:r>
              <w:rPr>
                <w:color w:val="1C3A36"/>
                <w:sz w:val="17"/>
              </w:rPr>
              <w:t>83.0%</w:t>
            </w:r>
          </w:p>
        </w:tc>
      </w:tr>
      <w:tr>
        <w:trPr>
          <w:cantSplit/>
        </w:trPr>
        <w:tc>
          <w:tcPr>
            <w:tcW w:type="dxa" w:w="4464"/>
          </w:tcPr>
          <w:p>
            <w:pPr>
              <w:spacing w:after="20"/>
            </w:pPr>
            <w:r>
              <w:rPr>
                <w:color w:val="1C3A36"/>
                <w:sz w:val="17"/>
              </w:rPr>
              <w:t>Enterprise value (USD mn)</w:t>
            </w:r>
          </w:p>
        </w:tc>
        <w:tc>
          <w:tcPr>
            <w:tcW w:type="dxa" w:w="2808"/>
          </w:tcPr>
          <w:p>
            <w:pPr>
              <w:spacing w:after="20"/>
              <w:jc w:val="right"/>
            </w:pPr>
            <w:r>
              <w:rPr>
                <w:color w:val="1C3A36"/>
                <w:sz w:val="17"/>
              </w:rPr>
              <w:t>15,178</w:t>
            </w:r>
          </w:p>
        </w:tc>
        <w:tc>
          <w:tcPr>
            <w:tcW w:type="dxa" w:w="2808"/>
          </w:tcPr>
          <w:p>
            <w:pPr>
              <w:spacing w:after="20"/>
              <w:jc w:val="right"/>
            </w:pPr>
            <w:r>
              <w:rPr>
                <w:color w:val="1C3A36"/>
                <w:sz w:val="17"/>
              </w:rPr>
              <w:t>20,364</w:t>
            </w:r>
          </w:p>
        </w:tc>
      </w:tr>
      <w:tr>
        <w:trPr>
          <w:cantSplit/>
        </w:trPr>
        <w:tc>
          <w:tcPr>
            <w:tcW w:type="dxa" w:w="4464"/>
          </w:tcPr>
          <w:p>
            <w:pPr>
              <w:spacing w:after="20"/>
            </w:pPr>
            <w:r>
              <w:rPr>
                <w:color w:val="1C3A36"/>
                <w:sz w:val="17"/>
              </w:rPr>
              <w:t>Equity value (USD mn)</w:t>
            </w:r>
          </w:p>
        </w:tc>
        <w:tc>
          <w:tcPr>
            <w:tcW w:type="dxa" w:w="2808"/>
          </w:tcPr>
          <w:p>
            <w:pPr>
              <w:spacing w:after="20"/>
              <w:jc w:val="right"/>
            </w:pPr>
            <w:r>
              <w:rPr>
                <w:color w:val="1C3A36"/>
                <w:sz w:val="17"/>
              </w:rPr>
              <w:t>12,145</w:t>
            </w:r>
          </w:p>
        </w:tc>
        <w:tc>
          <w:tcPr>
            <w:tcW w:type="dxa" w:w="2808"/>
          </w:tcPr>
          <w:p>
            <w:pPr>
              <w:spacing w:after="20"/>
              <w:jc w:val="right"/>
            </w:pPr>
            <w:r>
              <w:rPr>
                <w:color w:val="1C3A36"/>
                <w:sz w:val="17"/>
              </w:rPr>
              <w:t>17,297</w:t>
            </w:r>
          </w:p>
        </w:tc>
      </w:tr>
      <w:tr>
        <w:trPr>
          <w:cantSplit/>
        </w:trPr>
        <w:tc>
          <w:tcPr>
            <w:tcW w:type="dxa" w:w="4464"/>
            <w:shd w:val="clear" w:color="auto" w:fill="F6F1E6"/>
          </w:tcPr>
          <w:p>
            <w:pPr>
              <w:spacing w:after="20"/>
            </w:pPr>
            <w:r>
              <w:rPr>
                <w:b/>
                <w:color w:val="1C3A36"/>
                <w:sz w:val="17"/>
              </w:rPr>
              <w:t>Fair value per share (AED)</w:t>
            </w:r>
          </w:p>
        </w:tc>
        <w:tc>
          <w:tcPr>
            <w:tcW w:type="dxa" w:w="2808"/>
            <w:shd w:val="clear" w:color="auto" w:fill="F6F1E6"/>
          </w:tcPr>
          <w:p>
            <w:pPr>
              <w:spacing w:after="20"/>
              <w:jc w:val="right"/>
            </w:pPr>
            <w:r>
              <w:rPr>
                <w:b/>
                <w:color w:val="1C3A36"/>
                <w:sz w:val="17"/>
              </w:rPr>
              <w:t>6.03</w:t>
            </w:r>
          </w:p>
        </w:tc>
        <w:tc>
          <w:tcPr>
            <w:tcW w:type="dxa" w:w="2808"/>
            <w:shd w:val="clear" w:color="auto" w:fill="F6F1E6"/>
          </w:tcPr>
          <w:p>
            <w:pPr>
              <w:spacing w:after="20"/>
              <w:jc w:val="right"/>
            </w:pPr>
            <w:r>
              <w:rPr>
                <w:b/>
                <w:color w:val="1C3A36"/>
                <w:sz w:val="17"/>
              </w:rPr>
              <w:t>8.59</w:t>
            </w:r>
          </w:p>
        </w:tc>
      </w:tr>
      <w:tr>
        <w:trPr>
          <w:cantSplit/>
        </w:trPr>
        <w:tc>
          <w:tcPr>
            <w:tcW w:type="dxa" w:w="4464"/>
            <w:shd w:val="clear" w:color="auto" w:fill="F6F1E6"/>
          </w:tcPr>
          <w:p>
            <w:pPr>
              <w:spacing w:after="20"/>
            </w:pPr>
            <w:r>
              <w:rPr>
                <w:b/>
                <w:color w:val="1C3A36"/>
                <w:sz w:val="17"/>
              </w:rPr>
              <w:t>Against the market price</w:t>
            </w:r>
          </w:p>
        </w:tc>
        <w:tc>
          <w:tcPr>
            <w:tcW w:type="dxa" w:w="2808"/>
            <w:shd w:val="clear" w:color="auto" w:fill="F6F1E6"/>
          </w:tcPr>
          <w:p>
            <w:pPr>
              <w:spacing w:after="20"/>
              <w:jc w:val="right"/>
            </w:pPr>
            <w:r>
              <w:rPr>
                <w:b/>
                <w:color w:val="1C3A36"/>
                <w:sz w:val="17"/>
              </w:rPr>
              <w:t>-2%</w:t>
            </w:r>
          </w:p>
        </w:tc>
        <w:tc>
          <w:tcPr>
            <w:tcW w:type="dxa" w:w="2808"/>
            <w:shd w:val="clear" w:color="auto" w:fill="F6F1E6"/>
          </w:tcPr>
          <w:p>
            <w:pPr>
              <w:spacing w:after="20"/>
              <w:jc w:val="right"/>
            </w:pPr>
            <w:r>
              <w:rPr>
                <w:b/>
                <w:color w:val="1C3A36"/>
                <w:sz w:val="17"/>
              </w:rPr>
              <w:t>+39%</w:t>
            </w:r>
          </w:p>
        </w:tc>
      </w:tr>
    </w:tbl>
    <w:p>
      <w:pPr>
        <w:spacing w:after="40"/>
      </w:pPr>
    </w:p>
    <w:p>
      <w:pPr>
        <w:spacing w:after="200" w:before="0"/>
      </w:pPr>
      <w:r>
        <w:rPr>
          <w:b w:val="0"/>
          <w:i/>
          <w:color w:val="6E7B77"/>
          <w:sz w:val="17"/>
        </w:rPr>
        <w:t>Identical cash flows, identical bridge, one input different — and that input is the series the returns are regressed on, not anything about the business. The whole of the AED 2.56 between the two columns is the beta, and most of it lands in the terminal value: a 148 basis point difference in the terminal cost of capital changes the capitalisation factor on a perpetuity by roughly a quarter, which is also why the terminal value falls from 83% of enterprise value to 78% of it when the published index is used. The two columns are never averaged. The left column is the adopted construction because the published index of the exchange the share is listed on is the market this share is measured against; the right column is published so that the size of the convention is visible. Note which way the adoption cuts: it lowers the fair value and moves the cash-flow lens from 39% above the market price to 2% below the market price.</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Equity attributable to ordinary shareholders was USD 5,074 million at 31 March 2026, or AED 2.52 a share — the figure excludes the perpetual capital securities, which the accounts include inside total equity but which do not belong to the ordinary shareholder. The return earned on that equity, struck after the coupon those securities take ahead of it, runs 18.2% in 2026E and falls to 11.0% by 2030E as the rate cycle normalises and the capital base grows; across the five years it averages 15.0%. On the wider measure that includes the coupon the five-year average is 17.3%, and the reported history was 14.1%, 15.4% and 16.8%.</w:t>
      </w:r>
    </w:p>
    <w:p>
      <w:pPr>
        <w:spacing w:after="120" w:before="0"/>
      </w:pPr>
      <w:r>
        <w:rPr>
          <w:b w:val="0"/>
          <w:i w:val="0"/>
          <w:color w:val="1C3A36"/>
          <w:sz w:val="21"/>
        </w:rPr>
        <w:t>The textbook form of this lens is a justified price-to-book multiple: the sustainable return less growth, divided by the cost of equity less growth. It is not used here, and the reason is arithmetic rather than taste. That formula describes a steady state in which the company distributes everything it does not need in order to fund its growth. At a sustainable return of 17.3% and growth of 2%, the payout that steady state requires is 88% of earnings. This company pays out 30% to 40% and retains the rest, which compounds its book at about 11.6% a year — above the cost of equity of 9.34%, where the formula does not merely mislead but is undefined, because the denominator it divides by has gone through zero. A lens whose central expression is undefined on the company in front of it is the wrong lens.</w:t>
      </w:r>
    </w:p>
    <w:p>
      <w:pPr>
        <w:spacing w:after="120" w:before="0"/>
      </w:pPr>
      <w:r>
        <w:rPr>
          <w:b w:val="0"/>
          <w:i w:val="0"/>
          <w:color w:val="1C3A36"/>
          <w:sz w:val="21"/>
        </w:rPr>
        <w:t>What is used instead is residual income, which asks the same question without the steady-state assumption: what is the book the company already has, plus the value of earning more than the cost of equity on it for as long as that lasts. The construction is the opening ordinary book; plus, for each of the five forecast years, the return on that year's opening book less the cost of equity, multiplied by that opening book and discounted; plus a remainder beyond the forecast in which the excess return decays at 10% a year. The fade is a judgement and it is the one place this lens is soft: a fleet has to be replaced at market prices rather than at the value it is carried at, so an excess return over the cost of equity cannot persist unchanged, but nothing observable fixes the speed. A slower fade would raise this lens and a faster one would lower it; at the rate used, the remainder beyond the forecast is USD 533 million of the USD 6,993 million total, and the book the company already owns is most of the rest.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893"/>
        <w:gridCol w:w="1670"/>
        <w:gridCol w:w="1152"/>
        <w:gridCol w:w="1354"/>
        <w:gridCol w:w="1584"/>
        <w:gridCol w:w="1267"/>
        <w:gridCol w:w="1584"/>
      </w:tblGrid>
      <w:tr>
        <w:trPr>
          <w:cantSplit/>
          <w:tblHeader/>
        </w:trPr>
        <w:tc>
          <w:tcPr>
            <w:tcW w:type="dxa" w:w="893"/>
            <w:shd w:val="clear" w:color="auto" w:fill="EAF0EE"/>
          </w:tcPr>
          <w:p>
            <w:pPr>
              <w:spacing w:after="20"/>
            </w:pPr>
            <w:r>
              <w:rPr>
                <w:b/>
                <w:color w:val="1C3A36"/>
                <w:sz w:val="16"/>
              </w:rPr>
              <w:t>Year</w:t>
            </w:r>
          </w:p>
        </w:tc>
        <w:tc>
          <w:tcPr>
            <w:tcW w:type="dxa" w:w="1670"/>
            <w:shd w:val="clear" w:color="auto" w:fill="EAF0EE"/>
          </w:tcPr>
          <w:p>
            <w:pPr>
              <w:spacing w:after="20"/>
            </w:pPr>
            <w:r>
              <w:rPr>
                <w:b/>
                <w:color w:val="1C3A36"/>
                <w:sz w:val="16"/>
              </w:rPr>
              <w:t>Opening ordinary book (USD mn)</w:t>
            </w:r>
          </w:p>
        </w:tc>
        <w:tc>
          <w:tcPr>
            <w:tcW w:type="dxa" w:w="1152"/>
            <w:shd w:val="clear" w:color="auto" w:fill="EAF0EE"/>
          </w:tcPr>
          <w:p>
            <w:pPr>
              <w:spacing w:after="20"/>
            </w:pPr>
            <w:r>
              <w:rPr>
                <w:b/>
                <w:color w:val="1C3A36"/>
                <w:sz w:val="16"/>
              </w:rPr>
              <w:t>Return on it</w:t>
            </w:r>
          </w:p>
        </w:tc>
        <w:tc>
          <w:tcPr>
            <w:tcW w:type="dxa" w:w="1354"/>
            <w:shd w:val="clear" w:color="auto" w:fill="EAF0EE"/>
          </w:tcPr>
          <w:p>
            <w:pPr>
              <w:spacing w:after="20"/>
            </w:pPr>
            <w:r>
              <w:rPr>
                <w:b/>
                <w:color w:val="1C3A36"/>
                <w:sz w:val="16"/>
              </w:rPr>
              <w:t>Less the cost of equity</w:t>
            </w:r>
          </w:p>
        </w:tc>
        <w:tc>
          <w:tcPr>
            <w:tcW w:type="dxa" w:w="1584"/>
            <w:shd w:val="clear" w:color="auto" w:fill="EAF0EE"/>
          </w:tcPr>
          <w:p>
            <w:pPr>
              <w:spacing w:after="20"/>
            </w:pPr>
            <w:r>
              <w:rPr>
                <w:b/>
                <w:color w:val="1C3A36"/>
                <w:sz w:val="16"/>
              </w:rPr>
              <w:t>Residual income (USD mn)</w:t>
            </w:r>
          </w:p>
        </w:tc>
        <w:tc>
          <w:tcPr>
            <w:tcW w:type="dxa" w:w="1267"/>
            <w:shd w:val="clear" w:color="auto" w:fill="EAF0EE"/>
          </w:tcPr>
          <w:p>
            <w:pPr>
              <w:spacing w:after="20"/>
            </w:pPr>
            <w:r>
              <w:rPr>
                <w:b/>
                <w:color w:val="1C3A36"/>
                <w:sz w:val="16"/>
              </w:rPr>
              <w:t>Discount factor</w:t>
            </w:r>
          </w:p>
        </w:tc>
        <w:tc>
          <w:tcPr>
            <w:tcW w:type="dxa" w:w="1584"/>
            <w:shd w:val="clear" w:color="auto" w:fill="EAF0EE"/>
          </w:tcPr>
          <w:p>
            <w:pPr>
              <w:spacing w:after="20"/>
            </w:pPr>
            <w:r>
              <w:rPr>
                <w:b/>
                <w:color w:val="1C3A36"/>
                <w:sz w:val="16"/>
              </w:rPr>
              <w:t>Present value (USD mn)</w:t>
            </w:r>
          </w:p>
        </w:tc>
      </w:tr>
      <w:tr>
        <w:trPr>
          <w:cantSplit/>
        </w:trPr>
        <w:tc>
          <w:tcPr>
            <w:tcW w:type="dxa" w:w="893"/>
          </w:tcPr>
          <w:p>
            <w:pPr>
              <w:spacing w:after="20"/>
            </w:pPr>
            <w:r>
              <w:rPr>
                <w:color w:val="1C3A36"/>
                <w:sz w:val="16"/>
              </w:rPr>
              <w:t>2026E</w:t>
            </w:r>
          </w:p>
        </w:tc>
        <w:tc>
          <w:tcPr>
            <w:tcW w:type="dxa" w:w="1670"/>
          </w:tcPr>
          <w:p>
            <w:pPr>
              <w:spacing w:after="20"/>
              <w:jc w:val="right"/>
            </w:pPr>
            <w:r>
              <w:rPr>
                <w:color w:val="1C3A36"/>
                <w:sz w:val="16"/>
              </w:rPr>
              <w:t>5,074</w:t>
            </w:r>
          </w:p>
        </w:tc>
        <w:tc>
          <w:tcPr>
            <w:tcW w:type="dxa" w:w="1152"/>
          </w:tcPr>
          <w:p>
            <w:pPr>
              <w:spacing w:after="20"/>
              <w:jc w:val="right"/>
            </w:pPr>
            <w:r>
              <w:rPr>
                <w:color w:val="1C3A36"/>
                <w:sz w:val="16"/>
              </w:rPr>
              <w:t>18.2%</w:t>
            </w:r>
          </w:p>
        </w:tc>
        <w:tc>
          <w:tcPr>
            <w:tcW w:type="dxa" w:w="1354"/>
          </w:tcPr>
          <w:p>
            <w:pPr>
              <w:spacing w:after="20"/>
              <w:jc w:val="right"/>
            </w:pPr>
            <w:r>
              <w:rPr>
                <w:color w:val="1C3A36"/>
                <w:sz w:val="16"/>
              </w:rPr>
              <w:t>+8.81pp</w:t>
            </w:r>
          </w:p>
        </w:tc>
        <w:tc>
          <w:tcPr>
            <w:tcW w:type="dxa" w:w="1584"/>
          </w:tcPr>
          <w:p>
            <w:pPr>
              <w:spacing w:after="20"/>
              <w:jc w:val="right"/>
            </w:pPr>
            <w:r>
              <w:rPr>
                <w:color w:val="1C3A36"/>
                <w:sz w:val="16"/>
              </w:rPr>
              <w:t>447</w:t>
            </w:r>
          </w:p>
        </w:tc>
        <w:tc>
          <w:tcPr>
            <w:tcW w:type="dxa" w:w="1267"/>
          </w:tcPr>
          <w:p>
            <w:pPr>
              <w:spacing w:after="20"/>
              <w:jc w:val="right"/>
            </w:pPr>
            <w:r>
              <w:rPr>
                <w:color w:val="1C3A36"/>
                <w:sz w:val="16"/>
              </w:rPr>
              <w:t>0.9145</w:t>
            </w:r>
          </w:p>
        </w:tc>
        <w:tc>
          <w:tcPr>
            <w:tcW w:type="dxa" w:w="1584"/>
          </w:tcPr>
          <w:p>
            <w:pPr>
              <w:spacing w:after="20"/>
              <w:jc w:val="right"/>
            </w:pPr>
            <w:r>
              <w:rPr>
                <w:color w:val="1C3A36"/>
                <w:sz w:val="16"/>
              </w:rPr>
              <w:t>409</w:t>
            </w:r>
          </w:p>
        </w:tc>
      </w:tr>
      <w:tr>
        <w:trPr>
          <w:cantSplit/>
        </w:trPr>
        <w:tc>
          <w:tcPr>
            <w:tcW w:type="dxa" w:w="893"/>
          </w:tcPr>
          <w:p>
            <w:pPr>
              <w:spacing w:after="20"/>
            </w:pPr>
            <w:r>
              <w:rPr>
                <w:color w:val="1C3A36"/>
                <w:sz w:val="16"/>
              </w:rPr>
              <w:t>2027E</w:t>
            </w:r>
          </w:p>
        </w:tc>
        <w:tc>
          <w:tcPr>
            <w:tcW w:type="dxa" w:w="1670"/>
          </w:tcPr>
          <w:p>
            <w:pPr>
              <w:spacing w:after="20"/>
              <w:jc w:val="right"/>
            </w:pPr>
            <w:r>
              <w:rPr>
                <w:color w:val="1C3A36"/>
                <w:sz w:val="16"/>
              </w:rPr>
              <w:t>5,783</w:t>
            </w:r>
          </w:p>
        </w:tc>
        <w:tc>
          <w:tcPr>
            <w:tcW w:type="dxa" w:w="1152"/>
          </w:tcPr>
          <w:p>
            <w:pPr>
              <w:spacing w:after="20"/>
              <w:jc w:val="right"/>
            </w:pPr>
            <w:r>
              <w:rPr>
                <w:color w:val="1C3A36"/>
                <w:sz w:val="16"/>
              </w:rPr>
              <w:t>17.0%</w:t>
            </w:r>
          </w:p>
        </w:tc>
        <w:tc>
          <w:tcPr>
            <w:tcW w:type="dxa" w:w="1354"/>
          </w:tcPr>
          <w:p>
            <w:pPr>
              <w:spacing w:after="20"/>
              <w:jc w:val="right"/>
            </w:pPr>
            <w:r>
              <w:rPr>
                <w:color w:val="1C3A36"/>
                <w:sz w:val="16"/>
              </w:rPr>
              <w:t>+7.68pp</w:t>
            </w:r>
          </w:p>
        </w:tc>
        <w:tc>
          <w:tcPr>
            <w:tcW w:type="dxa" w:w="1584"/>
          </w:tcPr>
          <w:p>
            <w:pPr>
              <w:spacing w:after="20"/>
              <w:jc w:val="right"/>
            </w:pPr>
            <w:r>
              <w:rPr>
                <w:color w:val="1C3A36"/>
                <w:sz w:val="16"/>
              </w:rPr>
              <w:t>444</w:t>
            </w:r>
          </w:p>
        </w:tc>
        <w:tc>
          <w:tcPr>
            <w:tcW w:type="dxa" w:w="1267"/>
          </w:tcPr>
          <w:p>
            <w:pPr>
              <w:spacing w:after="20"/>
              <w:jc w:val="right"/>
            </w:pPr>
            <w:r>
              <w:rPr>
                <w:color w:val="1C3A36"/>
                <w:sz w:val="16"/>
              </w:rPr>
              <w:t>0.8364</w:t>
            </w:r>
          </w:p>
        </w:tc>
        <w:tc>
          <w:tcPr>
            <w:tcW w:type="dxa" w:w="1584"/>
          </w:tcPr>
          <w:p>
            <w:pPr>
              <w:spacing w:after="20"/>
              <w:jc w:val="right"/>
            </w:pPr>
            <w:r>
              <w:rPr>
                <w:color w:val="1C3A36"/>
                <w:sz w:val="16"/>
              </w:rPr>
              <w:t>371</w:t>
            </w:r>
          </w:p>
        </w:tc>
      </w:tr>
      <w:tr>
        <w:trPr>
          <w:cantSplit/>
        </w:trPr>
        <w:tc>
          <w:tcPr>
            <w:tcW w:type="dxa" w:w="893"/>
          </w:tcPr>
          <w:p>
            <w:pPr>
              <w:spacing w:after="20"/>
            </w:pPr>
            <w:r>
              <w:rPr>
                <w:color w:val="1C3A36"/>
                <w:sz w:val="16"/>
              </w:rPr>
              <w:t>2028E</w:t>
            </w:r>
          </w:p>
        </w:tc>
        <w:tc>
          <w:tcPr>
            <w:tcW w:type="dxa" w:w="1670"/>
          </w:tcPr>
          <w:p>
            <w:pPr>
              <w:spacing w:after="20"/>
              <w:jc w:val="right"/>
            </w:pPr>
            <w:r>
              <w:rPr>
                <w:color w:val="1C3A36"/>
                <w:sz w:val="16"/>
              </w:rPr>
              <w:t>6,537</w:t>
            </w:r>
          </w:p>
        </w:tc>
        <w:tc>
          <w:tcPr>
            <w:tcW w:type="dxa" w:w="1152"/>
          </w:tcPr>
          <w:p>
            <w:pPr>
              <w:spacing w:after="20"/>
              <w:jc w:val="right"/>
            </w:pPr>
            <w:r>
              <w:rPr>
                <w:color w:val="1C3A36"/>
                <w:sz w:val="16"/>
              </w:rPr>
              <w:t>15.8%</w:t>
            </w:r>
          </w:p>
        </w:tc>
        <w:tc>
          <w:tcPr>
            <w:tcW w:type="dxa" w:w="1354"/>
          </w:tcPr>
          <w:p>
            <w:pPr>
              <w:spacing w:after="20"/>
              <w:jc w:val="right"/>
            </w:pPr>
            <w:r>
              <w:rPr>
                <w:color w:val="1C3A36"/>
                <w:sz w:val="16"/>
              </w:rPr>
              <w:t>+6.43pp</w:t>
            </w:r>
          </w:p>
        </w:tc>
        <w:tc>
          <w:tcPr>
            <w:tcW w:type="dxa" w:w="1584"/>
          </w:tcPr>
          <w:p>
            <w:pPr>
              <w:spacing w:after="20"/>
              <w:jc w:val="right"/>
            </w:pPr>
            <w:r>
              <w:rPr>
                <w:color w:val="1C3A36"/>
                <w:sz w:val="16"/>
              </w:rPr>
              <w:t>420</w:t>
            </w:r>
          </w:p>
        </w:tc>
        <w:tc>
          <w:tcPr>
            <w:tcW w:type="dxa" w:w="1267"/>
          </w:tcPr>
          <w:p>
            <w:pPr>
              <w:spacing w:after="20"/>
              <w:jc w:val="right"/>
            </w:pPr>
            <w:r>
              <w:rPr>
                <w:color w:val="1C3A36"/>
                <w:sz w:val="16"/>
              </w:rPr>
              <w:t>0.7649</w:t>
            </w:r>
          </w:p>
        </w:tc>
        <w:tc>
          <w:tcPr>
            <w:tcW w:type="dxa" w:w="1584"/>
          </w:tcPr>
          <w:p>
            <w:pPr>
              <w:spacing w:after="20"/>
              <w:jc w:val="right"/>
            </w:pPr>
            <w:r>
              <w:rPr>
                <w:color w:val="1C3A36"/>
                <w:sz w:val="16"/>
              </w:rPr>
              <w:t>321</w:t>
            </w:r>
          </w:p>
        </w:tc>
      </w:tr>
      <w:tr>
        <w:trPr>
          <w:cantSplit/>
        </w:trPr>
        <w:tc>
          <w:tcPr>
            <w:tcW w:type="dxa" w:w="893"/>
          </w:tcPr>
          <w:p>
            <w:pPr>
              <w:spacing w:after="20"/>
            </w:pPr>
            <w:r>
              <w:rPr>
                <w:color w:val="1C3A36"/>
                <w:sz w:val="16"/>
              </w:rPr>
              <w:t>2029E</w:t>
            </w:r>
          </w:p>
        </w:tc>
        <w:tc>
          <w:tcPr>
            <w:tcW w:type="dxa" w:w="1670"/>
          </w:tcPr>
          <w:p>
            <w:pPr>
              <w:spacing w:after="20"/>
              <w:jc w:val="right"/>
            </w:pPr>
            <w:r>
              <w:rPr>
                <w:color w:val="1C3A36"/>
                <w:sz w:val="16"/>
              </w:rPr>
              <w:t>7,315</w:t>
            </w:r>
          </w:p>
        </w:tc>
        <w:tc>
          <w:tcPr>
            <w:tcW w:type="dxa" w:w="1152"/>
          </w:tcPr>
          <w:p>
            <w:pPr>
              <w:spacing w:after="20"/>
              <w:jc w:val="right"/>
            </w:pPr>
            <w:r>
              <w:rPr>
                <w:color w:val="1C3A36"/>
                <w:sz w:val="16"/>
              </w:rPr>
              <w:t>13.2%</w:t>
            </w:r>
          </w:p>
        </w:tc>
        <w:tc>
          <w:tcPr>
            <w:tcW w:type="dxa" w:w="1354"/>
          </w:tcPr>
          <w:p>
            <w:pPr>
              <w:spacing w:after="20"/>
              <w:jc w:val="right"/>
            </w:pPr>
            <w:r>
              <w:rPr>
                <w:color w:val="1C3A36"/>
                <w:sz w:val="16"/>
              </w:rPr>
              <w:t>+3.86pp</w:t>
            </w:r>
          </w:p>
        </w:tc>
        <w:tc>
          <w:tcPr>
            <w:tcW w:type="dxa" w:w="1584"/>
          </w:tcPr>
          <w:p>
            <w:pPr>
              <w:spacing w:after="20"/>
              <w:jc w:val="right"/>
            </w:pPr>
            <w:r>
              <w:rPr>
                <w:color w:val="1C3A36"/>
                <w:sz w:val="16"/>
              </w:rPr>
              <w:t>282</w:t>
            </w:r>
          </w:p>
        </w:tc>
        <w:tc>
          <w:tcPr>
            <w:tcW w:type="dxa" w:w="1267"/>
          </w:tcPr>
          <w:p>
            <w:pPr>
              <w:spacing w:after="20"/>
              <w:jc w:val="right"/>
            </w:pPr>
            <w:r>
              <w:rPr>
                <w:color w:val="1C3A36"/>
                <w:sz w:val="16"/>
              </w:rPr>
              <w:t>0.6996</w:t>
            </w:r>
          </w:p>
        </w:tc>
        <w:tc>
          <w:tcPr>
            <w:tcW w:type="dxa" w:w="1584"/>
          </w:tcPr>
          <w:p>
            <w:pPr>
              <w:spacing w:after="20"/>
              <w:jc w:val="right"/>
            </w:pPr>
            <w:r>
              <w:rPr>
                <w:color w:val="1C3A36"/>
                <w:sz w:val="16"/>
              </w:rPr>
              <w:t>197</w:t>
            </w:r>
          </w:p>
        </w:tc>
      </w:tr>
      <w:tr>
        <w:trPr>
          <w:cantSplit/>
        </w:trPr>
        <w:tc>
          <w:tcPr>
            <w:tcW w:type="dxa" w:w="893"/>
          </w:tcPr>
          <w:p>
            <w:pPr>
              <w:spacing w:after="20"/>
            </w:pPr>
            <w:r>
              <w:rPr>
                <w:color w:val="1C3A36"/>
                <w:sz w:val="16"/>
              </w:rPr>
              <w:t>2030E</w:t>
            </w:r>
          </w:p>
        </w:tc>
        <w:tc>
          <w:tcPr>
            <w:tcW w:type="dxa" w:w="1670"/>
          </w:tcPr>
          <w:p>
            <w:pPr>
              <w:spacing w:after="20"/>
              <w:jc w:val="right"/>
            </w:pPr>
            <w:r>
              <w:rPr>
                <w:color w:val="1C3A36"/>
                <w:sz w:val="16"/>
              </w:rPr>
              <w:t>7,973</w:t>
            </w:r>
          </w:p>
        </w:tc>
        <w:tc>
          <w:tcPr>
            <w:tcW w:type="dxa" w:w="1152"/>
          </w:tcPr>
          <w:p>
            <w:pPr>
              <w:spacing w:after="20"/>
              <w:jc w:val="right"/>
            </w:pPr>
            <w:r>
              <w:rPr>
                <w:color w:val="1C3A36"/>
                <w:sz w:val="16"/>
              </w:rPr>
              <w:t>11.0%</w:t>
            </w:r>
          </w:p>
        </w:tc>
        <w:tc>
          <w:tcPr>
            <w:tcW w:type="dxa" w:w="1354"/>
          </w:tcPr>
          <w:p>
            <w:pPr>
              <w:spacing w:after="20"/>
              <w:jc w:val="right"/>
            </w:pPr>
            <w:r>
              <w:rPr>
                <w:color w:val="1C3A36"/>
                <w:sz w:val="16"/>
              </w:rPr>
              <w:t>+1.70pp</w:t>
            </w:r>
          </w:p>
        </w:tc>
        <w:tc>
          <w:tcPr>
            <w:tcW w:type="dxa" w:w="1584"/>
          </w:tcPr>
          <w:p>
            <w:pPr>
              <w:spacing w:after="20"/>
              <w:jc w:val="right"/>
            </w:pPr>
            <w:r>
              <w:rPr>
                <w:color w:val="1C3A36"/>
                <w:sz w:val="16"/>
              </w:rPr>
              <w:t>136</w:t>
            </w:r>
          </w:p>
        </w:tc>
        <w:tc>
          <w:tcPr>
            <w:tcW w:type="dxa" w:w="1267"/>
          </w:tcPr>
          <w:p>
            <w:pPr>
              <w:spacing w:after="20"/>
              <w:jc w:val="right"/>
            </w:pPr>
            <w:r>
              <w:rPr>
                <w:color w:val="1C3A36"/>
                <w:sz w:val="16"/>
              </w:rPr>
              <w:t>0.6398</w:t>
            </w:r>
          </w:p>
        </w:tc>
        <w:tc>
          <w:tcPr>
            <w:tcW w:type="dxa" w:w="1584"/>
          </w:tcPr>
          <w:p>
            <w:pPr>
              <w:spacing w:after="20"/>
              <w:jc w:val="right"/>
            </w:pPr>
            <w:r>
              <w:rPr>
                <w:color w:val="1C3A36"/>
                <w:sz w:val="16"/>
              </w:rPr>
              <w:t>87</w:t>
            </w:r>
          </w:p>
        </w:tc>
      </w:tr>
      <w:tr>
        <w:trPr>
          <w:cantSplit/>
        </w:trPr>
        <w:tc>
          <w:tcPr>
            <w:tcW w:type="dxa" w:w="893"/>
            <w:shd w:val="clear" w:color="auto" w:fill="F6F1E6"/>
          </w:tcPr>
          <w:p>
            <w:pPr>
              <w:spacing w:after="20"/>
            </w:pPr>
            <w:r>
              <w:rPr>
                <w:b/>
                <w:color w:val="1C3A36"/>
                <w:sz w:val="16"/>
              </w:rPr>
              <w:t>Total</w:t>
            </w:r>
          </w:p>
        </w:tc>
        <w:tc>
          <w:tcPr>
            <w:tcW w:type="dxa" w:w="1670"/>
            <w:shd w:val="clear" w:color="auto" w:fill="F6F1E6"/>
          </w:tcPr>
          <w:p>
            <w:pPr>
              <w:spacing w:after="20"/>
              <w:jc w:val="right"/>
            </w:pPr>
            <w:r>
              <w:rPr>
                <w:b/>
                <w:color w:val="1C3A36"/>
                <w:sz w:val="16"/>
              </w:rPr>
            </w:r>
          </w:p>
        </w:tc>
        <w:tc>
          <w:tcPr>
            <w:tcW w:type="dxa" w:w="1152"/>
            <w:shd w:val="clear" w:color="auto" w:fill="F6F1E6"/>
          </w:tcPr>
          <w:p>
            <w:pPr>
              <w:spacing w:after="20"/>
              <w:jc w:val="right"/>
            </w:pPr>
            <w:r>
              <w:rPr>
                <w:b/>
                <w:color w:val="1C3A36"/>
                <w:sz w:val="16"/>
              </w:rPr>
            </w:r>
          </w:p>
        </w:tc>
        <w:tc>
          <w:tcPr>
            <w:tcW w:type="dxa" w:w="1354"/>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r>
          </w:p>
        </w:tc>
        <w:tc>
          <w:tcPr>
            <w:tcW w:type="dxa" w:w="1267"/>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t>1,386</w:t>
            </w:r>
          </w:p>
        </w:tc>
      </w:tr>
    </w:tbl>
    <w:p>
      <w:pPr>
        <w:spacing w:after="40"/>
      </w:pPr>
    </w:p>
    <w:p>
      <w:pPr>
        <w:spacing w:after="200" w:before="0"/>
      </w:pPr>
      <w:r>
        <w:rPr>
          <w:b w:val="0"/>
          <w:i/>
          <w:color w:val="6E7B77"/>
          <w:sz w:val="17"/>
        </w:rPr>
        <w:t>Residual income is what the ordinary shareholder earns above the 9.34% it costs to hold the equity — the return in the third column less that cost, applied to the book in the second. It is positive in every forecast year and shrinking in every one of them, which is the same picture the cash-flow model gives from the other end. The opening book of each year is the model's own rolled-forward balance sheet, so this lens and Appendix A.2 cannot disagree.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3024"/>
      </w:tblGrid>
      <w:tr>
        <w:trPr>
          <w:cantSplit/>
          <w:tblHeader/>
        </w:trPr>
        <w:tc>
          <w:tcPr>
            <w:tcW w:type="dxa" w:w="7056"/>
            <w:shd w:val="clear" w:color="auto" w:fill="EAF0EE"/>
          </w:tcPr>
          <w:p>
            <w:pPr>
              <w:spacing w:after="20"/>
            </w:pPr>
            <w:r>
              <w:rPr>
                <w:b/>
                <w:color w:val="1C3A36"/>
                <w:sz w:val="17"/>
              </w:rPr>
              <w:t>Line</w:t>
            </w:r>
          </w:p>
        </w:tc>
        <w:tc>
          <w:tcPr>
            <w:tcW w:type="dxa" w:w="3024"/>
            <w:shd w:val="clear" w:color="auto" w:fill="EAF0EE"/>
          </w:tcPr>
          <w:p>
            <w:pPr>
              <w:spacing w:after="20"/>
            </w:pPr>
            <w:r>
              <w:rPr>
                <w:b/>
                <w:color w:val="1C3A36"/>
                <w:sz w:val="17"/>
              </w:rPr>
              <w:t>Value</w:t>
            </w:r>
          </w:p>
        </w:tc>
      </w:tr>
      <w:tr>
        <w:trPr>
          <w:cantSplit/>
        </w:trPr>
        <w:tc>
          <w:tcPr>
            <w:tcW w:type="dxa" w:w="7056"/>
          </w:tcPr>
          <w:p>
            <w:pPr>
              <w:spacing w:after="20"/>
            </w:pPr>
            <w:r>
              <w:rPr>
                <w:color w:val="1C3A36"/>
                <w:sz w:val="17"/>
              </w:rPr>
              <w:t>Equity attributable to ordinary shareholders at 31 March 2026 (USD mn)</w:t>
            </w:r>
          </w:p>
        </w:tc>
        <w:tc>
          <w:tcPr>
            <w:tcW w:type="dxa" w:w="3024"/>
          </w:tcPr>
          <w:p>
            <w:pPr>
              <w:spacing w:after="20"/>
              <w:jc w:val="right"/>
            </w:pPr>
            <w:r>
              <w:rPr>
                <w:color w:val="1C3A36"/>
                <w:sz w:val="17"/>
              </w:rPr>
              <w:t>5,074</w:t>
            </w:r>
          </w:p>
        </w:tc>
      </w:tr>
      <w:tr>
        <w:trPr>
          <w:cantSplit/>
        </w:trPr>
        <w:tc>
          <w:tcPr>
            <w:tcW w:type="dxa" w:w="7056"/>
          </w:tcPr>
          <w:p>
            <w:pPr>
              <w:spacing w:after="20"/>
            </w:pPr>
            <w:r>
              <w:rPr>
                <w:color w:val="1C3A36"/>
                <w:sz w:val="17"/>
              </w:rPr>
              <w:t>Book value per share (USD)</w:t>
            </w:r>
          </w:p>
        </w:tc>
        <w:tc>
          <w:tcPr>
            <w:tcW w:type="dxa" w:w="3024"/>
          </w:tcPr>
          <w:p>
            <w:pPr>
              <w:spacing w:after="20"/>
              <w:jc w:val="right"/>
            </w:pPr>
            <w:r>
              <w:rPr>
                <w:color w:val="1C3A36"/>
                <w:sz w:val="17"/>
              </w:rPr>
              <w:t>0.6858</w:t>
            </w:r>
          </w:p>
        </w:tc>
      </w:tr>
      <w:tr>
        <w:trPr>
          <w:cantSplit/>
        </w:trPr>
        <w:tc>
          <w:tcPr>
            <w:tcW w:type="dxa" w:w="7056"/>
          </w:tcPr>
          <w:p>
            <w:pPr>
              <w:spacing w:after="20"/>
            </w:pPr>
            <w:r>
              <w:rPr>
                <w:color w:val="1C3A36"/>
                <w:sz w:val="17"/>
              </w:rPr>
              <w:t>Book value per share (AED, at the peg)</w:t>
            </w:r>
          </w:p>
        </w:tc>
        <w:tc>
          <w:tcPr>
            <w:tcW w:type="dxa" w:w="3024"/>
          </w:tcPr>
          <w:p>
            <w:pPr>
              <w:spacing w:after="20"/>
              <w:jc w:val="right"/>
            </w:pPr>
            <w:r>
              <w:rPr>
                <w:color w:val="1C3A36"/>
                <w:sz w:val="17"/>
              </w:rPr>
              <w:t>2.52</w:t>
            </w:r>
          </w:p>
        </w:tc>
      </w:tr>
      <w:tr>
        <w:trPr>
          <w:cantSplit/>
        </w:trPr>
        <w:tc>
          <w:tcPr>
            <w:tcW w:type="dxa" w:w="7056"/>
          </w:tcPr>
          <w:p>
            <w:pPr>
              <w:spacing w:after="20"/>
            </w:pPr>
            <w:r>
              <w:rPr>
                <w:color w:val="1C3A36"/>
                <w:sz w:val="17"/>
              </w:rPr>
              <w:t>Plus the present value of five years of residual income (USD mn)</w:t>
            </w:r>
          </w:p>
        </w:tc>
        <w:tc>
          <w:tcPr>
            <w:tcW w:type="dxa" w:w="3024"/>
          </w:tcPr>
          <w:p>
            <w:pPr>
              <w:spacing w:after="20"/>
              <w:jc w:val="right"/>
            </w:pPr>
            <w:r>
              <w:rPr>
                <w:color w:val="1C3A36"/>
                <w:sz w:val="17"/>
              </w:rPr>
              <w:t>1,386</w:t>
            </w:r>
          </w:p>
        </w:tc>
      </w:tr>
      <w:tr>
        <w:trPr>
          <w:cantSplit/>
        </w:trPr>
        <w:tc>
          <w:tcPr>
            <w:tcW w:type="dxa" w:w="7056"/>
          </w:tcPr>
          <w:p>
            <w:pPr>
              <w:spacing w:after="20"/>
            </w:pPr>
            <w:r>
              <w:rPr>
                <w:color w:val="1C3A36"/>
                <w:sz w:val="17"/>
              </w:rPr>
              <w:t>Plus the present value of the remainder, fading at 10% a year (USD mn)</w:t>
            </w:r>
          </w:p>
        </w:tc>
        <w:tc>
          <w:tcPr>
            <w:tcW w:type="dxa" w:w="3024"/>
          </w:tcPr>
          <w:p>
            <w:pPr>
              <w:spacing w:after="20"/>
              <w:jc w:val="right"/>
            </w:pPr>
            <w:r>
              <w:rPr>
                <w:color w:val="1C3A36"/>
                <w:sz w:val="17"/>
              </w:rPr>
              <w:t>533</w:t>
            </w:r>
          </w:p>
        </w:tc>
      </w:tr>
      <w:tr>
        <w:trPr>
          <w:cantSplit/>
        </w:trPr>
        <w:tc>
          <w:tcPr>
            <w:tcW w:type="dxa" w:w="7056"/>
          </w:tcPr>
          <w:p>
            <w:pPr>
              <w:spacing w:after="20"/>
            </w:pPr>
            <w:r>
              <w:rPr>
                <w:color w:val="1C3A36"/>
                <w:sz w:val="17"/>
              </w:rPr>
              <w:t>Equity value on this lens (USD mn)</w:t>
            </w:r>
          </w:p>
        </w:tc>
        <w:tc>
          <w:tcPr>
            <w:tcW w:type="dxa" w:w="3024"/>
          </w:tcPr>
          <w:p>
            <w:pPr>
              <w:spacing w:after="20"/>
              <w:jc w:val="right"/>
            </w:pPr>
            <w:r>
              <w:rPr>
                <w:color w:val="1C3A36"/>
                <w:sz w:val="17"/>
              </w:rPr>
              <w:t>6,993</w:t>
            </w:r>
          </w:p>
        </w:tc>
      </w:tr>
      <w:tr>
        <w:trPr>
          <w:cantSplit/>
        </w:trPr>
        <w:tc>
          <w:tcPr>
            <w:tcW w:type="dxa" w:w="7056"/>
          </w:tcPr>
          <w:p>
            <w:pPr>
              <w:spacing w:after="20"/>
            </w:pPr>
            <w:r>
              <w:rPr>
                <w:color w:val="1C3A36"/>
                <w:sz w:val="17"/>
              </w:rPr>
              <w:t>Implied price to book</w:t>
            </w:r>
          </w:p>
        </w:tc>
        <w:tc>
          <w:tcPr>
            <w:tcW w:type="dxa" w:w="3024"/>
          </w:tcPr>
          <w:p>
            <w:pPr>
              <w:spacing w:after="20"/>
              <w:jc w:val="right"/>
            </w:pPr>
            <w:r>
              <w:rPr>
                <w:color w:val="1C3A36"/>
                <w:sz w:val="17"/>
              </w:rPr>
              <w:t>1.38×</w:t>
            </w:r>
          </w:p>
        </w:tc>
      </w:tr>
      <w:tr>
        <w:trPr>
          <w:cantSplit/>
        </w:trPr>
        <w:tc>
          <w:tcPr>
            <w:tcW w:type="dxa" w:w="7056"/>
            <w:shd w:val="clear" w:color="auto" w:fill="F6F1E6"/>
          </w:tcPr>
          <w:p>
            <w:pPr>
              <w:spacing w:after="20"/>
            </w:pPr>
            <w:r>
              <w:rPr>
                <w:b/>
                <w:color w:val="1C3A36"/>
                <w:sz w:val="17"/>
              </w:rPr>
              <w:t>Fair value per share (AED)</w:t>
            </w:r>
          </w:p>
        </w:tc>
        <w:tc>
          <w:tcPr>
            <w:tcW w:type="dxa" w:w="3024"/>
            <w:shd w:val="clear" w:color="auto" w:fill="F6F1E6"/>
          </w:tcPr>
          <w:p>
            <w:pPr>
              <w:spacing w:after="20"/>
              <w:jc w:val="right"/>
            </w:pPr>
            <w:r>
              <w:rPr>
                <w:b/>
                <w:color w:val="1C3A36"/>
                <w:sz w:val="17"/>
              </w:rPr>
              <w:t>3.47</w:t>
            </w:r>
          </w:p>
        </w:tc>
      </w:tr>
      <w:tr>
        <w:trPr>
          <w:cantSplit/>
        </w:trPr>
        <w:tc>
          <w:tcPr>
            <w:tcW w:type="dxa" w:w="7056"/>
          </w:tcPr>
          <w:p>
            <w:pPr>
              <w:spacing w:after="20"/>
            </w:pPr>
            <w:r>
              <w:rPr>
                <w:color w:val="1C3A36"/>
                <w:sz w:val="17"/>
              </w:rPr>
              <w:t>Range — bear at the top of the beta's 90% interval (1.412, cost of equity 10.94%) and a return one seventh lower; bull at the bottom of it (0.758, 7.75%) and a return one seventh higher</w:t>
            </w:r>
          </w:p>
        </w:tc>
        <w:tc>
          <w:tcPr>
            <w:tcW w:type="dxa" w:w="3024"/>
          </w:tcPr>
          <w:p>
            <w:pPr>
              <w:spacing w:after="20"/>
              <w:jc w:val="right"/>
            </w:pPr>
            <w:r>
              <w:rPr>
                <w:color w:val="1C3A36"/>
                <w:sz w:val="17"/>
              </w:rPr>
              <w:t>2.53 – 4.63</w:t>
            </w:r>
          </w:p>
        </w:tc>
      </w:tr>
      <w:tr>
        <w:trPr>
          <w:cantSplit/>
        </w:trPr>
        <w:tc>
          <w:tcPr>
            <w:tcW w:type="dxa" w:w="7056"/>
          </w:tcPr>
          <w:p>
            <w:pPr>
              <w:spacing w:after="20"/>
            </w:pPr>
            <w:r>
              <w:rPr>
                <w:color w:val="1C3A36"/>
                <w:sz w:val="17"/>
              </w:rPr>
              <w:t>Memorandum — the price the market pays for that book today</w:t>
            </w:r>
          </w:p>
        </w:tc>
        <w:tc>
          <w:tcPr>
            <w:tcW w:type="dxa" w:w="3024"/>
          </w:tcPr>
          <w:p>
            <w:pPr>
              <w:spacing w:after="20"/>
              <w:jc w:val="right"/>
            </w:pPr>
            <w:r>
              <w:rPr>
                <w:color w:val="1C3A36"/>
                <w:sz w:val="17"/>
              </w:rPr>
              <w:t>1.76×</w:t>
            </w:r>
          </w:p>
        </w:tc>
      </w:tr>
      <w:tr>
        <w:trPr>
          <w:cantSplit/>
        </w:trPr>
        <w:tc>
          <w:tcPr>
            <w:tcW w:type="dxa" w:w="7056"/>
          </w:tcPr>
          <w:p>
            <w:pPr>
              <w:spacing w:after="20"/>
            </w:pPr>
            <w:r>
              <w:rPr>
                <w:color w:val="1C3A36"/>
                <w:sz w:val="17"/>
              </w:rPr>
              <w:t>Memorandum — realised value against carrying value on the January vessel sale</w:t>
            </w:r>
          </w:p>
        </w:tc>
        <w:tc>
          <w:tcPr>
            <w:tcW w:type="dxa" w:w="3024"/>
          </w:tcPr>
          <w:p>
            <w:pPr>
              <w:spacing w:after="20"/>
              <w:jc w:val="right"/>
            </w:pPr>
            <w:r>
              <w:rPr>
                <w:color w:val="1C3A36"/>
                <w:sz w:val="17"/>
              </w:rPr>
              <w:t>1.34×</w:t>
            </w:r>
          </w:p>
        </w:tc>
      </w:tr>
    </w:tbl>
    <w:p>
      <w:pPr>
        <w:spacing w:after="40"/>
      </w:pPr>
    </w:p>
    <w:p>
      <w:pPr>
        <w:spacing w:after="120" w:before="0"/>
      </w:pPr>
      <w:r>
        <w:rPr>
          <w:b w:val="0"/>
          <w:i w:val="0"/>
          <w:color w:val="1C3A36"/>
          <w:sz w:val="21"/>
        </w:rPr>
        <w:t>The bounds move with the beta and with the return together: the bear bound of AED 2.53 takes a cost of equity of 10.94%, built on the upper end 1.412 of the beta's own 90% confidence interval, together with a return one seventh lower; the bull bound of AED 4.63 takes 7.75% on the lower end 0.758 of the same interval with a return one seventh higher. Both ends are drawn from the estimate's own statistical uncertainty rather than from round numbers chosen by hand. The lens carries the lowest weight of the four, at 15%, because it inherits the same cost of equity as the cash-flow model rather than testing it independently, and because carrying value is a poor description of what a fleet is worth.</w:t>
      </w:r>
    </w:p>
    <w:p>
      <w:pPr>
        <w:spacing w:after="120" w:before="0"/>
      </w:pPr>
      <w:r>
        <w:rPr>
          <w:b w:val="0"/>
          <w:i w:val="0"/>
          <w:color w:val="1C3A36"/>
          <w:sz w:val="21"/>
        </w:rPr>
        <w:t>On that last point there is one piece of hard evidence, and it is worth more than any amount of argument. In January 2026 the company completed the sale of a 2017-built very large crude carrier for USD 111 million against a carrying value of USD 83 million — a realised market value of 1.34× book, on its own asset, disclosed in its own earnings release. That tells the reader which way this lens is biased. Carrying values understate realisable value, so a book-based read of this company is conservative rather than neutral, and the gap is not small: applied across the fleet, a 1.34× ratio would lift the asset base by roughly a third. It is a single transaction on a single vessel in a strong market and it is not extrapolated into the valuation — but it is the only direct evidence available on the gap between the balance sheet and the market, and it points one way.</w:t>
      </w:r>
    </w:p>
    <w:p>
      <w:pPr>
        <w:keepNext/>
        <w:spacing w:after="80" w:before="200"/>
      </w:pPr>
      <w:r>
        <w:rPr>
          <w:b/>
          <w:i w:val="0"/>
          <w:color w:val="1C3A36"/>
          <w:sz w:val="24"/>
        </w:rPr>
        <w:t>1.3  Relative multiples</w:t>
      </w:r>
    </w:p>
    <w:p>
      <w:pPr>
        <w:spacing w:after="120" w:before="0"/>
      </w:pPr>
      <w:r>
        <w:rPr>
          <w:b w:val="0"/>
          <w:i w:val="0"/>
          <w:color w:val="1C3A36"/>
          <w:sz w:val="21"/>
        </w:rPr>
        <w:t>There is no clean comparable for this company, and the reason is the same reason it is interesting: nothing else combines a contracted logistics arm working for a national oil company with an open-market tanker fleet. The frame used here therefore takes two multiples from two different kinds of shipowner and blends them on the company's own disclosed exposure, rather than picking one peer and pretending it fits.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325"/>
        <w:gridCol w:w="2477"/>
        <w:gridCol w:w="1843"/>
        <w:gridCol w:w="1210"/>
        <w:gridCol w:w="893"/>
      </w:tblGrid>
      <w:tr>
        <w:trPr>
          <w:cantSplit/>
          <w:tblHeader/>
        </w:trPr>
        <w:tc>
          <w:tcPr>
            <w:tcW w:type="dxa" w:w="2333"/>
            <w:shd w:val="clear" w:color="auto" w:fill="EAF0EE"/>
          </w:tcPr>
          <w:p>
            <w:pPr>
              <w:spacing w:after="20"/>
            </w:pPr>
            <w:r>
              <w:rPr>
                <w:b/>
                <w:color w:val="1C3A36"/>
                <w:sz w:val="16"/>
              </w:rPr>
              <w:t>Company</w:t>
            </w:r>
          </w:p>
        </w:tc>
        <w:tc>
          <w:tcPr>
            <w:tcW w:type="dxa" w:w="1325"/>
            <w:shd w:val="clear" w:color="auto" w:fill="EAF0EE"/>
          </w:tcPr>
          <w:p>
            <w:pPr>
              <w:spacing w:after="20"/>
              <w:jc w:val="left"/>
            </w:pPr>
            <w:r>
              <w:rPr>
                <w:b/>
                <w:color w:val="1C3A36"/>
                <w:sz w:val="16"/>
              </w:rPr>
              <w:t>Market</w:t>
            </w:r>
          </w:p>
        </w:tc>
        <w:tc>
          <w:tcPr>
            <w:tcW w:type="dxa" w:w="2477"/>
            <w:shd w:val="clear" w:color="auto" w:fill="EAF0EE"/>
          </w:tcPr>
          <w:p>
            <w:pPr>
              <w:spacing w:after="20"/>
              <w:jc w:val="left"/>
            </w:pPr>
            <w:r>
              <w:rPr>
                <w:b/>
                <w:color w:val="1C3A36"/>
                <w:sz w:val="16"/>
              </w:rPr>
              <w:t>Business model</w:t>
            </w:r>
          </w:p>
        </w:tc>
        <w:tc>
          <w:tcPr>
            <w:tcW w:type="dxa" w:w="1843"/>
            <w:shd w:val="clear" w:color="auto" w:fill="EAF0EE"/>
          </w:tcPr>
          <w:p>
            <w:pPr>
              <w:spacing w:after="20"/>
            </w:pPr>
            <w:r>
              <w:rPr>
                <w:b/>
                <w:color w:val="1C3A36"/>
                <w:sz w:val="16"/>
              </w:rPr>
              <w:t>EV / earnings</w:t>
            </w:r>
          </w:p>
        </w:tc>
        <w:tc>
          <w:tcPr>
            <w:tcW w:type="dxa" w:w="1210"/>
            <w:shd w:val="clear" w:color="auto" w:fill="EAF0EE"/>
          </w:tcPr>
          <w:p>
            <w:pPr>
              <w:spacing w:after="20"/>
            </w:pPr>
            <w:r>
              <w:rPr>
                <w:b/>
                <w:color w:val="1C3A36"/>
                <w:sz w:val="16"/>
              </w:rPr>
              <w:t>Price / earnings</w:t>
            </w:r>
          </w:p>
        </w:tc>
        <w:tc>
          <w:tcPr>
            <w:tcW w:type="dxa" w:w="893"/>
            <w:shd w:val="clear" w:color="auto" w:fill="EAF0EE"/>
          </w:tcPr>
          <w:p>
            <w:pPr>
              <w:spacing w:after="20"/>
            </w:pPr>
            <w:r>
              <w:rPr>
                <w:b/>
                <w:color w:val="1C3A36"/>
                <w:sz w:val="16"/>
              </w:rPr>
              <w:t>Price / book</w:t>
            </w:r>
          </w:p>
        </w:tc>
      </w:tr>
      <w:tr>
        <w:trPr>
          <w:cantSplit/>
        </w:trPr>
        <w:tc>
          <w:tcPr>
            <w:tcW w:type="dxa" w:w="2333"/>
          </w:tcPr>
          <w:p>
            <w:pPr>
              <w:spacing w:after="20"/>
            </w:pPr>
            <w:r>
              <w:rPr>
                <w:color w:val="1C3A36"/>
                <w:sz w:val="16"/>
              </w:rPr>
              <w:t>Qatar Gas Transport (Nakilat)</w:t>
            </w:r>
          </w:p>
        </w:tc>
        <w:tc>
          <w:tcPr>
            <w:tcW w:type="dxa" w:w="1325"/>
          </w:tcPr>
          <w:p>
            <w:pPr>
              <w:spacing w:after="20"/>
              <w:jc w:val="left"/>
            </w:pPr>
            <w:r>
              <w:rPr>
                <w:color w:val="1C3A36"/>
                <w:sz w:val="16"/>
              </w:rPr>
              <w:t>Qatar</w:t>
            </w:r>
          </w:p>
        </w:tc>
        <w:tc>
          <w:tcPr>
            <w:tcW w:type="dxa" w:w="2477"/>
          </w:tcPr>
          <w:p>
            <w:pPr>
              <w:spacing w:after="20"/>
              <w:jc w:val="left"/>
            </w:pPr>
            <w:r>
              <w:rPr>
                <w:color w:val="1C3A36"/>
                <w:sz w:val="16"/>
              </w:rPr>
              <w:t>long-term contracted gas shipping</w:t>
            </w:r>
          </w:p>
        </w:tc>
        <w:tc>
          <w:tcPr>
            <w:tcW w:type="dxa" w:w="1843"/>
          </w:tcPr>
          <w:p>
            <w:pPr>
              <w:spacing w:after="20"/>
              <w:jc w:val="right"/>
            </w:pPr>
            <w:r>
              <w:rPr>
                <w:color w:val="1C3A36"/>
                <w:sz w:val="16"/>
              </w:rPr>
              <w:t>12.26×</w:t>
            </w:r>
          </w:p>
        </w:tc>
        <w:tc>
          <w:tcPr>
            <w:tcW w:type="dxa" w:w="1210"/>
          </w:tcPr>
          <w:p>
            <w:pPr>
              <w:spacing w:after="20"/>
              <w:jc w:val="right"/>
            </w:pPr>
            <w:r>
              <w:rPr>
                <w:color w:val="1C3A36"/>
                <w:sz w:val="16"/>
              </w:rPr>
              <w:t>13.97×</w:t>
            </w:r>
          </w:p>
        </w:tc>
        <w:tc>
          <w:tcPr>
            <w:tcW w:type="dxa" w:w="893"/>
          </w:tcPr>
          <w:p>
            <w:pPr>
              <w:spacing w:after="20"/>
              <w:jc w:val="right"/>
            </w:pPr>
            <w:r>
              <w:rPr>
                <w:color w:val="1C3A36"/>
                <w:sz w:val="16"/>
              </w:rPr>
              <w:t>1.65×</w:t>
            </w:r>
          </w:p>
        </w:tc>
      </w:tr>
      <w:tr>
        <w:trPr>
          <w:cantSplit/>
        </w:trPr>
        <w:tc>
          <w:tcPr>
            <w:tcW w:type="dxa" w:w="2333"/>
          </w:tcPr>
          <w:p>
            <w:pPr>
              <w:spacing w:after="20"/>
            </w:pPr>
            <w:r>
              <w:rPr>
                <w:color w:val="1C3A36"/>
                <w:sz w:val="16"/>
              </w:rPr>
              <w:t>Frontline plc</w:t>
            </w:r>
          </w:p>
        </w:tc>
        <w:tc>
          <w:tcPr>
            <w:tcW w:type="dxa" w:w="1325"/>
          </w:tcPr>
          <w:p>
            <w:pPr>
              <w:spacing w:after="20"/>
              <w:jc w:val="left"/>
            </w:pPr>
            <w:r>
              <w:rPr>
                <w:color w:val="1C3A36"/>
                <w:sz w:val="16"/>
              </w:rPr>
              <w:t>Oslo / New York</w:t>
            </w:r>
          </w:p>
        </w:tc>
        <w:tc>
          <w:tcPr>
            <w:tcW w:type="dxa" w:w="2477"/>
          </w:tcPr>
          <w:p>
            <w:pPr>
              <w:spacing w:after="20"/>
              <w:jc w:val="left"/>
            </w:pPr>
            <w:r>
              <w:rPr>
                <w:color w:val="1C3A36"/>
                <w:sz w:val="16"/>
              </w:rPr>
              <w:t>spot crude tankers</w:t>
            </w:r>
          </w:p>
        </w:tc>
        <w:tc>
          <w:tcPr>
            <w:tcW w:type="dxa" w:w="1843"/>
          </w:tcPr>
          <w:p>
            <w:pPr>
              <w:spacing w:after="20"/>
              <w:jc w:val="right"/>
            </w:pPr>
            <w:r>
              <w:rPr>
                <w:color w:val="1C3A36"/>
                <w:sz w:val="16"/>
              </w:rPr>
              <w:t>8.96×</w:t>
            </w:r>
          </w:p>
        </w:tc>
        <w:tc>
          <w:tcPr>
            <w:tcW w:type="dxa" w:w="1210"/>
          </w:tcPr>
          <w:p>
            <w:pPr>
              <w:spacing w:after="20"/>
              <w:jc w:val="right"/>
            </w:pPr>
            <w:r>
              <w:rPr>
                <w:color w:val="1C3A36"/>
                <w:sz w:val="16"/>
              </w:rPr>
              <w:t>6.44×</w:t>
            </w:r>
          </w:p>
        </w:tc>
        <w:tc>
          <w:tcPr>
            <w:tcW w:type="dxa" w:w="893"/>
          </w:tcPr>
          <w:p>
            <w:pPr>
              <w:spacing w:after="20"/>
              <w:jc w:val="right"/>
            </w:pPr>
            <w:r>
              <w:rPr>
                <w:color w:val="1C3A36"/>
                <w:sz w:val="16"/>
              </w:rPr>
              <w:t>—</w:t>
            </w:r>
          </w:p>
        </w:tc>
      </w:tr>
      <w:tr>
        <w:trPr>
          <w:cantSplit/>
        </w:trPr>
        <w:tc>
          <w:tcPr>
            <w:tcW w:type="dxa" w:w="2333"/>
          </w:tcPr>
          <w:p>
            <w:pPr>
              <w:spacing w:after="20"/>
            </w:pPr>
            <w:r>
              <w:rPr>
                <w:color w:val="1C3A36"/>
                <w:sz w:val="16"/>
              </w:rPr>
              <w:t>International Seaways</w:t>
            </w:r>
          </w:p>
        </w:tc>
        <w:tc>
          <w:tcPr>
            <w:tcW w:type="dxa" w:w="1325"/>
          </w:tcPr>
          <w:p>
            <w:pPr>
              <w:spacing w:after="20"/>
              <w:jc w:val="left"/>
            </w:pPr>
            <w:r>
              <w:rPr>
                <w:color w:val="1C3A36"/>
                <w:sz w:val="16"/>
              </w:rPr>
              <w:t>New York</w:t>
            </w:r>
          </w:p>
        </w:tc>
        <w:tc>
          <w:tcPr>
            <w:tcW w:type="dxa" w:w="2477"/>
          </w:tcPr>
          <w:p>
            <w:pPr>
              <w:spacing w:after="20"/>
              <w:jc w:val="left"/>
            </w:pPr>
            <w:r>
              <w:rPr>
                <w:color w:val="1C3A36"/>
                <w:sz w:val="16"/>
              </w:rPr>
              <w:t>spot crude and product tankers</w:t>
            </w:r>
          </w:p>
        </w:tc>
        <w:tc>
          <w:tcPr>
            <w:tcW w:type="dxa" w:w="1843"/>
          </w:tcPr>
          <w:p>
            <w:pPr>
              <w:spacing w:after="20"/>
              <w:jc w:val="right"/>
            </w:pPr>
            <w:r>
              <w:rPr>
                <w:color w:val="1C3A36"/>
                <w:sz w:val="16"/>
              </w:rPr>
              <w:t>8.10×</w:t>
            </w:r>
          </w:p>
        </w:tc>
        <w:tc>
          <w:tcPr>
            <w:tcW w:type="dxa" w:w="1210"/>
          </w:tcPr>
          <w:p>
            <w:pPr>
              <w:spacing w:after="20"/>
              <w:jc w:val="right"/>
            </w:pPr>
            <w:r>
              <w:rPr>
                <w:color w:val="1C3A36"/>
                <w:sz w:val="16"/>
              </w:rPr>
              <w:t>—</w:t>
            </w:r>
          </w:p>
        </w:tc>
        <w:tc>
          <w:tcPr>
            <w:tcW w:type="dxa" w:w="893"/>
          </w:tcPr>
          <w:p>
            <w:pPr>
              <w:spacing w:after="20"/>
              <w:jc w:val="right"/>
            </w:pPr>
            <w:r>
              <w:rPr>
                <w:color w:val="1C3A36"/>
                <w:sz w:val="16"/>
              </w:rPr>
              <w:t>—</w:t>
            </w:r>
          </w:p>
        </w:tc>
      </w:tr>
      <w:tr>
        <w:trPr>
          <w:cantSplit/>
        </w:trPr>
        <w:tc>
          <w:tcPr>
            <w:tcW w:type="dxa" w:w="2333"/>
            <w:shd w:val="clear" w:color="auto" w:fill="F6F1E6"/>
          </w:tcPr>
          <w:p>
            <w:pPr>
              <w:spacing w:after="20"/>
            </w:pPr>
            <w:r>
              <w:rPr>
                <w:b/>
                <w:color w:val="1C3A36"/>
                <w:sz w:val="16"/>
              </w:rPr>
              <w:t>ADNOC Logistics &amp; Services</w:t>
            </w:r>
          </w:p>
        </w:tc>
        <w:tc>
          <w:tcPr>
            <w:tcW w:type="dxa" w:w="1325"/>
            <w:shd w:val="clear" w:color="auto" w:fill="F6F1E6"/>
          </w:tcPr>
          <w:p>
            <w:pPr>
              <w:spacing w:after="20"/>
              <w:jc w:val="left"/>
            </w:pPr>
            <w:r>
              <w:rPr>
                <w:b/>
                <w:color w:val="1C3A36"/>
                <w:sz w:val="16"/>
              </w:rPr>
              <w:t>Abu Dhabi Exchange</w:t>
            </w:r>
          </w:p>
        </w:tc>
        <w:tc>
          <w:tcPr>
            <w:tcW w:type="dxa" w:w="2477"/>
            <w:shd w:val="clear" w:color="auto" w:fill="F6F1E6"/>
          </w:tcPr>
          <w:p>
            <w:pPr>
              <w:spacing w:after="20"/>
              <w:jc w:val="left"/>
            </w:pPr>
            <w:r>
              <w:rPr>
                <w:b/>
                <w:color w:val="1C3A36"/>
                <w:sz w:val="16"/>
              </w:rPr>
              <w:t>half contracted logistics, half merchant fleet</w:t>
            </w:r>
          </w:p>
        </w:tc>
        <w:tc>
          <w:tcPr>
            <w:tcW w:type="dxa" w:w="1843"/>
            <w:shd w:val="clear" w:color="auto" w:fill="F6F1E6"/>
          </w:tcPr>
          <w:p>
            <w:pPr>
              <w:spacing w:after="20"/>
              <w:jc w:val="right"/>
            </w:pPr>
            <w:r>
              <w:rPr>
                <w:b/>
                <w:color w:val="1C3A36"/>
                <w:sz w:val="16"/>
              </w:rPr>
              <w:t>8.67× trailing / 6.91× on 2026E</w:t>
            </w:r>
          </w:p>
        </w:tc>
        <w:tc>
          <w:tcPr>
            <w:tcW w:type="dxa" w:w="1210"/>
            <w:shd w:val="clear" w:color="auto" w:fill="F6F1E6"/>
          </w:tcPr>
          <w:p>
            <w:pPr>
              <w:spacing w:after="20"/>
              <w:jc w:val="right"/>
            </w:pPr>
            <w:r>
              <w:rPr>
                <w:b/>
                <w:color w:val="1C3A36"/>
                <w:sz w:val="16"/>
              </w:rPr>
              <w:t>15.97×</w:t>
            </w:r>
          </w:p>
        </w:tc>
        <w:tc>
          <w:tcPr>
            <w:tcW w:type="dxa" w:w="893"/>
            <w:shd w:val="clear" w:color="auto" w:fill="F6F1E6"/>
          </w:tcPr>
          <w:p>
            <w:pPr>
              <w:spacing w:after="20"/>
              <w:jc w:val="right"/>
            </w:pPr>
            <w:r>
              <w:rPr>
                <w:b/>
                <w:color w:val="1C3A36"/>
                <w:sz w:val="16"/>
              </w:rPr>
              <w:t>1.76×</w:t>
            </w:r>
          </w:p>
        </w:tc>
      </w:tr>
    </w:tbl>
    <w:p>
      <w:pPr>
        <w:spacing w:after="40"/>
      </w:pPr>
    </w:p>
    <w:p>
      <w:pPr>
        <w:spacing w:after="200" w:before="0"/>
      </w:pPr>
      <w:r>
        <w:rPr>
          <w:b w:val="0"/>
          <w:i/>
          <w:color w:val="6E7B77"/>
          <w:sz w:val="17"/>
        </w:rPr>
        <w:t>The contracted-fleet multiple of 12.26× comes from the long-term contracted gas shipowner; the spot multiple of 8.53× is the average of the two listed spot tanker owners. Peer figures are as published on the dates recorded in this study's source register, and the company's own trailing multiple uses the operating earnings definition used throughout, not the company's own wider reported one. The company's own multiple in the last column is struck on the same convention the peer figures use — market capitalisation plus net debt — so that the comparison is like for like. On this study's own bridge, which additionally treats the perpetual capital securities and the minorities as claims ranking ahead of the ordinary shares, the same 2026E earnings give 8.09× rather than 6.91×. Both are set out in the next table.</w:t>
      </w:r>
    </w:p>
    <w:p>
      <w:pPr>
        <w:keepNext/>
        <w:spacing w:after="80" w:before="200"/>
      </w:pPr>
      <w:r>
        <w:rPr>
          <w:b/>
          <w:i w:val="0"/>
          <w:color w:val="1C3A36"/>
          <w:sz w:val="24"/>
        </w:rPr>
        <w:t>The same company, on two definitions of enterprise value</w:t>
      </w:r>
    </w:p>
    <w:p>
      <w:pPr>
        <w:spacing w:after="120" w:before="0"/>
      </w:pPr>
      <w:r>
        <w:rPr>
          <w:b w:val="0"/>
          <w:i w:val="0"/>
          <w:color w:val="1C3A36"/>
          <w:sz w:val="21"/>
        </w:rPr>
        <w:t>An enterprise multiple depends entirely on what is counted as part of the enterprise, and this company has two claims — perpetual capital securities and minority interests — that different conventions treat differently. Publishing one number without saying which convention produced it is how a comparison quietly stops comparing.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84"/>
        <w:gridCol w:w="1368"/>
        <w:gridCol w:w="4176"/>
      </w:tblGrid>
      <w:tr>
        <w:trPr>
          <w:cantSplit/>
          <w:tblHeader/>
        </w:trPr>
        <w:tc>
          <w:tcPr>
            <w:tcW w:type="dxa" w:w="2952"/>
            <w:shd w:val="clear" w:color="auto" w:fill="EAF0EE"/>
          </w:tcPr>
          <w:p>
            <w:pPr>
              <w:spacing w:after="20"/>
              <w:jc w:val="left"/>
            </w:pPr>
            <w:r>
              <w:rPr>
                <w:b/>
                <w:color w:val="1C3A36"/>
                <w:sz w:val="16"/>
              </w:rPr>
              <w:t>Basis</w:t>
            </w:r>
          </w:p>
        </w:tc>
        <w:tc>
          <w:tcPr>
            <w:tcW w:type="dxa" w:w="1584"/>
            <w:shd w:val="clear" w:color="auto" w:fill="EAF0EE"/>
          </w:tcPr>
          <w:p>
            <w:pPr>
              <w:spacing w:after="20"/>
            </w:pPr>
            <w:r>
              <w:rPr>
                <w:b/>
                <w:color w:val="1C3A36"/>
                <w:sz w:val="16"/>
              </w:rPr>
              <w:t>Enterprise value (USD mn)</w:t>
            </w:r>
          </w:p>
        </w:tc>
        <w:tc>
          <w:tcPr>
            <w:tcW w:type="dxa" w:w="1368"/>
            <w:shd w:val="clear" w:color="auto" w:fill="EAF0EE"/>
          </w:tcPr>
          <w:p>
            <w:pPr>
              <w:spacing w:after="20"/>
            </w:pPr>
            <w:r>
              <w:rPr>
                <w:b/>
                <w:color w:val="1C3A36"/>
                <w:sz w:val="16"/>
              </w:rPr>
              <w:t>On 2026E earnings</w:t>
            </w:r>
          </w:p>
        </w:tc>
        <w:tc>
          <w:tcPr>
            <w:tcW w:type="dxa" w:w="4176"/>
            <w:shd w:val="clear" w:color="auto" w:fill="EAF0EE"/>
          </w:tcPr>
          <w:p>
            <w:pPr>
              <w:spacing w:after="20"/>
              <w:jc w:val="left"/>
            </w:pPr>
            <w:r>
              <w:rPr>
                <w:b/>
                <w:color w:val="1C3A36"/>
                <w:sz w:val="16"/>
              </w:rPr>
              <w:t>Where it is used</w:t>
            </w:r>
          </w:p>
        </w:tc>
      </w:tr>
      <w:tr>
        <w:trPr>
          <w:cantSplit/>
        </w:trPr>
        <w:tc>
          <w:tcPr>
            <w:tcW w:type="dxa" w:w="2952"/>
          </w:tcPr>
          <w:p>
            <w:pPr>
              <w:spacing w:after="20"/>
              <w:jc w:val="left"/>
            </w:pPr>
            <w:r>
              <w:rPr>
                <w:color w:val="1C3A36"/>
                <w:sz w:val="16"/>
              </w:rPr>
              <w:t>Market capitalisation plus net debt</w:t>
            </w:r>
          </w:p>
        </w:tc>
        <w:tc>
          <w:tcPr>
            <w:tcW w:type="dxa" w:w="1584"/>
          </w:tcPr>
          <w:p>
            <w:pPr>
              <w:spacing w:after="20"/>
              <w:jc w:val="right"/>
            </w:pPr>
            <w:r>
              <w:rPr>
                <w:color w:val="1C3A36"/>
                <w:sz w:val="16"/>
              </w:rPr>
              <w:t>13,131</w:t>
            </w:r>
          </w:p>
        </w:tc>
        <w:tc>
          <w:tcPr>
            <w:tcW w:type="dxa" w:w="1368"/>
          </w:tcPr>
          <w:p>
            <w:pPr>
              <w:spacing w:after="20"/>
              <w:jc w:val="right"/>
            </w:pPr>
            <w:r>
              <w:rPr>
                <w:color w:val="1C3A36"/>
                <w:sz w:val="16"/>
              </w:rPr>
              <w:t>6.91×</w:t>
            </w:r>
          </w:p>
        </w:tc>
        <w:tc>
          <w:tcPr>
            <w:tcW w:type="dxa" w:w="4176"/>
          </w:tcPr>
          <w:p>
            <w:pPr>
              <w:spacing w:after="20"/>
              <w:jc w:val="left"/>
            </w:pPr>
            <w:r>
              <w:rPr>
                <w:color w:val="1C3A36"/>
                <w:sz w:val="16"/>
              </w:rPr>
              <w:t>the convention behind the published figures for the three comparators, so it is the one the peer table above must use</w:t>
            </w:r>
          </w:p>
        </w:tc>
      </w:tr>
      <w:tr>
        <w:trPr>
          <w:cantSplit/>
        </w:trPr>
        <w:tc>
          <w:tcPr>
            <w:tcW w:type="dxa" w:w="2952"/>
          </w:tcPr>
          <w:p>
            <w:pPr>
              <w:spacing w:after="20"/>
              <w:jc w:val="left"/>
            </w:pPr>
            <w:r>
              <w:rPr>
                <w:color w:val="1C3A36"/>
                <w:sz w:val="16"/>
              </w:rPr>
              <w:t>This study's own bridge — the same plus the perpetual capital securities at carrying value and the minority interests</w:t>
            </w:r>
          </w:p>
        </w:tc>
        <w:tc>
          <w:tcPr>
            <w:tcW w:type="dxa" w:w="1584"/>
          </w:tcPr>
          <w:p>
            <w:pPr>
              <w:spacing w:after="20"/>
              <w:jc w:val="right"/>
            </w:pPr>
            <w:r>
              <w:rPr>
                <w:color w:val="1C3A36"/>
                <w:sz w:val="16"/>
              </w:rPr>
              <w:t>15,382</w:t>
            </w:r>
          </w:p>
        </w:tc>
        <w:tc>
          <w:tcPr>
            <w:tcW w:type="dxa" w:w="1368"/>
          </w:tcPr>
          <w:p>
            <w:pPr>
              <w:spacing w:after="20"/>
              <w:jc w:val="right"/>
            </w:pPr>
            <w:r>
              <w:rPr>
                <w:color w:val="1C3A36"/>
                <w:sz w:val="16"/>
              </w:rPr>
              <w:t>8.09×</w:t>
            </w:r>
          </w:p>
        </w:tc>
        <w:tc>
          <w:tcPr>
            <w:tcW w:type="dxa" w:w="4176"/>
          </w:tcPr>
          <w:p>
            <w:pPr>
              <w:spacing w:after="20"/>
              <w:jc w:val="left"/>
            </w:pPr>
            <w:r>
              <w:rPr>
                <w:color w:val="1C3A36"/>
                <w:sz w:val="16"/>
              </w:rPr>
              <w:t>the definition section 1.1 bridges from, because each of those claims ranks ahead of the ordinary share and is deducted there</w:t>
            </w:r>
          </w:p>
        </w:tc>
      </w:tr>
      <w:tr>
        <w:trPr>
          <w:cantSplit/>
        </w:trPr>
        <w:tc>
          <w:tcPr>
            <w:tcW w:type="dxa" w:w="2952"/>
          </w:tcPr>
          <w:p>
            <w:pPr>
              <w:spacing w:after="20"/>
              <w:jc w:val="left"/>
            </w:pPr>
            <w:r>
              <w:rPr>
                <w:color w:val="1C3A36"/>
                <w:sz w:val="16"/>
              </w:rPr>
              <w:t>The difference</w:t>
            </w:r>
          </w:p>
        </w:tc>
        <w:tc>
          <w:tcPr>
            <w:tcW w:type="dxa" w:w="1584"/>
          </w:tcPr>
          <w:p>
            <w:pPr>
              <w:spacing w:after="20"/>
              <w:jc w:val="right"/>
            </w:pPr>
            <w:r>
              <w:rPr>
                <w:color w:val="1C3A36"/>
                <w:sz w:val="16"/>
              </w:rPr>
              <w:t>2,251</w:t>
            </w:r>
          </w:p>
        </w:tc>
        <w:tc>
          <w:tcPr>
            <w:tcW w:type="dxa" w:w="1368"/>
          </w:tcPr>
          <w:p>
            <w:pPr>
              <w:spacing w:after="20"/>
              <w:jc w:val="right"/>
            </w:pPr>
            <w:r>
              <w:rPr>
                <w:color w:val="1C3A36"/>
                <w:sz w:val="16"/>
              </w:rPr>
              <w:t>+1.18 turns</w:t>
            </w:r>
          </w:p>
        </w:tc>
        <w:tc>
          <w:tcPr>
            <w:tcW w:type="dxa" w:w="4176"/>
          </w:tcPr>
          <w:p>
            <w:pPr>
              <w:spacing w:after="20"/>
              <w:jc w:val="left"/>
            </w:pPr>
            <w:r>
              <w:rPr>
                <w:color w:val="1C3A36"/>
                <w:sz w:val="16"/>
              </w:rPr>
              <w:t>88% of it the perpetual capital securities. A reader comparing this company with a peer that has none should know which of the two numbers they are holding</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440"/>
        <w:gridCol w:w="5328"/>
      </w:tblGrid>
      <w:tr>
        <w:trPr>
          <w:cantSplit/>
          <w:tblHeader/>
        </w:trPr>
        <w:tc>
          <w:tcPr>
            <w:tcW w:type="dxa" w:w="3312"/>
            <w:shd w:val="clear" w:color="auto" w:fill="EAF0EE"/>
          </w:tcPr>
          <w:p>
            <w:pPr>
              <w:spacing w:after="20"/>
            </w:pPr>
            <w:r>
              <w:rPr>
                <w:b/>
                <w:color w:val="1C3A36"/>
                <w:sz w:val="16"/>
              </w:rPr>
              <w:t>Measure</w:t>
            </w:r>
          </w:p>
        </w:tc>
        <w:tc>
          <w:tcPr>
            <w:tcW w:type="dxa" w:w="1440"/>
            <w:shd w:val="clear" w:color="auto" w:fill="EAF0EE"/>
          </w:tcPr>
          <w:p>
            <w:pPr>
              <w:spacing w:after="20"/>
            </w:pPr>
            <w:r>
              <w:rPr>
                <w:b/>
                <w:color w:val="1C3A36"/>
                <w:sz w:val="16"/>
              </w:rPr>
              <w:t>Value</w:t>
            </w:r>
          </w:p>
        </w:tc>
        <w:tc>
          <w:tcPr>
            <w:tcW w:type="dxa" w:w="5328"/>
            <w:shd w:val="clear" w:color="auto" w:fill="EAF0EE"/>
          </w:tcPr>
          <w:p>
            <w:pPr>
              <w:spacing w:after="20"/>
              <w:jc w:val="left"/>
            </w:pPr>
            <w:r>
              <w:rPr>
                <w:b/>
                <w:color w:val="1C3A36"/>
                <w:sz w:val="16"/>
              </w:rPr>
              <w:t>Comment</w:t>
            </w:r>
          </w:p>
        </w:tc>
      </w:tr>
      <w:tr>
        <w:trPr>
          <w:cantSplit/>
        </w:trPr>
        <w:tc>
          <w:tcPr>
            <w:tcW w:type="dxa" w:w="3312"/>
          </w:tcPr>
          <w:p>
            <w:pPr>
              <w:spacing w:after="20"/>
            </w:pPr>
            <w:r>
              <w:rPr>
                <w:color w:val="1C3A36"/>
                <w:sz w:val="16"/>
              </w:rPr>
              <w:t>Contracted-fleet multiple</w:t>
            </w:r>
          </w:p>
        </w:tc>
        <w:tc>
          <w:tcPr>
            <w:tcW w:type="dxa" w:w="1440"/>
          </w:tcPr>
          <w:p>
            <w:pPr>
              <w:spacing w:after="20"/>
              <w:jc w:val="right"/>
            </w:pPr>
            <w:r>
              <w:rPr>
                <w:color w:val="1C3A36"/>
                <w:sz w:val="16"/>
              </w:rPr>
              <w:t>12.26×</w:t>
            </w:r>
          </w:p>
        </w:tc>
        <w:tc>
          <w:tcPr>
            <w:tcW w:type="dxa" w:w="5328"/>
          </w:tcPr>
          <w:p>
            <w:pPr>
              <w:spacing w:after="20"/>
              <w:jc w:val="left"/>
            </w:pPr>
            <w:r>
              <w:rPr>
                <w:color w:val="1C3A36"/>
                <w:sz w:val="16"/>
              </w:rPr>
              <w:t>the long-term contracted gas shipowner — the closest listed analogue to the logistics and gas-carrier legs, which earn under long contracts with a single strong counterparty</w:t>
            </w:r>
          </w:p>
        </w:tc>
      </w:tr>
      <w:tr>
        <w:trPr>
          <w:cantSplit/>
        </w:trPr>
        <w:tc>
          <w:tcPr>
            <w:tcW w:type="dxa" w:w="3312"/>
          </w:tcPr>
          <w:p>
            <w:pPr>
              <w:spacing w:after="20"/>
            </w:pPr>
            <w:r>
              <w:rPr>
                <w:color w:val="1C3A36"/>
                <w:sz w:val="16"/>
              </w:rPr>
              <w:t>Spot-fleet multiple</w:t>
            </w:r>
          </w:p>
        </w:tc>
        <w:tc>
          <w:tcPr>
            <w:tcW w:type="dxa" w:w="1440"/>
          </w:tcPr>
          <w:p>
            <w:pPr>
              <w:spacing w:after="20"/>
              <w:jc w:val="right"/>
            </w:pPr>
            <w:r>
              <w:rPr>
                <w:color w:val="1C3A36"/>
                <w:sz w:val="16"/>
              </w:rPr>
              <w:t>8.53×</w:t>
            </w:r>
          </w:p>
        </w:tc>
        <w:tc>
          <w:tcPr>
            <w:tcW w:type="dxa" w:w="5328"/>
          </w:tcPr>
          <w:p>
            <w:pPr>
              <w:spacing w:after="20"/>
              <w:jc w:val="left"/>
            </w:pPr>
            <w:r>
              <w:rPr>
                <w:color w:val="1C3A36"/>
                <w:sz w:val="16"/>
              </w:rPr>
              <w:t>the average of two listed spot tanker owners — the closest analogue to the merchant fleet, and it trades several turns lower precisely because its earnings are not contracted</w:t>
            </w:r>
          </w:p>
        </w:tc>
      </w:tr>
      <w:tr>
        <w:trPr>
          <w:cantSplit/>
        </w:trPr>
        <w:tc>
          <w:tcPr>
            <w:tcW w:type="dxa" w:w="3312"/>
          </w:tcPr>
          <w:p>
            <w:pPr>
              <w:spacing w:after="20"/>
            </w:pPr>
            <w:r>
              <w:rPr>
                <w:color w:val="1C3A36"/>
                <w:sz w:val="16"/>
              </w:rPr>
              <w:t>Weight on the spot multiple</w:t>
            </w:r>
          </w:p>
        </w:tc>
        <w:tc>
          <w:tcPr>
            <w:tcW w:type="dxa" w:w="1440"/>
          </w:tcPr>
          <w:p>
            <w:pPr>
              <w:spacing w:after="20"/>
              <w:jc w:val="right"/>
            </w:pPr>
            <w:r>
              <w:rPr>
                <w:color w:val="1C3A36"/>
                <w:sz w:val="16"/>
              </w:rPr>
              <w:t>31%</w:t>
            </w:r>
          </w:p>
        </w:tc>
        <w:tc>
          <w:tcPr>
            <w:tcW w:type="dxa" w:w="5328"/>
          </w:tcPr>
          <w:p>
            <w:pPr>
              <w:spacing w:after="20"/>
              <w:jc w:val="left"/>
            </w:pPr>
            <w:r>
              <w:rPr>
                <w:color w:val="1C3A36"/>
                <w:sz w:val="16"/>
              </w:rPr>
              <w:t>the company's own disclosed share of earnings exposed to spot rates in 2026E — the weighting is taken from the company rather than chosen</w:t>
            </w:r>
          </w:p>
        </w:tc>
      </w:tr>
      <w:tr>
        <w:trPr>
          <w:cantSplit/>
        </w:trPr>
        <w:tc>
          <w:tcPr>
            <w:tcW w:type="dxa" w:w="3312"/>
          </w:tcPr>
          <w:p>
            <w:pPr>
              <w:spacing w:after="20"/>
            </w:pPr>
            <w:r>
              <w:rPr>
                <w:color w:val="1C3A36"/>
                <w:sz w:val="16"/>
              </w:rPr>
              <w:t>Blended enterprise multiple</w:t>
            </w:r>
          </w:p>
        </w:tc>
        <w:tc>
          <w:tcPr>
            <w:tcW w:type="dxa" w:w="1440"/>
          </w:tcPr>
          <w:p>
            <w:pPr>
              <w:spacing w:after="20"/>
              <w:jc w:val="right"/>
            </w:pPr>
            <w:r>
              <w:rPr>
                <w:color w:val="1C3A36"/>
                <w:sz w:val="16"/>
              </w:rPr>
              <w:t>11.10×</w:t>
            </w:r>
          </w:p>
        </w:tc>
        <w:tc>
          <w:tcPr>
            <w:tcW w:type="dxa" w:w="5328"/>
          </w:tcPr>
          <w:p>
            <w:pPr>
              <w:spacing w:after="20"/>
              <w:jc w:val="left"/>
            </w:pPr>
            <w:r>
              <w:rPr>
                <w:color w:val="1C3A36"/>
                <w:sz w:val="16"/>
              </w:rPr>
              <w:t>applied to 2026E earnings of USD 1,900 million</w:t>
            </w:r>
          </w:p>
        </w:tc>
      </w:tr>
      <w:tr>
        <w:trPr>
          <w:cantSplit/>
        </w:trPr>
        <w:tc>
          <w:tcPr>
            <w:tcW w:type="dxa" w:w="3312"/>
          </w:tcPr>
          <w:p>
            <w:pPr>
              <w:spacing w:after="20"/>
            </w:pPr>
            <w:r>
              <w:rPr>
                <w:color w:val="1C3A36"/>
                <w:sz w:val="16"/>
              </w:rPr>
              <w:t>Blended price-to-earnings multiple</w:t>
            </w:r>
          </w:p>
        </w:tc>
        <w:tc>
          <w:tcPr>
            <w:tcW w:type="dxa" w:w="1440"/>
          </w:tcPr>
          <w:p>
            <w:pPr>
              <w:spacing w:after="20"/>
              <w:jc w:val="right"/>
            </w:pPr>
            <w:r>
              <w:rPr>
                <w:color w:val="1C3A36"/>
                <w:sz w:val="16"/>
              </w:rPr>
              <w:t>11.64×</w:t>
            </w:r>
          </w:p>
        </w:tc>
        <w:tc>
          <w:tcPr>
            <w:tcW w:type="dxa" w:w="5328"/>
          </w:tcPr>
          <w:p>
            <w:pPr>
              <w:spacing w:after="20"/>
              <w:jc w:val="left"/>
            </w:pPr>
            <w:r>
              <w:rPr>
                <w:color w:val="1C3A36"/>
                <w:sz w:val="16"/>
              </w:rPr>
              <w:t>applied to 2026E attributable profit after the perpetual coupon of USD 1,050 million</w:t>
            </w:r>
          </w:p>
        </w:tc>
      </w:tr>
      <w:tr>
        <w:trPr>
          <w:cantSplit/>
        </w:trPr>
        <w:tc>
          <w:tcPr>
            <w:tcW w:type="dxa" w:w="3312"/>
          </w:tcPr>
          <w:p>
            <w:pPr>
              <w:spacing w:after="20"/>
            </w:pPr>
            <w:r>
              <w:rPr>
                <w:color w:val="1C3A36"/>
                <w:sz w:val="16"/>
              </w:rPr>
              <w:t>Value on the enterprise multiple (AED/share)</w:t>
            </w:r>
          </w:p>
        </w:tc>
        <w:tc>
          <w:tcPr>
            <w:tcW w:type="dxa" w:w="1440"/>
          </w:tcPr>
          <w:p>
            <w:pPr>
              <w:spacing w:after="20"/>
              <w:jc w:val="right"/>
            </w:pPr>
            <w:r>
              <w:rPr>
                <w:color w:val="1C3A36"/>
                <w:sz w:val="16"/>
              </w:rPr>
              <w:t>9.19</w:t>
            </w:r>
          </w:p>
        </w:tc>
        <w:tc>
          <w:tcPr>
            <w:tcW w:type="dxa" w:w="5328"/>
          </w:tcPr>
          <w:p>
            <w:pPr>
              <w:spacing w:after="20"/>
              <w:jc w:val="left"/>
            </w:pPr>
            <w:r>
              <w:rPr>
                <w:color w:val="1C3A36"/>
                <w:sz w:val="16"/>
              </w:rPr>
            </w:r>
          </w:p>
        </w:tc>
      </w:tr>
      <w:tr>
        <w:trPr>
          <w:cantSplit/>
        </w:trPr>
        <w:tc>
          <w:tcPr>
            <w:tcW w:type="dxa" w:w="3312"/>
          </w:tcPr>
          <w:p>
            <w:pPr>
              <w:spacing w:after="20"/>
            </w:pPr>
            <w:r>
              <w:rPr>
                <w:color w:val="1C3A36"/>
                <w:sz w:val="16"/>
              </w:rPr>
              <w:t>Value on the earnings multiple (AED/share)</w:t>
            </w:r>
          </w:p>
        </w:tc>
        <w:tc>
          <w:tcPr>
            <w:tcW w:type="dxa" w:w="1440"/>
          </w:tcPr>
          <w:p>
            <w:pPr>
              <w:spacing w:after="20"/>
              <w:jc w:val="right"/>
            </w:pPr>
            <w:r>
              <w:rPr>
                <w:color w:val="1C3A36"/>
                <w:sz w:val="16"/>
              </w:rPr>
              <w:t>6.06</w:t>
            </w:r>
          </w:p>
        </w:tc>
        <w:tc>
          <w:tcPr>
            <w:tcW w:type="dxa" w:w="5328"/>
          </w:tcPr>
          <w:p>
            <w:pPr>
              <w:spacing w:after="20"/>
              <w:jc w:val="left"/>
            </w:pPr>
            <w:r>
              <w:rPr>
                <w:color w:val="1C3A36"/>
                <w:sz w:val="16"/>
              </w:rPr>
              <w:t>materially lower, because depreciation on a young, recently expanded fleet and the perpetual coupon both fall between the two measures — the reason this lens weights the enterprise measure more heavily</w:t>
            </w:r>
          </w:p>
        </w:tc>
      </w:tr>
      <w:tr>
        <w:trPr>
          <w:cantSplit/>
        </w:trPr>
        <w:tc>
          <w:tcPr>
            <w:tcW w:type="dxa" w:w="3312"/>
            <w:shd w:val="clear" w:color="auto" w:fill="F6F1E6"/>
          </w:tcPr>
          <w:p>
            <w:pPr>
              <w:spacing w:after="20"/>
            </w:pPr>
            <w:r>
              <w:rPr>
                <w:b/>
                <w:color w:val="1C3A36"/>
                <w:sz w:val="16"/>
              </w:rPr>
              <w:t>Weighted value (70% enterprise / 30% earnings)</w:t>
            </w:r>
          </w:p>
        </w:tc>
        <w:tc>
          <w:tcPr>
            <w:tcW w:type="dxa" w:w="1440"/>
            <w:shd w:val="clear" w:color="auto" w:fill="F6F1E6"/>
          </w:tcPr>
          <w:p>
            <w:pPr>
              <w:spacing w:after="20"/>
              <w:jc w:val="right"/>
            </w:pPr>
            <w:r>
              <w:rPr>
                <w:b/>
                <w:color w:val="1C3A36"/>
                <w:sz w:val="16"/>
              </w:rPr>
              <w:t>8.25</w:t>
            </w:r>
          </w:p>
        </w:tc>
        <w:tc>
          <w:tcPr>
            <w:tcW w:type="dxa" w:w="5328"/>
            <w:shd w:val="clear" w:color="auto" w:fill="F6F1E6"/>
          </w:tcPr>
          <w:p>
            <w:pPr>
              <w:spacing w:after="20"/>
              <w:jc w:val="left"/>
            </w:pPr>
            <w:r>
              <w:rPr>
                <w:b/>
                <w:color w:val="1C3A36"/>
                <w:sz w:val="16"/>
              </w:rPr>
              <w:t>the enterprise measure carries more weight because it is the standard measure for a capital-intensive fleet owner and neutralises differences in leverage, depreciation policy and tax relief across the comparators</w:t>
            </w:r>
          </w:p>
        </w:tc>
      </w:tr>
      <w:tr>
        <w:trPr>
          <w:cantSplit/>
        </w:trPr>
        <w:tc>
          <w:tcPr>
            <w:tcW w:type="dxa" w:w="3312"/>
          </w:tcPr>
          <w:p>
            <w:pPr>
              <w:spacing w:after="20"/>
            </w:pPr>
            <w:r>
              <w:rPr>
                <w:color w:val="1C3A36"/>
                <w:sz w:val="16"/>
              </w:rPr>
              <w:t>Range</w:t>
            </w:r>
          </w:p>
        </w:tc>
        <w:tc>
          <w:tcPr>
            <w:tcW w:type="dxa" w:w="1440"/>
          </w:tcPr>
          <w:p>
            <w:pPr>
              <w:spacing w:after="20"/>
              <w:jc w:val="right"/>
            </w:pPr>
            <w:r>
              <w:rPr>
                <w:color w:val="1C3A36"/>
                <w:sz w:val="16"/>
              </w:rPr>
              <w:t>6.78 – 10.28</w:t>
            </w:r>
          </w:p>
        </w:tc>
        <w:tc>
          <w:tcPr>
            <w:tcW w:type="dxa" w:w="5328"/>
          </w:tcPr>
          <w:p>
            <w:pPr>
              <w:spacing w:after="20"/>
              <w:jc w:val="left"/>
            </w:pPr>
            <w:r>
              <w:rPr>
                <w:color w:val="1C3A36"/>
                <w:sz w:val="16"/>
              </w:rPr>
              <w:t>the whole group at the spot multiple, and the whole group at the contracted multiple — the two corners the blend sits between</w:t>
            </w:r>
          </w:p>
        </w:tc>
      </w:tr>
    </w:tbl>
    <w:p>
      <w:pPr>
        <w:spacing w:after="40"/>
      </w:pPr>
    </w:p>
    <w:p>
      <w:pPr>
        <w:keepNext/>
        <w:spacing w:after="80" w:before="200"/>
      </w:pPr>
      <w:r>
        <w:rPr>
          <w:b/>
          <w:i w:val="0"/>
          <w:color w:val="1C3A36"/>
          <w:sz w:val="24"/>
        </w:rPr>
        <w:t>Sum of the parts — the same multiples, applied where they belong</w:t>
      </w:r>
    </w:p>
    <w:p>
      <w:pPr>
        <w:spacing w:after="120" w:before="0"/>
      </w:pPr>
      <w:r>
        <w:rPr>
          <w:b w:val="0"/>
          <w:i w:val="0"/>
          <w:color w:val="1C3A36"/>
          <w:sz w:val="21"/>
        </w:rPr>
        <w:t>Applying one multiple to the whole group is the mistake the frame above is trying to avoid, and there is a cleaner way to say so: value each business unit on the multiple that fits it and add them. The two contracted legs — Integrated Logistics and Services — earn under long-term contracts with a single strong counterparty and take the contracted-fleet multiple. Shipping takes a blend of the contracted and spot multiples, weighted by the company's own disclosed share of earnings exposed to spot rates. This is a cross-check on the relative lens rather than a fifth lens, and it is excluded from the weighted central, but it is the construction that honours the fact that this company runs contracted work and market-exposed shipping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69"/>
        <w:gridCol w:w="1037"/>
        <w:gridCol w:w="1598"/>
        <w:gridCol w:w="3456"/>
      </w:tblGrid>
      <w:tr>
        <w:trPr>
          <w:cantSplit/>
          <w:tblHeader/>
        </w:trPr>
        <w:tc>
          <w:tcPr>
            <w:tcW w:type="dxa" w:w="2520"/>
            <w:shd w:val="clear" w:color="auto" w:fill="EAF0EE"/>
          </w:tcPr>
          <w:p>
            <w:pPr>
              <w:spacing w:after="20"/>
            </w:pPr>
            <w:r>
              <w:rPr>
                <w:b/>
                <w:color w:val="1C3A36"/>
                <w:sz w:val="16"/>
              </w:rPr>
              <w:t>Business unit</w:t>
            </w:r>
          </w:p>
        </w:tc>
        <w:tc>
          <w:tcPr>
            <w:tcW w:type="dxa" w:w="1469"/>
            <w:shd w:val="clear" w:color="auto" w:fill="EAF0EE"/>
          </w:tcPr>
          <w:p>
            <w:pPr>
              <w:spacing w:after="20"/>
            </w:pPr>
            <w:r>
              <w:rPr>
                <w:b/>
                <w:color w:val="1C3A36"/>
                <w:sz w:val="16"/>
              </w:rPr>
              <w:t>2026E earnings (USD mn)</w:t>
            </w:r>
          </w:p>
        </w:tc>
        <w:tc>
          <w:tcPr>
            <w:tcW w:type="dxa" w:w="1037"/>
            <w:shd w:val="clear" w:color="auto" w:fill="EAF0EE"/>
          </w:tcPr>
          <w:p>
            <w:pPr>
              <w:spacing w:after="20"/>
            </w:pPr>
            <w:r>
              <w:rPr>
                <w:b/>
                <w:color w:val="1C3A36"/>
                <w:sz w:val="16"/>
              </w:rPr>
              <w:t>Multiple</w:t>
            </w:r>
          </w:p>
        </w:tc>
        <w:tc>
          <w:tcPr>
            <w:tcW w:type="dxa" w:w="1598"/>
            <w:shd w:val="clear" w:color="auto" w:fill="EAF0EE"/>
          </w:tcPr>
          <w:p>
            <w:pPr>
              <w:spacing w:after="20"/>
            </w:pPr>
            <w:r>
              <w:rPr>
                <w:b/>
                <w:color w:val="1C3A36"/>
                <w:sz w:val="16"/>
              </w:rPr>
              <w:t>Enterprise value (USD mn)</w:t>
            </w:r>
          </w:p>
        </w:tc>
        <w:tc>
          <w:tcPr>
            <w:tcW w:type="dxa" w:w="3456"/>
            <w:shd w:val="clear" w:color="auto" w:fill="EAF0EE"/>
          </w:tcPr>
          <w:p>
            <w:pPr>
              <w:spacing w:after="20"/>
              <w:jc w:val="left"/>
            </w:pPr>
            <w:r>
              <w:rPr>
                <w:b/>
                <w:color w:val="1C3A36"/>
                <w:sz w:val="16"/>
              </w:rPr>
              <w:t>Why that multiple</w:t>
            </w:r>
          </w:p>
        </w:tc>
      </w:tr>
      <w:tr>
        <w:trPr>
          <w:cantSplit/>
        </w:trPr>
        <w:tc>
          <w:tcPr>
            <w:tcW w:type="dxa" w:w="2520"/>
          </w:tcPr>
          <w:p>
            <w:pPr>
              <w:spacing w:after="20"/>
            </w:pPr>
            <w:r>
              <w:rPr>
                <w:color w:val="1C3A36"/>
                <w:sz w:val="16"/>
              </w:rPr>
              <w:t>Integrated Logistics</w:t>
            </w:r>
          </w:p>
        </w:tc>
        <w:tc>
          <w:tcPr>
            <w:tcW w:type="dxa" w:w="1469"/>
          </w:tcPr>
          <w:p>
            <w:pPr>
              <w:spacing w:after="20"/>
              <w:jc w:val="right"/>
            </w:pPr>
            <w:r>
              <w:rPr>
                <w:color w:val="1C3A36"/>
                <w:sz w:val="16"/>
              </w:rPr>
              <w:t>668</w:t>
            </w:r>
          </w:p>
        </w:tc>
        <w:tc>
          <w:tcPr>
            <w:tcW w:type="dxa" w:w="1037"/>
          </w:tcPr>
          <w:p>
            <w:pPr>
              <w:spacing w:after="20"/>
              <w:jc w:val="right"/>
            </w:pPr>
            <w:r>
              <w:rPr>
                <w:color w:val="1C3A36"/>
                <w:sz w:val="16"/>
              </w:rPr>
              <w:t>12.26×</w:t>
            </w:r>
          </w:p>
        </w:tc>
        <w:tc>
          <w:tcPr>
            <w:tcW w:type="dxa" w:w="1598"/>
          </w:tcPr>
          <w:p>
            <w:pPr>
              <w:spacing w:after="20"/>
              <w:jc w:val="right"/>
            </w:pPr>
            <w:r>
              <w:rPr>
                <w:color w:val="1C3A36"/>
                <w:sz w:val="16"/>
              </w:rPr>
              <w:t>8,193</w:t>
            </w:r>
          </w:p>
        </w:tc>
        <w:tc>
          <w:tcPr>
            <w:tcW w:type="dxa" w:w="3456"/>
          </w:tcPr>
          <w:p>
            <w:pPr>
              <w:spacing w:after="20"/>
              <w:jc w:val="left"/>
            </w:pPr>
            <w:r>
              <w:rPr>
                <w:color w:val="1C3A36"/>
                <w:sz w:val="16"/>
              </w:rPr>
              <w:t>a contracted-fleet multiple, because this leg earns under long-term contracts</w:t>
            </w:r>
          </w:p>
        </w:tc>
      </w:tr>
      <w:tr>
        <w:trPr>
          <w:cantSplit/>
        </w:trPr>
        <w:tc>
          <w:tcPr>
            <w:tcW w:type="dxa" w:w="2520"/>
          </w:tcPr>
          <w:p>
            <w:pPr>
              <w:spacing w:after="20"/>
            </w:pPr>
            <w:r>
              <w:rPr>
                <w:color w:val="1C3A36"/>
                <w:sz w:val="16"/>
              </w:rPr>
              <w:t>Shipping</w:t>
            </w:r>
          </w:p>
        </w:tc>
        <w:tc>
          <w:tcPr>
            <w:tcW w:type="dxa" w:w="1469"/>
          </w:tcPr>
          <w:p>
            <w:pPr>
              <w:spacing w:after="20"/>
              <w:jc w:val="right"/>
            </w:pPr>
            <w:r>
              <w:rPr>
                <w:color w:val="1C3A36"/>
                <w:sz w:val="16"/>
              </w:rPr>
              <w:t>1,177</w:t>
            </w:r>
          </w:p>
        </w:tc>
        <w:tc>
          <w:tcPr>
            <w:tcW w:type="dxa" w:w="1037"/>
          </w:tcPr>
          <w:p>
            <w:pPr>
              <w:spacing w:after="20"/>
              <w:jc w:val="right"/>
            </w:pPr>
            <w:r>
              <w:rPr>
                <w:color w:val="1C3A36"/>
                <w:sz w:val="16"/>
              </w:rPr>
              <w:t>11.10×</w:t>
            </w:r>
          </w:p>
        </w:tc>
        <w:tc>
          <w:tcPr>
            <w:tcW w:type="dxa" w:w="1598"/>
          </w:tcPr>
          <w:p>
            <w:pPr>
              <w:spacing w:after="20"/>
              <w:jc w:val="right"/>
            </w:pPr>
            <w:r>
              <w:rPr>
                <w:color w:val="1C3A36"/>
                <w:sz w:val="16"/>
              </w:rPr>
              <w:t>13,071</w:t>
            </w:r>
          </w:p>
        </w:tc>
        <w:tc>
          <w:tcPr>
            <w:tcW w:type="dxa" w:w="3456"/>
          </w:tcPr>
          <w:p>
            <w:pPr>
              <w:spacing w:after="20"/>
              <w:jc w:val="left"/>
            </w:pPr>
            <w:r>
              <w:rPr>
                <w:color w:val="1C3A36"/>
                <w:sz w:val="16"/>
              </w:rPr>
              <w:t>a blend of the contracted and spot multiples, weighted by the company's own disclosed share of earnings exposed to spot rates</w:t>
            </w:r>
          </w:p>
        </w:tc>
      </w:tr>
      <w:tr>
        <w:trPr>
          <w:cantSplit/>
        </w:trPr>
        <w:tc>
          <w:tcPr>
            <w:tcW w:type="dxa" w:w="2520"/>
          </w:tcPr>
          <w:p>
            <w:pPr>
              <w:spacing w:after="20"/>
            </w:pPr>
            <w:r>
              <w:rPr>
                <w:color w:val="1C3A36"/>
                <w:sz w:val="16"/>
              </w:rPr>
              <w:t>Services</w:t>
            </w:r>
          </w:p>
        </w:tc>
        <w:tc>
          <w:tcPr>
            <w:tcW w:type="dxa" w:w="1469"/>
          </w:tcPr>
          <w:p>
            <w:pPr>
              <w:spacing w:after="20"/>
              <w:jc w:val="right"/>
            </w:pPr>
            <w:r>
              <w:rPr>
                <w:color w:val="1C3A36"/>
                <w:sz w:val="16"/>
              </w:rPr>
              <w:t>55</w:t>
            </w:r>
          </w:p>
        </w:tc>
        <w:tc>
          <w:tcPr>
            <w:tcW w:type="dxa" w:w="1037"/>
          </w:tcPr>
          <w:p>
            <w:pPr>
              <w:spacing w:after="20"/>
              <w:jc w:val="right"/>
            </w:pPr>
            <w:r>
              <w:rPr>
                <w:color w:val="1C3A36"/>
                <w:sz w:val="16"/>
              </w:rPr>
              <w:t>12.26×</w:t>
            </w:r>
          </w:p>
        </w:tc>
        <w:tc>
          <w:tcPr>
            <w:tcW w:type="dxa" w:w="1598"/>
          </w:tcPr>
          <w:p>
            <w:pPr>
              <w:spacing w:after="20"/>
              <w:jc w:val="right"/>
            </w:pPr>
            <w:r>
              <w:rPr>
                <w:color w:val="1C3A36"/>
                <w:sz w:val="16"/>
              </w:rPr>
              <w:t>670</w:t>
            </w:r>
          </w:p>
        </w:tc>
        <w:tc>
          <w:tcPr>
            <w:tcW w:type="dxa" w:w="3456"/>
          </w:tcPr>
          <w:p>
            <w:pPr>
              <w:spacing w:after="20"/>
              <w:jc w:val="left"/>
            </w:pPr>
            <w:r>
              <w:rPr>
                <w:color w:val="1C3A36"/>
                <w:sz w:val="16"/>
              </w:rPr>
              <w:t>a contracted-fleet multiple, because this leg earns under long-term contracts</w:t>
            </w:r>
          </w:p>
        </w:tc>
      </w:tr>
      <w:tr>
        <w:trPr>
          <w:cantSplit/>
        </w:trPr>
        <w:tc>
          <w:tcPr>
            <w:tcW w:type="dxa" w:w="2520"/>
            <w:shd w:val="clear" w:color="auto" w:fill="F6F1E6"/>
          </w:tcPr>
          <w:p>
            <w:pPr>
              <w:spacing w:after="20"/>
            </w:pPr>
            <w:r>
              <w:rPr>
                <w:b/>
                <w:color w:val="1C3A36"/>
                <w:sz w:val="16"/>
              </w:rPr>
              <w:t>Sum of the three legs</w:t>
            </w:r>
          </w:p>
        </w:tc>
        <w:tc>
          <w:tcPr>
            <w:tcW w:type="dxa" w:w="1469"/>
            <w:shd w:val="clear" w:color="auto" w:fill="F6F1E6"/>
          </w:tcPr>
          <w:p>
            <w:pPr>
              <w:spacing w:after="20"/>
              <w:jc w:val="right"/>
            </w:pPr>
            <w:r>
              <w:rPr>
                <w:b/>
                <w:color w:val="1C3A36"/>
                <w:sz w:val="16"/>
              </w:rPr>
              <w:t>1,900</w:t>
            </w:r>
          </w:p>
        </w:tc>
        <w:tc>
          <w:tcPr>
            <w:tcW w:type="dxa" w:w="1037"/>
            <w:shd w:val="clear" w:color="auto" w:fill="F6F1E6"/>
          </w:tcPr>
          <w:p>
            <w:pPr>
              <w:spacing w:after="20"/>
              <w:jc w:val="right"/>
            </w:pPr>
            <w:r>
              <w:rPr>
                <w:b/>
                <w:color w:val="1C3A36"/>
                <w:sz w:val="16"/>
              </w:rPr>
            </w:r>
          </w:p>
        </w:tc>
        <w:tc>
          <w:tcPr>
            <w:tcW w:type="dxa" w:w="1598"/>
            <w:shd w:val="clear" w:color="auto" w:fill="F6F1E6"/>
          </w:tcPr>
          <w:p>
            <w:pPr>
              <w:spacing w:after="20"/>
              <w:jc w:val="right"/>
            </w:pPr>
            <w:r>
              <w:rPr>
                <w:b/>
                <w:color w:val="1C3A36"/>
                <w:sz w:val="16"/>
              </w:rPr>
              <w:t>21,935</w:t>
            </w:r>
          </w:p>
        </w:tc>
        <w:tc>
          <w:tcPr>
            <w:tcW w:type="dxa" w:w="3456"/>
            <w:shd w:val="clear" w:color="auto" w:fill="F6F1E6"/>
          </w:tcPr>
          <w:p>
            <w:pPr>
              <w:spacing w:after="20"/>
              <w:jc w:val="left"/>
            </w:pPr>
            <w:r>
              <w:rPr>
                <w:b/>
                <w:color w:val="1C3A36"/>
                <w:sz w:val="16"/>
              </w:rPr>
              <w:t>enterprise value of the operations, the three legs added</w:t>
            </w:r>
          </w:p>
        </w:tc>
      </w:tr>
      <w:tr>
        <w:trPr>
          <w:cantSplit/>
        </w:trPr>
        <w:tc>
          <w:tcPr>
            <w:tcW w:type="dxa" w:w="2520"/>
          </w:tcPr>
          <w:p>
            <w:pPr>
              <w:spacing w:after="20"/>
            </w:pPr>
            <w:r>
              <w:rPr>
                <w:color w:val="1C3A36"/>
                <w:sz w:val="16"/>
              </w:rPr>
              <w:t>Plus joint ventures and associates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493</w:t>
            </w:r>
          </w:p>
        </w:tc>
        <w:tc>
          <w:tcPr>
            <w:tcW w:type="dxa" w:w="3456"/>
          </w:tcPr>
          <w:p>
            <w:pPr>
              <w:spacing w:after="20"/>
              <w:jc w:val="left"/>
            </w:pPr>
            <w:r>
              <w:rPr>
                <w:color w:val="1C3A36"/>
                <w:sz w:val="16"/>
              </w:rPr>
              <w:t>at reviewed book value</w:t>
            </w:r>
          </w:p>
        </w:tc>
      </w:tr>
      <w:tr>
        <w:trPr>
          <w:cantSplit/>
        </w:trPr>
        <w:tc>
          <w:tcPr>
            <w:tcW w:type="dxa" w:w="2520"/>
          </w:tcPr>
          <w:p>
            <w:pPr>
              <w:spacing w:after="20"/>
            </w:pPr>
            <w:r>
              <w:rPr>
                <w:color w:val="1C3A36"/>
                <w:sz w:val="16"/>
              </w:rPr>
              <w:t>Less net debt and deferred consideration</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(721)</w:t>
            </w:r>
          </w:p>
        </w:tc>
        <w:tc>
          <w:tcPr>
            <w:tcW w:type="dxa" w:w="3456"/>
          </w:tcPr>
          <w:p>
            <w:pPr>
              <w:spacing w:after="20"/>
              <w:jc w:val="left"/>
            </w:pPr>
            <w:r>
              <w:rPr>
                <w:color w:val="1C3A36"/>
                <w:sz w:val="16"/>
              </w:rPr>
              <w:t>the same bridge lines as the cash-flow model</w:t>
            </w:r>
          </w:p>
        </w:tc>
      </w:tr>
      <w:tr>
        <w:trPr>
          <w:cantSplit/>
        </w:trPr>
        <w:tc>
          <w:tcPr>
            <w:tcW w:type="dxa" w:w="2520"/>
          </w:tcPr>
          <w:p>
            <w:pPr>
              <w:spacing w:after="20"/>
            </w:pPr>
            <w:r>
              <w:rPr>
                <w:color w:val="1C3A36"/>
                <w:sz w:val="16"/>
              </w:rPr>
              <w:t>Less perpetual capital securities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(1,979)</w:t>
            </w:r>
          </w:p>
        </w:tc>
        <w:tc>
          <w:tcPr>
            <w:tcW w:type="dxa" w:w="3456"/>
          </w:tcPr>
          <w:p>
            <w:pPr>
              <w:spacing w:after="20"/>
              <w:jc w:val="left"/>
            </w:pPr>
            <w:r>
              <w:rPr>
                <w:color w:val="1C3A36"/>
                <w:sz w:val="16"/>
              </w:rPr>
              <w:t>at carrying value</w:t>
            </w:r>
          </w:p>
        </w:tc>
      </w:tr>
      <w:tr>
        <w:trPr>
          <w:cantSplit/>
        </w:trPr>
        <w:tc>
          <w:tcPr>
            <w:tcW w:type="dxa" w:w="2520"/>
          </w:tcPr>
          <w:p>
            <w:pPr>
              <w:spacing w:after="20"/>
            </w:pPr>
            <w:r>
              <w:rPr>
                <w:color w:val="1C3A36"/>
                <w:sz w:val="16"/>
              </w:rPr>
              <w:t>Less non-controlling interests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(272)</w:t>
            </w:r>
          </w:p>
        </w:tc>
        <w:tc>
          <w:tcPr>
            <w:tcW w:type="dxa" w:w="3456"/>
          </w:tcPr>
          <w:p>
            <w:pPr>
              <w:spacing w:after="20"/>
              <w:jc w:val="left"/>
            </w:pPr>
            <w:r>
              <w:rPr>
                <w:color w:val="1C3A36"/>
                <w:sz w:val="16"/>
              </w:rPr>
              <w:t>at book value. The cash-flow bridge in section 1.1 lifts the non-contracted slice of this to its share of value, worth AED 0.03 a share; that refinement is not repeated in this cross-check</w:t>
            </w:r>
          </w:p>
        </w:tc>
      </w:tr>
      <w:tr>
        <w:trPr>
          <w:cantSplit/>
        </w:trPr>
        <w:tc>
          <w:tcPr>
            <w:tcW w:type="dxa" w:w="2520"/>
            <w:shd w:val="clear" w:color="auto" w:fill="F6F1E6"/>
          </w:tcPr>
          <w:p>
            <w:pPr>
              <w:spacing w:after="20"/>
            </w:pPr>
            <w:r>
              <w:rPr>
                <w:b/>
                <w:color w:val="1C3A36"/>
                <w:sz w:val="16"/>
              </w:rPr>
              <w:t>Equity value</w:t>
            </w:r>
          </w:p>
        </w:tc>
        <w:tc>
          <w:tcPr>
            <w:tcW w:type="dxa" w:w="1469"/>
            <w:shd w:val="clear" w:color="auto" w:fill="F6F1E6"/>
          </w:tcPr>
          <w:p>
            <w:pPr>
              <w:spacing w:after="20"/>
              <w:jc w:val="right"/>
            </w:pPr>
            <w:r>
              <w:rPr>
                <w:b/>
                <w:color w:val="1C3A36"/>
                <w:sz w:val="16"/>
              </w:rPr>
            </w:r>
          </w:p>
        </w:tc>
        <w:tc>
          <w:tcPr>
            <w:tcW w:type="dxa" w:w="1037"/>
            <w:shd w:val="clear" w:color="auto" w:fill="F6F1E6"/>
          </w:tcPr>
          <w:p>
            <w:pPr>
              <w:spacing w:after="20"/>
              <w:jc w:val="right"/>
            </w:pPr>
            <w:r>
              <w:rPr>
                <w:b/>
                <w:color w:val="1C3A36"/>
                <w:sz w:val="16"/>
              </w:rPr>
            </w:r>
          </w:p>
        </w:tc>
        <w:tc>
          <w:tcPr>
            <w:tcW w:type="dxa" w:w="1598"/>
            <w:shd w:val="clear" w:color="auto" w:fill="F6F1E6"/>
          </w:tcPr>
          <w:p>
            <w:pPr>
              <w:spacing w:after="20"/>
              <w:jc w:val="right"/>
            </w:pPr>
            <w:r>
              <w:rPr>
                <w:b/>
                <w:color w:val="1C3A36"/>
                <w:sz w:val="16"/>
              </w:rPr>
              <w:t>19,456</w:t>
            </w:r>
          </w:p>
        </w:tc>
        <w:tc>
          <w:tcPr>
            <w:tcW w:type="dxa" w:w="3456"/>
            <w:shd w:val="clear" w:color="auto" w:fill="F6F1E6"/>
          </w:tcPr>
          <w:p>
            <w:pPr>
              <w:spacing w:after="20"/>
              <w:jc w:val="left"/>
            </w:pPr>
            <w:r>
              <w:rPr>
                <w:b/>
                <w:color w:val="1C3A36"/>
                <w:sz w:val="16"/>
              </w:rPr>
              <w:t>AED 9.66 a share, 57% above the market price</w:t>
            </w:r>
          </w:p>
        </w:tc>
      </w:tr>
    </w:tbl>
    <w:p>
      <w:pPr>
        <w:spacing w:after="40"/>
      </w:pPr>
    </w:p>
    <w:p>
      <w:pPr>
        <w:spacing w:after="200" w:before="0"/>
      </w:pPr>
      <w:r>
        <w:rPr>
          <w:b w:val="0"/>
          <w:i/>
          <w:color w:val="6E7B77"/>
          <w:sz w:val="17"/>
        </w:rPr>
        <w:t>The sum of the parts lands at AED 9.66 against the blended relative lens at AED 8.25, and the difference is almost entirely the earnings measure the multiple is applied to rather than the multiples themselves: the sum of the parts applies each multiple to that unit's own earnings before any group cost, while the blended lens applies its multiple to the consolidated figure and then averages an enterprise measure with an after-tax earnings measure. Both are disclosed. Neither is included in the weighted central, which rests on the cash-flow model and the three lenses beside it.</w:t>
      </w:r>
    </w:p>
    <w:p>
      <w:pPr>
        <w:keepNext/>
        <w:spacing w:after="80" w:before="200"/>
      </w:pPr>
      <w:r>
        <w:rPr>
          <w:b/>
          <w:i w:val="0"/>
          <w:color w:val="1C3A36"/>
          <w:sz w:val="24"/>
        </w:rPr>
        <w:t>1.4  Normalised earnings power — what the group earns in an ordinary year</w:t>
      </w:r>
    </w:p>
    <w:p>
      <w:pPr>
        <w:spacing w:after="120" w:before="0"/>
      </w:pPr>
      <w:r>
        <w:rPr>
          <w:b w:val="0"/>
          <w:i w:val="0"/>
          <w:color w:val="1C3A36"/>
          <w:sz w:val="21"/>
        </w:rPr>
        <w:t>The question this lens asks is what the company earns in a year that is neither the rate spike of 2026 nor the trough that followed the FY2024 peak. The answer used here is the five-year average of the build's own output: earnings before interest, tax, depreciation and amortisation of USD 1,989 million and attributable profit after the perpetual coupon of USD 1,061 million. That average is taken across a path that starts far above mid-cycle and ends below it, so it is a genuine normalisation rather than a disguised extrapolation of the good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3024"/>
      </w:tblGrid>
      <w:tr>
        <w:trPr>
          <w:cantSplit/>
          <w:tblHeader/>
        </w:trPr>
        <w:tc>
          <w:tcPr>
            <w:tcW w:type="dxa" w:w="7056"/>
            <w:shd w:val="clear" w:color="auto" w:fill="EAF0EE"/>
          </w:tcPr>
          <w:p>
            <w:pPr>
              <w:spacing w:after="20"/>
            </w:pPr>
            <w:r>
              <w:rPr>
                <w:b/>
                <w:color w:val="1C3A36"/>
                <w:sz w:val="17"/>
              </w:rPr>
              <w:t>Line</w:t>
            </w:r>
          </w:p>
        </w:tc>
        <w:tc>
          <w:tcPr>
            <w:tcW w:type="dxa" w:w="3024"/>
            <w:shd w:val="clear" w:color="auto" w:fill="EAF0EE"/>
          </w:tcPr>
          <w:p>
            <w:pPr>
              <w:spacing w:after="20"/>
            </w:pPr>
            <w:r>
              <w:rPr>
                <w:b/>
                <w:color w:val="1C3A36"/>
                <w:sz w:val="17"/>
              </w:rPr>
              <w:t>Value</w:t>
            </w:r>
          </w:p>
        </w:tc>
      </w:tr>
      <w:tr>
        <w:trPr>
          <w:cantSplit/>
        </w:trPr>
        <w:tc>
          <w:tcPr>
            <w:tcW w:type="dxa" w:w="7056"/>
          </w:tcPr>
          <w:p>
            <w:pPr>
              <w:spacing w:after="20"/>
            </w:pPr>
            <w:r>
              <w:rPr>
                <w:color w:val="1C3A36"/>
                <w:sz w:val="17"/>
              </w:rPr>
              <w:t>Average earnings before interest, tax, depreciation and amortisation over the five forecast years (USD mn)</w:t>
            </w:r>
          </w:p>
        </w:tc>
        <w:tc>
          <w:tcPr>
            <w:tcW w:type="dxa" w:w="3024"/>
          </w:tcPr>
          <w:p>
            <w:pPr>
              <w:spacing w:after="20"/>
              <w:jc w:val="right"/>
            </w:pPr>
            <w:r>
              <w:rPr>
                <w:color w:val="1C3A36"/>
                <w:sz w:val="17"/>
              </w:rPr>
              <w:t>1,989</w:t>
            </w:r>
          </w:p>
        </w:tc>
      </w:tr>
      <w:tr>
        <w:trPr>
          <w:cantSplit/>
        </w:trPr>
        <w:tc>
          <w:tcPr>
            <w:tcW w:type="dxa" w:w="7056"/>
          </w:tcPr>
          <w:p>
            <w:pPr>
              <w:spacing w:after="20"/>
            </w:pPr>
            <w:r>
              <w:rPr>
                <w:color w:val="1C3A36"/>
                <w:sz w:val="17"/>
              </w:rPr>
              <w:t>Against FY2025 actual (USD mn)</w:t>
            </w:r>
          </w:p>
        </w:tc>
        <w:tc>
          <w:tcPr>
            <w:tcW w:type="dxa" w:w="3024"/>
          </w:tcPr>
          <w:p>
            <w:pPr>
              <w:spacing w:after="20"/>
              <w:jc w:val="right"/>
            </w:pPr>
            <w:r>
              <w:rPr>
                <w:color w:val="1C3A36"/>
                <w:sz w:val="17"/>
              </w:rPr>
              <w:t>1,469</w:t>
            </w:r>
          </w:p>
        </w:tc>
      </w:tr>
      <w:tr>
        <w:trPr>
          <w:cantSplit/>
        </w:trPr>
        <w:tc>
          <w:tcPr>
            <w:tcW w:type="dxa" w:w="7056"/>
          </w:tcPr>
          <w:p>
            <w:pPr>
              <w:spacing w:after="20"/>
            </w:pPr>
            <w:r>
              <w:rPr>
                <w:color w:val="1C3A36"/>
                <w:sz w:val="17"/>
              </w:rPr>
              <w:t>Against the 2026E build (USD mn)</w:t>
            </w:r>
          </w:p>
        </w:tc>
        <w:tc>
          <w:tcPr>
            <w:tcW w:type="dxa" w:w="3024"/>
          </w:tcPr>
          <w:p>
            <w:pPr>
              <w:spacing w:after="20"/>
              <w:jc w:val="right"/>
            </w:pPr>
            <w:r>
              <w:rPr>
                <w:color w:val="1C3A36"/>
                <w:sz w:val="17"/>
              </w:rPr>
              <w:t>1,900</w:t>
            </w:r>
          </w:p>
        </w:tc>
      </w:tr>
      <w:tr>
        <w:trPr>
          <w:cantSplit/>
        </w:trPr>
        <w:tc>
          <w:tcPr>
            <w:tcW w:type="dxa" w:w="7056"/>
          </w:tcPr>
          <w:p>
            <w:pPr>
              <w:spacing w:after="20"/>
            </w:pPr>
            <w:r>
              <w:rPr>
                <w:color w:val="1C3A36"/>
                <w:sz w:val="17"/>
              </w:rPr>
              <w:t>Average attributable profit after the perpetual coupon (USD mn)</w:t>
            </w:r>
          </w:p>
        </w:tc>
        <w:tc>
          <w:tcPr>
            <w:tcW w:type="dxa" w:w="3024"/>
          </w:tcPr>
          <w:p>
            <w:pPr>
              <w:spacing w:after="20"/>
              <w:jc w:val="right"/>
            </w:pPr>
            <w:r>
              <w:rPr>
                <w:color w:val="1C3A36"/>
                <w:sz w:val="17"/>
              </w:rPr>
              <w:t>1,061</w:t>
            </w:r>
          </w:p>
        </w:tc>
      </w:tr>
      <w:tr>
        <w:trPr>
          <w:cantSplit/>
        </w:trPr>
        <w:tc>
          <w:tcPr>
            <w:tcW w:type="dxa" w:w="7056"/>
          </w:tcPr>
          <w:p>
            <w:pPr>
              <w:spacing w:after="20"/>
            </w:pPr>
            <w:r>
              <w:rPr>
                <w:color w:val="1C3A36"/>
                <w:sz w:val="17"/>
              </w:rPr>
              <w:t>Normalised earnings per share (USD)</w:t>
            </w:r>
          </w:p>
        </w:tc>
        <w:tc>
          <w:tcPr>
            <w:tcW w:type="dxa" w:w="3024"/>
          </w:tcPr>
          <w:p>
            <w:pPr>
              <w:spacing w:after="20"/>
              <w:jc w:val="right"/>
            </w:pPr>
            <w:r>
              <w:rPr>
                <w:color w:val="1C3A36"/>
                <w:sz w:val="17"/>
              </w:rPr>
              <w:t>0.1435</w:t>
            </w:r>
          </w:p>
        </w:tc>
      </w:tr>
      <w:tr>
        <w:trPr>
          <w:cantSplit/>
        </w:trPr>
        <w:tc>
          <w:tcPr>
            <w:tcW w:type="dxa" w:w="7056"/>
          </w:tcPr>
          <w:p>
            <w:pPr>
              <w:spacing w:after="20"/>
            </w:pPr>
            <w:r>
              <w:rPr>
                <w:color w:val="1C3A36"/>
                <w:sz w:val="17"/>
              </w:rPr>
              <w:t>At the blended enterprise multiple, through the bridge (AED/share)</w:t>
            </w:r>
          </w:p>
        </w:tc>
        <w:tc>
          <w:tcPr>
            <w:tcW w:type="dxa" w:w="3024"/>
          </w:tcPr>
          <w:p>
            <w:pPr>
              <w:spacing w:after="20"/>
              <w:jc w:val="right"/>
            </w:pPr>
            <w:r>
              <w:rPr>
                <w:color w:val="1C3A36"/>
                <w:sz w:val="17"/>
              </w:rPr>
              <w:t>9.68</w:t>
            </w:r>
          </w:p>
        </w:tc>
      </w:tr>
      <w:tr>
        <w:trPr>
          <w:cantSplit/>
        </w:trPr>
        <w:tc>
          <w:tcPr>
            <w:tcW w:type="dxa" w:w="7056"/>
          </w:tcPr>
          <w:p>
            <w:pPr>
              <w:spacing w:after="20"/>
            </w:pPr>
            <w:r>
              <w:rPr>
                <w:color w:val="1C3A36"/>
                <w:sz w:val="17"/>
              </w:rPr>
              <w:t>At the blended 11.64× price-to-earnings multiple (AED/share)</w:t>
            </w:r>
          </w:p>
        </w:tc>
        <w:tc>
          <w:tcPr>
            <w:tcW w:type="dxa" w:w="3024"/>
          </w:tcPr>
          <w:p>
            <w:pPr>
              <w:spacing w:after="20"/>
              <w:jc w:val="right"/>
            </w:pPr>
            <w:r>
              <w:rPr>
                <w:color w:val="1C3A36"/>
                <w:sz w:val="17"/>
              </w:rPr>
              <w:t>6.13</w:t>
            </w:r>
          </w:p>
        </w:tc>
      </w:tr>
      <w:tr>
        <w:trPr>
          <w:cantSplit/>
        </w:trPr>
        <w:tc>
          <w:tcPr>
            <w:tcW w:type="dxa" w:w="7056"/>
          </w:tcPr>
          <w:p>
            <w:pPr>
              <w:spacing w:after="20"/>
            </w:pPr>
            <w:r>
              <w:rPr>
                <w:color w:val="1C3A36"/>
                <w:sz w:val="17"/>
              </w:rPr>
              <w:t>Fair value per share — the average of the two (AED)</w:t>
            </w:r>
          </w:p>
        </w:tc>
        <w:tc>
          <w:tcPr>
            <w:tcW w:type="dxa" w:w="3024"/>
          </w:tcPr>
          <w:p>
            <w:pPr>
              <w:spacing w:after="20"/>
              <w:jc w:val="right"/>
            </w:pPr>
            <w:r>
              <w:rPr>
                <w:color w:val="1C3A36"/>
                <w:sz w:val="17"/>
              </w:rPr>
              <w:t>7.90</w:t>
            </w:r>
          </w:p>
        </w:tc>
      </w:tr>
      <w:tr>
        <w:trPr>
          <w:cantSplit/>
        </w:trPr>
        <w:tc>
          <w:tcPr>
            <w:tcW w:type="dxa" w:w="7056"/>
            <w:shd w:val="clear" w:color="auto" w:fill="F6F1E6"/>
          </w:tcPr>
          <w:p>
            <w:pPr>
              <w:spacing w:after="20"/>
            </w:pPr>
            <w:r>
              <w:rPr>
                <w:b/>
                <w:color w:val="1C3A36"/>
                <w:sz w:val="17"/>
              </w:rPr>
              <w:t>Range — the whole group at the spot multiple, and at the contracted multiple</w:t>
            </w:r>
          </w:p>
        </w:tc>
        <w:tc>
          <w:tcPr>
            <w:tcW w:type="dxa" w:w="3024"/>
            <w:shd w:val="clear" w:color="auto" w:fill="F6F1E6"/>
          </w:tcPr>
          <w:p>
            <w:pPr>
              <w:spacing w:after="20"/>
              <w:jc w:val="right"/>
            </w:pPr>
            <w:r>
              <w:rPr>
                <w:b/>
                <w:color w:val="1C3A36"/>
                <w:sz w:val="17"/>
              </w:rPr>
              <w:t>7.15 – 10.81</w:t>
            </w:r>
          </w:p>
        </w:tc>
      </w:tr>
    </w:tbl>
    <w:p>
      <w:pPr>
        <w:spacing w:after="40"/>
      </w:pPr>
    </w:p>
    <w:p>
      <w:pPr>
        <w:spacing w:after="200" w:before="0"/>
      </w:pPr>
      <w:r>
        <w:rPr>
          <w:b w:val="0"/>
          <w:i/>
          <w:color w:val="6E7B77"/>
          <w:sz w:val="17"/>
        </w:rPr>
        <w:t>The two constructions disagree by a wide margin — AED 9.68 against AED 6.13 — and the gap is depreciation and the perpetual coupon. This is a young fleet: depreciation runs at about 28.3% of earnings before interest, tax, depreciation and amortisation across the forecast, so an enterprise measure and an after-tax earnings measure will never agree on a company like this. Averaging them is a deliberate refusal to pick, and the lens carries 20% weight accordingly.</w:t>
      </w:r>
    </w:p>
    <w:p>
      <w:pPr>
        <w:keepNext/>
        <w:spacing w:after="80" w:before="200"/>
      </w:pPr>
      <w:r>
        <w:rPr>
          <w:b/>
          <w:i w:val="0"/>
          <w:color w:val="1C3A36"/>
          <w:sz w:val="24"/>
        </w:rPr>
        <w:t>1.5  Synthesis — four lenses, one field</w:t>
      </w:r>
    </w:p>
    <w:p>
      <w:pPr>
        <w:spacing w:after="40"/>
        <w:jc w:val="center"/>
      </w:pPr>
      <w:r>
        <w:drawing>
          <wp:inline xmlns:a="http://schemas.openxmlformats.org/drawingml/2006/main" xmlns:pic="http://schemas.openxmlformats.org/drawingml/2006/picture">
            <wp:extent cx="6309360" cy="3447382"/>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3447382"/>
                    </a:xfrm>
                    <a:prstGeom prst="rect"/>
                  </pic:spPr>
                </pic:pic>
              </a:graphicData>
            </a:graphic>
          </wp:inline>
        </w:drawing>
      </w:r>
    </w:p>
    <w:p>
      <w:pPr>
        <w:spacing w:after="200" w:before="0"/>
      </w:pPr>
      <w:r>
        <w:rPr>
          <w:b w:val="0"/>
          <w:i/>
          <w:color w:val="6E7B77"/>
          <w:sz w:val="17"/>
        </w:rPr>
        <w:t>Figure 1 — the four lenses, both measurements of the market and the two weighted centrals, against the market price of AED 6.16. Each bar is that lens's bear-to-bull span; the brass tick is its base case. The two cash-flow rows are the same model with the beta regressed on two different market series.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85"/>
        <w:gridCol w:w="1238"/>
        <w:gridCol w:w="1238"/>
        <w:gridCol w:w="1238"/>
        <w:gridCol w:w="1238"/>
        <w:gridCol w:w="1642"/>
      </w:tblGrid>
      <w:tr>
        <w:trPr>
          <w:cantSplit/>
          <w:tblHeader/>
        </w:trPr>
        <w:tc>
          <w:tcPr>
            <w:tcW w:type="dxa" w:w="3485"/>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238"/>
            <w:shd w:val="clear" w:color="auto" w:fill="EAF0EE"/>
          </w:tcPr>
          <w:p>
            <w:pPr>
              <w:spacing w:after="20"/>
            </w:pPr>
            <w:r>
              <w:rPr>
                <w:b/>
                <w:color w:val="1C3A36"/>
                <w:sz w:val="17"/>
              </w:rPr>
              <w:t>Weight</w:t>
            </w:r>
          </w:p>
        </w:tc>
        <w:tc>
          <w:tcPr>
            <w:tcW w:type="dxa" w:w="1642"/>
            <w:shd w:val="clear" w:color="auto" w:fill="EAF0EE"/>
          </w:tcPr>
          <w:p>
            <w:pPr>
              <w:spacing w:after="20"/>
            </w:pPr>
            <w:r>
              <w:rPr>
                <w:b/>
                <w:color w:val="1C3A36"/>
                <w:sz w:val="17"/>
              </w:rPr>
              <w:t>Contribution</w:t>
            </w:r>
          </w:p>
        </w:tc>
      </w:tr>
      <w:tr>
        <w:trPr>
          <w:cantSplit/>
        </w:trPr>
        <w:tc>
          <w:tcPr>
            <w:tcW w:type="dxa" w:w="3485"/>
          </w:tcPr>
          <w:p>
            <w:pPr>
              <w:spacing w:after="20"/>
            </w:pPr>
            <w:r>
              <w:rPr>
                <w:color w:val="1C3A36"/>
                <w:sz w:val="17"/>
              </w:rPr>
              <w:t>Cash-flow model — published index</w:t>
            </w:r>
          </w:p>
        </w:tc>
        <w:tc>
          <w:tcPr>
            <w:tcW w:type="dxa" w:w="1238"/>
          </w:tcPr>
          <w:p>
            <w:pPr>
              <w:spacing w:after="20"/>
              <w:jc w:val="right"/>
            </w:pPr>
            <w:r>
              <w:rPr>
                <w:color w:val="1C3A36"/>
                <w:sz w:val="17"/>
              </w:rPr>
              <w:t>3.79</w:t>
            </w:r>
          </w:p>
        </w:tc>
        <w:tc>
          <w:tcPr>
            <w:tcW w:type="dxa" w:w="1238"/>
          </w:tcPr>
          <w:p>
            <w:pPr>
              <w:spacing w:after="20"/>
              <w:jc w:val="right"/>
            </w:pPr>
            <w:r>
              <w:rPr>
                <w:color w:val="1C3A36"/>
                <w:sz w:val="17"/>
              </w:rPr>
              <w:t>6.03</w:t>
            </w:r>
          </w:p>
        </w:tc>
        <w:tc>
          <w:tcPr>
            <w:tcW w:type="dxa" w:w="1238"/>
          </w:tcPr>
          <w:p>
            <w:pPr>
              <w:spacing w:after="20"/>
              <w:jc w:val="right"/>
            </w:pPr>
            <w:r>
              <w:rPr>
                <w:color w:val="1C3A36"/>
                <w:sz w:val="17"/>
              </w:rPr>
              <w:t>9.27</w:t>
            </w:r>
          </w:p>
        </w:tc>
        <w:tc>
          <w:tcPr>
            <w:tcW w:type="dxa" w:w="1238"/>
          </w:tcPr>
          <w:p>
            <w:pPr>
              <w:spacing w:after="20"/>
              <w:jc w:val="right"/>
            </w:pPr>
            <w:r>
              <w:rPr>
                <w:color w:val="1C3A36"/>
                <w:sz w:val="17"/>
              </w:rPr>
              <w:t>40%</w:t>
            </w:r>
          </w:p>
        </w:tc>
        <w:tc>
          <w:tcPr>
            <w:tcW w:type="dxa" w:w="1642"/>
          </w:tcPr>
          <w:p>
            <w:pPr>
              <w:spacing w:after="20"/>
              <w:jc w:val="right"/>
            </w:pPr>
            <w:r>
              <w:rPr>
                <w:color w:val="1C3A36"/>
                <w:sz w:val="17"/>
              </w:rPr>
              <w:t>2.41</w:t>
            </w:r>
          </w:p>
        </w:tc>
      </w:tr>
      <w:tr>
        <w:trPr>
          <w:cantSplit/>
        </w:trPr>
        <w:tc>
          <w:tcPr>
            <w:tcW w:type="dxa" w:w="3485"/>
          </w:tcPr>
          <w:p>
            <w:pPr>
              <w:spacing w:after="20"/>
            </w:pPr>
            <w:r>
              <w:rPr>
                <w:color w:val="1C3A36"/>
                <w:sz w:val="17"/>
              </w:rPr>
              <w:t>Relative multiples</w:t>
            </w:r>
          </w:p>
        </w:tc>
        <w:tc>
          <w:tcPr>
            <w:tcW w:type="dxa" w:w="1238"/>
          </w:tcPr>
          <w:p>
            <w:pPr>
              <w:spacing w:after="20"/>
              <w:jc w:val="right"/>
            </w:pPr>
            <w:r>
              <w:rPr>
                <w:color w:val="1C3A36"/>
                <w:sz w:val="17"/>
              </w:rPr>
              <w:t>6.78</w:t>
            </w:r>
          </w:p>
        </w:tc>
        <w:tc>
          <w:tcPr>
            <w:tcW w:type="dxa" w:w="1238"/>
          </w:tcPr>
          <w:p>
            <w:pPr>
              <w:spacing w:after="20"/>
              <w:jc w:val="right"/>
            </w:pPr>
            <w:r>
              <w:rPr>
                <w:color w:val="1C3A36"/>
                <w:sz w:val="17"/>
              </w:rPr>
              <w:t>8.25</w:t>
            </w:r>
          </w:p>
        </w:tc>
        <w:tc>
          <w:tcPr>
            <w:tcW w:type="dxa" w:w="1238"/>
          </w:tcPr>
          <w:p>
            <w:pPr>
              <w:spacing w:after="20"/>
              <w:jc w:val="right"/>
            </w:pPr>
            <w:r>
              <w:rPr>
                <w:color w:val="1C3A36"/>
                <w:sz w:val="17"/>
              </w:rPr>
              <w:t>10.28</w:t>
            </w:r>
          </w:p>
        </w:tc>
        <w:tc>
          <w:tcPr>
            <w:tcW w:type="dxa" w:w="1238"/>
          </w:tcPr>
          <w:p>
            <w:pPr>
              <w:spacing w:after="20"/>
              <w:jc w:val="right"/>
            </w:pPr>
            <w:r>
              <w:rPr>
                <w:color w:val="1C3A36"/>
                <w:sz w:val="17"/>
              </w:rPr>
              <w:t>25%</w:t>
            </w:r>
          </w:p>
        </w:tc>
        <w:tc>
          <w:tcPr>
            <w:tcW w:type="dxa" w:w="1642"/>
          </w:tcPr>
          <w:p>
            <w:pPr>
              <w:spacing w:after="20"/>
              <w:jc w:val="right"/>
            </w:pPr>
            <w:r>
              <w:rPr>
                <w:color w:val="1C3A36"/>
                <w:sz w:val="17"/>
              </w:rPr>
              <w:t>2.06</w:t>
            </w:r>
          </w:p>
        </w:tc>
      </w:tr>
      <w:tr>
        <w:trPr>
          <w:cantSplit/>
        </w:trPr>
        <w:tc>
          <w:tcPr>
            <w:tcW w:type="dxa" w:w="3485"/>
          </w:tcPr>
          <w:p>
            <w:pPr>
              <w:spacing w:after="20"/>
            </w:pPr>
            <w:r>
              <w:rPr>
                <w:color w:val="1C3A36"/>
                <w:sz w:val="17"/>
              </w:rPr>
              <w:t>Normalised earnings power</w:t>
            </w:r>
          </w:p>
        </w:tc>
        <w:tc>
          <w:tcPr>
            <w:tcW w:type="dxa" w:w="1238"/>
          </w:tcPr>
          <w:p>
            <w:pPr>
              <w:spacing w:after="20"/>
              <w:jc w:val="right"/>
            </w:pPr>
            <w:r>
              <w:rPr>
                <w:color w:val="1C3A36"/>
                <w:sz w:val="17"/>
              </w:rPr>
              <w:t>7.15</w:t>
            </w:r>
          </w:p>
        </w:tc>
        <w:tc>
          <w:tcPr>
            <w:tcW w:type="dxa" w:w="1238"/>
          </w:tcPr>
          <w:p>
            <w:pPr>
              <w:spacing w:after="20"/>
              <w:jc w:val="right"/>
            </w:pPr>
            <w:r>
              <w:rPr>
                <w:color w:val="1C3A36"/>
                <w:sz w:val="17"/>
              </w:rPr>
              <w:t>7.90</w:t>
            </w:r>
          </w:p>
        </w:tc>
        <w:tc>
          <w:tcPr>
            <w:tcW w:type="dxa" w:w="1238"/>
          </w:tcPr>
          <w:p>
            <w:pPr>
              <w:spacing w:after="20"/>
              <w:jc w:val="right"/>
            </w:pPr>
            <w:r>
              <w:rPr>
                <w:color w:val="1C3A36"/>
                <w:sz w:val="17"/>
              </w:rPr>
              <w:t>10.81</w:t>
            </w:r>
          </w:p>
        </w:tc>
        <w:tc>
          <w:tcPr>
            <w:tcW w:type="dxa" w:w="1238"/>
          </w:tcPr>
          <w:p>
            <w:pPr>
              <w:spacing w:after="20"/>
              <w:jc w:val="right"/>
            </w:pPr>
            <w:r>
              <w:rPr>
                <w:color w:val="1C3A36"/>
                <w:sz w:val="17"/>
              </w:rPr>
              <w:t>20%</w:t>
            </w:r>
          </w:p>
        </w:tc>
        <w:tc>
          <w:tcPr>
            <w:tcW w:type="dxa" w:w="1642"/>
          </w:tcPr>
          <w:p>
            <w:pPr>
              <w:spacing w:after="20"/>
              <w:jc w:val="right"/>
            </w:pPr>
            <w:r>
              <w:rPr>
                <w:color w:val="1C3A36"/>
                <w:sz w:val="17"/>
              </w:rPr>
              <w:t>1.58</w:t>
            </w:r>
          </w:p>
        </w:tc>
      </w:tr>
      <w:tr>
        <w:trPr>
          <w:cantSplit/>
        </w:trPr>
        <w:tc>
          <w:tcPr>
            <w:tcW w:type="dxa" w:w="3485"/>
          </w:tcPr>
          <w:p>
            <w:pPr>
              <w:spacing w:after="20"/>
            </w:pPr>
            <w:r>
              <w:rPr>
                <w:color w:val="1C3A36"/>
                <w:sz w:val="17"/>
              </w:rPr>
              <w:t>Book value and sustainable return</w:t>
            </w:r>
          </w:p>
        </w:tc>
        <w:tc>
          <w:tcPr>
            <w:tcW w:type="dxa" w:w="1238"/>
          </w:tcPr>
          <w:p>
            <w:pPr>
              <w:spacing w:after="20"/>
              <w:jc w:val="right"/>
            </w:pPr>
            <w:r>
              <w:rPr>
                <w:color w:val="1C3A36"/>
                <w:sz w:val="17"/>
              </w:rPr>
              <w:t>2.53</w:t>
            </w:r>
          </w:p>
        </w:tc>
        <w:tc>
          <w:tcPr>
            <w:tcW w:type="dxa" w:w="1238"/>
          </w:tcPr>
          <w:p>
            <w:pPr>
              <w:spacing w:after="20"/>
              <w:jc w:val="right"/>
            </w:pPr>
            <w:r>
              <w:rPr>
                <w:color w:val="1C3A36"/>
                <w:sz w:val="17"/>
              </w:rPr>
              <w:t>3.47</w:t>
            </w:r>
          </w:p>
        </w:tc>
        <w:tc>
          <w:tcPr>
            <w:tcW w:type="dxa" w:w="1238"/>
          </w:tcPr>
          <w:p>
            <w:pPr>
              <w:spacing w:after="20"/>
              <w:jc w:val="right"/>
            </w:pPr>
            <w:r>
              <w:rPr>
                <w:color w:val="1C3A36"/>
                <w:sz w:val="17"/>
              </w:rPr>
              <w:t>4.63</w:t>
            </w:r>
          </w:p>
        </w:tc>
        <w:tc>
          <w:tcPr>
            <w:tcW w:type="dxa" w:w="1238"/>
          </w:tcPr>
          <w:p>
            <w:pPr>
              <w:spacing w:after="20"/>
              <w:jc w:val="right"/>
            </w:pPr>
            <w:r>
              <w:rPr>
                <w:color w:val="1C3A36"/>
                <w:sz w:val="17"/>
              </w:rPr>
              <w:t>15%</w:t>
            </w:r>
          </w:p>
        </w:tc>
        <w:tc>
          <w:tcPr>
            <w:tcW w:type="dxa" w:w="1642"/>
          </w:tcPr>
          <w:p>
            <w:pPr>
              <w:spacing w:after="20"/>
              <w:jc w:val="right"/>
            </w:pPr>
            <w:r>
              <w:rPr>
                <w:color w:val="1C3A36"/>
                <w:sz w:val="17"/>
              </w:rPr>
              <w:t>0.52</w:t>
            </w:r>
          </w:p>
        </w:tc>
      </w:tr>
      <w:tr>
        <w:trPr>
          <w:cantSplit/>
        </w:trPr>
        <w:tc>
          <w:tcPr>
            <w:tcW w:type="dxa" w:w="3485"/>
            <w:shd w:val="clear" w:color="auto" w:fill="F6F1E6"/>
          </w:tcPr>
          <w:p>
            <w:pPr>
              <w:spacing w:after="20"/>
            </w:pPr>
            <w:r>
              <w:rPr>
                <w:b/>
                <w:color w:val="1C3A36"/>
                <w:sz w:val="17"/>
              </w:rPr>
              <w:t>Weighted central — published index</w:t>
            </w:r>
          </w:p>
        </w:tc>
        <w:tc>
          <w:tcPr>
            <w:tcW w:type="dxa" w:w="1238"/>
            <w:shd w:val="clear" w:color="auto" w:fill="F6F1E6"/>
          </w:tcPr>
          <w:p>
            <w:pPr>
              <w:spacing w:after="20"/>
              <w:jc w:val="right"/>
            </w:pPr>
            <w:r>
              <w:rPr>
                <w:b/>
                <w:color w:val="1C3A36"/>
                <w:sz w:val="17"/>
              </w:rPr>
              <w:t>5.02</w:t>
            </w:r>
          </w:p>
        </w:tc>
        <w:tc>
          <w:tcPr>
            <w:tcW w:type="dxa" w:w="1238"/>
            <w:shd w:val="clear" w:color="auto" w:fill="F6F1E6"/>
          </w:tcPr>
          <w:p>
            <w:pPr>
              <w:spacing w:after="20"/>
              <w:jc w:val="right"/>
            </w:pPr>
            <w:r>
              <w:rPr>
                <w:b/>
                <w:color w:val="1C3A36"/>
                <w:sz w:val="17"/>
              </w:rPr>
              <w:t>6.58</w:t>
            </w:r>
          </w:p>
        </w:tc>
        <w:tc>
          <w:tcPr>
            <w:tcW w:type="dxa" w:w="1238"/>
            <w:shd w:val="clear" w:color="auto" w:fill="F6F1E6"/>
          </w:tcPr>
          <w:p>
            <w:pPr>
              <w:spacing w:after="20"/>
              <w:jc w:val="right"/>
            </w:pPr>
            <w:r>
              <w:rPr>
                <w:b/>
                <w:color w:val="1C3A36"/>
                <w:sz w:val="17"/>
              </w:rPr>
              <w:t>9.13</w:t>
            </w:r>
          </w:p>
        </w:tc>
        <w:tc>
          <w:tcPr>
            <w:tcW w:type="dxa" w:w="1238"/>
            <w:shd w:val="clear" w:color="auto" w:fill="F6F1E6"/>
          </w:tcPr>
          <w:p>
            <w:pPr>
              <w:spacing w:after="20"/>
              <w:jc w:val="right"/>
            </w:pPr>
            <w:r>
              <w:rPr>
                <w:b/>
                <w:color w:val="1C3A36"/>
                <w:sz w:val="17"/>
              </w:rPr>
              <w:t>100%</w:t>
            </w:r>
          </w:p>
        </w:tc>
        <w:tc>
          <w:tcPr>
            <w:tcW w:type="dxa" w:w="1642"/>
            <w:shd w:val="clear" w:color="auto" w:fill="F6F1E6"/>
          </w:tcPr>
          <w:p>
            <w:pPr>
              <w:spacing w:after="20"/>
              <w:jc w:val="right"/>
            </w:pPr>
            <w:r>
              <w:rPr>
                <w:b/>
                <w:color w:val="1C3A36"/>
                <w:sz w:val="17"/>
              </w:rPr>
              <w:t>6.58</w:t>
            </w:r>
          </w:p>
        </w:tc>
      </w:tr>
      <w:tr>
        <w:trPr>
          <w:cantSplit/>
        </w:trPr>
        <w:tc>
          <w:tcPr>
            <w:tcW w:type="dxa" w:w="3485"/>
          </w:tcPr>
          <w:p>
            <w:pPr>
              <w:spacing w:after="20"/>
            </w:pPr>
            <w:r>
              <w:rPr>
                <w:color w:val="1C3A36"/>
                <w:sz w:val="17"/>
              </w:rPr>
              <w:t>Cash-flow model — equal-weight composite</w:t>
            </w:r>
          </w:p>
        </w:tc>
        <w:tc>
          <w:tcPr>
            <w:tcW w:type="dxa" w:w="1238"/>
          </w:tcPr>
          <w:p>
            <w:pPr>
              <w:spacing w:after="20"/>
              <w:jc w:val="right"/>
            </w:pPr>
            <w:r>
              <w:rPr>
                <w:color w:val="1C3A36"/>
                <w:sz w:val="17"/>
              </w:rPr>
              <w:t>3.79</w:t>
            </w:r>
          </w:p>
        </w:tc>
        <w:tc>
          <w:tcPr>
            <w:tcW w:type="dxa" w:w="1238"/>
          </w:tcPr>
          <w:p>
            <w:pPr>
              <w:spacing w:after="20"/>
              <w:jc w:val="right"/>
            </w:pPr>
            <w:r>
              <w:rPr>
                <w:color w:val="1C3A36"/>
                <w:sz w:val="17"/>
              </w:rPr>
              <w:t>8.59</w:t>
            </w:r>
          </w:p>
        </w:tc>
        <w:tc>
          <w:tcPr>
            <w:tcW w:type="dxa" w:w="1238"/>
          </w:tcPr>
          <w:p>
            <w:pPr>
              <w:spacing w:after="20"/>
              <w:jc w:val="right"/>
            </w:pPr>
            <w:r>
              <w:rPr>
                <w:color w:val="1C3A36"/>
                <w:sz w:val="17"/>
              </w:rPr>
              <w:t>9.27</w:t>
            </w:r>
          </w:p>
        </w:tc>
        <w:tc>
          <w:tcPr>
            <w:tcW w:type="dxa" w:w="1238"/>
          </w:tcPr>
          <w:p>
            <w:pPr>
              <w:spacing w:after="20"/>
              <w:jc w:val="right"/>
            </w:pPr>
            <w:r>
              <w:rPr>
                <w:color w:val="1C3A36"/>
                <w:sz w:val="17"/>
              </w:rPr>
              <w:t>40%</w:t>
            </w:r>
          </w:p>
        </w:tc>
        <w:tc>
          <w:tcPr>
            <w:tcW w:type="dxa" w:w="1642"/>
          </w:tcPr>
          <w:p>
            <w:pPr>
              <w:spacing w:after="20"/>
              <w:jc w:val="right"/>
            </w:pPr>
            <w:r>
              <w:rPr>
                <w:color w:val="1C3A36"/>
                <w:sz w:val="17"/>
              </w:rPr>
              <w:t>3.43</w:t>
            </w:r>
          </w:p>
        </w:tc>
      </w:tr>
      <w:tr>
        <w:trPr>
          <w:cantSplit/>
        </w:trPr>
        <w:tc>
          <w:tcPr>
            <w:tcW w:type="dxa" w:w="3485"/>
            <w:shd w:val="clear" w:color="auto" w:fill="F6F1E6"/>
          </w:tcPr>
          <w:p>
            <w:pPr>
              <w:spacing w:after="20"/>
            </w:pPr>
            <w:r>
              <w:rPr>
                <w:b/>
                <w:color w:val="1C3A36"/>
                <w:sz w:val="17"/>
              </w:rPr>
              <w:t>Weighted central — equal-weight composite</w:t>
            </w:r>
          </w:p>
        </w:tc>
        <w:tc>
          <w:tcPr>
            <w:tcW w:type="dxa" w:w="1238"/>
            <w:shd w:val="clear" w:color="auto" w:fill="F6F1E6"/>
          </w:tcPr>
          <w:p>
            <w:pPr>
              <w:spacing w:after="20"/>
              <w:jc w:val="right"/>
            </w:pPr>
            <w:r>
              <w:rPr>
                <w:b/>
                <w:color w:val="1C3A36"/>
                <w:sz w:val="17"/>
              </w:rPr>
              <w:t>5.02</w:t>
            </w:r>
          </w:p>
        </w:tc>
        <w:tc>
          <w:tcPr>
            <w:tcW w:type="dxa" w:w="1238"/>
            <w:shd w:val="clear" w:color="auto" w:fill="F6F1E6"/>
          </w:tcPr>
          <w:p>
            <w:pPr>
              <w:spacing w:after="20"/>
              <w:jc w:val="right"/>
            </w:pPr>
            <w:r>
              <w:rPr>
                <w:b/>
                <w:color w:val="1C3A36"/>
                <w:sz w:val="17"/>
              </w:rPr>
              <w:t>7.60</w:t>
            </w:r>
          </w:p>
        </w:tc>
        <w:tc>
          <w:tcPr>
            <w:tcW w:type="dxa" w:w="1238"/>
            <w:shd w:val="clear" w:color="auto" w:fill="F6F1E6"/>
          </w:tcPr>
          <w:p>
            <w:pPr>
              <w:spacing w:after="20"/>
              <w:jc w:val="right"/>
            </w:pPr>
            <w:r>
              <w:rPr>
                <w:b/>
                <w:color w:val="1C3A36"/>
                <w:sz w:val="17"/>
              </w:rPr>
              <w:t>9.13</w:t>
            </w:r>
          </w:p>
        </w:tc>
        <w:tc>
          <w:tcPr>
            <w:tcW w:type="dxa" w:w="1238"/>
            <w:shd w:val="clear" w:color="auto" w:fill="F6F1E6"/>
          </w:tcPr>
          <w:p>
            <w:pPr>
              <w:spacing w:after="20"/>
              <w:jc w:val="right"/>
            </w:pPr>
            <w:r>
              <w:rPr>
                <w:b/>
                <w:color w:val="1C3A36"/>
                <w:sz w:val="17"/>
              </w:rPr>
              <w:t>100%</w:t>
            </w:r>
          </w:p>
        </w:tc>
        <w:tc>
          <w:tcPr>
            <w:tcW w:type="dxa" w:w="1642"/>
            <w:shd w:val="clear" w:color="auto" w:fill="F6F1E6"/>
          </w:tcPr>
          <w:p>
            <w:pPr>
              <w:spacing w:after="20"/>
              <w:jc w:val="right"/>
            </w:pPr>
            <w:r>
              <w:rPr>
                <w:b/>
                <w:color w:val="1C3A36"/>
                <w:sz w:val="17"/>
              </w:rPr>
              <w:t>7.60</w:t>
            </w:r>
          </w:p>
        </w:tc>
      </w:tr>
    </w:tbl>
    <w:p>
      <w:pPr>
        <w:spacing w:after="40"/>
      </w:pPr>
    </w:p>
    <w:p>
      <w:pPr>
        <w:spacing w:after="120" w:before="0"/>
      </w:pPr>
      <w:r>
        <w:rPr>
          <w:b w:val="0"/>
          <w:i w:val="0"/>
          <w:color w:val="1C3A36"/>
          <w:sz w:val="21"/>
        </w:rPr>
        <w:t>The four lenses do not agree and the disagreement is informative. The two that price earnings through a multiple — relative and normalised — land at AED 8.25 and AED 7.90, both above the market. The two that discount or capitalise a cost of equity land below it: the cash-flow model at AED 6.03 and the book lens at AED 3.47. That split is not a coincidence, and it is the most useful thing this table says. The multiple-based lenses import a cost of capital rather than state one, and the comparators they import it from are a contracted shipowner and a pair of spot tanker owners, so they already embed an answer to the question the cash-flow model now asks explicitly and answers with a measured beta of 1.085. Where the two families disagree, the disagreement is about the discount rate rather than about the cash flows.</w:t>
      </w:r>
    </w:p>
    <w:p>
      <w:pPr>
        <w:spacing w:after="120" w:before="0"/>
      </w:pPr>
      <w:r>
        <w:rPr>
          <w:b w:val="0"/>
          <w:i w:val="0"/>
          <w:color w:val="1C3A36"/>
          <w:sz w:val="21"/>
        </w:rPr>
        <w:t>Weighted together, the four centre at AED 6.58, 7% above the market price. Measuring the market as an equal-weight composite instead lifts that to AED 7.60, 23% above the market price. Neither figure supports a claim that this share is materially mispriced: on the adopted construction the centre of the evidence sits about 7% above the screen, which is well inside the width of any one of these lenses. The honest reading of the field is that the share is close to fairly priced, with the fleet's earning power in 2027 and beyond — not the discount rate — deciding which way it resolves.</w:t>
      </w:r>
    </w:p>
    <w:p>
      <w:pPr>
        <w:keepNext/>
        <w:spacing w:after="80" w:before="200"/>
      </w:pPr>
      <w:r>
        <w:rPr>
          <w:b/>
          <w:i w:val="0"/>
          <w:color w:val="1C3A36"/>
          <w:sz w:val="24"/>
        </w:rPr>
        <w:t>1.6  The drivers — every disclosed unit grown on its own driver</w:t>
      </w:r>
    </w:p>
    <w:p>
      <w:pPr>
        <w:spacing w:after="120" w:before="0"/>
      </w:pPr>
      <w:r>
        <w:rPr>
          <w:b w:val="0"/>
          <w:i w:val="0"/>
          <w:color w:val="1C3A36"/>
          <w:sz w:val="21"/>
        </w:rPr>
        <w:t>The company discloses seven operating units inside its three reported business units, with revenue, direct cost and earnings for each. The forecast is built at that level and summed; nothing is grown at the group line. Where a physical driver is disclosed it is used, and where it is not, the finest level the disclosure supports is used and the gap is stated.</w:t>
      </w:r>
    </w:p>
    <w:p>
      <w:pPr>
        <w:keepNext/>
        <w:spacing w:after="80" w:before="200"/>
      </w:pPr>
      <w:r>
        <w:rPr>
          <w:b/>
          <w:i w:val="0"/>
          <w:color w:val="1C3A36"/>
          <w:sz w:val="24"/>
        </w:rPr>
        <w:t>The seven disclosed units,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1728"/>
        <w:gridCol w:w="1094"/>
        <w:gridCol w:w="864"/>
        <w:gridCol w:w="1094"/>
        <w:gridCol w:w="864"/>
        <w:gridCol w:w="1094"/>
        <w:gridCol w:w="864"/>
      </w:tblGrid>
      <w:tr>
        <w:trPr>
          <w:cantSplit/>
          <w:tblHeader/>
        </w:trPr>
        <w:tc>
          <w:tcPr>
            <w:tcW w:type="dxa" w:w="2045"/>
            <w:shd w:val="clear" w:color="auto" w:fill="EAF0EE"/>
          </w:tcPr>
          <w:p>
            <w:pPr>
              <w:spacing w:after="20"/>
            </w:pPr>
            <w:r>
              <w:rPr>
                <w:b/>
                <w:color w:val="1C3A36"/>
                <w:sz w:val="15"/>
              </w:rPr>
              <w:t>Unit</w:t>
            </w:r>
          </w:p>
        </w:tc>
        <w:tc>
          <w:tcPr>
            <w:tcW w:type="dxa" w:w="1728"/>
            <w:shd w:val="clear" w:color="auto" w:fill="EAF0EE"/>
          </w:tcPr>
          <w:p>
            <w:pPr>
              <w:spacing w:after="20"/>
              <w:jc w:val="left"/>
            </w:pPr>
            <w:r>
              <w:rPr>
                <w:b/>
                <w:color w:val="1C3A36"/>
                <w:sz w:val="15"/>
              </w:rPr>
              <w:t>Business unit</w:t>
            </w:r>
          </w:p>
        </w:tc>
        <w:tc>
          <w:tcPr>
            <w:tcW w:type="dxa" w:w="1094"/>
            <w:shd w:val="clear" w:color="auto" w:fill="EAF0EE"/>
          </w:tcPr>
          <w:p>
            <w:pPr>
              <w:spacing w:after="20"/>
            </w:pPr>
            <w:r>
              <w:rPr>
                <w:b/>
                <w:color w:val="1C3A36"/>
                <w:sz w:val="15"/>
              </w:rPr>
              <w:t>FY2023 rev</w:t>
            </w:r>
          </w:p>
        </w:tc>
        <w:tc>
          <w:tcPr>
            <w:tcW w:type="dxa" w:w="864"/>
            <w:shd w:val="clear" w:color="auto" w:fill="EAF0EE"/>
          </w:tcPr>
          <w:p>
            <w:pPr>
              <w:spacing w:after="20"/>
            </w:pPr>
            <w:r>
              <w:rPr>
                <w:b/>
                <w:color w:val="1C3A36"/>
                <w:sz w:val="15"/>
              </w:rPr>
              <w:t>margin</w:t>
            </w:r>
          </w:p>
        </w:tc>
        <w:tc>
          <w:tcPr>
            <w:tcW w:type="dxa" w:w="1094"/>
            <w:shd w:val="clear" w:color="auto" w:fill="EAF0EE"/>
          </w:tcPr>
          <w:p>
            <w:pPr>
              <w:spacing w:after="20"/>
            </w:pPr>
            <w:r>
              <w:rPr>
                <w:b/>
                <w:color w:val="1C3A36"/>
                <w:sz w:val="15"/>
              </w:rPr>
              <w:t>FY2024 rev</w:t>
            </w:r>
          </w:p>
        </w:tc>
        <w:tc>
          <w:tcPr>
            <w:tcW w:type="dxa" w:w="864"/>
            <w:shd w:val="clear" w:color="auto" w:fill="EAF0EE"/>
          </w:tcPr>
          <w:p>
            <w:pPr>
              <w:spacing w:after="20"/>
            </w:pPr>
            <w:r>
              <w:rPr>
                <w:b/>
                <w:color w:val="1C3A36"/>
                <w:sz w:val="15"/>
              </w:rPr>
              <w:t>margin</w:t>
            </w:r>
          </w:p>
        </w:tc>
        <w:tc>
          <w:tcPr>
            <w:tcW w:type="dxa" w:w="1094"/>
            <w:shd w:val="clear" w:color="auto" w:fill="EAF0EE"/>
          </w:tcPr>
          <w:p>
            <w:pPr>
              <w:spacing w:after="20"/>
            </w:pPr>
            <w:r>
              <w:rPr>
                <w:b/>
                <w:color w:val="1C3A36"/>
                <w:sz w:val="15"/>
              </w:rPr>
              <w:t>FY2025 rev</w:t>
            </w:r>
          </w:p>
        </w:tc>
        <w:tc>
          <w:tcPr>
            <w:tcW w:type="dxa" w:w="864"/>
            <w:shd w:val="clear" w:color="auto" w:fill="EAF0EE"/>
          </w:tcPr>
          <w:p>
            <w:pPr>
              <w:spacing w:after="20"/>
            </w:pPr>
            <w:r>
              <w:rPr>
                <w:b/>
                <w:color w:val="1C3A36"/>
                <w:sz w:val="15"/>
              </w:rPr>
              <w:t>margin</w:t>
            </w:r>
          </w:p>
        </w:tc>
      </w:tr>
      <w:tr>
        <w:trPr>
          <w:cantSplit/>
        </w:trPr>
        <w:tc>
          <w:tcPr>
            <w:tcW w:type="dxa" w:w="2045"/>
          </w:tcPr>
          <w:p>
            <w:pPr>
              <w:spacing w:after="20"/>
            </w:pPr>
            <w:r>
              <w:rPr>
                <w:color w:val="1C3A36"/>
                <w:sz w:val="15"/>
              </w:rPr>
              <w:t>Offshore Contracting</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975</w:t>
            </w:r>
          </w:p>
        </w:tc>
        <w:tc>
          <w:tcPr>
            <w:tcW w:type="dxa" w:w="864"/>
          </w:tcPr>
          <w:p>
            <w:pPr>
              <w:spacing w:after="20"/>
              <w:jc w:val="right"/>
            </w:pPr>
            <w:r>
              <w:rPr>
                <w:color w:val="1C3A36"/>
                <w:sz w:val="15"/>
              </w:rPr>
              <w:t>44%</w:t>
            </w:r>
          </w:p>
        </w:tc>
        <w:tc>
          <w:tcPr>
            <w:tcW w:type="dxa" w:w="1094"/>
          </w:tcPr>
          <w:p>
            <w:pPr>
              <w:spacing w:after="20"/>
              <w:jc w:val="right"/>
            </w:pPr>
            <w:r>
              <w:rPr>
                <w:color w:val="1C3A36"/>
                <w:sz w:val="15"/>
              </w:rPr>
              <w:t>1,108</w:t>
            </w:r>
          </w:p>
        </w:tc>
        <w:tc>
          <w:tcPr>
            <w:tcW w:type="dxa" w:w="864"/>
          </w:tcPr>
          <w:p>
            <w:pPr>
              <w:spacing w:after="20"/>
              <w:jc w:val="right"/>
            </w:pPr>
            <w:r>
              <w:rPr>
                <w:color w:val="1C3A36"/>
                <w:sz w:val="15"/>
              </w:rPr>
              <w:t>45%</w:t>
            </w:r>
          </w:p>
        </w:tc>
        <w:tc>
          <w:tcPr>
            <w:tcW w:type="dxa" w:w="1094"/>
          </w:tcPr>
          <w:p>
            <w:pPr>
              <w:spacing w:after="20"/>
              <w:jc w:val="right"/>
            </w:pPr>
            <w:r>
              <w:rPr>
                <w:color w:val="1C3A36"/>
                <w:sz w:val="15"/>
              </w:rPr>
              <w:t>1,369</w:t>
            </w:r>
          </w:p>
        </w:tc>
        <w:tc>
          <w:tcPr>
            <w:tcW w:type="dxa" w:w="864"/>
          </w:tcPr>
          <w:p>
            <w:pPr>
              <w:spacing w:after="20"/>
              <w:jc w:val="right"/>
            </w:pPr>
            <w:r>
              <w:rPr>
                <w:color w:val="1C3A36"/>
                <w:sz w:val="15"/>
              </w:rPr>
              <w:t>46%</w:t>
            </w:r>
          </w:p>
        </w:tc>
      </w:tr>
      <w:tr>
        <w:trPr>
          <w:cantSplit/>
        </w:trPr>
        <w:tc>
          <w:tcPr>
            <w:tcW w:type="dxa" w:w="2045"/>
          </w:tcPr>
          <w:p>
            <w:pPr>
              <w:spacing w:after="20"/>
            </w:pPr>
            <w:r>
              <w:rPr>
                <w:color w:val="1C3A36"/>
                <w:sz w:val="15"/>
              </w:rPr>
              <w:t>Offshore Services</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501</w:t>
            </w:r>
          </w:p>
        </w:tc>
        <w:tc>
          <w:tcPr>
            <w:tcW w:type="dxa" w:w="864"/>
          </w:tcPr>
          <w:p>
            <w:pPr>
              <w:spacing w:after="20"/>
              <w:jc w:val="right"/>
            </w:pPr>
            <w:r>
              <w:rPr>
                <w:color w:val="1C3A36"/>
                <w:sz w:val="15"/>
              </w:rPr>
              <w:t>19%</w:t>
            </w:r>
          </w:p>
        </w:tc>
        <w:tc>
          <w:tcPr>
            <w:tcW w:type="dxa" w:w="1094"/>
          </w:tcPr>
          <w:p>
            <w:pPr>
              <w:spacing w:after="20"/>
              <w:jc w:val="right"/>
            </w:pPr>
            <w:r>
              <w:rPr>
                <w:color w:val="1C3A36"/>
                <w:sz w:val="15"/>
              </w:rPr>
              <w:t>553</w:t>
            </w:r>
          </w:p>
        </w:tc>
        <w:tc>
          <w:tcPr>
            <w:tcW w:type="dxa" w:w="864"/>
          </w:tcPr>
          <w:p>
            <w:pPr>
              <w:spacing w:after="20"/>
              <w:jc w:val="right"/>
            </w:pPr>
            <w:r>
              <w:rPr>
                <w:color w:val="1C3A36"/>
                <w:sz w:val="15"/>
              </w:rPr>
              <w:t>24%</w:t>
            </w:r>
          </w:p>
        </w:tc>
        <w:tc>
          <w:tcPr>
            <w:tcW w:type="dxa" w:w="1094"/>
          </w:tcPr>
          <w:p>
            <w:pPr>
              <w:spacing w:after="20"/>
              <w:jc w:val="right"/>
            </w:pPr>
            <w:r>
              <w:rPr>
                <w:color w:val="1C3A36"/>
                <w:sz w:val="15"/>
              </w:rPr>
              <w:t>629</w:t>
            </w:r>
          </w:p>
        </w:tc>
        <w:tc>
          <w:tcPr>
            <w:tcW w:type="dxa" w:w="864"/>
          </w:tcPr>
          <w:p>
            <w:pPr>
              <w:spacing w:after="20"/>
              <w:jc w:val="right"/>
            </w:pPr>
            <w:r>
              <w:rPr>
                <w:color w:val="1C3A36"/>
                <w:sz w:val="15"/>
              </w:rPr>
              <w:t>28%</w:t>
            </w:r>
          </w:p>
        </w:tc>
      </w:tr>
      <w:tr>
        <w:trPr>
          <w:cantSplit/>
        </w:trPr>
        <w:tc>
          <w:tcPr>
            <w:tcW w:type="dxa" w:w="2045"/>
          </w:tcPr>
          <w:p>
            <w:pPr>
              <w:spacing w:after="20"/>
            </w:pPr>
            <w:r>
              <w:rPr>
                <w:color w:val="1C3A36"/>
                <w:sz w:val="15"/>
              </w:rPr>
              <w:t>Offshore Projects</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157</w:t>
            </w:r>
          </w:p>
        </w:tc>
        <w:tc>
          <w:tcPr>
            <w:tcW w:type="dxa" w:w="864"/>
          </w:tcPr>
          <w:p>
            <w:pPr>
              <w:spacing w:after="20"/>
              <w:jc w:val="right"/>
            </w:pPr>
            <w:r>
              <w:rPr>
                <w:color w:val="1C3A36"/>
                <w:sz w:val="15"/>
              </w:rPr>
              <w:t>7%</w:t>
            </w:r>
          </w:p>
        </w:tc>
        <w:tc>
          <w:tcPr>
            <w:tcW w:type="dxa" w:w="1094"/>
          </w:tcPr>
          <w:p>
            <w:pPr>
              <w:spacing w:after="20"/>
              <w:jc w:val="right"/>
            </w:pPr>
            <w:r>
              <w:rPr>
                <w:color w:val="1C3A36"/>
                <w:sz w:val="15"/>
              </w:rPr>
              <w:t>620</w:t>
            </w:r>
          </w:p>
        </w:tc>
        <w:tc>
          <w:tcPr>
            <w:tcW w:type="dxa" w:w="864"/>
          </w:tcPr>
          <w:p>
            <w:pPr>
              <w:spacing w:after="20"/>
              <w:jc w:val="right"/>
            </w:pPr>
            <w:r>
              <w:rPr>
                <w:color w:val="1C3A36"/>
                <w:sz w:val="15"/>
              </w:rPr>
              <w:t>9%</w:t>
            </w:r>
          </w:p>
        </w:tc>
        <w:tc>
          <w:tcPr>
            <w:tcW w:type="dxa" w:w="1094"/>
          </w:tcPr>
          <w:p>
            <w:pPr>
              <w:spacing w:after="20"/>
              <w:jc w:val="right"/>
            </w:pPr>
            <w:r>
              <w:rPr>
                <w:color w:val="1C3A36"/>
                <w:sz w:val="15"/>
              </w:rPr>
              <w:t>531</w:t>
            </w:r>
          </w:p>
        </w:tc>
        <w:tc>
          <w:tcPr>
            <w:tcW w:type="dxa" w:w="864"/>
          </w:tcPr>
          <w:p>
            <w:pPr>
              <w:spacing w:after="20"/>
              <w:jc w:val="right"/>
            </w:pPr>
            <w:r>
              <w:rPr>
                <w:color w:val="1C3A36"/>
                <w:sz w:val="15"/>
              </w:rPr>
              <w:t>5%</w:t>
            </w:r>
          </w:p>
        </w:tc>
      </w:tr>
      <w:tr>
        <w:trPr>
          <w:cantSplit/>
        </w:trPr>
        <w:tc>
          <w:tcPr>
            <w:tcW w:type="dxa" w:w="2045"/>
          </w:tcPr>
          <w:p>
            <w:pPr>
              <w:spacing w:after="20"/>
            </w:pPr>
            <w:r>
              <w:rPr>
                <w:color w:val="1C3A36"/>
                <w:sz w:val="15"/>
              </w:rPr>
              <w:t>Tankers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407</w:t>
            </w:r>
          </w:p>
        </w:tc>
        <w:tc>
          <w:tcPr>
            <w:tcW w:type="dxa" w:w="864"/>
          </w:tcPr>
          <w:p>
            <w:pPr>
              <w:spacing w:after="20"/>
              <w:jc w:val="right"/>
            </w:pPr>
            <w:r>
              <w:rPr>
                <w:color w:val="1C3A36"/>
                <w:sz w:val="15"/>
              </w:rPr>
              <w:t>39%</w:t>
            </w:r>
          </w:p>
        </w:tc>
        <w:tc>
          <w:tcPr>
            <w:tcW w:type="dxa" w:w="1094"/>
          </w:tcPr>
          <w:p>
            <w:pPr>
              <w:spacing w:after="20"/>
              <w:jc w:val="right"/>
            </w:pPr>
            <w:r>
              <w:rPr>
                <w:color w:val="1C3A36"/>
                <w:sz w:val="15"/>
              </w:rPr>
              <w:t>517</w:t>
            </w:r>
          </w:p>
        </w:tc>
        <w:tc>
          <w:tcPr>
            <w:tcW w:type="dxa" w:w="864"/>
          </w:tcPr>
          <w:p>
            <w:pPr>
              <w:spacing w:after="20"/>
              <w:jc w:val="right"/>
            </w:pPr>
            <w:r>
              <w:rPr>
                <w:color w:val="1C3A36"/>
                <w:sz w:val="15"/>
              </w:rPr>
              <w:t>46%</w:t>
            </w:r>
          </w:p>
        </w:tc>
        <w:tc>
          <w:tcPr>
            <w:tcW w:type="dxa" w:w="1094"/>
          </w:tcPr>
          <w:p>
            <w:pPr>
              <w:spacing w:after="20"/>
              <w:jc w:val="right"/>
            </w:pPr>
            <w:r>
              <w:rPr>
                <w:color w:val="1C3A36"/>
                <w:sz w:val="15"/>
              </w:rPr>
              <w:t>1,720</w:t>
            </w:r>
          </w:p>
        </w:tc>
        <w:tc>
          <w:tcPr>
            <w:tcW w:type="dxa" w:w="864"/>
          </w:tcPr>
          <w:p>
            <w:pPr>
              <w:spacing w:after="20"/>
              <w:jc w:val="right"/>
            </w:pPr>
            <w:r>
              <w:rPr>
                <w:color w:val="1C3A36"/>
                <w:sz w:val="15"/>
              </w:rPr>
              <w:t>26%</w:t>
            </w:r>
          </w:p>
        </w:tc>
      </w:tr>
      <w:tr>
        <w:trPr>
          <w:cantSplit/>
        </w:trPr>
        <w:tc>
          <w:tcPr>
            <w:tcW w:type="dxa" w:w="2045"/>
          </w:tcPr>
          <w:p>
            <w:pPr>
              <w:spacing w:after="20"/>
            </w:pPr>
            <w:r>
              <w:rPr>
                <w:color w:val="1C3A36"/>
                <w:sz w:val="15"/>
              </w:rPr>
              <w:t>Gas Carriers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174</w:t>
            </w:r>
          </w:p>
        </w:tc>
        <w:tc>
          <w:tcPr>
            <w:tcW w:type="dxa" w:w="864"/>
          </w:tcPr>
          <w:p>
            <w:pPr>
              <w:spacing w:after="20"/>
              <w:jc w:val="right"/>
            </w:pPr>
            <w:r>
              <w:rPr>
                <w:color w:val="1C3A36"/>
                <w:sz w:val="15"/>
              </w:rPr>
              <w:t>58%</w:t>
            </w:r>
          </w:p>
        </w:tc>
        <w:tc>
          <w:tcPr>
            <w:tcW w:type="dxa" w:w="1094"/>
          </w:tcPr>
          <w:p>
            <w:pPr>
              <w:spacing w:after="20"/>
              <w:jc w:val="right"/>
            </w:pPr>
            <w:r>
              <w:rPr>
                <w:color w:val="1C3A36"/>
                <w:sz w:val="15"/>
              </w:rPr>
              <w:t>153</w:t>
            </w:r>
          </w:p>
        </w:tc>
        <w:tc>
          <w:tcPr>
            <w:tcW w:type="dxa" w:w="864"/>
          </w:tcPr>
          <w:p>
            <w:pPr>
              <w:spacing w:after="20"/>
              <w:jc w:val="right"/>
            </w:pPr>
            <w:r>
              <w:rPr>
                <w:color w:val="1C3A36"/>
                <w:sz w:val="15"/>
              </w:rPr>
              <w:t>57%</w:t>
            </w:r>
          </w:p>
        </w:tc>
        <w:tc>
          <w:tcPr>
            <w:tcW w:type="dxa" w:w="1094"/>
          </w:tcPr>
          <w:p>
            <w:pPr>
              <w:spacing w:after="20"/>
              <w:jc w:val="right"/>
            </w:pPr>
            <w:r>
              <w:rPr>
                <w:color w:val="1C3A36"/>
                <w:sz w:val="15"/>
              </w:rPr>
              <w:t>180</w:t>
            </w:r>
          </w:p>
        </w:tc>
        <w:tc>
          <w:tcPr>
            <w:tcW w:type="dxa" w:w="864"/>
          </w:tcPr>
          <w:p>
            <w:pPr>
              <w:spacing w:after="20"/>
              <w:jc w:val="right"/>
            </w:pPr>
            <w:r>
              <w:rPr>
                <w:color w:val="1C3A36"/>
                <w:sz w:val="15"/>
              </w:rPr>
              <w:t>72%</w:t>
            </w:r>
          </w:p>
        </w:tc>
      </w:tr>
      <w:tr>
        <w:trPr>
          <w:cantSplit/>
        </w:trPr>
        <w:tc>
          <w:tcPr>
            <w:tcW w:type="dxa" w:w="2045"/>
          </w:tcPr>
          <w:p>
            <w:pPr>
              <w:spacing w:after="20"/>
            </w:pPr>
            <w:r>
              <w:rPr>
                <w:color w:val="1C3A36"/>
                <w:sz w:val="15"/>
              </w:rPr>
              <w:t>Dry-Bulk and Containers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258</w:t>
            </w:r>
          </w:p>
        </w:tc>
        <w:tc>
          <w:tcPr>
            <w:tcW w:type="dxa" w:w="864"/>
          </w:tcPr>
          <w:p>
            <w:pPr>
              <w:spacing w:after="20"/>
              <w:jc w:val="right"/>
            </w:pPr>
            <w:r>
              <w:rPr>
                <w:color w:val="1C3A36"/>
                <w:sz w:val="15"/>
              </w:rPr>
              <w:t>23%</w:t>
            </w:r>
          </w:p>
        </w:tc>
        <w:tc>
          <w:tcPr>
            <w:tcW w:type="dxa" w:w="1094"/>
          </w:tcPr>
          <w:p>
            <w:pPr>
              <w:spacing w:after="20"/>
              <w:jc w:val="right"/>
            </w:pPr>
            <w:r>
              <w:rPr>
                <w:color w:val="1C3A36"/>
                <w:sz w:val="15"/>
              </w:rPr>
              <w:t>287</w:t>
            </w:r>
          </w:p>
        </w:tc>
        <w:tc>
          <w:tcPr>
            <w:tcW w:type="dxa" w:w="864"/>
          </w:tcPr>
          <w:p>
            <w:pPr>
              <w:spacing w:after="20"/>
              <w:jc w:val="right"/>
            </w:pPr>
            <w:r>
              <w:rPr>
                <w:color w:val="1C3A36"/>
                <w:sz w:val="15"/>
              </w:rPr>
              <w:t>24%</w:t>
            </w:r>
          </w:p>
        </w:tc>
        <w:tc>
          <w:tcPr>
            <w:tcW w:type="dxa" w:w="1094"/>
          </w:tcPr>
          <w:p>
            <w:pPr>
              <w:spacing w:after="20"/>
              <w:jc w:val="right"/>
            </w:pPr>
            <w:r>
              <w:rPr>
                <w:color w:val="1C3A36"/>
                <w:sz w:val="15"/>
              </w:rPr>
              <w:t>225</w:t>
            </w:r>
          </w:p>
        </w:tc>
        <w:tc>
          <w:tcPr>
            <w:tcW w:type="dxa" w:w="864"/>
          </w:tcPr>
          <w:p>
            <w:pPr>
              <w:spacing w:after="20"/>
              <w:jc w:val="right"/>
            </w:pPr>
            <w:r>
              <w:rPr>
                <w:color w:val="1C3A36"/>
                <w:sz w:val="15"/>
              </w:rPr>
              <w:t>17%</w:t>
            </w:r>
          </w:p>
        </w:tc>
      </w:tr>
      <w:tr>
        <w:trPr>
          <w:cantSplit/>
        </w:trPr>
        <w:tc>
          <w:tcPr>
            <w:tcW w:type="dxa" w:w="2045"/>
          </w:tcPr>
          <w:p>
            <w:pPr>
              <w:spacing w:after="20"/>
            </w:pPr>
            <w:r>
              <w:rPr>
                <w:color w:val="1C3A36"/>
                <w:sz w:val="15"/>
              </w:rPr>
              <w:t>Services</w:t>
            </w:r>
          </w:p>
        </w:tc>
        <w:tc>
          <w:tcPr>
            <w:tcW w:type="dxa" w:w="1728"/>
          </w:tcPr>
          <w:p>
            <w:pPr>
              <w:spacing w:after="20"/>
              <w:jc w:val="left"/>
            </w:pPr>
            <w:r>
              <w:rPr>
                <w:color w:val="1C3A36"/>
                <w:sz w:val="15"/>
              </w:rPr>
              <w:t>Services</w:t>
            </w:r>
          </w:p>
        </w:tc>
        <w:tc>
          <w:tcPr>
            <w:tcW w:type="dxa" w:w="1094"/>
          </w:tcPr>
          <w:p>
            <w:pPr>
              <w:spacing w:after="20"/>
              <w:jc w:val="right"/>
            </w:pPr>
            <w:r>
              <w:rPr>
                <w:color w:val="1C3A36"/>
                <w:sz w:val="15"/>
              </w:rPr>
              <w:t>284</w:t>
            </w:r>
          </w:p>
        </w:tc>
        <w:tc>
          <w:tcPr>
            <w:tcW w:type="dxa" w:w="864"/>
          </w:tcPr>
          <w:p>
            <w:pPr>
              <w:spacing w:after="20"/>
              <w:jc w:val="right"/>
            </w:pPr>
            <w:r>
              <w:rPr>
                <w:color w:val="1C3A36"/>
                <w:sz w:val="15"/>
              </w:rPr>
              <w:t>16%</w:t>
            </w:r>
          </w:p>
        </w:tc>
        <w:tc>
          <w:tcPr>
            <w:tcW w:type="dxa" w:w="1094"/>
          </w:tcPr>
          <w:p>
            <w:pPr>
              <w:spacing w:after="20"/>
              <w:jc w:val="right"/>
            </w:pPr>
            <w:r>
              <w:rPr>
                <w:color w:val="1C3A36"/>
                <w:sz w:val="15"/>
              </w:rPr>
              <w:t>312</w:t>
            </w:r>
          </w:p>
        </w:tc>
        <w:tc>
          <w:tcPr>
            <w:tcW w:type="dxa" w:w="864"/>
          </w:tcPr>
          <w:p>
            <w:pPr>
              <w:spacing w:after="20"/>
              <w:jc w:val="right"/>
            </w:pPr>
            <w:r>
              <w:rPr>
                <w:color w:val="1C3A36"/>
                <w:sz w:val="15"/>
              </w:rPr>
              <w:t>18%</w:t>
            </w:r>
          </w:p>
        </w:tc>
        <w:tc>
          <w:tcPr>
            <w:tcW w:type="dxa" w:w="1094"/>
          </w:tcPr>
          <w:p>
            <w:pPr>
              <w:spacing w:after="20"/>
              <w:jc w:val="right"/>
            </w:pPr>
            <w:r>
              <w:rPr>
                <w:color w:val="1C3A36"/>
                <w:sz w:val="15"/>
              </w:rPr>
              <w:t>362</w:t>
            </w:r>
          </w:p>
        </w:tc>
        <w:tc>
          <w:tcPr>
            <w:tcW w:type="dxa" w:w="864"/>
          </w:tcPr>
          <w:p>
            <w:pPr>
              <w:spacing w:after="20"/>
              <w:jc w:val="right"/>
            </w:pPr>
            <w:r>
              <w:rPr>
                <w:color w:val="1C3A36"/>
                <w:sz w:val="15"/>
              </w:rPr>
              <w:t>17%</w:t>
            </w:r>
          </w:p>
        </w:tc>
      </w:tr>
      <w:tr>
        <w:trPr>
          <w:cantSplit/>
        </w:trPr>
        <w:tc>
          <w:tcPr>
            <w:tcW w:type="dxa" w:w="2045"/>
            <w:shd w:val="clear" w:color="auto" w:fill="F6F1E6"/>
          </w:tcPr>
          <w:p>
            <w:pPr>
              <w:spacing w:after="20"/>
            </w:pPr>
            <w:r>
              <w:rPr>
                <w:b/>
                <w:color w:val="1C3A36"/>
                <w:sz w:val="15"/>
              </w:rPr>
              <w:t>Group</w:t>
            </w:r>
          </w:p>
        </w:tc>
        <w:tc>
          <w:tcPr>
            <w:tcW w:type="dxa" w:w="1728"/>
            <w:shd w:val="clear" w:color="auto" w:fill="F6F1E6"/>
          </w:tcPr>
          <w:p>
            <w:pPr>
              <w:spacing w:after="20"/>
              <w:jc w:val="left"/>
            </w:pPr>
            <w:r>
              <w:rPr>
                <w:b/>
                <w:color w:val="1C3A36"/>
                <w:sz w:val="15"/>
              </w:rPr>
            </w:r>
          </w:p>
        </w:tc>
        <w:tc>
          <w:tcPr>
            <w:tcW w:type="dxa" w:w="1094"/>
            <w:shd w:val="clear" w:color="auto" w:fill="F6F1E6"/>
          </w:tcPr>
          <w:p>
            <w:pPr>
              <w:spacing w:after="20"/>
              <w:jc w:val="right"/>
            </w:pPr>
            <w:r>
              <w:rPr>
                <w:b/>
                <w:color w:val="1C3A36"/>
                <w:sz w:val="15"/>
              </w:rPr>
              <w:t>2,755</w:t>
            </w:r>
          </w:p>
        </w:tc>
        <w:tc>
          <w:tcPr>
            <w:tcW w:type="dxa" w:w="864"/>
            <w:shd w:val="clear" w:color="auto" w:fill="F6F1E6"/>
          </w:tcPr>
          <w:p>
            <w:pPr>
              <w:spacing w:after="20"/>
              <w:jc w:val="right"/>
            </w:pPr>
            <w:r>
              <w:rPr>
                <w:b/>
                <w:color w:val="1C3A36"/>
                <w:sz w:val="15"/>
              </w:rPr>
              <w:t>31%</w:t>
            </w:r>
          </w:p>
        </w:tc>
        <w:tc>
          <w:tcPr>
            <w:tcW w:type="dxa" w:w="1094"/>
            <w:shd w:val="clear" w:color="auto" w:fill="F6F1E6"/>
          </w:tcPr>
          <w:p>
            <w:pPr>
              <w:spacing w:after="20"/>
              <w:jc w:val="right"/>
            </w:pPr>
            <w:r>
              <w:rPr>
                <w:b/>
                <w:color w:val="1C3A36"/>
                <w:sz w:val="15"/>
              </w:rPr>
              <w:t>3,549</w:t>
            </w:r>
          </w:p>
        </w:tc>
        <w:tc>
          <w:tcPr>
            <w:tcW w:type="dxa" w:w="864"/>
            <w:shd w:val="clear" w:color="auto" w:fill="F6F1E6"/>
          </w:tcPr>
          <w:p>
            <w:pPr>
              <w:spacing w:after="20"/>
              <w:jc w:val="right"/>
            </w:pPr>
            <w:r>
              <w:rPr>
                <w:b/>
                <w:color w:val="1C3A36"/>
                <w:sz w:val="15"/>
              </w:rPr>
              <w:t>32%</w:t>
            </w:r>
          </w:p>
        </w:tc>
        <w:tc>
          <w:tcPr>
            <w:tcW w:type="dxa" w:w="1094"/>
            <w:shd w:val="clear" w:color="auto" w:fill="F6F1E6"/>
          </w:tcPr>
          <w:p>
            <w:pPr>
              <w:spacing w:after="20"/>
              <w:jc w:val="right"/>
            </w:pPr>
            <w:r>
              <w:rPr>
                <w:b/>
                <w:color w:val="1C3A36"/>
                <w:sz w:val="15"/>
              </w:rPr>
              <w:t>5,016</w:t>
            </w:r>
          </w:p>
        </w:tc>
        <w:tc>
          <w:tcPr>
            <w:tcW w:type="dxa" w:w="864"/>
            <w:shd w:val="clear" w:color="auto" w:fill="F6F1E6"/>
          </w:tcPr>
          <w:p>
            <w:pPr>
              <w:spacing w:after="20"/>
              <w:jc w:val="right"/>
            </w:pPr>
            <w:r>
              <w:rPr>
                <w:b/>
                <w:color w:val="1C3A36"/>
                <w:sz w:val="15"/>
              </w:rPr>
              <w:t>29%</w:t>
            </w:r>
          </w:p>
        </w:tc>
      </w:tr>
    </w:tbl>
    <w:p>
      <w:pPr>
        <w:spacing w:after="40"/>
      </w:pPr>
    </w:p>
    <w:p>
      <w:pPr>
        <w:spacing w:after="200" w:before="0"/>
      </w:pPr>
      <w:r>
        <w:rPr>
          <w:b w:val="0"/>
          <w:i/>
          <w:color w:val="6E7B77"/>
          <w:sz w:val="17"/>
        </w:rPr>
        <w:t>Revenue in USD million; margin is that unit's own earnings before interest, tax, depreciation and amortisation over its own revenue, all taken from the operating segments note. The Tankers line tells most of the story of the last three years: revenue more than tripled from FY2024 to FY2025 as the acquired fleet consolidated, while the margin fell from 46% to 26% because much of that revenue is low-margin chartered-in and relet trading that grosses up the revenue line without adding to earnings.</w:t>
      </w:r>
    </w:p>
    <w:p>
      <w:pPr>
        <w:keepNext/>
        <w:spacing w:after="80" w:before="200"/>
      </w:pPr>
      <w:r>
        <w:rPr>
          <w:b/>
          <w:i w:val="0"/>
          <w:color w:val="1C3A36"/>
          <w:sz w:val="24"/>
        </w:rPr>
        <w:t>How each unit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7992"/>
      </w:tblGrid>
      <w:tr>
        <w:trPr>
          <w:cantSplit/>
          <w:tblHeader/>
        </w:trPr>
        <w:tc>
          <w:tcPr>
            <w:tcW w:type="dxa" w:w="2088"/>
            <w:shd w:val="clear" w:color="auto" w:fill="EAF0EE"/>
          </w:tcPr>
          <w:p>
            <w:pPr>
              <w:spacing w:after="20"/>
            </w:pPr>
            <w:r>
              <w:rPr>
                <w:b/>
                <w:color w:val="1C3A36"/>
                <w:sz w:val="16"/>
              </w:rPr>
              <w:t>Unit</w:t>
            </w:r>
          </w:p>
        </w:tc>
        <w:tc>
          <w:tcPr>
            <w:tcW w:type="dxa" w:w="7992"/>
            <w:shd w:val="clear" w:color="auto" w:fill="EAF0EE"/>
          </w:tcPr>
          <w:p>
            <w:pPr>
              <w:spacing w:after="20"/>
            </w:pPr>
            <w:r>
              <w:rPr>
                <w:b/>
                <w:color w:val="1C3A36"/>
                <w:sz w:val="16"/>
              </w:rPr>
              <w:t>Driver</w:t>
            </w:r>
          </w:p>
        </w:tc>
      </w:tr>
      <w:tr>
        <w:trPr>
          <w:cantSplit/>
        </w:trPr>
        <w:tc>
          <w:tcPr>
            <w:tcW w:type="dxa" w:w="2088"/>
          </w:tcPr>
          <w:p>
            <w:pPr>
              <w:spacing w:after="20"/>
            </w:pPr>
            <w:r>
              <w:rPr>
                <w:color w:val="1C3A36"/>
                <w:sz w:val="16"/>
              </w:rPr>
              <w:t>Tankers</w:t>
            </w:r>
          </w:p>
        </w:tc>
        <w:tc>
          <w:tcPr>
            <w:tcW w:type="dxa" w:w="7992"/>
          </w:tcPr>
          <w:p>
            <w:pPr>
              <w:spacing w:after="20"/>
            </w:pPr>
            <w:r>
              <w:rPr>
                <w:color w:val="1C3A36"/>
                <w:sz w:val="16"/>
              </w:rPr>
              <w:t>Literally vessel by vessel, on the company's own charter table. 52 owned tankers in five size classes at the valuation date, of which 12 sit on charters out at disclosed fixed rates running to dates between 2026 and 2028; each of those earns its own rate for exactly the days its own contract covers, and no other. The remaining 40 earn the open-market rate, which is not assumed but solved out of the company's own published class average by removing the chartered vessels from it — section 1.7 shows the arithmetic. 2026 is built from the market rate implied by the first quarter, the level implied by the second, and a second half stepped halfway back toward the FY2025 implied rate; from 2027E the market rate glides over four years to the mid-cycle anchor, the average of the FY2024 and FY2025 outcomes. Running cost is USD 9,355 a vessel-day, solved so that the owned fleet's earnings reproduce the reported FY2025 result, escalated 2% a year on wages and technical management — a services escalator, not a commodity index, because those are the physical drivers of the line</w:t>
            </w:r>
          </w:p>
        </w:tc>
      </w:tr>
      <w:tr>
        <w:trPr>
          <w:cantSplit/>
        </w:trPr>
        <w:tc>
          <w:tcPr>
            <w:tcW w:type="dxa" w:w="2088"/>
          </w:tcPr>
          <w:p>
            <w:pPr>
              <w:spacing w:after="20"/>
            </w:pPr>
            <w:r>
              <w:rPr>
                <w:color w:val="1C3A36"/>
                <w:sz w:val="16"/>
              </w:rPr>
              <w:t>Gas Carriers</w:t>
            </w:r>
          </w:p>
        </w:tc>
        <w:tc>
          <w:tcPr>
            <w:tcW w:type="dxa" w:w="7992"/>
          </w:tcPr>
          <w:p>
            <w:pPr>
              <w:spacing w:after="20"/>
            </w:pPr>
            <w:r>
              <w:rPr>
                <w:color w:val="1C3A36"/>
                <w:sz w:val="16"/>
              </w:rPr>
              <w:t>Contracted vessel-years × day rate. The company's own contract table gives 10.8 consolidated vessel-years in 2026 rising to 25.0 by 2029 as the ethane and Ruwais carriers enter service. Per-vessel rates are not disclosed, so the day rate of USD 61,573 is solved from reported FY2025 revenue over vessel-years — the finest level the disclosure supports, and flagged as solved rather than sourced. Margin held near the FY2025 outcome NET of the joint-venture profit, since the disclosed earnings of this unit include USD 21 million of the group's share of the gas-carrier joint venture and that is added separately at book value in the bridge. 15 of 20 owned vessels sit on long-term contracts</w:t>
            </w:r>
          </w:p>
        </w:tc>
      </w:tr>
      <w:tr>
        <w:trPr>
          <w:cantSplit/>
        </w:trPr>
        <w:tc>
          <w:tcPr>
            <w:tcW w:type="dxa" w:w="2088"/>
          </w:tcPr>
          <w:p>
            <w:pPr>
              <w:spacing w:after="20"/>
            </w:pPr>
            <w:r>
              <w:rPr>
                <w:color w:val="1C3A36"/>
                <w:sz w:val="16"/>
              </w:rPr>
              <w:t>Offshore Contracting</w:t>
            </w:r>
          </w:p>
        </w:tc>
        <w:tc>
          <w:tcPr>
            <w:tcW w:type="dxa" w:w="7992"/>
          </w:tcPr>
          <w:p>
            <w:pPr>
              <w:spacing w:after="20"/>
            </w:pPr>
            <w:r>
              <w:rPr>
                <w:color w:val="1C3A36"/>
                <w:sz w:val="16"/>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trPr>
        <w:tc>
          <w:tcPr>
            <w:tcW w:type="dxa" w:w="2088"/>
          </w:tcPr>
          <w:p>
            <w:pPr>
              <w:spacing w:after="20"/>
            </w:pPr>
            <w:r>
              <w:rPr>
                <w:color w:val="1C3A36"/>
                <w:sz w:val="16"/>
              </w:rPr>
              <w:t>Offshore Services</w:t>
            </w:r>
          </w:p>
        </w:tc>
        <w:tc>
          <w:tcPr>
            <w:tcW w:type="dxa" w:w="7992"/>
          </w:tcPr>
          <w:p>
            <w:pPr>
              <w:spacing w:after="20"/>
            </w:pPr>
            <w:r>
              <w:rPr>
                <w:color w:val="1C3A36"/>
                <w:sz w:val="16"/>
              </w:rPr>
              <w:t>First-quarter revenue annualised, then 5% a year on the support-vessel fleet growth already under way. Margin held at the level the first quarter delivered.</w:t>
            </w:r>
          </w:p>
        </w:tc>
      </w:tr>
      <w:tr>
        <w:trPr>
          <w:cantSplit/>
        </w:trPr>
        <w:tc>
          <w:tcPr>
            <w:tcW w:type="dxa" w:w="2088"/>
          </w:tcPr>
          <w:p>
            <w:pPr>
              <w:spacing w:after="20"/>
            </w:pPr>
            <w:r>
              <w:rPr>
                <w:color w:val="1C3A36"/>
                <w:sz w:val="16"/>
              </w:rPr>
              <w:t>Offshore Projects</w:t>
            </w:r>
          </w:p>
        </w:tc>
        <w:tc>
          <w:tcPr>
            <w:tcW w:type="dxa" w:w="7992"/>
          </w:tcPr>
          <w:p>
            <w:pPr>
              <w:spacing w:after="20"/>
            </w:pPr>
            <w:r>
              <w:rPr>
                <w:color w:val="1C3A36"/>
                <w:sz w:val="16"/>
              </w:rPr>
              <w:t>The company's own stated range of USD 100-150 million of engineering and construction revenue for 2026 after the large island project completed, then a recovery as new awards replace it. This is the least visible line in the model.</w:t>
            </w:r>
          </w:p>
        </w:tc>
      </w:tr>
      <w:tr>
        <w:trPr>
          <w:cantSplit/>
        </w:trPr>
        <w:tc>
          <w:tcPr>
            <w:tcW w:type="dxa" w:w="2088"/>
          </w:tcPr>
          <w:p>
            <w:pPr>
              <w:spacing w:after="20"/>
            </w:pPr>
            <w:r>
              <w:rPr>
                <w:color w:val="1C3A36"/>
                <w:sz w:val="16"/>
              </w:rPr>
              <w:t>Dry-Bulk and Containers</w:t>
            </w:r>
          </w:p>
        </w:tc>
        <w:tc>
          <w:tcPr>
            <w:tcW w:type="dxa" w:w="7992"/>
          </w:tcPr>
          <w:p>
            <w:pPr>
              <w:spacing w:after="20"/>
            </w:pPr>
            <w:r>
              <w:rPr>
                <w:color w:val="1C3A36"/>
                <w:sz w:val="16"/>
              </w:rPr>
              <w:t>First-quarter revenue annualised and grown 2% a year; the container vessels sit on a fifteen-year contract and the bulk carriers earn charter rates that have been recovering.</w:t>
            </w:r>
          </w:p>
        </w:tc>
      </w:tr>
      <w:tr>
        <w:trPr>
          <w:cantSplit/>
        </w:trPr>
        <w:tc>
          <w:tcPr>
            <w:tcW w:type="dxa" w:w="2088"/>
          </w:tcPr>
          <w:p>
            <w:pPr>
              <w:spacing w:after="20"/>
            </w:pPr>
            <w:r>
              <w:rPr>
                <w:color w:val="1C3A36"/>
                <w:sz w:val="16"/>
              </w:rPr>
              <w:t>Services</w:t>
            </w:r>
          </w:p>
        </w:tc>
        <w:tc>
          <w:tcPr>
            <w:tcW w:type="dxa" w:w="7992"/>
          </w:tcPr>
          <w:p>
            <w:pPr>
              <w:spacing w:after="20"/>
            </w:pPr>
            <w:r>
              <w:rPr>
                <w:color w:val="1C3A36"/>
                <w:sz w:val="16"/>
              </w:rPr>
              <w:t>First-quarter revenue annualised and grown 4% a year. The margin reflects the warehouse activity moved into this unit and the growing profit share from the bunkering associate.</w:t>
            </w:r>
          </w:p>
        </w:tc>
      </w:tr>
    </w:tbl>
    <w:p>
      <w:pPr>
        <w:spacing w:after="40"/>
      </w:pP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Integrated Logistics — revenue</w:t>
            </w:r>
          </w:p>
        </w:tc>
        <w:tc>
          <w:tcPr>
            <w:tcW w:type="dxa" w:w="1382"/>
          </w:tcPr>
          <w:p>
            <w:pPr>
              <w:spacing w:after="20"/>
              <w:jc w:val="right"/>
            </w:pPr>
            <w:r>
              <w:rPr>
                <w:color w:val="1C3A36"/>
                <w:sz w:val="16"/>
              </w:rPr>
              <w:t>2,036</w:t>
            </w:r>
          </w:p>
        </w:tc>
        <w:tc>
          <w:tcPr>
            <w:tcW w:type="dxa" w:w="1382"/>
          </w:tcPr>
          <w:p>
            <w:pPr>
              <w:spacing w:after="20"/>
              <w:jc w:val="right"/>
            </w:pPr>
            <w:r>
              <w:rPr>
                <w:color w:val="1C3A36"/>
                <w:sz w:val="16"/>
              </w:rPr>
              <w:t>2,194</w:t>
            </w:r>
          </w:p>
        </w:tc>
        <w:tc>
          <w:tcPr>
            <w:tcW w:type="dxa" w:w="1382"/>
          </w:tcPr>
          <w:p>
            <w:pPr>
              <w:spacing w:after="20"/>
              <w:jc w:val="right"/>
            </w:pPr>
            <w:r>
              <w:rPr>
                <w:color w:val="1C3A36"/>
                <w:sz w:val="16"/>
              </w:rPr>
              <w:t>2,331</w:t>
            </w:r>
          </w:p>
        </w:tc>
        <w:tc>
          <w:tcPr>
            <w:tcW w:type="dxa" w:w="1382"/>
          </w:tcPr>
          <w:p>
            <w:pPr>
              <w:spacing w:after="20"/>
              <w:jc w:val="right"/>
            </w:pPr>
            <w:r>
              <w:rPr>
                <w:color w:val="1C3A36"/>
                <w:sz w:val="16"/>
              </w:rPr>
              <w:t>2,446</w:t>
            </w:r>
          </w:p>
        </w:tc>
        <w:tc>
          <w:tcPr>
            <w:tcW w:type="dxa" w:w="1382"/>
          </w:tcPr>
          <w:p>
            <w:pPr>
              <w:spacing w:after="20"/>
              <w:jc w:val="right"/>
            </w:pPr>
            <w:r>
              <w:rPr>
                <w:color w:val="1C3A36"/>
                <w:sz w:val="16"/>
              </w:rPr>
              <w:t>2,566</w:t>
            </w:r>
          </w:p>
        </w:tc>
      </w:tr>
      <w:tr>
        <w:trPr>
          <w:cantSplit/>
        </w:trPr>
        <w:tc>
          <w:tcPr>
            <w:tcW w:type="dxa" w:w="3168"/>
          </w:tcPr>
          <w:p>
            <w:pPr>
              <w:spacing w:after="20"/>
            </w:pPr>
            <w:r>
              <w:rPr>
                <w:color w:val="1C3A36"/>
                <w:sz w:val="16"/>
              </w:rPr>
              <w:t>Integrated Logistics — margin</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34%</w:t>
            </w:r>
          </w:p>
        </w:tc>
        <w:tc>
          <w:tcPr>
            <w:tcW w:type="dxa" w:w="1382"/>
          </w:tcPr>
          <w:p>
            <w:pPr>
              <w:spacing w:after="20"/>
              <w:jc w:val="right"/>
            </w:pPr>
            <w:r>
              <w:rPr>
                <w:color w:val="1C3A36"/>
                <w:sz w:val="16"/>
              </w:rPr>
              <w:t>35%</w:t>
            </w:r>
          </w:p>
        </w:tc>
        <w:tc>
          <w:tcPr>
            <w:tcW w:type="dxa" w:w="1382"/>
          </w:tcPr>
          <w:p>
            <w:pPr>
              <w:spacing w:after="20"/>
              <w:jc w:val="right"/>
            </w:pPr>
            <w:r>
              <w:rPr>
                <w:color w:val="1C3A36"/>
                <w:sz w:val="16"/>
              </w:rPr>
              <w:t>35%</w:t>
            </w:r>
          </w:p>
        </w:tc>
        <w:tc>
          <w:tcPr>
            <w:tcW w:type="dxa" w:w="1382"/>
          </w:tcPr>
          <w:p>
            <w:pPr>
              <w:spacing w:after="20"/>
              <w:jc w:val="right"/>
            </w:pPr>
            <w:r>
              <w:rPr>
                <w:color w:val="1C3A36"/>
                <w:sz w:val="16"/>
              </w:rPr>
              <w:t>34%</w:t>
            </w:r>
          </w:p>
        </w:tc>
      </w:tr>
      <w:tr>
        <w:trPr>
          <w:cantSplit/>
        </w:trPr>
        <w:tc>
          <w:tcPr>
            <w:tcW w:type="dxa" w:w="3168"/>
          </w:tcPr>
          <w:p>
            <w:pPr>
              <w:spacing w:after="20"/>
            </w:pPr>
            <w:r>
              <w:rPr>
                <w:color w:val="1C3A36"/>
                <w:sz w:val="16"/>
              </w:rPr>
              <w:t>Shipping — revenue</w:t>
            </w:r>
          </w:p>
        </w:tc>
        <w:tc>
          <w:tcPr>
            <w:tcW w:type="dxa" w:w="1382"/>
          </w:tcPr>
          <w:p>
            <w:pPr>
              <w:spacing w:after="20"/>
              <w:jc w:val="right"/>
            </w:pPr>
            <w:r>
              <w:rPr>
                <w:color w:val="1C3A36"/>
                <w:sz w:val="16"/>
              </w:rPr>
              <w:t>2,323</w:t>
            </w:r>
          </w:p>
        </w:tc>
        <w:tc>
          <w:tcPr>
            <w:tcW w:type="dxa" w:w="1382"/>
          </w:tcPr>
          <w:p>
            <w:pPr>
              <w:spacing w:after="20"/>
              <w:jc w:val="right"/>
            </w:pPr>
            <w:r>
              <w:rPr>
                <w:color w:val="1C3A36"/>
                <w:sz w:val="16"/>
              </w:rPr>
              <w:t>2,404</w:t>
            </w:r>
          </w:p>
        </w:tc>
        <w:tc>
          <w:tcPr>
            <w:tcW w:type="dxa" w:w="1382"/>
          </w:tcPr>
          <w:p>
            <w:pPr>
              <w:spacing w:after="20"/>
              <w:jc w:val="right"/>
            </w:pPr>
            <w:r>
              <w:rPr>
                <w:color w:val="1C3A36"/>
                <w:sz w:val="16"/>
              </w:rPr>
              <w:t>2,429</w:t>
            </w:r>
          </w:p>
        </w:tc>
        <w:tc>
          <w:tcPr>
            <w:tcW w:type="dxa" w:w="1382"/>
          </w:tcPr>
          <w:p>
            <w:pPr>
              <w:spacing w:after="20"/>
              <w:jc w:val="right"/>
            </w:pPr>
            <w:r>
              <w:rPr>
                <w:color w:val="1C3A36"/>
                <w:sz w:val="16"/>
              </w:rPr>
              <w:t>2,210</w:t>
            </w:r>
          </w:p>
        </w:tc>
        <w:tc>
          <w:tcPr>
            <w:tcW w:type="dxa" w:w="1382"/>
          </w:tcPr>
          <w:p>
            <w:pPr>
              <w:spacing w:after="20"/>
              <w:jc w:val="right"/>
            </w:pPr>
            <w:r>
              <w:rPr>
                <w:color w:val="1C3A36"/>
                <w:sz w:val="16"/>
              </w:rPr>
              <w:t>1,903</w:t>
            </w:r>
          </w:p>
        </w:tc>
      </w:tr>
      <w:tr>
        <w:trPr>
          <w:cantSplit/>
        </w:trPr>
        <w:tc>
          <w:tcPr>
            <w:tcW w:type="dxa" w:w="3168"/>
          </w:tcPr>
          <w:p>
            <w:pPr>
              <w:spacing w:after="20"/>
            </w:pPr>
            <w:r>
              <w:rPr>
                <w:color w:val="1C3A36"/>
                <w:sz w:val="16"/>
              </w:rPr>
              <w:t>Shipping — margin</w:t>
            </w:r>
          </w:p>
        </w:tc>
        <w:tc>
          <w:tcPr>
            <w:tcW w:type="dxa" w:w="1382"/>
          </w:tcPr>
          <w:p>
            <w:pPr>
              <w:spacing w:after="20"/>
              <w:jc w:val="right"/>
            </w:pPr>
            <w:r>
              <w:rPr>
                <w:color w:val="1C3A36"/>
                <w:sz w:val="16"/>
              </w:rPr>
              <w:t>51%</w:t>
            </w:r>
          </w:p>
        </w:tc>
        <w:tc>
          <w:tcPr>
            <w:tcW w:type="dxa" w:w="1382"/>
          </w:tcPr>
          <w:p>
            <w:pPr>
              <w:spacing w:after="20"/>
              <w:jc w:val="right"/>
            </w:pPr>
            <w:r>
              <w:rPr>
                <w:color w:val="1C3A36"/>
                <w:sz w:val="16"/>
              </w:rPr>
              <w:t>51%</w:t>
            </w:r>
          </w:p>
        </w:tc>
        <w:tc>
          <w:tcPr>
            <w:tcW w:type="dxa" w:w="1382"/>
          </w:tcPr>
          <w:p>
            <w:pPr>
              <w:spacing w:after="20"/>
              <w:jc w:val="right"/>
            </w:pPr>
            <w:r>
              <w:rPr>
                <w:color w:val="1C3A36"/>
                <w:sz w:val="16"/>
              </w:rPr>
              <w:t>52%</w:t>
            </w:r>
          </w:p>
        </w:tc>
        <w:tc>
          <w:tcPr>
            <w:tcW w:type="dxa" w:w="1382"/>
          </w:tcPr>
          <w:p>
            <w:pPr>
              <w:spacing w:after="20"/>
              <w:jc w:val="right"/>
            </w:pPr>
            <w:r>
              <w:rPr>
                <w:color w:val="1C3A36"/>
                <w:sz w:val="16"/>
              </w:rPr>
              <w:t>50%</w:t>
            </w:r>
          </w:p>
        </w:tc>
        <w:tc>
          <w:tcPr>
            <w:tcW w:type="dxa" w:w="1382"/>
          </w:tcPr>
          <w:p>
            <w:pPr>
              <w:spacing w:after="20"/>
              <w:jc w:val="right"/>
            </w:pPr>
            <w:r>
              <w:rPr>
                <w:color w:val="1C3A36"/>
                <w:sz w:val="16"/>
              </w:rPr>
              <w:t>48%</w:t>
            </w:r>
          </w:p>
        </w:tc>
      </w:tr>
      <w:tr>
        <w:trPr>
          <w:cantSplit/>
        </w:trPr>
        <w:tc>
          <w:tcPr>
            <w:tcW w:type="dxa" w:w="3168"/>
          </w:tcPr>
          <w:p>
            <w:pPr>
              <w:spacing w:after="20"/>
            </w:pPr>
            <w:r>
              <w:rPr>
                <w:color w:val="1C3A36"/>
                <w:sz w:val="16"/>
              </w:rPr>
              <w:t>Services — revenue</w:t>
            </w:r>
          </w:p>
        </w:tc>
        <w:tc>
          <w:tcPr>
            <w:tcW w:type="dxa" w:w="1382"/>
          </w:tcPr>
          <w:p>
            <w:pPr>
              <w:spacing w:after="20"/>
              <w:jc w:val="right"/>
            </w:pPr>
            <w:r>
              <w:rPr>
                <w:color w:val="1C3A36"/>
                <w:sz w:val="16"/>
              </w:rPr>
              <w:t>355</w:t>
            </w:r>
          </w:p>
        </w:tc>
        <w:tc>
          <w:tcPr>
            <w:tcW w:type="dxa" w:w="1382"/>
          </w:tcPr>
          <w:p>
            <w:pPr>
              <w:spacing w:after="20"/>
              <w:jc w:val="right"/>
            </w:pPr>
            <w:r>
              <w:rPr>
                <w:color w:val="1C3A36"/>
                <w:sz w:val="16"/>
              </w:rPr>
              <w:t>370</w:t>
            </w:r>
          </w:p>
        </w:tc>
        <w:tc>
          <w:tcPr>
            <w:tcW w:type="dxa" w:w="1382"/>
          </w:tcPr>
          <w:p>
            <w:pPr>
              <w:spacing w:after="20"/>
              <w:jc w:val="right"/>
            </w:pPr>
            <w:r>
              <w:rPr>
                <w:color w:val="1C3A36"/>
                <w:sz w:val="16"/>
              </w:rPr>
              <w:t>384</w:t>
            </w:r>
          </w:p>
        </w:tc>
        <w:tc>
          <w:tcPr>
            <w:tcW w:type="dxa" w:w="1382"/>
          </w:tcPr>
          <w:p>
            <w:pPr>
              <w:spacing w:after="20"/>
              <w:jc w:val="right"/>
            </w:pPr>
            <w:r>
              <w:rPr>
                <w:color w:val="1C3A36"/>
                <w:sz w:val="16"/>
              </w:rPr>
              <w:t>400</w:t>
            </w:r>
          </w:p>
        </w:tc>
        <w:tc>
          <w:tcPr>
            <w:tcW w:type="dxa" w:w="1382"/>
          </w:tcPr>
          <w:p>
            <w:pPr>
              <w:spacing w:after="20"/>
              <w:jc w:val="right"/>
            </w:pPr>
            <w:r>
              <w:rPr>
                <w:color w:val="1C3A36"/>
                <w:sz w:val="16"/>
              </w:rPr>
              <w:t>416</w:t>
            </w:r>
          </w:p>
        </w:tc>
      </w:tr>
      <w:tr>
        <w:trPr>
          <w:cantSplit/>
        </w:trPr>
        <w:tc>
          <w:tcPr>
            <w:tcW w:type="dxa" w:w="3168"/>
          </w:tcPr>
          <w:p>
            <w:pPr>
              <w:spacing w:after="20"/>
            </w:pPr>
            <w:r>
              <w:rPr>
                <w:color w:val="1C3A36"/>
                <w:sz w:val="16"/>
              </w:rPr>
              <w:t>Services — margin</w:t>
            </w:r>
          </w:p>
        </w:tc>
        <w:tc>
          <w:tcPr>
            <w:tcW w:type="dxa" w:w="1382"/>
          </w:tcPr>
          <w:p>
            <w:pPr>
              <w:spacing w:after="20"/>
              <w:jc w:val="right"/>
            </w:pPr>
            <w:r>
              <w:rPr>
                <w:color w:val="1C3A36"/>
                <w:sz w:val="16"/>
              </w:rPr>
              <w:t>15%</w:t>
            </w:r>
          </w:p>
        </w:tc>
        <w:tc>
          <w:tcPr>
            <w:tcW w:type="dxa" w:w="1382"/>
          </w:tcPr>
          <w:p>
            <w:pPr>
              <w:spacing w:after="20"/>
              <w:jc w:val="right"/>
            </w:pPr>
            <w:r>
              <w:rPr>
                <w:color w:val="1C3A36"/>
                <w:sz w:val="16"/>
              </w:rPr>
              <w:t>15%</w:t>
            </w:r>
          </w:p>
        </w:tc>
        <w:tc>
          <w:tcPr>
            <w:tcW w:type="dxa" w:w="1382"/>
          </w:tcPr>
          <w:p>
            <w:pPr>
              <w:spacing w:after="20"/>
              <w:jc w:val="right"/>
            </w:pPr>
            <w:r>
              <w:rPr>
                <w:color w:val="1C3A36"/>
                <w:sz w:val="16"/>
              </w:rPr>
              <w:t>16%</w:t>
            </w:r>
          </w:p>
        </w:tc>
        <w:tc>
          <w:tcPr>
            <w:tcW w:type="dxa" w:w="1382"/>
          </w:tcPr>
          <w:p>
            <w:pPr>
              <w:spacing w:after="20"/>
              <w:jc w:val="right"/>
            </w:pPr>
            <w:r>
              <w:rPr>
                <w:color w:val="1C3A36"/>
                <w:sz w:val="16"/>
              </w:rPr>
              <w:t>16%</w:t>
            </w:r>
          </w:p>
        </w:tc>
        <w:tc>
          <w:tcPr>
            <w:tcW w:type="dxa" w:w="1382"/>
          </w:tcPr>
          <w:p>
            <w:pPr>
              <w:spacing w:after="20"/>
              <w:jc w:val="right"/>
            </w:pPr>
            <w:r>
              <w:rPr>
                <w:color w:val="1C3A36"/>
                <w:sz w:val="16"/>
              </w:rPr>
              <w:t>16%</w:t>
            </w:r>
          </w:p>
        </w:tc>
      </w:tr>
      <w:tr>
        <w:trPr>
          <w:cantSplit/>
        </w:trPr>
        <w:tc>
          <w:tcPr>
            <w:tcW w:type="dxa" w:w="3168"/>
            <w:shd w:val="clear" w:color="auto" w:fill="F6F1E6"/>
          </w:tcPr>
          <w:p>
            <w:pPr>
              <w:spacing w:after="20"/>
            </w:pPr>
            <w:r>
              <w:rPr>
                <w:b/>
                <w:color w:val="1C3A36"/>
                <w:sz w:val="16"/>
              </w:rPr>
              <w:t>Group revenue</w:t>
            </w:r>
          </w:p>
        </w:tc>
        <w:tc>
          <w:tcPr>
            <w:tcW w:type="dxa" w:w="1382"/>
            <w:shd w:val="clear" w:color="auto" w:fill="F6F1E6"/>
          </w:tcPr>
          <w:p>
            <w:pPr>
              <w:spacing w:after="20"/>
              <w:jc w:val="right"/>
            </w:pPr>
            <w:r>
              <w:rPr>
                <w:b/>
                <w:color w:val="1C3A36"/>
                <w:sz w:val="16"/>
              </w:rPr>
              <w:t>4,715</w:t>
            </w:r>
          </w:p>
        </w:tc>
        <w:tc>
          <w:tcPr>
            <w:tcW w:type="dxa" w:w="1382"/>
            <w:shd w:val="clear" w:color="auto" w:fill="F6F1E6"/>
          </w:tcPr>
          <w:p>
            <w:pPr>
              <w:spacing w:after="20"/>
              <w:jc w:val="right"/>
            </w:pPr>
            <w:r>
              <w:rPr>
                <w:b/>
                <w:color w:val="1C3A36"/>
                <w:sz w:val="16"/>
              </w:rPr>
              <w:t>4,968</w:t>
            </w:r>
          </w:p>
        </w:tc>
        <w:tc>
          <w:tcPr>
            <w:tcW w:type="dxa" w:w="1382"/>
            <w:shd w:val="clear" w:color="auto" w:fill="F6F1E6"/>
          </w:tcPr>
          <w:p>
            <w:pPr>
              <w:spacing w:after="20"/>
              <w:jc w:val="right"/>
            </w:pPr>
            <w:r>
              <w:rPr>
                <w:b/>
                <w:color w:val="1C3A36"/>
                <w:sz w:val="16"/>
              </w:rPr>
              <w:t>5,144</w:t>
            </w:r>
          </w:p>
        </w:tc>
        <w:tc>
          <w:tcPr>
            <w:tcW w:type="dxa" w:w="1382"/>
            <w:shd w:val="clear" w:color="auto" w:fill="F6F1E6"/>
          </w:tcPr>
          <w:p>
            <w:pPr>
              <w:spacing w:after="20"/>
              <w:jc w:val="right"/>
            </w:pPr>
            <w:r>
              <w:rPr>
                <w:b/>
                <w:color w:val="1C3A36"/>
                <w:sz w:val="16"/>
              </w:rPr>
              <w:t>5,056</w:t>
            </w:r>
          </w:p>
        </w:tc>
        <w:tc>
          <w:tcPr>
            <w:tcW w:type="dxa" w:w="1382"/>
            <w:shd w:val="clear" w:color="auto" w:fill="F6F1E6"/>
          </w:tcPr>
          <w:p>
            <w:pPr>
              <w:spacing w:after="20"/>
              <w:jc w:val="right"/>
            </w:pPr>
            <w:r>
              <w:rPr>
                <w:b/>
                <w:color w:val="1C3A36"/>
                <w:sz w:val="16"/>
              </w:rPr>
              <w:t>4,885</w:t>
            </w:r>
          </w:p>
        </w:tc>
      </w:tr>
      <w:tr>
        <w:trPr>
          <w:cantSplit/>
        </w:trPr>
        <w:tc>
          <w:tcPr>
            <w:tcW w:type="dxa" w:w="3168"/>
            <w:shd w:val="clear" w:color="auto" w:fill="F6F1E6"/>
          </w:tcPr>
          <w:p>
            <w:pPr>
              <w:spacing w:after="20"/>
            </w:pPr>
            <w:r>
              <w:rPr>
                <w:b/>
                <w:color w:val="1C3A36"/>
                <w:sz w:val="16"/>
              </w:rPr>
              <w:t>Group earnings before interest, tax, depreciation and amortisation</w:t>
            </w:r>
          </w:p>
        </w:tc>
        <w:tc>
          <w:tcPr>
            <w:tcW w:type="dxa" w:w="1382"/>
            <w:shd w:val="clear" w:color="auto" w:fill="F6F1E6"/>
          </w:tcPr>
          <w:p>
            <w:pPr>
              <w:spacing w:after="20"/>
              <w:jc w:val="right"/>
            </w:pPr>
            <w:r>
              <w:rPr>
                <w:b/>
                <w:color w:val="1C3A36"/>
                <w:sz w:val="16"/>
              </w:rPr>
              <w:t>1,900</w:t>
            </w:r>
          </w:p>
        </w:tc>
        <w:tc>
          <w:tcPr>
            <w:tcW w:type="dxa" w:w="1382"/>
            <w:shd w:val="clear" w:color="auto" w:fill="F6F1E6"/>
          </w:tcPr>
          <w:p>
            <w:pPr>
              <w:spacing w:after="20"/>
              <w:jc w:val="right"/>
            </w:pPr>
            <w:r>
              <w:rPr>
                <w:b/>
                <w:color w:val="1C3A36"/>
                <w:sz w:val="16"/>
              </w:rPr>
              <w:t>2,036</w:t>
            </w:r>
          </w:p>
        </w:tc>
        <w:tc>
          <w:tcPr>
            <w:tcW w:type="dxa" w:w="1382"/>
            <w:shd w:val="clear" w:color="auto" w:fill="F6F1E6"/>
          </w:tcPr>
          <w:p>
            <w:pPr>
              <w:spacing w:after="20"/>
              <w:jc w:val="right"/>
            </w:pPr>
            <w:r>
              <w:rPr>
                <w:b/>
                <w:color w:val="1C3A36"/>
                <w:sz w:val="16"/>
              </w:rPr>
              <w:t>2,119</w:t>
            </w:r>
          </w:p>
        </w:tc>
        <w:tc>
          <w:tcPr>
            <w:tcW w:type="dxa" w:w="1382"/>
            <w:shd w:val="clear" w:color="auto" w:fill="F6F1E6"/>
          </w:tcPr>
          <w:p>
            <w:pPr>
              <w:spacing w:after="20"/>
              <w:jc w:val="right"/>
            </w:pPr>
            <w:r>
              <w:rPr>
                <w:b/>
                <w:color w:val="1C3A36"/>
                <w:sz w:val="16"/>
              </w:rPr>
              <w:t>2,022</w:t>
            </w:r>
          </w:p>
        </w:tc>
        <w:tc>
          <w:tcPr>
            <w:tcW w:type="dxa" w:w="1382"/>
            <w:shd w:val="clear" w:color="auto" w:fill="F6F1E6"/>
          </w:tcPr>
          <w:p>
            <w:pPr>
              <w:spacing w:after="20"/>
              <w:jc w:val="right"/>
            </w:pPr>
            <w:r>
              <w:rPr>
                <w:b/>
                <w:color w:val="1C3A36"/>
                <w:sz w:val="16"/>
              </w:rPr>
              <w:t>1,865</w:t>
            </w:r>
          </w:p>
        </w:tc>
      </w:tr>
      <w:tr>
        <w:trPr>
          <w:cantSplit/>
        </w:trPr>
        <w:tc>
          <w:tcPr>
            <w:tcW w:type="dxa" w:w="3168"/>
            <w:shd w:val="clear" w:color="auto" w:fill="F6F1E6"/>
          </w:tcPr>
          <w:p>
            <w:pPr>
              <w:spacing w:after="20"/>
            </w:pPr>
            <w:r>
              <w:rPr>
                <w:b/>
                <w:color w:val="1C3A36"/>
                <w:sz w:val="16"/>
              </w:rPr>
              <w:t>Group margin</w:t>
            </w:r>
          </w:p>
        </w:tc>
        <w:tc>
          <w:tcPr>
            <w:tcW w:type="dxa" w:w="1382"/>
            <w:shd w:val="clear" w:color="auto" w:fill="F6F1E6"/>
          </w:tcPr>
          <w:p>
            <w:pPr>
              <w:spacing w:after="20"/>
              <w:jc w:val="right"/>
            </w:pPr>
            <w:r>
              <w:rPr>
                <w:b/>
                <w:color w:val="1C3A36"/>
                <w:sz w:val="16"/>
              </w:rPr>
              <w:t>40.3%</w:t>
            </w:r>
          </w:p>
        </w:tc>
        <w:tc>
          <w:tcPr>
            <w:tcW w:type="dxa" w:w="1382"/>
            <w:shd w:val="clear" w:color="auto" w:fill="F6F1E6"/>
          </w:tcPr>
          <w:p>
            <w:pPr>
              <w:spacing w:after="20"/>
              <w:jc w:val="right"/>
            </w:pPr>
            <w:r>
              <w:rPr>
                <w:b/>
                <w:color w:val="1C3A36"/>
                <w:sz w:val="16"/>
              </w:rPr>
              <w:t>41.0%</w:t>
            </w:r>
          </w:p>
        </w:tc>
        <w:tc>
          <w:tcPr>
            <w:tcW w:type="dxa" w:w="1382"/>
            <w:shd w:val="clear" w:color="auto" w:fill="F6F1E6"/>
          </w:tcPr>
          <w:p>
            <w:pPr>
              <w:spacing w:after="20"/>
              <w:jc w:val="right"/>
            </w:pPr>
            <w:r>
              <w:rPr>
                <w:b/>
                <w:color w:val="1C3A36"/>
                <w:sz w:val="16"/>
              </w:rPr>
              <w:t>41.2%</w:t>
            </w:r>
          </w:p>
        </w:tc>
        <w:tc>
          <w:tcPr>
            <w:tcW w:type="dxa" w:w="1382"/>
            <w:shd w:val="clear" w:color="auto" w:fill="F6F1E6"/>
          </w:tcPr>
          <w:p>
            <w:pPr>
              <w:spacing w:after="20"/>
              <w:jc w:val="right"/>
            </w:pPr>
            <w:r>
              <w:rPr>
                <w:b/>
                <w:color w:val="1C3A36"/>
                <w:sz w:val="16"/>
              </w:rPr>
              <w:t>40.0%</w:t>
            </w:r>
          </w:p>
        </w:tc>
        <w:tc>
          <w:tcPr>
            <w:tcW w:type="dxa" w:w="1382"/>
            <w:shd w:val="clear" w:color="auto" w:fill="F6F1E6"/>
          </w:tcPr>
          <w:p>
            <w:pPr>
              <w:spacing w:after="20"/>
              <w:jc w:val="right"/>
            </w:pPr>
            <w:r>
              <w:rPr>
                <w:b/>
                <w:color w:val="1C3A36"/>
                <w:sz w:val="16"/>
              </w:rPr>
              <w:t>38.2%</w:t>
            </w:r>
          </w:p>
        </w:tc>
      </w:tr>
    </w:tbl>
    <w:p>
      <w:pPr>
        <w:spacing w:after="40"/>
      </w:pPr>
    </w:p>
    <w:p>
      <w:pPr>
        <w:spacing w:after="200" w:before="0"/>
      </w:pPr>
      <w:r>
        <w:rPr>
          <w:b w:val="0"/>
          <w:i/>
          <w:color w:val="6E7B77"/>
          <w:sz w:val="17"/>
        </w:rPr>
        <w:t>No margin in this table is an assumption applied to the group. For the two shipping units that carry the rate risk, the margin is a pure arithmetic output: rate per vessel-day less running cost per vessel-day. For the contracted units the unit margin is set from what that unit itself earned in the first quarter of 2026, and the group margin — which moves from 40.3% to 38.2% across the forecast — is an output of the changing mix, not a path anyone chose. The margin rises against FY2025's 29.3% mainly because the low-margin chartered-in trading that grossed up FY2025 revenue is not repeated: the first quarter of 2026 showed revenue -8% year on year while earnings rose +7%.</w:t>
      </w:r>
    </w:p>
    <w:p>
      <w:pPr>
        <w:spacing w:after="40"/>
        <w:jc w:val="center"/>
      </w:pPr>
      <w:r>
        <w:drawing>
          <wp:inline xmlns:a="http://schemas.openxmlformats.org/drawingml/2006/main" xmlns:pic="http://schemas.openxmlformats.org/drawingml/2006/picture">
            <wp:extent cx="6309360" cy="3568931"/>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3568931"/>
                    </a:xfrm>
                    <a:prstGeom prst="rect"/>
                  </pic:spPr>
                </pic:pic>
              </a:graphicData>
            </a:graphic>
          </wp:inline>
        </w:drawing>
      </w:r>
    </w:p>
    <w:p>
      <w:pPr>
        <w:spacing w:after="200" w:before="0"/>
      </w:pPr>
      <w:r>
        <w:rPr>
          <w:b w:val="0"/>
          <w:i/>
          <w:color w:val="6E7B77"/>
          <w:sz w:val="17"/>
        </w:rPr>
        <w:t>Figure 2 — earnings by business unit, reported and forecast, with the group margin. Shipping does the moving; the contracted logistics base grows steadily underneath it.</w:t>
      </w:r>
    </w:p>
    <w:p>
      <w:pPr>
        <w:keepNext/>
        <w:spacing w:after="80" w:before="200"/>
      </w:pPr>
      <w:r>
        <w:rPr>
          <w:b/>
          <w:i w:val="0"/>
          <w:color w:val="1C3A36"/>
          <w:sz w:val="24"/>
        </w:rPr>
        <w:t>The build against the company's own guidance — a gap, stated plainly</w:t>
      </w:r>
    </w:p>
    <w:p>
      <w:pPr>
        <w:spacing w:after="120" w:before="0"/>
      </w:pPr>
      <w:r>
        <w:rPr>
          <w:b w:val="0"/>
          <w:i w:val="0"/>
          <w:color w:val="1C3A36"/>
          <w:sz w:val="21"/>
        </w:rPr>
        <w:t>This build sits materially above what management has guided for 2026, and that is a deliberate result of the method rather than an accident to be reconciled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555"/>
        <w:gridCol w:w="1555"/>
        <w:gridCol w:w="1555"/>
        <w:gridCol w:w="1555"/>
        <w:gridCol w:w="1555"/>
      </w:tblGrid>
      <w:tr>
        <w:trPr>
          <w:cantSplit/>
          <w:tblHeader/>
        </w:trPr>
        <w:tc>
          <w:tcPr>
            <w:tcW w:type="dxa" w:w="2304"/>
            <w:shd w:val="clear" w:color="auto" w:fill="EAF0EE"/>
          </w:tcPr>
          <w:p>
            <w:pPr>
              <w:spacing w:after="20"/>
            </w:pPr>
            <w:r>
              <w:rPr>
                <w:b/>
                <w:color w:val="1C3A36"/>
                <w:sz w:val="16"/>
              </w:rPr>
              <w:t>Business unit</w:t>
            </w:r>
          </w:p>
        </w:tc>
        <w:tc>
          <w:tcPr>
            <w:tcW w:type="dxa" w:w="1555"/>
            <w:shd w:val="clear" w:color="auto" w:fill="EAF0EE"/>
          </w:tcPr>
          <w:p>
            <w:pPr>
              <w:spacing w:after="20"/>
            </w:pPr>
            <w:r>
              <w:rPr>
                <w:b/>
                <w:color w:val="1C3A36"/>
                <w:sz w:val="16"/>
              </w:rPr>
              <w:t>Guided revenue</w:t>
            </w:r>
          </w:p>
        </w:tc>
        <w:tc>
          <w:tcPr>
            <w:tcW w:type="dxa" w:w="1555"/>
            <w:shd w:val="clear" w:color="auto" w:fill="EAF0EE"/>
          </w:tcPr>
          <w:p>
            <w:pPr>
              <w:spacing w:after="20"/>
            </w:pPr>
            <w:r>
              <w:rPr>
                <w:b/>
                <w:color w:val="1C3A36"/>
                <w:sz w:val="16"/>
              </w:rPr>
              <w:t>Built revenue</w:t>
            </w:r>
          </w:p>
        </w:tc>
        <w:tc>
          <w:tcPr>
            <w:tcW w:type="dxa" w:w="1555"/>
            <w:shd w:val="clear" w:color="auto" w:fill="EAF0EE"/>
          </w:tcPr>
          <w:p>
            <w:pPr>
              <w:spacing w:after="20"/>
            </w:pPr>
            <w:r>
              <w:rPr>
                <w:b/>
                <w:color w:val="1C3A36"/>
                <w:sz w:val="16"/>
              </w:rPr>
              <w:t>Guided earnings</w:t>
            </w:r>
          </w:p>
        </w:tc>
        <w:tc>
          <w:tcPr>
            <w:tcW w:type="dxa" w:w="1555"/>
            <w:shd w:val="clear" w:color="auto" w:fill="EAF0EE"/>
          </w:tcPr>
          <w:p>
            <w:pPr>
              <w:spacing w:after="20"/>
            </w:pPr>
            <w:r>
              <w:rPr>
                <w:b/>
                <w:color w:val="1C3A36"/>
                <w:sz w:val="16"/>
              </w:rPr>
              <w:t>Built earnings</w:t>
            </w:r>
          </w:p>
        </w:tc>
        <w:tc>
          <w:tcPr>
            <w:tcW w:type="dxa" w:w="1555"/>
            <w:shd w:val="clear" w:color="auto" w:fill="EAF0EE"/>
          </w:tcPr>
          <w:p>
            <w:pPr>
              <w:spacing w:after="20"/>
            </w:pPr>
            <w:r>
              <w:rPr>
                <w:b/>
                <w:color w:val="1C3A36"/>
                <w:sz w:val="16"/>
              </w:rPr>
              <w:t>Gap on earnings</w:t>
            </w:r>
          </w:p>
        </w:tc>
      </w:tr>
      <w:tr>
        <w:trPr>
          <w:cantSplit/>
        </w:trPr>
        <w:tc>
          <w:tcPr>
            <w:tcW w:type="dxa" w:w="2304"/>
          </w:tcPr>
          <w:p>
            <w:pPr>
              <w:spacing w:after="20"/>
            </w:pPr>
            <w:r>
              <w:rPr>
                <w:color w:val="1C3A36"/>
                <w:sz w:val="16"/>
              </w:rPr>
              <w:t>Integrated Logistics</w:t>
            </w:r>
          </w:p>
        </w:tc>
        <w:tc>
          <w:tcPr>
            <w:tcW w:type="dxa" w:w="1555"/>
          </w:tcPr>
          <w:p>
            <w:pPr>
              <w:spacing w:after="20"/>
              <w:jc w:val="right"/>
            </w:pPr>
            <w:r>
              <w:rPr>
                <w:color w:val="1C3A36"/>
                <w:sz w:val="16"/>
              </w:rPr>
              <w:t>1,846</w:t>
            </w:r>
          </w:p>
        </w:tc>
        <w:tc>
          <w:tcPr>
            <w:tcW w:type="dxa" w:w="1555"/>
          </w:tcPr>
          <w:p>
            <w:pPr>
              <w:spacing w:after="20"/>
              <w:jc w:val="right"/>
            </w:pPr>
            <w:r>
              <w:rPr>
                <w:color w:val="1C3A36"/>
                <w:sz w:val="16"/>
              </w:rPr>
              <w:t>2,036</w:t>
            </w:r>
          </w:p>
        </w:tc>
        <w:tc>
          <w:tcPr>
            <w:tcW w:type="dxa" w:w="1555"/>
          </w:tcPr>
          <w:p>
            <w:pPr>
              <w:spacing w:after="20"/>
              <w:jc w:val="right"/>
            </w:pPr>
            <w:r>
              <w:rPr>
                <w:color w:val="1C3A36"/>
                <w:sz w:val="16"/>
              </w:rPr>
              <w:t>606</w:t>
            </w:r>
          </w:p>
        </w:tc>
        <w:tc>
          <w:tcPr>
            <w:tcW w:type="dxa" w:w="1555"/>
          </w:tcPr>
          <w:p>
            <w:pPr>
              <w:spacing w:after="20"/>
              <w:jc w:val="right"/>
            </w:pPr>
            <w:r>
              <w:rPr>
                <w:color w:val="1C3A36"/>
                <w:sz w:val="16"/>
              </w:rPr>
              <w:t>668</w:t>
            </w:r>
          </w:p>
        </w:tc>
        <w:tc>
          <w:tcPr>
            <w:tcW w:type="dxa" w:w="1555"/>
          </w:tcPr>
          <w:p>
            <w:pPr>
              <w:spacing w:after="20"/>
              <w:jc w:val="right"/>
            </w:pPr>
            <w:r>
              <w:rPr>
                <w:color w:val="1C3A36"/>
                <w:sz w:val="16"/>
              </w:rPr>
              <w:t>+10%</w:t>
            </w:r>
          </w:p>
        </w:tc>
      </w:tr>
      <w:tr>
        <w:trPr>
          <w:cantSplit/>
        </w:trPr>
        <w:tc>
          <w:tcPr>
            <w:tcW w:type="dxa" w:w="2304"/>
          </w:tcPr>
          <w:p>
            <w:pPr>
              <w:spacing w:after="20"/>
            </w:pPr>
            <w:r>
              <w:rPr>
                <w:color w:val="1C3A36"/>
                <w:sz w:val="16"/>
              </w:rPr>
              <w:t>Shipping</w:t>
            </w:r>
          </w:p>
        </w:tc>
        <w:tc>
          <w:tcPr>
            <w:tcW w:type="dxa" w:w="1555"/>
          </w:tcPr>
          <w:p>
            <w:pPr>
              <w:spacing w:after="20"/>
              <w:jc w:val="right"/>
            </w:pPr>
            <w:r>
              <w:rPr>
                <w:color w:val="1C3A36"/>
                <w:sz w:val="16"/>
              </w:rPr>
              <w:t>2,475</w:t>
            </w:r>
          </w:p>
        </w:tc>
        <w:tc>
          <w:tcPr>
            <w:tcW w:type="dxa" w:w="1555"/>
          </w:tcPr>
          <w:p>
            <w:pPr>
              <w:spacing w:after="20"/>
              <w:jc w:val="right"/>
            </w:pPr>
            <w:r>
              <w:rPr>
                <w:color w:val="1C3A36"/>
                <w:sz w:val="16"/>
              </w:rPr>
              <w:t>2,323</w:t>
            </w:r>
          </w:p>
        </w:tc>
        <w:tc>
          <w:tcPr>
            <w:tcW w:type="dxa" w:w="1555"/>
          </w:tcPr>
          <w:p>
            <w:pPr>
              <w:spacing w:after="20"/>
              <w:jc w:val="right"/>
            </w:pPr>
            <w:r>
              <w:rPr>
                <w:color w:val="1C3A36"/>
                <w:sz w:val="16"/>
              </w:rPr>
              <w:t>959</w:t>
            </w:r>
          </w:p>
        </w:tc>
        <w:tc>
          <w:tcPr>
            <w:tcW w:type="dxa" w:w="1555"/>
          </w:tcPr>
          <w:p>
            <w:pPr>
              <w:spacing w:after="20"/>
              <w:jc w:val="right"/>
            </w:pPr>
            <w:r>
              <w:rPr>
                <w:color w:val="1C3A36"/>
                <w:sz w:val="16"/>
              </w:rPr>
              <w:t>1,177</w:t>
            </w:r>
          </w:p>
        </w:tc>
        <w:tc>
          <w:tcPr>
            <w:tcW w:type="dxa" w:w="1555"/>
          </w:tcPr>
          <w:p>
            <w:pPr>
              <w:spacing w:after="20"/>
              <w:jc w:val="right"/>
            </w:pPr>
            <w:r>
              <w:rPr>
                <w:color w:val="1C3A36"/>
                <w:sz w:val="16"/>
              </w:rPr>
              <w:t>+23%</w:t>
            </w:r>
          </w:p>
        </w:tc>
      </w:tr>
      <w:tr>
        <w:trPr>
          <w:cantSplit/>
        </w:trPr>
        <w:tc>
          <w:tcPr>
            <w:tcW w:type="dxa" w:w="2304"/>
          </w:tcPr>
          <w:p>
            <w:pPr>
              <w:spacing w:after="20"/>
            </w:pPr>
            <w:r>
              <w:rPr>
                <w:color w:val="1C3A36"/>
                <w:sz w:val="16"/>
              </w:rPr>
              <w:t>Services</w:t>
            </w:r>
          </w:p>
        </w:tc>
        <w:tc>
          <w:tcPr>
            <w:tcW w:type="dxa" w:w="1555"/>
          </w:tcPr>
          <w:p>
            <w:pPr>
              <w:spacing w:after="20"/>
              <w:jc w:val="right"/>
            </w:pPr>
            <w:r>
              <w:rPr>
                <w:color w:val="1C3A36"/>
                <w:sz w:val="16"/>
              </w:rPr>
              <w:t>375</w:t>
            </w:r>
          </w:p>
        </w:tc>
        <w:tc>
          <w:tcPr>
            <w:tcW w:type="dxa" w:w="1555"/>
          </w:tcPr>
          <w:p>
            <w:pPr>
              <w:spacing w:after="20"/>
              <w:jc w:val="right"/>
            </w:pPr>
            <w:r>
              <w:rPr>
                <w:color w:val="1C3A36"/>
                <w:sz w:val="16"/>
              </w:rPr>
              <w:t>355</w:t>
            </w:r>
          </w:p>
        </w:tc>
        <w:tc>
          <w:tcPr>
            <w:tcW w:type="dxa" w:w="1555"/>
          </w:tcPr>
          <w:p>
            <w:pPr>
              <w:spacing w:after="20"/>
              <w:jc w:val="right"/>
            </w:pPr>
            <w:r>
              <w:rPr>
                <w:color w:val="1C3A36"/>
                <w:sz w:val="16"/>
              </w:rPr>
              <w:t>62</w:t>
            </w:r>
          </w:p>
        </w:tc>
        <w:tc>
          <w:tcPr>
            <w:tcW w:type="dxa" w:w="1555"/>
          </w:tcPr>
          <w:p>
            <w:pPr>
              <w:spacing w:after="20"/>
              <w:jc w:val="right"/>
            </w:pPr>
            <w:r>
              <w:rPr>
                <w:color w:val="1C3A36"/>
                <w:sz w:val="16"/>
              </w:rPr>
              <w:t>55</w:t>
            </w:r>
          </w:p>
        </w:tc>
        <w:tc>
          <w:tcPr>
            <w:tcW w:type="dxa" w:w="1555"/>
          </w:tcPr>
          <w:p>
            <w:pPr>
              <w:spacing w:after="20"/>
              <w:jc w:val="right"/>
            </w:pPr>
            <w:r>
              <w:rPr>
                <w:color w:val="1C3A36"/>
                <w:sz w:val="16"/>
              </w:rPr>
              <w:t>-12%</w:t>
            </w:r>
          </w:p>
        </w:tc>
      </w:tr>
      <w:tr>
        <w:trPr>
          <w:cantSplit/>
        </w:trPr>
        <w:tc>
          <w:tcPr>
            <w:tcW w:type="dxa" w:w="2304"/>
            <w:shd w:val="clear" w:color="auto" w:fill="F6F1E6"/>
          </w:tcPr>
          <w:p>
            <w:pPr>
              <w:spacing w:after="20"/>
            </w:pPr>
            <w:r>
              <w:rPr>
                <w:b/>
                <w:color w:val="1C3A36"/>
                <w:sz w:val="16"/>
              </w:rPr>
              <w:t>Group</w:t>
            </w:r>
          </w:p>
        </w:tc>
        <w:tc>
          <w:tcPr>
            <w:tcW w:type="dxa" w:w="1555"/>
            <w:shd w:val="clear" w:color="auto" w:fill="F6F1E6"/>
          </w:tcPr>
          <w:p>
            <w:pPr>
              <w:spacing w:after="20"/>
              <w:jc w:val="right"/>
            </w:pPr>
            <w:r>
              <w:rPr>
                <w:b/>
                <w:color w:val="1C3A36"/>
                <w:sz w:val="16"/>
              </w:rPr>
              <w:t>4,841</w:t>
            </w:r>
          </w:p>
        </w:tc>
        <w:tc>
          <w:tcPr>
            <w:tcW w:type="dxa" w:w="1555"/>
            <w:shd w:val="clear" w:color="auto" w:fill="F6F1E6"/>
          </w:tcPr>
          <w:p>
            <w:pPr>
              <w:spacing w:after="20"/>
              <w:jc w:val="right"/>
            </w:pPr>
            <w:r>
              <w:rPr>
                <w:b/>
                <w:color w:val="1C3A36"/>
                <w:sz w:val="16"/>
              </w:rPr>
              <w:t>4,715</w:t>
            </w:r>
          </w:p>
        </w:tc>
        <w:tc>
          <w:tcPr>
            <w:tcW w:type="dxa" w:w="1555"/>
            <w:shd w:val="clear" w:color="auto" w:fill="F6F1E6"/>
          </w:tcPr>
          <w:p>
            <w:pPr>
              <w:spacing w:after="20"/>
              <w:jc w:val="right"/>
            </w:pPr>
            <w:r>
              <w:rPr>
                <w:b/>
                <w:color w:val="1C3A36"/>
                <w:sz w:val="16"/>
              </w:rPr>
              <w:t>1,613</w:t>
            </w:r>
          </w:p>
        </w:tc>
        <w:tc>
          <w:tcPr>
            <w:tcW w:type="dxa" w:w="1555"/>
            <w:shd w:val="clear" w:color="auto" w:fill="F6F1E6"/>
          </w:tcPr>
          <w:p>
            <w:pPr>
              <w:spacing w:after="20"/>
              <w:jc w:val="right"/>
            </w:pPr>
            <w:r>
              <w:rPr>
                <w:b/>
                <w:color w:val="1C3A36"/>
                <w:sz w:val="16"/>
              </w:rPr>
              <w:t>1,900</w:t>
            </w:r>
          </w:p>
        </w:tc>
        <w:tc>
          <w:tcPr>
            <w:tcW w:type="dxa" w:w="1555"/>
            <w:shd w:val="clear" w:color="auto" w:fill="F6F1E6"/>
          </w:tcPr>
          <w:p>
            <w:pPr>
              <w:spacing w:after="20"/>
              <w:jc w:val="right"/>
            </w:pPr>
            <w:r>
              <w:rPr>
                <w:b/>
                <w:color w:val="1C3A36"/>
                <w:sz w:val="16"/>
              </w:rPr>
              <w:t>+18%</w:t>
            </w:r>
          </w:p>
        </w:tc>
      </w:tr>
    </w:tbl>
    <w:p>
      <w:pPr>
        <w:spacing w:after="40"/>
      </w:pPr>
    </w:p>
    <w:p>
      <w:pPr>
        <w:spacing w:after="200" w:before="0"/>
      </w:pPr>
      <w:r>
        <w:rPr>
          <w:b w:val="0"/>
          <w:i/>
          <w:color w:val="6E7B77"/>
          <w:sz w:val="17"/>
        </w:rPr>
        <w:t>Revenue and earnings in USD million. Guidance is the midpoint of the ranges the company published for the year; the built figures are the output of the unit model in this section.</w:t>
      </w:r>
    </w:p>
    <w:p>
      <w:pPr>
        <w:spacing w:after="120" w:before="0"/>
      </w:pPr>
      <w:r>
        <w:rPr>
          <w:b w:val="0"/>
          <w:i w:val="0"/>
          <w:color w:val="1C3A36"/>
          <w:sz w:val="21"/>
        </w:rPr>
        <w:t>The group gap is +18% on earnings. Management's own explanation for why its guidance is set where it is, given with the guidance itself, is that its shipping assumptions are set well below prevailing spot rates and its logistics guidance is set at minimum activity levels. This build does not use assumptions set below the market: it marks the tanker fleet to the rates the company itself reported for the first quarter of 2026 and indicated for the second, and it sets each logistics unit at what that unit actually earned in the first quarter, annualised. Those are the company's own numbers, used at face value. The reader now has both figures and the reason for the difference, and can decide which to work from. What the reader should not do is assume the two are reconciled somewhere below: they are not, and the +18% is carried openly through every lens in this study. Note also that the gap runs the other way in Integrated Logistics on revenue, where the build is above guidance on both lines, and is largest in Shipping at +23% — which is exactly where management said it was being conservative.</w:t>
      </w:r>
    </w:p>
    <w:p>
      <w:pPr>
        <w:keepNext/>
        <w:spacing w:after="80" w:before="200"/>
      </w:pPr>
      <w:r>
        <w:rPr>
          <w:b/>
          <w:i w:val="0"/>
          <w:color w:val="1C3A36"/>
          <w:sz w:val="24"/>
        </w:rPr>
        <w:t>1.7  The crux — what the fleet earns per day, and for how long</w:t>
      </w:r>
    </w:p>
    <w:p>
      <w:pPr>
        <w:spacing w:after="120" w:before="0"/>
      </w:pPr>
      <w:r>
        <w:rPr>
          <w:b w:val="0"/>
          <w:i w:val="0"/>
          <w:color w:val="1C3A36"/>
          <w:sz w:val="21"/>
        </w:rPr>
        <w:t>Everything else in this study is second order. The crux is a single question: the tanker fleet is currently earning rates several times its own recent average, and the valuation turns entirely on how long that lasts and where it settles. Getting to that question, though, requires first getting the current rate right, and the published figure is not it.</w:t>
      </w:r>
    </w:p>
    <w:p>
      <w:pPr>
        <w:keepNext/>
        <w:spacing w:after="80" w:before="200"/>
      </w:pPr>
      <w:r>
        <w:rPr>
          <w:b/>
          <w:i w:val="0"/>
          <w:color w:val="1C3A36"/>
          <w:sz w:val="24"/>
        </w:rPr>
        <w:t>The published rate is a blend, and the company says so</w:t>
      </w:r>
    </w:p>
    <w:p>
      <w:pPr>
        <w:spacing w:after="120" w:before="0"/>
      </w:pPr>
      <w:r>
        <w:rPr>
          <w:b w:val="0"/>
          <w:i w:val="0"/>
          <w:color w:val="1C3A36"/>
          <w:sz w:val="21"/>
        </w:rPr>
        <w:t>The company publishes one rate per vessel class per quarter. That figure averages the vessels trading in the open market with the vessels already committed on charters out at rates fixed months or years earlier, so it is lower than what a free vessel earns and lower by an amount that depends on how many of the class are committed. Asked directly about the largest class on the first-quarter call, the chief financial officer put it plainly:</w:t>
      </w:r>
    </w:p>
    <w:p>
      <w:pPr>
        <w:spacing w:after="120" w:before="0"/>
      </w:pPr>
      <w:r>
        <w:rPr>
          <w:b w:val="0"/>
          <w:i/>
          <w:color w:val="1C3A36"/>
          <w:sz w:val="18"/>
        </w:rPr>
        <w:t>“… was related to our full fleet of 8, and it includes all the vessels on long-term charter as well … it's a blended rate that we give there, which is obviously less than the spot rate.”</w:t>
      </w:r>
    </w:p>
    <w:p>
      <w:pPr>
        <w:spacing w:after="120" w:before="0"/>
      </w:pPr>
      <w:r>
        <w:rPr>
          <w:b w:val="0"/>
          <w:i w:val="0"/>
          <w:color w:val="1C3A36"/>
          <w:sz w:val="21"/>
        </w:rPr>
        <w:t>An earlier edition of this study read that published figure as the open-market rate and then added the chartered vessels to the model separately at their own, lower, disclosed rates. That charges the drag of the charters twice — once inside the published average and once again beside it — and it understates the fleet. The build is now the other way round. Every one of the 12 vessels chartered out is carried individually, at its own published rate, for exactly the days its own contract runs. The open-market rate is then not assumed at all: it is solved out of the company's own published average by taking the charters back out of it — the class average multiplied by the class's vessel-days, less what the committed vessels earned, divided by the days the uncommitted vessels had. Nothing about the market rate is a judgement; it is arithmetic on the company's own disclosure.</w:t>
      </w:r>
    </w:p>
    <w:p>
      <w:pPr>
        <w:keepNext/>
        <w:spacing w:after="80" w:before="200"/>
      </w:pPr>
      <w:r>
        <w:rPr>
          <w:b/>
          <w:i w:val="0"/>
          <w:color w:val="1C3A36"/>
          <w:sz w:val="24"/>
        </w:rPr>
        <w:t>The twelve vessels chartered out, exactly as published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2390"/>
        <w:gridCol w:w="1901"/>
        <w:gridCol w:w="1584"/>
        <w:gridCol w:w="1872"/>
      </w:tblGrid>
      <w:tr>
        <w:trPr>
          <w:cantSplit/>
          <w:tblHeader/>
        </w:trPr>
        <w:tc>
          <w:tcPr>
            <w:tcW w:type="dxa" w:w="2333"/>
            <w:shd w:val="clear" w:color="auto" w:fill="EAF0EE"/>
          </w:tcPr>
          <w:p>
            <w:pPr>
              <w:spacing w:after="20"/>
              <w:jc w:val="left"/>
            </w:pPr>
            <w:r>
              <w:rPr>
                <w:b/>
                <w:color w:val="1C3A36"/>
                <w:sz w:val="16"/>
              </w:rPr>
              <w:t>Vessel</w:t>
            </w:r>
          </w:p>
        </w:tc>
        <w:tc>
          <w:tcPr>
            <w:tcW w:type="dxa" w:w="2390"/>
            <w:shd w:val="clear" w:color="auto" w:fill="EAF0EE"/>
          </w:tcPr>
          <w:p>
            <w:pPr>
              <w:spacing w:after="20"/>
              <w:jc w:val="left"/>
            </w:pPr>
            <w:r>
              <w:rPr>
                <w:b/>
                <w:color w:val="1C3A36"/>
                <w:sz w:val="16"/>
              </w:rPr>
              <w:t>Class</w:t>
            </w:r>
          </w:p>
        </w:tc>
        <w:tc>
          <w:tcPr>
            <w:tcW w:type="dxa" w:w="1901"/>
            <w:shd w:val="clear" w:color="auto" w:fill="EAF0EE"/>
          </w:tcPr>
          <w:p>
            <w:pPr>
              <w:spacing w:after="20"/>
            </w:pPr>
            <w:r>
              <w:rPr>
                <w:b/>
                <w:color w:val="1C3A36"/>
                <w:sz w:val="16"/>
              </w:rPr>
              <w:t>Fixed rate (USD/day)</w:t>
            </w:r>
          </w:p>
        </w:tc>
        <w:tc>
          <w:tcPr>
            <w:tcW w:type="dxa" w:w="1584"/>
            <w:shd w:val="clear" w:color="auto" w:fill="EAF0EE"/>
          </w:tcPr>
          <w:p>
            <w:pPr>
              <w:spacing w:after="20"/>
            </w:pPr>
            <w:r>
              <w:rPr>
                <w:b/>
                <w:color w:val="1C3A36"/>
                <w:sz w:val="16"/>
              </w:rPr>
              <w:t>Period</w:t>
            </w:r>
          </w:p>
        </w:tc>
        <w:tc>
          <w:tcPr>
            <w:tcW w:type="dxa" w:w="1872"/>
            <w:shd w:val="clear" w:color="auto" w:fill="EAF0EE"/>
          </w:tcPr>
          <w:p>
            <w:pPr>
              <w:spacing w:after="20"/>
            </w:pPr>
            <w:r>
              <w:rPr>
                <w:b/>
                <w:color w:val="1C3A36"/>
                <w:sz w:val="16"/>
              </w:rPr>
              <w:t>Runs to</w:t>
            </w:r>
          </w:p>
        </w:tc>
      </w:tr>
      <w:tr>
        <w:trPr>
          <w:cantSplit/>
        </w:trPr>
        <w:tc>
          <w:tcPr>
            <w:tcW w:type="dxa" w:w="2333"/>
          </w:tcPr>
          <w:p>
            <w:pPr>
              <w:spacing w:after="20"/>
              <w:jc w:val="left"/>
            </w:pPr>
            <w:r>
              <w:rPr>
                <w:color w:val="1C3A36"/>
                <w:sz w:val="16"/>
              </w:rPr>
              <w:t>Navig8 Macallister</w:t>
            </w:r>
          </w:p>
        </w:tc>
        <w:tc>
          <w:tcPr>
            <w:tcW w:type="dxa" w:w="2390"/>
          </w:tcPr>
          <w:p>
            <w:pPr>
              <w:spacing w:after="20"/>
              <w:jc w:val="left"/>
            </w:pPr>
            <w:r>
              <w:rPr>
                <w:color w:val="1C3A36"/>
                <w:sz w:val="16"/>
              </w:rPr>
              <w:t>Long range 1</w:t>
            </w:r>
          </w:p>
        </w:tc>
        <w:tc>
          <w:tcPr>
            <w:tcW w:type="dxa" w:w="1901"/>
          </w:tcPr>
          <w:p>
            <w:pPr>
              <w:spacing w:after="20"/>
              <w:jc w:val="right"/>
            </w:pPr>
            <w:r>
              <w:rPr>
                <w:color w:val="1C3A36"/>
                <w:sz w:val="16"/>
              </w:rPr>
              <w:t>19,750</w:t>
            </w:r>
          </w:p>
        </w:tc>
        <w:tc>
          <w:tcPr>
            <w:tcW w:type="dxa" w:w="1584"/>
          </w:tcPr>
          <w:p>
            <w:pPr>
              <w:spacing w:after="20"/>
              <w:jc w:val="right"/>
            </w:pPr>
            <w:r>
              <w:rPr>
                <w:color w:val="1C3A36"/>
                <w:sz w:val="16"/>
              </w:rPr>
              <w:t>20 months</w:t>
            </w:r>
          </w:p>
        </w:tc>
        <w:tc>
          <w:tcPr>
            <w:tcW w:type="dxa" w:w="1872"/>
          </w:tcPr>
          <w:p>
            <w:pPr>
              <w:spacing w:after="20"/>
              <w:jc w:val="right"/>
            </w:pPr>
            <w:r>
              <w:rPr>
                <w:color w:val="1C3A36"/>
                <w:sz w:val="16"/>
              </w:rPr>
              <w:t>28 Mar 2027</w:t>
            </w:r>
          </w:p>
        </w:tc>
      </w:tr>
      <w:tr>
        <w:trPr>
          <w:cantSplit/>
        </w:trPr>
        <w:tc>
          <w:tcPr>
            <w:tcW w:type="dxa" w:w="2333"/>
          </w:tcPr>
          <w:p>
            <w:pPr>
              <w:spacing w:after="20"/>
              <w:jc w:val="left"/>
            </w:pPr>
            <w:r>
              <w:rPr>
                <w:color w:val="1C3A36"/>
                <w:sz w:val="16"/>
              </w:rPr>
              <w:t>Navig8 Martinez</w:t>
            </w:r>
          </w:p>
        </w:tc>
        <w:tc>
          <w:tcPr>
            <w:tcW w:type="dxa" w:w="2390"/>
          </w:tcPr>
          <w:p>
            <w:pPr>
              <w:spacing w:after="20"/>
              <w:jc w:val="left"/>
            </w:pPr>
            <w:r>
              <w:rPr>
                <w:color w:val="1C3A36"/>
                <w:sz w:val="16"/>
              </w:rPr>
              <w:t>Long range 1</w:t>
            </w:r>
          </w:p>
        </w:tc>
        <w:tc>
          <w:tcPr>
            <w:tcW w:type="dxa" w:w="1901"/>
          </w:tcPr>
          <w:p>
            <w:pPr>
              <w:spacing w:after="20"/>
              <w:jc w:val="right"/>
            </w:pPr>
            <w:r>
              <w:rPr>
                <w:color w:val="1C3A36"/>
                <w:sz w:val="16"/>
              </w:rPr>
              <w:t>19,750</w:t>
            </w:r>
          </w:p>
        </w:tc>
        <w:tc>
          <w:tcPr>
            <w:tcW w:type="dxa" w:w="1584"/>
          </w:tcPr>
          <w:p>
            <w:pPr>
              <w:spacing w:after="20"/>
              <w:jc w:val="right"/>
            </w:pPr>
            <w:r>
              <w:rPr>
                <w:color w:val="1C3A36"/>
                <w:sz w:val="16"/>
              </w:rPr>
              <w:t>32 months</w:t>
            </w:r>
          </w:p>
        </w:tc>
        <w:tc>
          <w:tcPr>
            <w:tcW w:type="dxa" w:w="1872"/>
          </w:tcPr>
          <w:p>
            <w:pPr>
              <w:spacing w:after="20"/>
              <w:jc w:val="right"/>
            </w:pPr>
            <w:r>
              <w:rPr>
                <w:color w:val="1C3A36"/>
                <w:sz w:val="16"/>
              </w:rPr>
              <w:t>28 Mar 2028</w:t>
            </w:r>
          </w:p>
        </w:tc>
      </w:tr>
      <w:tr>
        <w:trPr>
          <w:cantSplit/>
        </w:trPr>
        <w:tc>
          <w:tcPr>
            <w:tcW w:type="dxa" w:w="2333"/>
          </w:tcPr>
          <w:p>
            <w:pPr>
              <w:spacing w:after="20"/>
              <w:jc w:val="left"/>
            </w:pPr>
            <w:r>
              <w:rPr>
                <w:color w:val="1C3A36"/>
                <w:sz w:val="16"/>
              </w:rPr>
              <w:t>Navig8 Prosperity</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30,561</w:t>
            </w:r>
          </w:p>
        </w:tc>
        <w:tc>
          <w:tcPr>
            <w:tcW w:type="dxa" w:w="1584"/>
          </w:tcPr>
          <w:p>
            <w:pPr>
              <w:spacing w:after="20"/>
              <w:jc w:val="right"/>
            </w:pPr>
            <w:r>
              <w:rPr>
                <w:color w:val="1C3A36"/>
                <w:sz w:val="16"/>
              </w:rPr>
              <w:t>36 months</w:t>
            </w:r>
          </w:p>
        </w:tc>
        <w:tc>
          <w:tcPr>
            <w:tcW w:type="dxa" w:w="1872"/>
          </w:tcPr>
          <w:p>
            <w:pPr>
              <w:spacing w:after="20"/>
              <w:jc w:val="right"/>
            </w:pPr>
            <w:r>
              <w:rPr>
                <w:color w:val="1C3A36"/>
                <w:sz w:val="16"/>
              </w:rPr>
              <w:t>4 May 2026</w:t>
            </w:r>
          </w:p>
        </w:tc>
      </w:tr>
      <w:tr>
        <w:trPr>
          <w:cantSplit/>
        </w:trPr>
        <w:tc>
          <w:tcPr>
            <w:tcW w:type="dxa" w:w="2333"/>
          </w:tcPr>
          <w:p>
            <w:pPr>
              <w:spacing w:after="20"/>
              <w:jc w:val="left"/>
            </w:pPr>
            <w:r>
              <w:rPr>
                <w:color w:val="1C3A36"/>
                <w:sz w:val="16"/>
              </w:rPr>
              <w:t>Navig8 Promise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32,125</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2 Jul 2026</w:t>
            </w:r>
          </w:p>
        </w:tc>
      </w:tr>
      <w:tr>
        <w:trPr>
          <w:cantSplit/>
        </w:trPr>
        <w:tc>
          <w:tcPr>
            <w:tcW w:type="dxa" w:w="2333"/>
          </w:tcPr>
          <w:p>
            <w:pPr>
              <w:spacing w:after="20"/>
              <w:jc w:val="left"/>
            </w:pPr>
            <w:r>
              <w:rPr>
                <w:color w:val="1C3A36"/>
                <w:sz w:val="16"/>
              </w:rPr>
              <w:t>Navig8 Pride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32,125</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9 Jul 2026</w:t>
            </w:r>
          </w:p>
        </w:tc>
      </w:tr>
      <w:tr>
        <w:trPr>
          <w:cantSplit/>
        </w:trPr>
        <w:tc>
          <w:tcPr>
            <w:tcW w:type="dxa" w:w="2333"/>
          </w:tcPr>
          <w:p>
            <w:pPr>
              <w:spacing w:after="20"/>
              <w:jc w:val="left"/>
            </w:pPr>
            <w:r>
              <w:rPr>
                <w:color w:val="1C3A36"/>
                <w:sz w:val="16"/>
              </w:rPr>
              <w:t>Navig8 Prestige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36,850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8 Oct 2026</w:t>
            </w:r>
          </w:p>
        </w:tc>
      </w:tr>
      <w:tr>
        <w:trPr>
          <w:cantSplit/>
        </w:trPr>
        <w:tc>
          <w:tcPr>
            <w:tcW w:type="dxa" w:w="2333"/>
          </w:tcPr>
          <w:p>
            <w:pPr>
              <w:spacing w:after="20"/>
              <w:jc w:val="left"/>
            </w:pPr>
            <w:r>
              <w:rPr>
                <w:color w:val="1C3A36"/>
                <w:sz w:val="16"/>
              </w:rPr>
              <w:t>Navig8 Providence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42,000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31 Jan 2027</w:t>
            </w:r>
          </w:p>
        </w:tc>
      </w:tr>
      <w:tr>
        <w:trPr>
          <w:cantSplit/>
        </w:trPr>
        <w:tc>
          <w:tcPr>
            <w:tcW w:type="dxa" w:w="2333"/>
          </w:tcPr>
          <w:p>
            <w:pPr>
              <w:spacing w:after="20"/>
              <w:jc w:val="left"/>
            </w:pPr>
            <w:r>
              <w:rPr>
                <w:color w:val="1C3A36"/>
                <w:sz w:val="16"/>
              </w:rPr>
              <w:t>Navig8 Passion</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42,000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6 Feb 2027</w:t>
            </w:r>
          </w:p>
        </w:tc>
      </w:tr>
      <w:tr>
        <w:trPr>
          <w:cantSplit/>
        </w:trPr>
        <w:tc>
          <w:tcPr>
            <w:tcW w:type="dxa" w:w="2333"/>
          </w:tcPr>
          <w:p>
            <w:pPr>
              <w:spacing w:after="20"/>
              <w:jc w:val="left"/>
            </w:pPr>
            <w:r>
              <w:rPr>
                <w:color w:val="1C3A36"/>
                <w:sz w:val="16"/>
              </w:rPr>
              <w:t>Zakum</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50,633</w:t>
            </w:r>
          </w:p>
        </w:tc>
        <w:tc>
          <w:tcPr>
            <w:tcW w:type="dxa" w:w="1584"/>
          </w:tcPr>
          <w:p>
            <w:pPr>
              <w:spacing w:after="20"/>
              <w:jc w:val="right"/>
            </w:pPr>
            <w:r>
              <w:rPr>
                <w:color w:val="1C3A36"/>
                <w:sz w:val="16"/>
              </w:rPr>
              <w:t>22 months</w:t>
            </w:r>
          </w:p>
        </w:tc>
        <w:tc>
          <w:tcPr>
            <w:tcW w:type="dxa" w:w="1872"/>
          </w:tcPr>
          <w:p>
            <w:pPr>
              <w:spacing w:after="20"/>
              <w:jc w:val="right"/>
            </w:pPr>
            <w:r>
              <w:rPr>
                <w:color w:val="1C3A36"/>
                <w:sz w:val="16"/>
              </w:rPr>
              <w:t>2 Sep 2027</w:t>
            </w:r>
          </w:p>
        </w:tc>
      </w:tr>
      <w:tr>
        <w:trPr>
          <w:cantSplit/>
        </w:trPr>
        <w:tc>
          <w:tcPr>
            <w:tcW w:type="dxa" w:w="2333"/>
          </w:tcPr>
          <w:p>
            <w:pPr>
              <w:spacing w:after="20"/>
              <w:jc w:val="left"/>
            </w:pPr>
            <w:r>
              <w:rPr>
                <w:color w:val="1C3A36"/>
                <w:sz w:val="16"/>
              </w:rPr>
              <w:t>Hili</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50,633</w:t>
            </w:r>
          </w:p>
        </w:tc>
        <w:tc>
          <w:tcPr>
            <w:tcW w:type="dxa" w:w="1584"/>
          </w:tcPr>
          <w:p>
            <w:pPr>
              <w:spacing w:after="20"/>
              <w:jc w:val="right"/>
            </w:pPr>
            <w:r>
              <w:rPr>
                <w:color w:val="1C3A36"/>
                <w:sz w:val="16"/>
              </w:rPr>
              <w:t>22 months</w:t>
            </w:r>
          </w:p>
        </w:tc>
        <w:tc>
          <w:tcPr>
            <w:tcW w:type="dxa" w:w="1872"/>
          </w:tcPr>
          <w:p>
            <w:pPr>
              <w:spacing w:after="20"/>
              <w:jc w:val="right"/>
            </w:pPr>
            <w:r>
              <w:rPr>
                <w:color w:val="1C3A36"/>
                <w:sz w:val="16"/>
              </w:rPr>
              <w:t>16 Sep 2027</w:t>
            </w:r>
          </w:p>
        </w:tc>
      </w:tr>
      <w:tr>
        <w:trPr>
          <w:cantSplit/>
        </w:trPr>
        <w:tc>
          <w:tcPr>
            <w:tcW w:type="dxa" w:w="2333"/>
          </w:tcPr>
          <w:p>
            <w:pPr>
              <w:spacing w:after="20"/>
              <w:jc w:val="left"/>
            </w:pPr>
            <w:r>
              <w:rPr>
                <w:color w:val="1C3A36"/>
                <w:sz w:val="16"/>
              </w:rPr>
              <w:t>Arzanah</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70,000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1 Feb 2027</w:t>
            </w:r>
          </w:p>
        </w:tc>
      </w:tr>
      <w:tr>
        <w:trPr>
          <w:cantSplit/>
        </w:trPr>
        <w:tc>
          <w:tcPr>
            <w:tcW w:type="dxa" w:w="2333"/>
          </w:tcPr>
          <w:p>
            <w:pPr>
              <w:spacing w:after="20"/>
              <w:jc w:val="left"/>
            </w:pPr>
            <w:r>
              <w:rPr>
                <w:color w:val="1C3A36"/>
                <w:sz w:val="16"/>
              </w:rPr>
              <w:t>Habshan</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72,500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21 Feb 2027</w:t>
            </w:r>
          </w:p>
        </w:tc>
      </w:tr>
      <w:tr>
        <w:trPr>
          <w:cantSplit/>
        </w:trPr>
        <w:tc>
          <w:tcPr>
            <w:tcW w:type="dxa" w:w="2333"/>
            <w:shd w:val="clear" w:color="auto" w:fill="F6F1E6"/>
          </w:tcPr>
          <w:p>
            <w:pPr>
              <w:spacing w:after="20"/>
              <w:jc w:val="left"/>
            </w:pPr>
            <w:r>
              <w:rPr>
                <w:b/>
                <w:color w:val="1C3A36"/>
                <w:sz w:val="16"/>
              </w:rPr>
              <w:t>12 vessels</w:t>
            </w:r>
          </w:p>
        </w:tc>
        <w:tc>
          <w:tcPr>
            <w:tcW w:type="dxa" w:w="2390"/>
            <w:shd w:val="clear" w:color="auto" w:fill="F6F1E6"/>
          </w:tcPr>
          <w:p>
            <w:pPr>
              <w:spacing w:after="20"/>
              <w:jc w:val="left"/>
            </w:pPr>
            <w:r>
              <w:rPr>
                <w:b/>
                <w:color w:val="1C3A36"/>
                <w:sz w:val="16"/>
              </w:rPr>
            </w:r>
          </w:p>
        </w:tc>
        <w:tc>
          <w:tcPr>
            <w:tcW w:type="dxa" w:w="1901"/>
            <w:shd w:val="clear" w:color="auto" w:fill="F6F1E6"/>
          </w:tcPr>
          <w:p>
            <w:pPr>
              <w:spacing w:after="20"/>
              <w:jc w:val="right"/>
            </w:pPr>
            <w:r>
              <w:rPr>
                <w:b/>
                <w:color w:val="1C3A36"/>
                <w:sz w:val="16"/>
              </w:rPr>
              <w:t>19,750 – 72,500</w:t>
            </w:r>
          </w:p>
        </w:tc>
        <w:tc>
          <w:tcPr>
            <w:tcW w:type="dxa" w:w="1584"/>
            <w:shd w:val="clear" w:color="auto" w:fill="F6F1E6"/>
          </w:tcPr>
          <w:p>
            <w:pPr>
              <w:spacing w:after="20"/>
              <w:jc w:val="right"/>
            </w:pPr>
            <w:r>
              <w:rPr>
                <w:b/>
                <w:color w:val="1C3A36"/>
                <w:sz w:val="16"/>
              </w:rPr>
            </w:r>
          </w:p>
        </w:tc>
        <w:tc>
          <w:tcPr>
            <w:tcW w:type="dxa" w:w="1872"/>
            <w:shd w:val="clear" w:color="auto" w:fill="F6F1E6"/>
          </w:tcPr>
          <w:p>
            <w:pPr>
              <w:spacing w:after="20"/>
              <w:jc w:val="right"/>
            </w:pPr>
            <w:r>
              <w:rPr>
                <w:b/>
                <w:color w:val="1C3A36"/>
                <w:sz w:val="16"/>
              </w:rPr>
              <w:t>last expiry 28 Mar 2028</w:t>
            </w:r>
          </w:p>
        </w:tc>
      </w:tr>
    </w:tbl>
    <w:p>
      <w:pPr>
        <w:spacing w:after="40"/>
      </w:pPr>
    </w:p>
    <w:p>
      <w:pPr>
        <w:spacing w:after="200" w:before="0"/>
      </w:pPr>
      <w:r>
        <w:rPr>
          <w:b w:val="0"/>
          <w:i/>
          <w:color w:val="6E7B77"/>
          <w:sz w:val="17"/>
        </w:rPr>
        <w:t>Every field is disclosed in the company's own contract table; the start date is the stated expiry less the stated period, so no date is invented. At the valuation date of 2026-03-31, 12 of these were running, leaving 40 of the 52 owned tankers free to earn the open-market rate. The spread inside the table is the point: the two long-range-one vessels are fixed at USD 19,750 a day while the open-market rate for their class in the first quarter was USD 40,643, and the four largest vessels are fixed between USD 50,633 and USD 72,500 against an open-market rate of USD 199,838. A vessel on charter out cannot earn the market, and the model no longer pretends the fleet average is what a free vessel earns.</w:t>
      </w:r>
    </w:p>
    <w:p>
      <w:pPr>
        <w:spacing w:after="40"/>
        <w:jc w:val="center"/>
      </w:pPr>
      <w:r>
        <w:drawing>
          <wp:inline xmlns:a="http://schemas.openxmlformats.org/drawingml/2006/main" xmlns:pic="http://schemas.openxmlformats.org/drawingml/2006/picture">
            <wp:extent cx="6400800" cy="2863516"/>
            <wp:docPr id="3" name="Picture 3"/>
            <wp:cNvGraphicFramePr>
              <a:graphicFrameLocks noChangeAspect="1"/>
            </wp:cNvGraphicFramePr>
            <a:graphic>
              <a:graphicData uri="http://schemas.openxmlformats.org/drawingml/2006/picture">
                <pic:pic>
                  <pic:nvPicPr>
                    <pic:cNvPr id="0" name="fig8_tce.png"/>
                    <pic:cNvPicPr/>
                  </pic:nvPicPr>
                  <pic:blipFill>
                    <a:blip r:embed="rId11"/>
                    <a:stretch>
                      <a:fillRect/>
                    </a:stretch>
                  </pic:blipFill>
                  <pic:spPr>
                    <a:xfrm>
                      <a:off x="0" y="0"/>
                      <a:ext cx="6400800" cy="2863516"/>
                    </a:xfrm>
                    <a:prstGeom prst="rect"/>
                  </pic:spPr>
                </pic:pic>
              </a:graphicData>
            </a:graphic>
          </wp:inline>
        </w:drawing>
      </w:r>
    </w:p>
    <w:p>
      <w:pPr>
        <w:spacing w:after="200" w:before="0"/>
      </w:pPr>
      <w:r>
        <w:rPr>
          <w:b w:val="0"/>
          <w:i/>
          <w:color w:val="6E7B77"/>
          <w:sz w:val="17"/>
        </w:rPr>
        <w:t>Figure 3 — the crux made visible, on both measures. Left: the rate the company publishes for each class each quarter, which is a blend across the whole class, on a logarithmic scale; the last two points are the first quarter of 2026 as reported and the second quarter as indicated. The open markers on the dashed line are the rate those same quarters imply for a very large crude carrier that is NOT on charter out — USD 199,838 against a published USD 145,000 in the first quarter. The dotted lines are the mid-cycle rates this study's base case reverts to; the dash-dotted line is an independent one-year charter fixed by a listed owner in early 2026. Right: the first quarter of 2026 for every class, published beside implied. The difference between the two bars is the charters inside the published figure, which is why it is zero for the medium-range class, where no vessel is chartered out.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26"/>
        <w:gridCol w:w="806"/>
        <w:gridCol w:w="1037"/>
        <w:gridCol w:w="950"/>
        <w:gridCol w:w="1094"/>
        <w:gridCol w:w="1037"/>
        <w:gridCol w:w="1210"/>
        <w:gridCol w:w="1210"/>
        <w:gridCol w:w="1210"/>
      </w:tblGrid>
      <w:tr>
        <w:trPr>
          <w:cantSplit/>
          <w:tblHeader/>
        </w:trPr>
        <w:tc>
          <w:tcPr>
            <w:tcW w:type="dxa" w:w="1526"/>
            <w:shd w:val="clear" w:color="auto" w:fill="EAF0EE"/>
          </w:tcPr>
          <w:p>
            <w:pPr>
              <w:spacing w:after="20"/>
            </w:pPr>
            <w:r>
              <w:rPr>
                <w:b/>
                <w:color w:val="1C3A36"/>
                <w:sz w:val="15"/>
              </w:rPr>
              <w:t>Class</w:t>
            </w:r>
          </w:p>
        </w:tc>
        <w:tc>
          <w:tcPr>
            <w:tcW w:type="dxa" w:w="806"/>
            <w:shd w:val="clear" w:color="auto" w:fill="EAF0EE"/>
          </w:tcPr>
          <w:p>
            <w:pPr>
              <w:spacing w:after="20"/>
            </w:pPr>
            <w:r>
              <w:rPr>
                <w:b/>
                <w:color w:val="1C3A36"/>
                <w:sz w:val="15"/>
              </w:rPr>
              <w:t>Owned</w:t>
            </w:r>
          </w:p>
        </w:tc>
        <w:tc>
          <w:tcPr>
            <w:tcW w:type="dxa" w:w="1037"/>
            <w:shd w:val="clear" w:color="auto" w:fill="EAF0EE"/>
          </w:tcPr>
          <w:p>
            <w:pPr>
              <w:spacing w:after="20"/>
            </w:pPr>
            <w:r>
              <w:rPr>
                <w:b/>
                <w:color w:val="1C3A36"/>
                <w:sz w:val="15"/>
              </w:rPr>
              <w:t>On charter out</w:t>
            </w:r>
          </w:p>
        </w:tc>
        <w:tc>
          <w:tcPr>
            <w:tcW w:type="dxa" w:w="950"/>
            <w:shd w:val="clear" w:color="auto" w:fill="EAF0EE"/>
          </w:tcPr>
          <w:p>
            <w:pPr>
              <w:spacing w:after="20"/>
            </w:pPr>
            <w:r>
              <w:rPr>
                <w:b/>
                <w:color w:val="1C3A36"/>
                <w:sz w:val="15"/>
              </w:rPr>
              <w:t>FY2024</w:t>
            </w:r>
          </w:p>
        </w:tc>
        <w:tc>
          <w:tcPr>
            <w:tcW w:type="dxa" w:w="1094"/>
            <w:shd w:val="clear" w:color="auto" w:fill="EAF0EE"/>
          </w:tcPr>
          <w:p>
            <w:pPr>
              <w:spacing w:after="20"/>
            </w:pPr>
            <w:r>
              <w:rPr>
                <w:b/>
                <w:color w:val="1C3A36"/>
                <w:sz w:val="15"/>
              </w:rPr>
              <w:t>FY2025 published</w:t>
            </w:r>
          </w:p>
        </w:tc>
        <w:tc>
          <w:tcPr>
            <w:tcW w:type="dxa" w:w="1037"/>
            <w:shd w:val="clear" w:color="auto" w:fill="EAF0EE"/>
          </w:tcPr>
          <w:p>
            <w:pPr>
              <w:spacing w:after="20"/>
            </w:pPr>
            <w:r>
              <w:rPr>
                <w:b/>
                <w:color w:val="1C3A36"/>
                <w:sz w:val="15"/>
              </w:rPr>
              <w:t>FY2025 implied</w:t>
            </w:r>
          </w:p>
        </w:tc>
        <w:tc>
          <w:tcPr>
            <w:tcW w:type="dxa" w:w="1210"/>
            <w:shd w:val="clear" w:color="auto" w:fill="EAF0EE"/>
          </w:tcPr>
          <w:p>
            <w:pPr>
              <w:spacing w:after="20"/>
            </w:pPr>
            <w:r>
              <w:rPr>
                <w:b/>
                <w:color w:val="1C3A36"/>
                <w:sz w:val="15"/>
              </w:rPr>
              <w:t>2026 Q1 published</w:t>
            </w:r>
          </w:p>
        </w:tc>
        <w:tc>
          <w:tcPr>
            <w:tcW w:type="dxa" w:w="1210"/>
            <w:shd w:val="clear" w:color="auto" w:fill="EAF0EE"/>
          </w:tcPr>
          <w:p>
            <w:pPr>
              <w:spacing w:after="20"/>
            </w:pPr>
            <w:r>
              <w:rPr>
                <w:b/>
                <w:color w:val="1C3A36"/>
                <w:sz w:val="15"/>
              </w:rPr>
              <w:t>2026 Q1 implied</w:t>
            </w:r>
          </w:p>
        </w:tc>
        <w:tc>
          <w:tcPr>
            <w:tcW w:type="dxa" w:w="1210"/>
            <w:shd w:val="clear" w:color="auto" w:fill="EAF0EE"/>
          </w:tcPr>
          <w:p>
            <w:pPr>
              <w:spacing w:after="20"/>
            </w:pPr>
            <w:r>
              <w:rPr>
                <w:b/>
                <w:color w:val="1C3A36"/>
                <w:sz w:val="15"/>
              </w:rPr>
              <w:t>Mid-cycle anchor</w:t>
            </w:r>
          </w:p>
        </w:tc>
      </w:tr>
      <w:tr>
        <w:trPr>
          <w:cantSplit/>
        </w:trPr>
        <w:tc>
          <w:tcPr>
            <w:tcW w:type="dxa" w:w="1526"/>
          </w:tcPr>
          <w:p>
            <w:pPr>
              <w:spacing w:after="20"/>
            </w:pPr>
            <w:r>
              <w:rPr>
                <w:color w:val="1C3A36"/>
                <w:sz w:val="15"/>
              </w:rPr>
              <w:t>Very large crude carriers</w:t>
            </w:r>
          </w:p>
        </w:tc>
        <w:tc>
          <w:tcPr>
            <w:tcW w:type="dxa" w:w="806"/>
          </w:tcPr>
          <w:p>
            <w:pPr>
              <w:spacing w:after="20"/>
              <w:jc w:val="right"/>
            </w:pPr>
            <w:r>
              <w:rPr>
                <w:color w:val="1C3A36"/>
                <w:sz w:val="15"/>
              </w:rPr>
              <w:t>8</w:t>
            </w:r>
          </w:p>
        </w:tc>
        <w:tc>
          <w:tcPr>
            <w:tcW w:type="dxa" w:w="1037"/>
          </w:tcPr>
          <w:p>
            <w:pPr>
              <w:spacing w:after="20"/>
              <w:jc w:val="right"/>
            </w:pPr>
            <w:r>
              <w:rPr>
                <w:color w:val="1C3A36"/>
                <w:sz w:val="15"/>
              </w:rPr>
              <w:t>4</w:t>
            </w:r>
          </w:p>
        </w:tc>
        <w:tc>
          <w:tcPr>
            <w:tcW w:type="dxa" w:w="950"/>
          </w:tcPr>
          <w:p>
            <w:pPr>
              <w:spacing w:after="20"/>
              <w:jc w:val="right"/>
            </w:pPr>
            <w:r>
              <w:rPr>
                <w:color w:val="1C3A36"/>
                <w:sz w:val="15"/>
              </w:rPr>
              <w:t>43,381</w:t>
            </w:r>
          </w:p>
        </w:tc>
        <w:tc>
          <w:tcPr>
            <w:tcW w:type="dxa" w:w="1094"/>
          </w:tcPr>
          <w:p>
            <w:pPr>
              <w:spacing w:after="20"/>
              <w:jc w:val="right"/>
            </w:pPr>
            <w:r>
              <w:rPr>
                <w:color w:val="1C3A36"/>
                <w:sz w:val="15"/>
              </w:rPr>
              <w:t>52,466</w:t>
            </w:r>
          </w:p>
        </w:tc>
        <w:tc>
          <w:tcPr>
            <w:tcW w:type="dxa" w:w="1037"/>
          </w:tcPr>
          <w:p>
            <w:pPr>
              <w:spacing w:after="20"/>
              <w:jc w:val="right"/>
            </w:pPr>
            <w:r>
              <w:rPr>
                <w:color w:val="1C3A36"/>
                <w:sz w:val="15"/>
              </w:rPr>
              <w:t>53,737</w:t>
            </w:r>
          </w:p>
        </w:tc>
        <w:tc>
          <w:tcPr>
            <w:tcW w:type="dxa" w:w="1210"/>
          </w:tcPr>
          <w:p>
            <w:pPr>
              <w:spacing w:after="20"/>
              <w:jc w:val="right"/>
            </w:pPr>
            <w:r>
              <w:rPr>
                <w:color w:val="1C3A36"/>
                <w:sz w:val="15"/>
              </w:rPr>
              <w:t>145,000</w:t>
            </w:r>
          </w:p>
        </w:tc>
        <w:tc>
          <w:tcPr>
            <w:tcW w:type="dxa" w:w="1210"/>
          </w:tcPr>
          <w:p>
            <w:pPr>
              <w:spacing w:after="20"/>
              <w:jc w:val="right"/>
            </w:pPr>
            <w:r>
              <w:rPr>
                <w:color w:val="1C3A36"/>
                <w:sz w:val="15"/>
              </w:rPr>
              <w:t>199,838</w:t>
            </w:r>
          </w:p>
        </w:tc>
        <w:tc>
          <w:tcPr>
            <w:tcW w:type="dxa" w:w="1210"/>
          </w:tcPr>
          <w:p>
            <w:pPr>
              <w:spacing w:after="20"/>
              <w:jc w:val="right"/>
            </w:pPr>
            <w:r>
              <w:rPr>
                <w:color w:val="1C3A36"/>
                <w:sz w:val="15"/>
              </w:rPr>
              <w:t>47,924</w:t>
            </w:r>
          </w:p>
        </w:tc>
      </w:tr>
      <w:tr>
        <w:trPr>
          <w:cantSplit/>
        </w:trPr>
        <w:tc>
          <w:tcPr>
            <w:tcW w:type="dxa" w:w="1526"/>
          </w:tcPr>
          <w:p>
            <w:pPr>
              <w:spacing w:after="20"/>
            </w:pPr>
            <w:r>
              <w:rPr>
                <w:color w:val="1C3A36"/>
                <w:sz w:val="15"/>
              </w:rPr>
              <w:t>Long range 2</w:t>
            </w:r>
          </w:p>
        </w:tc>
        <w:tc>
          <w:tcPr>
            <w:tcW w:type="dxa" w:w="806"/>
          </w:tcPr>
          <w:p>
            <w:pPr>
              <w:spacing w:after="20"/>
              <w:jc w:val="right"/>
            </w:pPr>
            <w:r>
              <w:rPr>
                <w:color w:val="1C3A36"/>
                <w:sz w:val="15"/>
              </w:rPr>
              <w:t>17</w:t>
            </w:r>
          </w:p>
        </w:tc>
        <w:tc>
          <w:tcPr>
            <w:tcW w:type="dxa" w:w="1037"/>
          </w:tcPr>
          <w:p>
            <w:pPr>
              <w:spacing w:after="20"/>
              <w:jc w:val="right"/>
            </w:pPr>
            <w:r>
              <w:rPr>
                <w:color w:val="1C3A36"/>
                <w:sz w:val="15"/>
              </w:rPr>
              <w:t>6</w:t>
            </w:r>
          </w:p>
        </w:tc>
        <w:tc>
          <w:tcPr>
            <w:tcW w:type="dxa" w:w="950"/>
          </w:tcPr>
          <w:p>
            <w:pPr>
              <w:spacing w:after="20"/>
              <w:jc w:val="right"/>
            </w:pPr>
            <w:r>
              <w:rPr>
                <w:color w:val="1C3A36"/>
                <w:sz w:val="15"/>
              </w:rPr>
              <w:t>48,011</w:t>
            </w:r>
          </w:p>
        </w:tc>
        <w:tc>
          <w:tcPr>
            <w:tcW w:type="dxa" w:w="1094"/>
          </w:tcPr>
          <w:p>
            <w:pPr>
              <w:spacing w:after="20"/>
              <w:jc w:val="right"/>
            </w:pPr>
            <w:r>
              <w:rPr>
                <w:color w:val="1C3A36"/>
                <w:sz w:val="15"/>
              </w:rPr>
              <w:t>35,737</w:t>
            </w:r>
          </w:p>
        </w:tc>
        <w:tc>
          <w:tcPr>
            <w:tcW w:type="dxa" w:w="1037"/>
          </w:tcPr>
          <w:p>
            <w:pPr>
              <w:spacing w:after="20"/>
              <w:jc w:val="right"/>
            </w:pPr>
            <w:r>
              <w:rPr>
                <w:color w:val="1C3A36"/>
                <w:sz w:val="15"/>
              </w:rPr>
              <w:t>36,653</w:t>
            </w:r>
          </w:p>
        </w:tc>
        <w:tc>
          <w:tcPr>
            <w:tcW w:type="dxa" w:w="1210"/>
          </w:tcPr>
          <w:p>
            <w:pPr>
              <w:spacing w:after="20"/>
              <w:jc w:val="right"/>
            </w:pPr>
            <w:r>
              <w:rPr>
                <w:color w:val="1C3A36"/>
                <w:sz w:val="15"/>
              </w:rPr>
              <w:t>58,000</w:t>
            </w:r>
          </w:p>
        </w:tc>
        <w:tc>
          <w:tcPr>
            <w:tcW w:type="dxa" w:w="1210"/>
          </w:tcPr>
          <w:p>
            <w:pPr>
              <w:spacing w:after="20"/>
              <w:jc w:val="right"/>
            </w:pPr>
            <w:r>
              <w:rPr>
                <w:color w:val="1C3A36"/>
                <w:sz w:val="15"/>
              </w:rPr>
              <w:t>68,279</w:t>
            </w:r>
          </w:p>
        </w:tc>
        <w:tc>
          <w:tcPr>
            <w:tcW w:type="dxa" w:w="1210"/>
          </w:tcPr>
          <w:p>
            <w:pPr>
              <w:spacing w:after="20"/>
              <w:jc w:val="right"/>
            </w:pPr>
            <w:r>
              <w:rPr>
                <w:color w:val="1C3A36"/>
                <w:sz w:val="15"/>
              </w:rPr>
              <w:t>42,581</w:t>
            </w:r>
          </w:p>
        </w:tc>
      </w:tr>
      <w:tr>
        <w:trPr>
          <w:cantSplit/>
        </w:trPr>
        <w:tc>
          <w:tcPr>
            <w:tcW w:type="dxa" w:w="1526"/>
          </w:tcPr>
          <w:p>
            <w:pPr>
              <w:spacing w:after="20"/>
            </w:pPr>
            <w:r>
              <w:rPr>
                <w:color w:val="1C3A36"/>
                <w:sz w:val="15"/>
              </w:rPr>
              <w:t>Long range 1</w:t>
            </w:r>
          </w:p>
        </w:tc>
        <w:tc>
          <w:tcPr>
            <w:tcW w:type="dxa" w:w="806"/>
          </w:tcPr>
          <w:p>
            <w:pPr>
              <w:spacing w:after="20"/>
              <w:jc w:val="right"/>
            </w:pPr>
            <w:r>
              <w:rPr>
                <w:color w:val="1C3A36"/>
                <w:sz w:val="15"/>
              </w:rPr>
              <w:t>9</w:t>
            </w:r>
          </w:p>
        </w:tc>
        <w:tc>
          <w:tcPr>
            <w:tcW w:type="dxa" w:w="1037"/>
          </w:tcPr>
          <w:p>
            <w:pPr>
              <w:spacing w:after="20"/>
              <w:jc w:val="right"/>
            </w:pPr>
            <w:r>
              <w:rPr>
                <w:color w:val="1C3A36"/>
                <w:sz w:val="15"/>
              </w:rPr>
              <w:t>2</w:t>
            </w:r>
          </w:p>
        </w:tc>
        <w:tc>
          <w:tcPr>
            <w:tcW w:type="dxa" w:w="950"/>
          </w:tcPr>
          <w:p>
            <w:pPr>
              <w:spacing w:after="20"/>
              <w:jc w:val="right"/>
            </w:pPr>
            <w:r>
              <w:rPr>
                <w:color w:val="1C3A36"/>
                <w:sz w:val="15"/>
              </w:rPr>
              <w:t>40,155</w:t>
            </w:r>
          </w:p>
        </w:tc>
        <w:tc>
          <w:tcPr>
            <w:tcW w:type="dxa" w:w="1094"/>
          </w:tcPr>
          <w:p>
            <w:pPr>
              <w:spacing w:after="20"/>
              <w:jc w:val="right"/>
            </w:pPr>
            <w:r>
              <w:rPr>
                <w:color w:val="1C3A36"/>
                <w:sz w:val="15"/>
              </w:rPr>
              <w:t>24,199</w:t>
            </w:r>
          </w:p>
        </w:tc>
        <w:tc>
          <w:tcPr>
            <w:tcW w:type="dxa" w:w="1037"/>
          </w:tcPr>
          <w:p>
            <w:pPr>
              <w:spacing w:after="20"/>
              <w:jc w:val="right"/>
            </w:pPr>
            <w:r>
              <w:rPr>
                <w:color w:val="1C3A36"/>
                <w:sz w:val="15"/>
              </w:rPr>
              <w:t>24,906</w:t>
            </w:r>
          </w:p>
        </w:tc>
        <w:tc>
          <w:tcPr>
            <w:tcW w:type="dxa" w:w="1210"/>
          </w:tcPr>
          <w:p>
            <w:pPr>
              <w:spacing w:after="20"/>
              <w:jc w:val="right"/>
            </w:pPr>
            <w:r>
              <w:rPr>
                <w:color w:val="1C3A36"/>
                <w:sz w:val="15"/>
              </w:rPr>
              <w:t>36,000</w:t>
            </w:r>
          </w:p>
        </w:tc>
        <w:tc>
          <w:tcPr>
            <w:tcW w:type="dxa" w:w="1210"/>
          </w:tcPr>
          <w:p>
            <w:pPr>
              <w:spacing w:after="20"/>
              <w:jc w:val="right"/>
            </w:pPr>
            <w:r>
              <w:rPr>
                <w:color w:val="1C3A36"/>
                <w:sz w:val="15"/>
              </w:rPr>
              <w:t>40,643</w:t>
            </w:r>
          </w:p>
        </w:tc>
        <w:tc>
          <w:tcPr>
            <w:tcW w:type="dxa" w:w="1210"/>
          </w:tcPr>
          <w:p>
            <w:pPr>
              <w:spacing w:after="20"/>
              <w:jc w:val="right"/>
            </w:pPr>
            <w:r>
              <w:rPr>
                <w:color w:val="1C3A36"/>
                <w:sz w:val="15"/>
              </w:rPr>
              <w:t>32,177</w:t>
            </w:r>
          </w:p>
        </w:tc>
      </w:tr>
      <w:tr>
        <w:trPr>
          <w:cantSplit/>
        </w:trPr>
        <w:tc>
          <w:tcPr>
            <w:tcW w:type="dxa" w:w="1526"/>
          </w:tcPr>
          <w:p>
            <w:pPr>
              <w:spacing w:after="20"/>
            </w:pPr>
            <w:r>
              <w:rPr>
                <w:color w:val="1C3A36"/>
                <w:sz w:val="15"/>
              </w:rPr>
              <w:t>Medium range</w:t>
            </w:r>
          </w:p>
        </w:tc>
        <w:tc>
          <w:tcPr>
            <w:tcW w:type="dxa" w:w="806"/>
          </w:tcPr>
          <w:p>
            <w:pPr>
              <w:spacing w:after="20"/>
              <w:jc w:val="right"/>
            </w:pPr>
            <w:r>
              <w:rPr>
                <w:color w:val="1C3A36"/>
                <w:sz w:val="15"/>
              </w:rPr>
              <w:t>16</w:t>
            </w:r>
          </w:p>
        </w:tc>
        <w:tc>
          <w:tcPr>
            <w:tcW w:type="dxa" w:w="1037"/>
          </w:tcPr>
          <w:p>
            <w:pPr>
              <w:spacing w:after="20"/>
              <w:jc w:val="right"/>
            </w:pPr>
            <w:r>
              <w:rPr>
                <w:color w:val="1C3A36"/>
                <w:sz w:val="15"/>
              </w:rPr>
              <w:t>0</w:t>
            </w:r>
          </w:p>
        </w:tc>
        <w:tc>
          <w:tcPr>
            <w:tcW w:type="dxa" w:w="950"/>
          </w:tcPr>
          <w:p>
            <w:pPr>
              <w:spacing w:after="20"/>
              <w:jc w:val="right"/>
            </w:pPr>
            <w:r>
              <w:rPr>
                <w:color w:val="1C3A36"/>
                <w:sz w:val="15"/>
              </w:rPr>
              <w:t>24,140</w:t>
            </w:r>
          </w:p>
        </w:tc>
        <w:tc>
          <w:tcPr>
            <w:tcW w:type="dxa" w:w="1094"/>
          </w:tcPr>
          <w:p>
            <w:pPr>
              <w:spacing w:after="20"/>
              <w:jc w:val="right"/>
            </w:pPr>
            <w:r>
              <w:rPr>
                <w:color w:val="1C3A36"/>
                <w:sz w:val="15"/>
              </w:rPr>
              <w:t>24,140</w:t>
            </w:r>
          </w:p>
        </w:tc>
        <w:tc>
          <w:tcPr>
            <w:tcW w:type="dxa" w:w="1037"/>
          </w:tcPr>
          <w:p>
            <w:pPr>
              <w:spacing w:after="20"/>
              <w:jc w:val="right"/>
            </w:pPr>
            <w:r>
              <w:rPr>
                <w:color w:val="1C3A36"/>
                <w:sz w:val="15"/>
              </w:rPr>
              <w:t>24,140</w:t>
            </w:r>
          </w:p>
        </w:tc>
        <w:tc>
          <w:tcPr>
            <w:tcW w:type="dxa" w:w="1210"/>
          </w:tcPr>
          <w:p>
            <w:pPr>
              <w:spacing w:after="20"/>
              <w:jc w:val="right"/>
            </w:pPr>
            <w:r>
              <w:rPr>
                <w:color w:val="1C3A36"/>
                <w:sz w:val="15"/>
              </w:rPr>
              <w:t>30,000</w:t>
            </w:r>
          </w:p>
        </w:tc>
        <w:tc>
          <w:tcPr>
            <w:tcW w:type="dxa" w:w="1210"/>
          </w:tcPr>
          <w:p>
            <w:pPr>
              <w:spacing w:after="20"/>
              <w:jc w:val="right"/>
            </w:pPr>
            <w:r>
              <w:rPr>
                <w:color w:val="1C3A36"/>
                <w:sz w:val="15"/>
              </w:rPr>
              <w:t>30,000</w:t>
            </w:r>
          </w:p>
        </w:tc>
        <w:tc>
          <w:tcPr>
            <w:tcW w:type="dxa" w:w="1210"/>
          </w:tcPr>
          <w:p>
            <w:pPr>
              <w:spacing w:after="20"/>
              <w:jc w:val="right"/>
            </w:pPr>
            <w:r>
              <w:rPr>
                <w:color w:val="1C3A36"/>
                <w:sz w:val="15"/>
              </w:rPr>
              <w:t>24,140</w:t>
            </w:r>
          </w:p>
        </w:tc>
      </w:tr>
      <w:tr>
        <w:trPr>
          <w:cantSplit/>
        </w:trPr>
        <w:tc>
          <w:tcPr>
            <w:tcW w:type="dxa" w:w="1526"/>
          </w:tcPr>
          <w:p>
            <w:pPr>
              <w:spacing w:after="20"/>
            </w:pPr>
            <w:r>
              <w:rPr>
                <w:color w:val="1C3A36"/>
                <w:sz w:val="15"/>
              </w:rPr>
              <w:t>Handysize</w:t>
            </w:r>
          </w:p>
        </w:tc>
        <w:tc>
          <w:tcPr>
            <w:tcW w:type="dxa" w:w="806"/>
          </w:tcPr>
          <w:p>
            <w:pPr>
              <w:spacing w:after="20"/>
              <w:jc w:val="right"/>
            </w:pPr>
            <w:r>
              <w:rPr>
                <w:color w:val="1C3A36"/>
                <w:sz w:val="15"/>
              </w:rPr>
              <w:t>2</w:t>
            </w:r>
          </w:p>
        </w:tc>
        <w:tc>
          <w:tcPr>
            <w:tcW w:type="dxa" w:w="1037"/>
          </w:tcPr>
          <w:p>
            <w:pPr>
              <w:spacing w:after="20"/>
              <w:jc w:val="right"/>
            </w:pPr>
            <w:r>
              <w:rPr>
                <w:color w:val="1C3A36"/>
                <w:sz w:val="15"/>
              </w:rPr>
              <w:t>0</w:t>
            </w:r>
          </w:p>
        </w:tc>
        <w:tc>
          <w:tcPr>
            <w:tcW w:type="dxa" w:w="950"/>
          </w:tcPr>
          <w:p>
            <w:pPr>
              <w:spacing w:after="20"/>
              <w:jc w:val="right"/>
            </w:pPr>
            <w:r>
              <w:rPr>
                <w:color w:val="1C3A36"/>
                <w:sz w:val="15"/>
              </w:rPr>
              <w:t>24,140</w:t>
            </w:r>
          </w:p>
        </w:tc>
        <w:tc>
          <w:tcPr>
            <w:tcW w:type="dxa" w:w="1094"/>
          </w:tcPr>
          <w:p>
            <w:pPr>
              <w:spacing w:after="20"/>
              <w:jc w:val="right"/>
            </w:pPr>
            <w:r>
              <w:rPr>
                <w:color w:val="1C3A36"/>
                <w:sz w:val="15"/>
              </w:rPr>
              <w:t>24,140</w:t>
            </w:r>
          </w:p>
        </w:tc>
        <w:tc>
          <w:tcPr>
            <w:tcW w:type="dxa" w:w="1037"/>
          </w:tcPr>
          <w:p>
            <w:pPr>
              <w:spacing w:after="20"/>
              <w:jc w:val="right"/>
            </w:pPr>
            <w:r>
              <w:rPr>
                <w:color w:val="1C3A36"/>
                <w:sz w:val="15"/>
              </w:rPr>
              <w:t>24,140</w:t>
            </w:r>
          </w:p>
        </w:tc>
        <w:tc>
          <w:tcPr>
            <w:tcW w:type="dxa" w:w="1210"/>
          </w:tcPr>
          <w:p>
            <w:pPr>
              <w:spacing w:after="20"/>
              <w:jc w:val="right"/>
            </w:pPr>
            <w:r>
              <w:rPr>
                <w:color w:val="1C3A36"/>
                <w:sz w:val="15"/>
              </w:rPr>
              <w:t>30,000</w:t>
            </w:r>
          </w:p>
        </w:tc>
        <w:tc>
          <w:tcPr>
            <w:tcW w:type="dxa" w:w="1210"/>
          </w:tcPr>
          <w:p>
            <w:pPr>
              <w:spacing w:after="20"/>
              <w:jc w:val="right"/>
            </w:pPr>
            <w:r>
              <w:rPr>
                <w:color w:val="1C3A36"/>
                <w:sz w:val="15"/>
              </w:rPr>
              <w:t>30,000</w:t>
            </w:r>
          </w:p>
        </w:tc>
        <w:tc>
          <w:tcPr>
            <w:tcW w:type="dxa" w:w="1210"/>
          </w:tcPr>
          <w:p>
            <w:pPr>
              <w:spacing w:after="20"/>
              <w:jc w:val="right"/>
            </w:pPr>
            <w:r>
              <w:rPr>
                <w:color w:val="1C3A36"/>
                <w:sz w:val="15"/>
              </w:rPr>
              <w:t>24,140</w:t>
            </w:r>
          </w:p>
        </w:tc>
      </w:tr>
    </w:tbl>
    <w:p>
      <w:pPr>
        <w:spacing w:after="40"/>
      </w:pPr>
    </w:p>
    <w:p>
      <w:pPr>
        <w:spacing w:after="200" w:before="0"/>
      </w:pPr>
      <w:r>
        <w:rPr>
          <w:b w:val="0"/>
          <w:i/>
          <w:color w:val="6E7B77"/>
          <w:sz w:val="17"/>
        </w:rPr>
        <w:t>US dollars per vessel per day. “Published” is the company's own class average; “implied” is what a vessel not on charter out must have earned for that average to be true, given the charters the company also publishes. Where a class has no vessel on charter out the two are the same figure, which is the check that the construction is doing only what it claims. The mid-cycle anchor is the implied rate for the average of the FY2024 and FY2025 outcomes, which is what the base case reverts to over four years from 2027E. Two substitutions are carried and flagged: quarterly rates for the medium-range class are not disclosed for FY2024, so the FY2025 average stands in, and the handysize vessels are not broken out at all and are carried at the medium-range rate. Both are immaterial — together those classes are 18 of 52 vessels, none of them on charter out, and the smallest earners.</w:t>
      </w:r>
    </w:p>
    <w:p>
      <w:pPr>
        <w:spacing w:after="120" w:before="0"/>
      </w:pPr>
      <w:r>
        <w:rPr>
          <w:b w:val="0"/>
          <w:i w:val="0"/>
          <w:color w:val="1C3A36"/>
          <w:sz w:val="21"/>
        </w:rPr>
        <w:t>The scale of the move is easiest to see in the largest class. Very large crude carriers averaged a published USD 43,381 a day in FY2024 and USD 52,466 in FY2025; the published figure was USD 145,000 for the first quarter of 2026 and USD 260,000 was indicated for the second. Take out the 4 of 8 vessels in that class already on charter out and the free vessels earned USD 199,838 in the first quarter, and the indicated second quarter implies USD 459,058 — roughly 4.2 times the mid-cycle anchor this study reverts to, against the 3.0 times the published figure suggests. Against 40 owned vessels free to earn the market and the company's own disclosure that USD 1,000 a day is worth USD 20 million of annual earnings, the difference between today's rate and the mid-cycle anchor is worth well over a billion dollars a year of earnings. That is why this one judgement dominates — and it is also why the correction matters, because the same reversion judgement applied to a higher starting point produces a higher value.</w:t>
      </w:r>
    </w:p>
    <w:p>
      <w:pPr>
        <w:keepNext/>
        <w:spacing w:after="80" w:before="200"/>
      </w:pPr>
      <w:r>
        <w:rPr>
          <w:b/>
          <w:i w:val="0"/>
          <w:color w:val="1C3A36"/>
          <w:sz w:val="24"/>
        </w:rPr>
        <w:t>Why the base case reverts — the outside evidence</w:t>
      </w:r>
    </w:p>
    <w:p>
      <w:pPr>
        <w:spacing w:after="120" w:before="0"/>
      </w:pPr>
      <w:r>
        <w:rPr>
          <w:b w:val="0"/>
          <w:i w:val="0"/>
          <w:color w:val="1C3A36"/>
          <w:sz w:val="21"/>
        </w:rPr>
        <w:t>A reversion assumption made without evidence is just pessimism. Two independent observations, neither of them this study's own construction, point the same way, and they are the reason the base case is a judgement with support rather than a default.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6768"/>
      </w:tblGrid>
      <w:tr>
        <w:trPr>
          <w:cantSplit/>
          <w:tblHeader/>
        </w:trPr>
        <w:tc>
          <w:tcPr>
            <w:tcW w:type="dxa" w:w="3312"/>
            <w:shd w:val="clear" w:color="auto" w:fill="EAF0EE"/>
          </w:tcPr>
          <w:p>
            <w:pPr>
              <w:spacing w:after="20"/>
            </w:pPr>
            <w:r>
              <w:rPr>
                <w:b/>
                <w:color w:val="1C3A36"/>
                <w:sz w:val="16"/>
              </w:rPr>
              <w:t>Evidence</w:t>
            </w:r>
          </w:p>
        </w:tc>
        <w:tc>
          <w:tcPr>
            <w:tcW w:type="dxa" w:w="6768"/>
            <w:shd w:val="clear" w:color="auto" w:fill="EAF0EE"/>
          </w:tcPr>
          <w:p>
            <w:pPr>
              <w:spacing w:after="20"/>
            </w:pPr>
            <w:r>
              <w:rPr>
                <w:b/>
                <w:color w:val="1C3A36"/>
                <w:sz w:val="16"/>
              </w:rPr>
              <w:t>What it shows</w:t>
            </w:r>
          </w:p>
        </w:tc>
      </w:tr>
      <w:tr>
        <w:trPr>
          <w:cantSplit/>
        </w:trPr>
        <w:tc>
          <w:tcPr>
            <w:tcW w:type="dxa" w:w="3312"/>
          </w:tcPr>
          <w:p>
            <w:pPr>
              <w:spacing w:after="20"/>
            </w:pPr>
            <w:r>
              <w:rPr>
                <w:color w:val="1C3A36"/>
                <w:sz w:val="16"/>
              </w:rPr>
              <w:t>The forward market will not pay spot for a year of time</w:t>
            </w:r>
          </w:p>
        </w:tc>
        <w:tc>
          <w:tcPr>
            <w:tcW w:type="dxa" w:w="6768"/>
          </w:tcPr>
          <w:p>
            <w:pPr>
              <w:spacing w:after="20"/>
            </w:pPr>
            <w:r>
              <w:rPr>
                <w:color w:val="1C3A36"/>
                <w:sz w:val="16"/>
              </w:rPr>
              <w:t>A listed crude tanker owner fixed seven very large crude carriers on one-year time charters in early 2026 at USD 76,900 a day, at a time when the spot rate of the moment was around USD 102,897 and this company's own uncommitted vessels went on to earn an implied USD 199,838 in the first quarter. A counterparty willing to commit for twelve months priced that year at -25.3% against the spot rate in front of it. That is a market saying, with its own money, that it does not expect spot to hold</w:t>
            </w:r>
          </w:p>
        </w:tc>
      </w:tr>
      <w:tr>
        <w:trPr>
          <w:cantSplit/>
        </w:trPr>
        <w:tc>
          <w:tcPr>
            <w:tcW w:type="dxa" w:w="3312"/>
          </w:tcPr>
          <w:p>
            <w:pPr>
              <w:spacing w:after="20"/>
            </w:pPr>
            <w:r>
              <w:rPr>
                <w:color w:val="1C3A36"/>
                <w:sz w:val="16"/>
              </w:rPr>
              <w:t>The supply reason why</w:t>
            </w:r>
          </w:p>
        </w:tc>
        <w:tc>
          <w:tcPr>
            <w:tcW w:type="dxa" w:w="6768"/>
          </w:tcPr>
          <w:p>
            <w:pPr>
              <w:spacing w:after="20"/>
            </w:pPr>
            <w:r>
              <w:rPr>
                <w:color w:val="1C3A36"/>
                <w:sz w:val="16"/>
              </w:rPr>
              <w:t>The crude tanker order book stands near 27% of the trading fleet, a seventeen-year high, with the very large crude carrier order book higher still. Ships ordered into a strong market arrive into whatever market exists when they deliver, and this is the mechanism by which every previous tanker upcycle ended</w:t>
            </w:r>
          </w:p>
        </w:tc>
      </w:tr>
      <w:tr>
        <w:trPr>
          <w:cantSplit/>
        </w:trPr>
        <w:tc>
          <w:tcPr>
            <w:tcW w:type="dxa" w:w="3312"/>
          </w:tcPr>
          <w:p>
            <w:pPr>
              <w:spacing w:after="20"/>
            </w:pPr>
            <w:r>
              <w:rPr>
                <w:color w:val="1C3A36"/>
                <w:sz w:val="16"/>
              </w:rPr>
              <w:t>This study's own base path</w:t>
            </w:r>
          </w:p>
        </w:tc>
        <w:tc>
          <w:tcPr>
            <w:tcW w:type="dxa" w:w="6768"/>
          </w:tcPr>
          <w:p>
            <w:pPr>
              <w:spacing w:after="20"/>
            </w:pPr>
            <w:r>
              <w:rPr>
                <w:color w:val="1C3A36"/>
                <w:sz w:val="16"/>
              </w:rPr>
              <w:t>The base case runs the market rate for a very large crude carrier not on charter out from USD 228,118 in 2026E down to USD 47,924 by 2030E, a straight glide to the FY2024-FY2025 average. Read against the one-year charter above, that path is the LESS pessimistic of the two: it stays above USD 76,900 until it crosses between 2029E and 2030E, so for 4 of the five forecast years this study assumes the fleet earns more than a counterparty was willing to commit to for twelve months. That cuts against this study's own conclusion and is stated rather than left for a reader to work out</w:t>
            </w:r>
          </w:p>
        </w:tc>
      </w:tr>
    </w:tbl>
    <w:p>
      <w:pPr>
        <w:spacing w:after="40"/>
      </w:pPr>
    </w:p>
    <w:p>
      <w:pPr>
        <w:spacing w:after="120" w:before="0"/>
      </w:pPr>
      <w:r>
        <w:rPr>
          <w:b w:val="0"/>
          <w:i w:val="0"/>
          <w:color w:val="1C3A36"/>
          <w:sz w:val="21"/>
        </w:rPr>
        <w:t>The alternative — rates settling 30% above the mid-cycle anchor rather than at it — is the direction the company's own guidance and its contracted expansion point in, and it is computed in full: it gives AED 7.39 a share against the base case's AED 6.03. It is published as an alternative reading rather than adopted, because the two observations above are external, dated and specific, while the case for sustained strength rests on a view about future supply and demand that this study is not in a position to hold with confidence.</w:t>
      </w:r>
    </w:p>
    <w:p>
      <w:pPr>
        <w:spacing w:after="120" w:before="0"/>
      </w:pPr>
      <w:r>
        <w:rPr>
          <w:b w:val="0"/>
          <w:i w:val="0"/>
          <w:color w:val="1C3A36"/>
          <w:sz w:val="21"/>
        </w:rPr>
        <w:t>One more comparison puts the crux in proportion, and it is worth being careful about what it does and does not show. Moving the mid-cycle rate anchor across the whole tested range, from 80.0% to 120.0% of the base, moves fair value by AED 1.81 a share — and that range is wide enough to carry fair value across the market price, which it reaches between the 100% and 110% anchors. Widening the beta across the 0.705-to-1.412 range tested in section 1.9 moves it by AED 3.89, which is 2.1 times as much and remains the widest single sensitivity in the study. But the two are not comparable as open questions. The beta is measured, with a 90% interval of [0.76, 1.41] that the bear and bull cases already carry at full width; where tanker rates settle after 2026 is not measured by anything and cannot be. That is why this section, and not the discount rate, is where the study says its judgement is genuinely exposed.</w:t>
      </w:r>
    </w:p>
    <w:p>
      <w:pPr>
        <w:keepNext/>
        <w:spacing w:after="80" w:before="200"/>
      </w:pPr>
      <w:r>
        <w:rPr>
          <w:b/>
          <w:i w:val="0"/>
          <w:color w:val="1C3A36"/>
          <w:sz w:val="24"/>
        </w:rPr>
        <w:t>1.8  Macro and country — the sourced cost of capital</w:t>
      </w:r>
    </w:p>
    <w:p>
      <w:pPr>
        <w:spacing w:after="120" w:before="0"/>
      </w:pPr>
      <w:r>
        <w:rPr>
          <w:b w:val="0"/>
          <w:i w:val="0"/>
          <w:color w:val="1C3A36"/>
          <w:sz w:val="21"/>
        </w:rPr>
        <w:t>The dirham has been fixed to the US dollar at 3.6725 since 1997 and monetary policy follows the Federal Reserve accordingly: the Central Bank of the UAE base rate stood at 3.65% and was maintained at its July 2026 decision, its last change being a cut from 3.90% in December 2025. That matters for this study in a specific way: because the company reports in dollars and the currency is pegged, there is no exchange-rate view anywhere in the valuation, and the whole of the country question reduces to a small sovereign premium rather than a convertibility argument.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40"/>
        <w:gridCol w:w="1037"/>
        <w:gridCol w:w="5371"/>
      </w:tblGrid>
      <w:tr>
        <w:trPr>
          <w:cantSplit/>
          <w:tblHeader/>
        </w:trPr>
        <w:tc>
          <w:tcPr>
            <w:tcW w:type="dxa" w:w="2232"/>
            <w:shd w:val="clear" w:color="auto" w:fill="EAF0EE"/>
          </w:tcPr>
          <w:p>
            <w:pPr>
              <w:spacing w:after="20"/>
            </w:pPr>
            <w:r>
              <w:rPr>
                <w:b/>
                <w:color w:val="1C3A36"/>
                <w:sz w:val="16"/>
              </w:rPr>
              <w:t>Component</w:t>
            </w:r>
          </w:p>
        </w:tc>
        <w:tc>
          <w:tcPr>
            <w:tcW w:type="dxa" w:w="1440"/>
            <w:shd w:val="clear" w:color="auto" w:fill="EAF0EE"/>
          </w:tcPr>
          <w:p>
            <w:pPr>
              <w:spacing w:after="20"/>
            </w:pPr>
            <w:r>
              <w:rPr>
                <w:b/>
                <w:color w:val="1C3A36"/>
                <w:sz w:val="16"/>
              </w:rPr>
              <w:t>Explicit window</w:t>
            </w:r>
          </w:p>
        </w:tc>
        <w:tc>
          <w:tcPr>
            <w:tcW w:type="dxa" w:w="1037"/>
            <w:shd w:val="clear" w:color="auto" w:fill="EAF0EE"/>
          </w:tcPr>
          <w:p>
            <w:pPr>
              <w:spacing w:after="20"/>
            </w:pPr>
            <w:r>
              <w:rPr>
                <w:b/>
                <w:color w:val="1C3A36"/>
                <w:sz w:val="16"/>
              </w:rPr>
              <w:t>Terminal</w:t>
            </w:r>
          </w:p>
        </w:tc>
        <w:tc>
          <w:tcPr>
            <w:tcW w:type="dxa" w:w="5371"/>
            <w:shd w:val="clear" w:color="auto" w:fill="EAF0EE"/>
          </w:tcPr>
          <w:p>
            <w:pPr>
              <w:spacing w:after="20"/>
              <w:jc w:val="left"/>
            </w:pPr>
            <w:r>
              <w:rPr>
                <w:b/>
                <w:color w:val="1C3A36"/>
                <w:sz w:val="16"/>
              </w:rPr>
              <w:t>Source and construction</w:t>
            </w:r>
          </w:p>
        </w:tc>
      </w:tr>
      <w:tr>
        <w:trPr>
          <w:cantSplit/>
        </w:trPr>
        <w:tc>
          <w:tcPr>
            <w:tcW w:type="dxa" w:w="2232"/>
          </w:tcPr>
          <w:p>
            <w:pPr>
              <w:spacing w:after="20"/>
            </w:pPr>
            <w:r>
              <w:rPr>
                <w:color w:val="1C3A36"/>
                <w:sz w:val="16"/>
              </w:rPr>
              <w:t>Observed risk-free rate</w:t>
            </w:r>
          </w:p>
        </w:tc>
        <w:tc>
          <w:tcPr>
            <w:tcW w:type="dxa" w:w="1440"/>
          </w:tcPr>
          <w:p>
            <w:pPr>
              <w:spacing w:after="20"/>
              <w:jc w:val="right"/>
            </w:pPr>
            <w:r>
              <w:rPr>
                <w:color w:val="1C3A36"/>
                <w:sz w:val="16"/>
              </w:rPr>
              <w:t>4.48%</w:t>
            </w:r>
          </w:p>
        </w:tc>
        <w:tc>
          <w:tcPr>
            <w:tcW w:type="dxa" w:w="1037"/>
          </w:tcPr>
          <w:p>
            <w:pPr>
              <w:spacing w:after="20"/>
              <w:jc w:val="right"/>
            </w:pPr>
            <w:r>
              <w:rPr>
                <w:color w:val="1C3A36"/>
                <w:sz w:val="16"/>
              </w:rPr>
            </w:r>
          </w:p>
        </w:tc>
        <w:tc>
          <w:tcPr>
            <w:tcW w:type="dxa" w:w="5371"/>
          </w:tcPr>
          <w:p>
            <w:pPr>
              <w:spacing w:after="20"/>
              <w:jc w:val="left"/>
            </w:pPr>
            <w:r>
              <w:rPr>
                <w:color w:val="1C3A36"/>
                <w:sz w:val="16"/>
              </w:rPr>
              <w:t>the UAE dirham Treasury bond tranche maturing January 2031, at its July 2026 auction yield</w:t>
            </w:r>
          </w:p>
        </w:tc>
      </w:tr>
      <w:tr>
        <w:trPr>
          <w:cantSplit/>
        </w:trPr>
        <w:tc>
          <w:tcPr>
            <w:tcW w:type="dxa" w:w="2232"/>
          </w:tcPr>
          <w:p>
            <w:pPr>
              <w:spacing w:after="20"/>
            </w:pPr>
            <w:r>
              <w:rPr>
                <w:color w:val="1C3A36"/>
                <w:sz w:val="16"/>
              </w:rPr>
              <w:t>Less the sovereign default spread</w:t>
            </w:r>
          </w:p>
        </w:tc>
        <w:tc>
          <w:tcPr>
            <w:tcW w:type="dxa" w:w="1440"/>
          </w:tcPr>
          <w:p>
            <w:pPr>
              <w:spacing w:after="20"/>
              <w:jc w:val="right"/>
            </w:pPr>
            <w:r>
              <w:rPr>
                <w:color w:val="1C3A36"/>
                <w:sz w:val="16"/>
              </w:rPr>
              <w:t>(0.42%)</w:t>
            </w:r>
          </w:p>
        </w:tc>
        <w:tc>
          <w:tcPr>
            <w:tcW w:type="dxa" w:w="1037"/>
          </w:tcPr>
          <w:p>
            <w:pPr>
              <w:spacing w:after="20"/>
              <w:jc w:val="right"/>
            </w:pPr>
            <w:r>
              <w:rPr>
                <w:color w:val="1C3A36"/>
                <w:sz w:val="16"/>
              </w:rPr>
            </w:r>
          </w:p>
        </w:tc>
        <w:tc>
          <w:tcPr>
            <w:tcW w:type="dxa" w:w="5371"/>
          </w:tcPr>
          <w:p>
            <w:pPr>
              <w:spacing w:after="20"/>
              <w:jc w:val="left"/>
            </w:pPr>
            <w:r>
              <w:rPr>
                <w:color w:val="1C3A36"/>
                <w:sz w:val="16"/>
              </w:rPr>
              <w:t>the published country-risk file adjusted default spread for the UAE on its Moody’s Aa2 assessment. Country risk must enter once, and it enters through the premium below, so it is netted out of the observed yield here</w:t>
            </w:r>
          </w:p>
        </w:tc>
      </w:tr>
      <w:tr>
        <w:trPr>
          <w:cantSplit/>
        </w:trPr>
        <w:tc>
          <w:tcPr>
            <w:tcW w:type="dxa" w:w="2232"/>
          </w:tcPr>
          <w:p>
            <w:pPr>
              <w:spacing w:after="20"/>
            </w:pPr>
            <w:r>
              <w:rPr>
                <w:color w:val="1C3A36"/>
                <w:sz w:val="16"/>
              </w:rPr>
              <w:t>Adjusted risk-free rate</w:t>
            </w:r>
          </w:p>
        </w:tc>
        <w:tc>
          <w:tcPr>
            <w:tcW w:type="dxa" w:w="1440"/>
          </w:tcPr>
          <w:p>
            <w:pPr>
              <w:spacing w:after="20"/>
              <w:jc w:val="right"/>
            </w:pPr>
            <w:r>
              <w:rPr>
                <w:color w:val="1C3A36"/>
                <w:sz w:val="16"/>
              </w:rPr>
              <w:t>4.06%</w:t>
            </w:r>
          </w:p>
        </w:tc>
        <w:tc>
          <w:tcPr>
            <w:tcW w:type="dxa" w:w="1037"/>
          </w:tcPr>
          <w:p>
            <w:pPr>
              <w:spacing w:after="20"/>
              <w:jc w:val="right"/>
            </w:pPr>
            <w:r>
              <w:rPr>
                <w:color w:val="1C3A36"/>
                <w:sz w:val="16"/>
              </w:rPr>
              <w:t>3.25%</w:t>
            </w:r>
          </w:p>
        </w:tc>
        <w:tc>
          <w:tcPr>
            <w:tcW w:type="dxa" w:w="5371"/>
          </w:tcPr>
          <w:p>
            <w:pPr>
              <w:spacing w:after="20"/>
              <w:jc w:val="left"/>
            </w:pPr>
            <w:r>
              <w:rPr>
                <w:color w:val="1C3A36"/>
                <w:sz w:val="16"/>
              </w:rPr>
              <w:t>the terminal figure is a long-run nominal anchor for a dollar-pegged economy: a 2% inflation objective plus a 1.25% long-run real policy rate, the same construction the terminal growth rate rests on</w:t>
            </w:r>
          </w:p>
        </w:tc>
      </w:tr>
      <w:tr>
        <w:trPr>
          <w:cantSplit/>
        </w:trPr>
        <w:tc>
          <w:tcPr>
            <w:tcW w:type="dxa" w:w="2232"/>
          </w:tcPr>
          <w:p>
            <w:pPr>
              <w:spacing w:after="20"/>
            </w:pPr>
            <w:r>
              <w:rPr>
                <w:color w:val="1C3A36"/>
                <w:sz w:val="16"/>
              </w:rPr>
              <w:t>Beta</w:t>
            </w:r>
          </w:p>
        </w:tc>
        <w:tc>
          <w:tcPr>
            <w:tcW w:type="dxa" w:w="1440"/>
          </w:tcPr>
          <w:p>
            <w:pPr>
              <w:spacing w:after="20"/>
              <w:jc w:val="right"/>
            </w:pPr>
            <w:r>
              <w:rPr>
                <w:color w:val="1C3A36"/>
                <w:sz w:val="16"/>
              </w:rPr>
              <w:t>1.085</w:t>
            </w:r>
          </w:p>
        </w:tc>
        <w:tc>
          <w:tcPr>
            <w:tcW w:type="dxa" w:w="1037"/>
          </w:tcPr>
          <w:p>
            <w:pPr>
              <w:spacing w:after="20"/>
              <w:jc w:val="right"/>
            </w:pPr>
            <w:r>
              <w:rPr>
                <w:color w:val="1C3A36"/>
                <w:sz w:val="16"/>
              </w:rPr>
              <w:t>1.085</w:t>
            </w:r>
          </w:p>
        </w:tc>
        <w:tc>
          <w:tcPr>
            <w:tcW w:type="dxa" w:w="5371"/>
          </w:tcPr>
          <w:p>
            <w:pPr>
              <w:spacing w:after="20"/>
              <w:jc w:val="left"/>
            </w:pPr>
            <w:r>
              <w:rPr>
                <w:color w:val="1C3A36"/>
                <w:sz w:val="16"/>
              </w:rPr>
              <w:t>own-stock weekly regression against the FTSE ADX General Index over the full listed history: n = 161, R-squared 0.158, standard error 0.199, 90% interval [0.76, 1.41]. The evidence table below sets this out in full alongside the equal-weight composite, which gives 0.705</w:t>
            </w:r>
          </w:p>
        </w:tc>
      </w:tr>
      <w:tr>
        <w:trPr>
          <w:cantSplit/>
        </w:trPr>
        <w:tc>
          <w:tcPr>
            <w:tcW w:type="dxa" w:w="2232"/>
          </w:tcPr>
          <w:p>
            <w:pPr>
              <w:spacing w:after="20"/>
            </w:pPr>
            <w:r>
              <w:rPr>
                <w:color w:val="1C3A36"/>
                <w:sz w:val="16"/>
              </w:rPr>
              <w:t>Equity risk premium</w:t>
            </w:r>
          </w:p>
        </w:tc>
        <w:tc>
          <w:tcPr>
            <w:tcW w:type="dxa" w:w="1440"/>
          </w:tcPr>
          <w:p>
            <w:pPr>
              <w:spacing w:after="20"/>
              <w:jc w:val="right"/>
            </w:pPr>
            <w:r>
              <w:rPr>
                <w:color w:val="1C3A36"/>
                <w:sz w:val="16"/>
              </w:rPr>
              <w:t>4.87%</w:t>
            </w:r>
          </w:p>
        </w:tc>
        <w:tc>
          <w:tcPr>
            <w:tcW w:type="dxa" w:w="1037"/>
          </w:tcPr>
          <w:p>
            <w:pPr>
              <w:spacing w:after="20"/>
              <w:jc w:val="right"/>
            </w:pPr>
            <w:r>
              <w:rPr>
                <w:color w:val="1C3A36"/>
                <w:sz w:val="16"/>
              </w:rPr>
              <w:t>4.87%</w:t>
            </w:r>
          </w:p>
        </w:tc>
        <w:tc>
          <w:tcPr>
            <w:tcW w:type="dxa" w:w="5371"/>
          </w:tcPr>
          <w:p>
            <w:pPr>
              <w:spacing w:after="20"/>
              <w:jc w:val="left"/>
            </w:pPr>
            <w:r>
              <w:rPr>
                <w:color w:val="1C3A36"/>
                <w:sz w:val="16"/>
              </w:rPr>
              <w:t>the January 2026 country-risk file: a mature-market premium of 4.23% plus a UAE country premium of 0.64%</w:t>
            </w:r>
          </w:p>
        </w:tc>
      </w:tr>
      <w:tr>
        <w:trPr>
          <w:cantSplit/>
        </w:trPr>
        <w:tc>
          <w:tcPr>
            <w:tcW w:type="dxa" w:w="2232"/>
            <w:shd w:val="clear" w:color="auto" w:fill="F6F1E6"/>
          </w:tcPr>
          <w:p>
            <w:pPr>
              <w:spacing w:after="20"/>
            </w:pPr>
            <w:r>
              <w:rPr>
                <w:b/>
                <w:color w:val="1C3A36"/>
                <w:sz w:val="16"/>
              </w:rPr>
              <w:t>Cost of equity</w:t>
            </w:r>
          </w:p>
        </w:tc>
        <w:tc>
          <w:tcPr>
            <w:tcW w:type="dxa" w:w="1440"/>
            <w:shd w:val="clear" w:color="auto" w:fill="F6F1E6"/>
          </w:tcPr>
          <w:p>
            <w:pPr>
              <w:spacing w:after="20"/>
              <w:jc w:val="right"/>
            </w:pPr>
            <w:r>
              <w:rPr>
                <w:b/>
                <w:color w:val="1C3A36"/>
                <w:sz w:val="16"/>
              </w:rPr>
              <w:t>9.34%</w:t>
            </w:r>
          </w:p>
        </w:tc>
        <w:tc>
          <w:tcPr>
            <w:tcW w:type="dxa" w:w="1037"/>
            <w:shd w:val="clear" w:color="auto" w:fill="F6F1E6"/>
          </w:tcPr>
          <w:p>
            <w:pPr>
              <w:spacing w:after="20"/>
              <w:jc w:val="right"/>
            </w:pPr>
            <w:r>
              <w:rPr>
                <w:b/>
                <w:color w:val="1C3A36"/>
                <w:sz w:val="16"/>
              </w:rPr>
              <w:t>8.53%</w:t>
            </w:r>
          </w:p>
        </w:tc>
        <w:tc>
          <w:tcPr>
            <w:tcW w:type="dxa" w:w="5371"/>
            <w:shd w:val="clear" w:color="auto" w:fill="F6F1E6"/>
          </w:tcPr>
          <w:p>
            <w:pPr>
              <w:spacing w:after="20"/>
              <w:jc w:val="left"/>
            </w:pPr>
            <w:r>
              <w:rPr>
                <w:b/>
                <w:color w:val="1C3A36"/>
                <w:sz w:val="16"/>
              </w:rPr>
              <w:t>adjusted risk-free rate plus beta times the premium. On the equal-weight composite's 0.705 it would be 7.49%; on the lead-lag sum beta of 1.164, 9.73%</w:t>
            </w:r>
          </w:p>
        </w:tc>
      </w:tr>
      <w:tr>
        <w:trPr>
          <w:cantSplit/>
        </w:trPr>
        <w:tc>
          <w:tcPr>
            <w:tcW w:type="dxa" w:w="2232"/>
          </w:tcPr>
          <w:p>
            <w:pPr>
              <w:spacing w:after="20"/>
            </w:pPr>
            <w:r>
              <w:rPr>
                <w:color w:val="1C3A36"/>
                <w:sz w:val="16"/>
              </w:rPr>
              <w:t>Cost of debt, pre-tax</w:t>
            </w:r>
          </w:p>
        </w:tc>
        <w:tc>
          <w:tcPr>
            <w:tcW w:type="dxa" w:w="1440"/>
          </w:tcPr>
          <w:p>
            <w:pPr>
              <w:spacing w:after="20"/>
              <w:jc w:val="right"/>
            </w:pPr>
            <w:r>
              <w:rPr>
                <w:color w:val="1C3A36"/>
                <w:sz w:val="16"/>
              </w:rPr>
              <w:t>5.82%</w:t>
            </w:r>
          </w:p>
        </w:tc>
        <w:tc>
          <w:tcPr>
            <w:tcW w:type="dxa" w:w="1037"/>
          </w:tcPr>
          <w:p>
            <w:pPr>
              <w:spacing w:after="20"/>
              <w:jc w:val="right"/>
            </w:pPr>
            <w:r>
              <w:rPr>
                <w:color w:val="1C3A36"/>
                <w:sz w:val="16"/>
              </w:rPr>
              <w:t>5.01%</w:t>
            </w:r>
          </w:p>
        </w:tc>
        <w:tc>
          <w:tcPr>
            <w:tcW w:type="dxa" w:w="5371"/>
          </w:tcPr>
          <w:p>
            <w:pPr>
              <w:spacing w:after="20"/>
              <w:jc w:val="left"/>
            </w:pPr>
            <w:r>
              <w:rPr>
                <w:color w:val="1C3A36"/>
                <w:sz w:val="16"/>
              </w:rPr>
              <w:t>a weighted read of six disclosed instruments — the evidence table follows</w:t>
            </w:r>
          </w:p>
        </w:tc>
      </w:tr>
      <w:tr>
        <w:trPr>
          <w:cantSplit/>
        </w:trPr>
        <w:tc>
          <w:tcPr>
            <w:tcW w:type="dxa" w:w="2232"/>
          </w:tcPr>
          <w:p>
            <w:pPr>
              <w:spacing w:after="20"/>
            </w:pPr>
            <w:r>
              <w:rPr>
                <w:color w:val="1C3A36"/>
                <w:sz w:val="16"/>
              </w:rPr>
              <w:t>Cost of debt, after tax</w:t>
            </w:r>
          </w:p>
        </w:tc>
        <w:tc>
          <w:tcPr>
            <w:tcW w:type="dxa" w:w="1440"/>
          </w:tcPr>
          <w:p>
            <w:pPr>
              <w:spacing w:after="20"/>
              <w:jc w:val="right"/>
            </w:pPr>
            <w:r>
              <w:rPr>
                <w:color w:val="1C3A36"/>
                <w:sz w:val="16"/>
              </w:rPr>
              <w:t>5.30%</w:t>
            </w:r>
          </w:p>
        </w:tc>
        <w:tc>
          <w:tcPr>
            <w:tcW w:type="dxa" w:w="1037"/>
          </w:tcPr>
          <w:p>
            <w:pPr>
              <w:spacing w:after="20"/>
              <w:jc w:val="right"/>
            </w:pPr>
            <w:r>
              <w:rPr>
                <w:color w:val="1C3A36"/>
                <w:sz w:val="16"/>
              </w:rPr>
            </w:r>
          </w:p>
        </w:tc>
        <w:tc>
          <w:tcPr>
            <w:tcW w:type="dxa" w:w="5371"/>
          </w:tcPr>
          <w:p>
            <w:pPr>
              <w:spacing w:after="20"/>
              <w:jc w:val="left"/>
            </w:pPr>
            <w:r>
              <w:rPr>
                <w:color w:val="1C3A36"/>
                <w:sz w:val="16"/>
              </w:rPr>
              <w:t>at the 9% statutory rate</w:t>
            </w:r>
          </w:p>
        </w:tc>
      </w:tr>
      <w:tr>
        <w:trPr>
          <w:cantSplit/>
        </w:trPr>
        <w:tc>
          <w:tcPr>
            <w:tcW w:type="dxa" w:w="2232"/>
          </w:tcPr>
          <w:p>
            <w:pPr>
              <w:spacing w:after="20"/>
            </w:pPr>
            <w:r>
              <w:rPr>
                <w:color w:val="1C3A36"/>
                <w:sz w:val="16"/>
              </w:rPr>
              <w:t>Cost of the perpetual capital securities</w:t>
            </w:r>
          </w:p>
        </w:tc>
        <w:tc>
          <w:tcPr>
            <w:tcW w:type="dxa" w:w="1440"/>
          </w:tcPr>
          <w:p>
            <w:pPr>
              <w:spacing w:after="20"/>
              <w:jc w:val="right"/>
            </w:pPr>
            <w:r>
              <w:rPr>
                <w:color w:val="1C3A36"/>
                <w:sz w:val="16"/>
              </w:rPr>
              <w:t>4.90%</w:t>
            </w:r>
          </w:p>
        </w:tc>
        <w:tc>
          <w:tcPr>
            <w:tcW w:type="dxa" w:w="1037"/>
          </w:tcPr>
          <w:p>
            <w:pPr>
              <w:spacing w:after="20"/>
              <w:jc w:val="right"/>
            </w:pPr>
            <w:r>
              <w:rPr>
                <w:color w:val="1C3A36"/>
                <w:sz w:val="16"/>
              </w:rPr>
              <w:t>4.50%</w:t>
            </w:r>
          </w:p>
        </w:tc>
        <w:tc>
          <w:tcPr>
            <w:tcW w:type="dxa" w:w="5371"/>
          </w:tcPr>
          <w:p>
            <w:pPr>
              <w:spacing w:after="20"/>
              <w:jc w:val="left"/>
            </w:pPr>
            <w:r>
              <w:rPr>
                <w:color w:val="1C3A36"/>
                <w:sz w:val="16"/>
              </w:rPr>
              <w:t>their own contractual coupon — the overnight financing rate plus 125 basis points. It is not tax-relieved, because the coupon is a distribution rather than interest, and it is not marked down in the terminal by anything except the risk-free rate the margin sits on: the coupon floats, so its cost normalises as the base rate does</w:t>
            </w:r>
          </w:p>
        </w:tc>
      </w:tr>
      <w:tr>
        <w:trPr>
          <w:cantSplit/>
        </w:trPr>
        <w:tc>
          <w:tcPr>
            <w:tcW w:type="dxa" w:w="2232"/>
          </w:tcPr>
          <w:p>
            <w:pPr>
              <w:spacing w:after="20"/>
            </w:pPr>
            <w:r>
              <w:rPr>
                <w:color w:val="1C3A36"/>
                <w:sz w:val="16"/>
              </w:rPr>
              <w:t>Ordinary equity weight</w:t>
            </w:r>
          </w:p>
        </w:tc>
        <w:tc>
          <w:tcPr>
            <w:tcW w:type="dxa" w:w="1440"/>
          </w:tcPr>
          <w:p>
            <w:pPr>
              <w:spacing w:after="20"/>
              <w:jc w:val="right"/>
            </w:pPr>
            <w:r>
              <w:rPr>
                <w:color w:val="1C3A36"/>
                <w:sz w:val="16"/>
              </w:rPr>
              <w:t>80.0%</w:t>
            </w:r>
          </w:p>
        </w:tc>
        <w:tc>
          <w:tcPr>
            <w:tcW w:type="dxa" w:w="1037"/>
          </w:tcPr>
          <w:p>
            <w:pPr>
              <w:spacing w:after="20"/>
              <w:jc w:val="right"/>
            </w:pPr>
            <w:r>
              <w:rPr>
                <w:color w:val="1C3A36"/>
                <w:sz w:val="16"/>
              </w:rPr>
              <w:t>80.0%</w:t>
            </w:r>
          </w:p>
        </w:tc>
        <w:tc>
          <w:tcPr>
            <w:tcW w:type="dxa" w:w="5371"/>
          </w:tcPr>
          <w:p>
            <w:pPr>
              <w:spacing w:after="20"/>
              <w:jc w:val="left"/>
            </w:pPr>
            <w:r>
              <w:rPr>
                <w:color w:val="1C3A36"/>
                <w:sz w:val="16"/>
              </w:rPr>
              <w:t>market capitalisation of USD 12,410 million against gross debt of USD 1,115 million and perpetual capital securities of USD 1,979 million. Market-value weights throughout; book equity is never used</w:t>
            </w:r>
          </w:p>
        </w:tc>
      </w:tr>
      <w:tr>
        <w:trPr>
          <w:cantSplit/>
        </w:trPr>
        <w:tc>
          <w:tcPr>
            <w:tcW w:type="dxa" w:w="2232"/>
            <w:shd w:val="clear" w:color="auto" w:fill="F6F1E6"/>
          </w:tcPr>
          <w:p>
            <w:pPr>
              <w:spacing w:after="20"/>
            </w:pPr>
            <w:r>
              <w:rPr>
                <w:b/>
                <w:color w:val="1C3A36"/>
                <w:sz w:val="16"/>
              </w:rPr>
              <w:t>Debt weight</w:t>
            </w:r>
          </w:p>
        </w:tc>
        <w:tc>
          <w:tcPr>
            <w:tcW w:type="dxa" w:w="1440"/>
            <w:shd w:val="clear" w:color="auto" w:fill="F6F1E6"/>
          </w:tcPr>
          <w:p>
            <w:pPr>
              <w:spacing w:after="20"/>
              <w:jc w:val="right"/>
            </w:pPr>
            <w:r>
              <w:rPr>
                <w:b/>
                <w:color w:val="1C3A36"/>
                <w:sz w:val="16"/>
              </w:rPr>
              <w:t>7.2%</w:t>
            </w:r>
          </w:p>
        </w:tc>
        <w:tc>
          <w:tcPr>
            <w:tcW w:type="dxa" w:w="1037"/>
            <w:shd w:val="clear" w:color="auto" w:fill="F6F1E6"/>
          </w:tcPr>
          <w:p>
            <w:pPr>
              <w:spacing w:after="20"/>
              <w:jc w:val="right"/>
            </w:pPr>
            <w:r>
              <w:rPr>
                <w:b/>
                <w:color w:val="1C3A36"/>
                <w:sz w:val="16"/>
              </w:rPr>
              <w:t>7.2%</w:t>
            </w:r>
          </w:p>
        </w:tc>
        <w:tc>
          <w:tcPr>
            <w:tcW w:type="dxa" w:w="5371"/>
            <w:shd w:val="clear" w:color="auto" w:fill="F6F1E6"/>
          </w:tcPr>
          <w:p>
            <w:pPr>
              <w:spacing w:after="20"/>
              <w:jc w:val="left"/>
            </w:pPr>
            <w:r>
              <w:rPr>
                <w:b/>
                <w:color w:val="1C3A36"/>
                <w:sz w:val="16"/>
              </w:rPr>
            </w:r>
          </w:p>
        </w:tc>
      </w:tr>
      <w:tr>
        <w:trPr>
          <w:cantSplit/>
        </w:trPr>
        <w:tc>
          <w:tcPr>
            <w:tcW w:type="dxa" w:w="2232"/>
          </w:tcPr>
          <w:p>
            <w:pPr>
              <w:spacing w:after="20"/>
            </w:pPr>
            <w:r>
              <w:rPr>
                <w:color w:val="1C3A36"/>
                <w:sz w:val="16"/>
              </w:rPr>
              <w:t>Perpetual capital securities weight</w:t>
            </w:r>
          </w:p>
        </w:tc>
        <w:tc>
          <w:tcPr>
            <w:tcW w:type="dxa" w:w="1440"/>
          </w:tcPr>
          <w:p>
            <w:pPr>
              <w:spacing w:after="20"/>
              <w:jc w:val="right"/>
            </w:pPr>
            <w:r>
              <w:rPr>
                <w:color w:val="1C3A36"/>
                <w:sz w:val="16"/>
              </w:rPr>
              <w:t>12.8%</w:t>
            </w:r>
          </w:p>
        </w:tc>
        <w:tc>
          <w:tcPr>
            <w:tcW w:type="dxa" w:w="1037"/>
          </w:tcPr>
          <w:p>
            <w:pPr>
              <w:spacing w:after="20"/>
              <w:jc w:val="right"/>
            </w:pPr>
            <w:r>
              <w:rPr>
                <w:color w:val="1C3A36"/>
                <w:sz w:val="16"/>
              </w:rPr>
              <w:t>12.8%</w:t>
            </w:r>
          </w:p>
        </w:tc>
        <w:tc>
          <w:tcPr>
            <w:tcW w:type="dxa" w:w="5371"/>
          </w:tcPr>
          <w:p>
            <w:pPr>
              <w:spacing w:after="20"/>
              <w:jc w:val="left"/>
            </w:pPr>
            <w:r>
              <w:rPr>
                <w:color w:val="1C3A36"/>
                <w:sz w:val="16"/>
              </w:rPr>
              <w:t>An earlier edition of this study left this tranche out of the weights on the ground that it is already deducted in the bridge and counting it here would charge for it twice. That reasoning does not hold, and two independent reviews said so. Deducting a claim from value and pricing the capital it supplies are different operations: leaving it out took a cheap tranche of funding out of the enterprise without letting it lower the rate at which the enterprise is discounted. It is now weighted at its own coupon, which is the correction that moves the cost of capital from 9.01% to 8.49% and the terminal rate from 8.21% to 7.73%</w:t>
            </w:r>
          </w:p>
        </w:tc>
      </w:tr>
      <w:tr>
        <w:trPr>
          <w:cantSplit/>
        </w:trPr>
        <w:tc>
          <w:tcPr>
            <w:tcW w:type="dxa" w:w="2232"/>
          </w:tcPr>
          <w:p>
            <w:pPr>
              <w:spacing w:after="20"/>
            </w:pPr>
            <w:r>
              <w:rPr>
                <w:color w:val="1C3A36"/>
                <w:sz w:val="16"/>
              </w:rPr>
              <w:t>Cost of capital</w:t>
            </w:r>
          </w:p>
        </w:tc>
        <w:tc>
          <w:tcPr>
            <w:tcW w:type="dxa" w:w="1440"/>
          </w:tcPr>
          <w:p>
            <w:pPr>
              <w:spacing w:after="20"/>
              <w:jc w:val="right"/>
            </w:pPr>
            <w:r>
              <w:rPr>
                <w:color w:val="1C3A36"/>
                <w:sz w:val="16"/>
              </w:rPr>
              <w:t>8.49%</w:t>
            </w:r>
          </w:p>
        </w:tc>
        <w:tc>
          <w:tcPr>
            <w:tcW w:type="dxa" w:w="1037"/>
          </w:tcPr>
          <w:p>
            <w:pPr>
              <w:spacing w:after="20"/>
              <w:jc w:val="right"/>
            </w:pPr>
            <w:r>
              <w:rPr>
                <w:color w:val="1C3A36"/>
                <w:sz w:val="16"/>
              </w:rPr>
              <w:t>7.73%</w:t>
            </w:r>
          </w:p>
        </w:tc>
        <w:tc>
          <w:tcPr>
            <w:tcW w:type="dxa" w:w="5371"/>
          </w:tcPr>
          <w:p>
            <w:pPr>
              <w:spacing w:after="20"/>
              <w:jc w:val="left"/>
            </w:pPr>
            <w:r>
              <w:rPr>
                <w:color w:val="1C3A36"/>
                <w:sz w:val="16"/>
              </w:rPr>
              <w:t>each forecast year is discounted at its own point on the glide between the two, and the terminal value is capitalised at the terminal rate and brought back on the same cumulative factor as the year-five cash flow — one date, one price of time</w:t>
            </w:r>
          </w:p>
        </w:tc>
      </w:tr>
      <w:tr>
        <w:trPr>
          <w:cantSplit/>
        </w:trPr>
        <w:tc>
          <w:tcPr>
            <w:tcW w:type="dxa" w:w="2232"/>
          </w:tcPr>
          <w:p>
            <w:pPr>
              <w:spacing w:after="20"/>
            </w:pPr>
            <w:r>
              <w:rPr>
                <w:color w:val="1C3A36"/>
                <w:sz w:val="16"/>
              </w:rPr>
              <w:t>The glide, year by year</w:t>
            </w:r>
          </w:p>
        </w:tc>
        <w:tc>
          <w:tcPr>
            <w:tcW w:type="dxa" w:w="1440"/>
          </w:tcPr>
          <w:p>
            <w:pPr>
              <w:spacing w:after="20"/>
              <w:jc w:val="right"/>
            </w:pPr>
            <w:r>
              <w:rPr>
                <w:color w:val="1C3A36"/>
                <w:sz w:val="16"/>
              </w:rPr>
              <w:t>8.34% · 8.18% · 8.03% · 7.88% · 7.73%</w:t>
            </w:r>
          </w:p>
        </w:tc>
        <w:tc>
          <w:tcPr>
            <w:tcW w:type="dxa" w:w="1037"/>
          </w:tcPr>
          <w:p>
            <w:pPr>
              <w:spacing w:after="20"/>
              <w:jc w:val="right"/>
            </w:pPr>
            <w:r>
              <w:rPr>
                <w:color w:val="1C3A36"/>
                <w:sz w:val="16"/>
              </w:rPr>
            </w:r>
          </w:p>
        </w:tc>
        <w:tc>
          <w:tcPr>
            <w:tcW w:type="dxa" w:w="5371"/>
          </w:tcPr>
          <w:p>
            <w:pPr>
              <w:spacing w:after="20"/>
              <w:jc w:val="left"/>
            </w:pPr>
            <w:r>
              <w:rPr>
                <w:color w:val="1C3A36"/>
                <w:sz w:val="16"/>
              </w:rPr>
              <w:t>published so the discount factors in section 1.1 are reproducible</w:t>
            </w:r>
          </w:p>
        </w:tc>
      </w:tr>
    </w:tbl>
    <w:p>
      <w:pPr>
        <w:spacing w:after="40"/>
      </w:pPr>
    </w:p>
    <w:p>
      <w:pPr>
        <w:keepNext/>
        <w:spacing w:after="80" w:before="200"/>
      </w:pPr>
      <w:r>
        <w:rPr>
          <w:b/>
          <w:i w:val="0"/>
          <w:color w:val="1C3A36"/>
          <w:sz w:val="24"/>
        </w:rPr>
        <w:t>The beta — what it was measured against, and what a different market would give</w:t>
      </w:r>
    </w:p>
    <w:p>
      <w:pPr>
        <w:spacing w:after="120" w:before="0"/>
      </w:pPr>
      <w:r>
        <w:rPr>
          <w:b w:val="0"/>
          <w:i w:val="0"/>
          <w:color w:val="1C3A36"/>
          <w:sz w:val="21"/>
        </w:rPr>
        <w:t>A beta is a statement about co-movement with a market, so the series chosen to stand for the market decides the answer. This study regresses the share's own weekly returns on the FTSE ADX General Index — the published, capitalisation-weighted index of the exchange the share is listed on. The index series runs from 2011-01-02 to 2026-07-24 across 3,883 sessions and was screened against the exchange's own trading calendar before use.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584"/>
        <w:gridCol w:w="6019"/>
      </w:tblGrid>
      <w:tr>
        <w:trPr>
          <w:cantSplit/>
          <w:tblHeader/>
        </w:trPr>
        <w:tc>
          <w:tcPr>
            <w:tcW w:type="dxa" w:w="2477"/>
            <w:shd w:val="clear" w:color="auto" w:fill="EAF0EE"/>
          </w:tcPr>
          <w:p>
            <w:pPr>
              <w:spacing w:after="20"/>
            </w:pPr>
            <w:r>
              <w:rPr>
                <w:b/>
                <w:color w:val="1C3A36"/>
                <w:sz w:val="16"/>
              </w:rPr>
              <w:t>Item</w:t>
            </w:r>
          </w:p>
        </w:tc>
        <w:tc>
          <w:tcPr>
            <w:tcW w:type="dxa" w:w="1584"/>
            <w:shd w:val="clear" w:color="auto" w:fill="EAF0EE"/>
          </w:tcPr>
          <w:p>
            <w:pPr>
              <w:spacing w:after="20"/>
              <w:jc w:val="left"/>
            </w:pPr>
            <w:r>
              <w:rPr>
                <w:b/>
                <w:color w:val="1C3A36"/>
                <w:sz w:val="16"/>
              </w:rPr>
              <w:t>Value</w:t>
            </w:r>
          </w:p>
        </w:tc>
        <w:tc>
          <w:tcPr>
            <w:tcW w:type="dxa" w:w="6019"/>
            <w:shd w:val="clear" w:color="auto" w:fill="EAF0EE"/>
          </w:tcPr>
          <w:p>
            <w:pPr>
              <w:spacing w:after="20"/>
              <w:jc w:val="left"/>
            </w:pPr>
            <w:r>
              <w:rPr>
                <w:b/>
                <w:color w:val="1C3A36"/>
                <w:sz w:val="16"/>
              </w:rPr>
              <w:t>Note</w:t>
            </w:r>
          </w:p>
        </w:tc>
      </w:tr>
      <w:tr>
        <w:trPr>
          <w:cantSplit/>
        </w:trPr>
        <w:tc>
          <w:tcPr>
            <w:tcW w:type="dxa" w:w="2477"/>
          </w:tcPr>
          <w:p>
            <w:pPr>
              <w:spacing w:after="20"/>
            </w:pPr>
            <w:r>
              <w:rPr>
                <w:color w:val="1C3A36"/>
                <w:sz w:val="16"/>
              </w:rPr>
              <w:t>Market series used</w:t>
            </w:r>
          </w:p>
        </w:tc>
        <w:tc>
          <w:tcPr>
            <w:tcW w:type="dxa" w:w="1584"/>
          </w:tcPr>
          <w:p>
            <w:pPr>
              <w:spacing w:after="20"/>
              <w:jc w:val="left"/>
            </w:pPr>
            <w:r>
              <w:rPr>
                <w:color w:val="1C3A36"/>
                <w:sz w:val="16"/>
              </w:rPr>
              <w:t>FTSE ADX General Index</w:t>
            </w:r>
          </w:p>
        </w:tc>
        <w:tc>
          <w:tcPr>
            <w:tcW w:type="dxa" w:w="6019"/>
          </w:tcPr>
          <w:p>
            <w:pPr>
              <w:spacing w:after="20"/>
              <w:jc w:val="left"/>
            </w:pPr>
            <w:r>
              <w:rPr>
                <w:color w:val="1C3A36"/>
                <w:sz w:val="16"/>
              </w:rPr>
              <w:t>The published capitalisation-weighted index of the exchange the share is listed on — the local index the beta rule asks for.</w:t>
            </w:r>
          </w:p>
        </w:tc>
      </w:tr>
      <w:tr>
        <w:trPr>
          <w:cantSplit/>
        </w:trPr>
        <w:tc>
          <w:tcPr>
            <w:tcW w:type="dxa" w:w="2477"/>
          </w:tcPr>
          <w:p>
            <w:pPr>
              <w:spacing w:after="20"/>
            </w:pPr>
            <w:r>
              <w:rPr>
                <w:color w:val="1C3A36"/>
                <w:sz w:val="16"/>
              </w:rPr>
              <w:t>Span of that series</w:t>
            </w:r>
          </w:p>
        </w:tc>
        <w:tc>
          <w:tcPr>
            <w:tcW w:type="dxa" w:w="1584"/>
          </w:tcPr>
          <w:p>
            <w:pPr>
              <w:spacing w:after="20"/>
              <w:jc w:val="left"/>
            </w:pPr>
            <w:r>
              <w:rPr>
                <w:color w:val="1C3A36"/>
                <w:sz w:val="16"/>
              </w:rPr>
              <w:t>2011-01-02 to 2026-07-24</w:t>
            </w:r>
          </w:p>
        </w:tc>
        <w:tc>
          <w:tcPr>
            <w:tcW w:type="dxa" w:w="6019"/>
          </w:tcPr>
          <w:p>
            <w:pPr>
              <w:spacing w:after="20"/>
              <w:jc w:val="left"/>
            </w:pPr>
            <w:r>
              <w:rPr>
                <w:color w:val="1C3A36"/>
                <w:sz w:val="16"/>
              </w:rPr>
              <w:t>3,883 sessions</w:t>
            </w:r>
          </w:p>
        </w:tc>
      </w:tr>
      <w:tr>
        <w:trPr>
          <w:cantSplit/>
        </w:trPr>
        <w:tc>
          <w:tcPr>
            <w:tcW w:type="dxa" w:w="2477"/>
          </w:tcPr>
          <w:p>
            <w:pPr>
              <w:spacing w:after="20"/>
            </w:pPr>
            <w:r>
              <w:rPr>
                <w:color w:val="1C3A36"/>
                <w:sz w:val="16"/>
              </w:rPr>
              <w:t>Observations in the regression</w:t>
            </w:r>
          </w:p>
        </w:tc>
        <w:tc>
          <w:tcPr>
            <w:tcW w:type="dxa" w:w="1584"/>
          </w:tcPr>
          <w:p>
            <w:pPr>
              <w:spacing w:after="20"/>
              <w:jc w:val="left"/>
            </w:pPr>
            <w:r>
              <w:rPr>
                <w:color w:val="1C3A36"/>
                <w:sz w:val="16"/>
              </w:rPr>
              <w:t>161</w:t>
            </w:r>
          </w:p>
        </w:tc>
        <w:tc>
          <w:tcPr>
            <w:tcW w:type="dxa" w:w="6019"/>
          </w:tcPr>
          <w:p>
            <w:pPr>
              <w:spacing w:after="20"/>
              <w:jc w:val="left"/>
            </w:pPr>
            <w:r>
              <w:rPr>
                <w:color w:val="1C3A36"/>
                <w:sz w:val="16"/>
              </w:rPr>
              <w:t>weekly returns over the share's full listed history of 3.18 years — the share listed in June 2023, so a five-year window does not exist for it</w:t>
            </w:r>
          </w:p>
        </w:tc>
      </w:tr>
      <w:tr>
        <w:trPr>
          <w:cantSplit/>
        </w:trPr>
        <w:tc>
          <w:tcPr>
            <w:tcW w:type="dxa" w:w="2477"/>
            <w:shd w:val="clear" w:color="auto" w:fill="F6F1E6"/>
          </w:tcPr>
          <w:p>
            <w:pPr>
              <w:spacing w:after="20"/>
            </w:pPr>
            <w:r>
              <w:rPr>
                <w:b/>
                <w:color w:val="1C3A36"/>
                <w:sz w:val="16"/>
              </w:rPr>
              <w:t>Beta</w:t>
            </w:r>
          </w:p>
        </w:tc>
        <w:tc>
          <w:tcPr>
            <w:tcW w:type="dxa" w:w="1584"/>
            <w:shd w:val="clear" w:color="auto" w:fill="F6F1E6"/>
          </w:tcPr>
          <w:p>
            <w:pPr>
              <w:spacing w:after="20"/>
              <w:jc w:val="left"/>
            </w:pPr>
            <w:r>
              <w:rPr>
                <w:b/>
                <w:color w:val="1C3A36"/>
                <w:sz w:val="16"/>
              </w:rPr>
              <w:t>1.085</w:t>
            </w:r>
          </w:p>
        </w:tc>
        <w:tc>
          <w:tcPr>
            <w:tcW w:type="dxa" w:w="6019"/>
            <w:shd w:val="clear" w:color="auto" w:fill="F6F1E6"/>
          </w:tcPr>
          <w:p>
            <w:pPr>
              <w:spacing w:after="20"/>
              <w:jc w:val="left"/>
            </w:pPr>
            <w:r>
              <w:rPr>
                <w:b/>
                <w:color w:val="1C3A36"/>
                <w:sz w:val="16"/>
              </w:rPr>
              <w:t>the adopted figure, used in the cost of equity above</w:t>
            </w:r>
          </w:p>
        </w:tc>
      </w:tr>
      <w:tr>
        <w:trPr>
          <w:cantSplit/>
        </w:trPr>
        <w:tc>
          <w:tcPr>
            <w:tcW w:type="dxa" w:w="2477"/>
          </w:tcPr>
          <w:p>
            <w:pPr>
              <w:spacing w:after="20"/>
            </w:pPr>
            <w:r>
              <w:rPr>
                <w:color w:val="1C3A36"/>
                <w:sz w:val="16"/>
              </w:rPr>
              <w:t>Standard error</w:t>
            </w:r>
          </w:p>
        </w:tc>
        <w:tc>
          <w:tcPr>
            <w:tcW w:type="dxa" w:w="1584"/>
          </w:tcPr>
          <w:p>
            <w:pPr>
              <w:spacing w:after="20"/>
              <w:jc w:val="left"/>
            </w:pPr>
            <w:r>
              <w:rPr>
                <w:color w:val="1C3A36"/>
                <w:sz w:val="16"/>
              </w:rPr>
              <w:t>0.199</w:t>
            </w:r>
          </w:p>
        </w:tc>
        <w:tc>
          <w:tcPr>
            <w:tcW w:type="dxa" w:w="6019"/>
          </w:tcPr>
          <w:p>
            <w:pPr>
              <w:spacing w:after="20"/>
              <w:jc w:val="left"/>
            </w:pPr>
            <w:r>
              <w:rPr>
                <w:color w:val="1C3A36"/>
                <w:sz w:val="16"/>
              </w:rPr>
              <w:t>against the estimate itself, which is the usability test this has to pass</w:t>
            </w:r>
          </w:p>
        </w:tc>
      </w:tr>
      <w:tr>
        <w:trPr>
          <w:cantSplit/>
        </w:trPr>
        <w:tc>
          <w:tcPr>
            <w:tcW w:type="dxa" w:w="2477"/>
          </w:tcPr>
          <w:p>
            <w:pPr>
              <w:spacing w:after="20"/>
            </w:pPr>
            <w:r>
              <w:rPr>
                <w:color w:val="1C3A36"/>
                <w:sz w:val="16"/>
              </w:rPr>
              <w:t>R-squared</w:t>
            </w:r>
          </w:p>
        </w:tc>
        <w:tc>
          <w:tcPr>
            <w:tcW w:type="dxa" w:w="1584"/>
          </w:tcPr>
          <w:p>
            <w:pPr>
              <w:spacing w:after="20"/>
              <w:jc w:val="left"/>
            </w:pPr>
            <w:r>
              <w:rPr>
                <w:color w:val="1C3A36"/>
                <w:sz w:val="16"/>
              </w:rPr>
              <w:t>0.158</w:t>
            </w:r>
          </w:p>
        </w:tc>
        <w:tc>
          <w:tcPr>
            <w:tcW w:type="dxa" w:w="6019"/>
          </w:tcPr>
          <w:p>
            <w:pPr>
              <w:spacing w:after="20"/>
              <w:jc w:val="left"/>
            </w:pPr>
            <w:r>
              <w:rPr>
                <w:color w:val="1C3A36"/>
                <w:sz w:val="16"/>
              </w:rPr>
              <w:t>the share of the weekly return variance the index explains</w:t>
            </w:r>
          </w:p>
        </w:tc>
      </w:tr>
      <w:tr>
        <w:trPr>
          <w:cantSplit/>
        </w:trPr>
        <w:tc>
          <w:tcPr>
            <w:tcW w:type="dxa" w:w="2477"/>
          </w:tcPr>
          <w:p>
            <w:pPr>
              <w:spacing w:after="20"/>
            </w:pPr>
            <w:r>
              <w:rPr>
                <w:color w:val="1C3A36"/>
                <w:sz w:val="16"/>
              </w:rPr>
              <w:t>90% confidence interval</w:t>
            </w:r>
          </w:p>
        </w:tc>
        <w:tc>
          <w:tcPr>
            <w:tcW w:type="dxa" w:w="1584"/>
          </w:tcPr>
          <w:p>
            <w:pPr>
              <w:spacing w:after="20"/>
              <w:jc w:val="left"/>
            </w:pPr>
            <w:r>
              <w:rPr>
                <w:color w:val="1C3A36"/>
                <w:sz w:val="16"/>
              </w:rPr>
              <w:t>0.758 to 1.412</w:t>
            </w:r>
          </w:p>
        </w:tc>
        <w:tc>
          <w:tcPr>
            <w:tcW w:type="dxa" w:w="6019"/>
          </w:tcPr>
          <w:p>
            <w:pPr>
              <w:spacing w:after="20"/>
              <w:jc w:val="left"/>
            </w:pPr>
            <w:r>
              <w:rPr>
                <w:color w:val="1C3A36"/>
                <w:sz w:val="16"/>
              </w:rPr>
              <w:t>the bear and bull cases in this study take these two bounds directly, so the published fair-value range is the range this estimate itself supports</w:t>
            </w:r>
          </w:p>
        </w:tc>
      </w:tr>
      <w:tr>
        <w:trPr>
          <w:cantSplit/>
        </w:trPr>
        <w:tc>
          <w:tcPr>
            <w:tcW w:type="dxa" w:w="2477"/>
          </w:tcPr>
          <w:p>
            <w:pPr>
              <w:spacing w:after="20"/>
            </w:pPr>
            <w:r>
              <w:rPr>
                <w:color w:val="1C3A36"/>
                <w:sz w:val="16"/>
              </w:rPr>
              <w:t>Lead-lag sum beta</w:t>
            </w:r>
          </w:p>
        </w:tc>
        <w:tc>
          <w:tcPr>
            <w:tcW w:type="dxa" w:w="1584"/>
          </w:tcPr>
          <w:p>
            <w:pPr>
              <w:spacing w:after="20"/>
              <w:jc w:val="left"/>
            </w:pPr>
            <w:r>
              <w:rPr>
                <w:color w:val="1C3A36"/>
                <w:sz w:val="16"/>
              </w:rPr>
              <w:t>1.164</w:t>
            </w:r>
          </w:p>
        </w:tc>
        <w:tc>
          <w:tcPr>
            <w:tcW w:type="dxa" w:w="6019"/>
          </w:tcPr>
          <w:p>
            <w:pPr>
              <w:spacing w:after="20"/>
              <w:jc w:val="left"/>
            </w:pPr>
            <w:r>
              <w:rPr>
                <w:color w:val="1C3A36"/>
                <w:sz w:val="16"/>
              </w:rPr>
              <w:t>one lead and two lags, which recovers co-movement booked late because the share does not trade on every session. It is +0.079 against the adopted figure, so the correction points slightly higher rather than lower</w:t>
            </w:r>
          </w:p>
        </w:tc>
      </w:tr>
      <w:tr>
        <w:trPr>
          <w:cantSplit/>
        </w:trPr>
        <w:tc>
          <w:tcPr>
            <w:tcW w:type="dxa" w:w="2477"/>
            <w:shd w:val="clear" w:color="auto" w:fill="F6F1E6"/>
          </w:tcPr>
          <w:p>
            <w:pPr>
              <w:spacing w:after="20"/>
            </w:pPr>
            <w:r>
              <w:rPr>
                <w:b/>
                <w:color w:val="1C3A36"/>
                <w:sz w:val="16"/>
              </w:rPr>
              <w:t>The same regression on an equal-weight composite</w:t>
            </w:r>
          </w:p>
        </w:tc>
        <w:tc>
          <w:tcPr>
            <w:tcW w:type="dxa" w:w="1584"/>
            <w:shd w:val="clear" w:color="auto" w:fill="F6F1E6"/>
          </w:tcPr>
          <w:p>
            <w:pPr>
              <w:spacing w:after="20"/>
              <w:jc w:val="left"/>
            </w:pPr>
            <w:r>
              <w:rPr>
                <w:b/>
                <w:color w:val="1C3A36"/>
                <w:sz w:val="16"/>
              </w:rPr>
              <w:t>0.705</w:t>
            </w:r>
          </w:p>
        </w:tc>
        <w:tc>
          <w:tcPr>
            <w:tcW w:type="dxa" w:w="6019"/>
            <w:shd w:val="clear" w:color="auto" w:fill="F6F1E6"/>
          </w:tcPr>
          <w:p>
            <w:pPr>
              <w:spacing w:after="20"/>
              <w:jc w:val="left"/>
            </w:pPr>
            <w:r>
              <w:rPr>
                <w:b/>
                <w:color w:val="1C3A36"/>
                <w:sz w:val="16"/>
              </w:rPr>
              <w:t>Equal-weight composite of the exchange's own listed names, the subject excluded. This was the regressor before the published index was available; disclosed so the effect of the change is visible, not adopted. R-squared 0.172 on 163 observations across 12 names</w:t>
            </w:r>
          </w:p>
        </w:tc>
      </w:tr>
      <w:tr>
        <w:trPr>
          <w:cantSplit/>
        </w:trPr>
        <w:tc>
          <w:tcPr>
            <w:tcW w:type="dxa" w:w="2477"/>
          </w:tcPr>
          <w:p>
            <w:pPr>
              <w:spacing w:after="20"/>
            </w:pPr>
            <w:r>
              <w:rPr>
                <w:color w:val="1C3A36"/>
                <w:sz w:val="16"/>
              </w:rPr>
              <w:t>The same regression on the wider two-exchange composite</w:t>
            </w:r>
          </w:p>
        </w:tc>
        <w:tc>
          <w:tcPr>
            <w:tcW w:type="dxa" w:w="1584"/>
          </w:tcPr>
          <w:p>
            <w:pPr>
              <w:spacing w:after="20"/>
              <w:jc w:val="left"/>
            </w:pPr>
            <w:r>
              <w:rPr>
                <w:color w:val="1C3A36"/>
                <w:sz w:val="16"/>
              </w:rPr>
              <w:t>0.663</w:t>
            </w:r>
          </w:p>
        </w:tc>
        <w:tc>
          <w:tcPr>
            <w:tcW w:type="dxa" w:w="6019"/>
          </w:tcPr>
          <w:p>
            <w:pPr>
              <w:spacing w:after="20"/>
              <w:jc w:val="left"/>
            </w:pPr>
            <w:r>
              <w:rPr>
                <w:color w:val="1C3A36"/>
                <w:sz w:val="16"/>
              </w:rPr>
              <w:t>ADX + DFM equal-weight composite; disclosed, not adopted. R-squared 0.168 across 18 names</w:t>
            </w:r>
          </w:p>
        </w:tc>
      </w:tr>
      <w:tr>
        <w:trPr>
          <w:cantSplit/>
        </w:trPr>
        <w:tc>
          <w:tcPr>
            <w:tcW w:type="dxa" w:w="2477"/>
          </w:tcPr>
          <w:p>
            <w:pPr>
              <w:spacing w:after="20"/>
            </w:pPr>
            <w:r>
              <w:rPr>
                <w:color w:val="1C3A36"/>
                <w:sz w:val="16"/>
              </w:rPr>
              <w:t>Weekly observations excluded</w:t>
            </w:r>
          </w:p>
        </w:tc>
        <w:tc>
          <w:tcPr>
            <w:tcW w:type="dxa" w:w="1584"/>
          </w:tcPr>
          <w:p>
            <w:pPr>
              <w:spacing w:after="20"/>
              <w:jc w:val="left"/>
            </w:pPr>
            <w:r>
              <w:rPr>
                <w:color w:val="1C3A36"/>
                <w:sz w:val="16"/>
              </w:rPr>
              <w:t>2</w:t>
            </w:r>
          </w:p>
        </w:tc>
        <w:tc>
          <w:tcPr>
            <w:tcW w:type="dxa" w:w="6019"/>
          </w:tcPr>
          <w:p>
            <w:pPr>
              <w:spacing w:after="20"/>
              <w:jc w:val="left"/>
            </w:pPr>
            <w:r>
              <w:rPr>
                <w:color w:val="1C3A36"/>
                <w:sz w:val="16"/>
              </w:rPr>
              <w:t>The index series supplied ends 2026-07-24, before the last stock session used elsewhere in the study (2026-08-07). 2 weekly stock observations therefore fall outside the regression. The window stops where the index stops rather than pairing the stock against a stale index level.</w:t>
            </w:r>
          </w:p>
        </w:tc>
      </w:tr>
    </w:tbl>
    <w:p>
      <w:pPr>
        <w:spacing w:after="40"/>
      </w:pPr>
    </w:p>
    <w:p>
      <w:pPr>
        <w:spacing w:after="200" w:before="0"/>
      </w:pPr>
      <w:r>
        <w:rPr>
          <w:b w:val="0"/>
          <w:i/>
          <w:color w:val="6E7B77"/>
          <w:sz w:val="17"/>
        </w:rPr>
        <w:t>Why the published index and the composite differ by 0.380 of a beta is a fact about index construction, not about the company. A published index is weighted by size, so it is dominated by the same large-capitalisation group this share belongs to and a large share moving with its large peers registers as full co-movement. An equal-weight composite gives the exchange's smallest and thinnest names the same say as its largest, so it measures co-movement against a market this share is not really a member of, and a large liquid name will look defensive against it almost mechanically. Two disclosures cut against the adopted figure rather than for it and are stated here rather than left out. The share is itself a constituent of the index it is measured against, and on a capitalisation-weighted index that cannot be removed; run the equal-weight proxy both ways and including the subject lifts the measured beta by 0.203, which is the scale of the same pull the published-index figure carries. And the index series ends 2026-07-24, before the share's last session used elsewhere in this study, so 2 weekly observations fall outside the window rather than being paired against a stale index level.</w:t>
      </w:r>
    </w:p>
    <w:p>
      <w:pPr>
        <w:keepNext/>
        <w:spacing w:after="80" w:before="200"/>
      </w:pPr>
      <w:r>
        <w:rPr>
          <w:b/>
          <w:i w:val="0"/>
          <w:color w:val="1C3A36"/>
          <w:sz w:val="24"/>
        </w:rPr>
        <w:t>The cost of debt — six instruments, not an assumption</w:t>
      </w:r>
    </w:p>
    <w:p>
      <w:pPr>
        <w:spacing w:after="120" w:before="0"/>
      </w:pPr>
      <w:r>
        <w:rPr>
          <w:b w:val="0"/>
          <w:i w:val="0"/>
          <w:color w:val="1C3A36"/>
          <w:sz w:val="21"/>
        </w:rPr>
        <w:t>A single disclosed range is not evidence of what a company pays. Six separate instruments are visible in the statements and the market, and they are set out here rather than summarised into one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232"/>
        <w:gridCol w:w="1944"/>
      </w:tblGrid>
      <w:tr>
        <w:trPr>
          <w:cantSplit/>
          <w:tblHeader/>
        </w:trPr>
        <w:tc>
          <w:tcPr>
            <w:tcW w:type="dxa" w:w="5904"/>
            <w:shd w:val="clear" w:color="auto" w:fill="EAF0EE"/>
          </w:tcPr>
          <w:p>
            <w:pPr>
              <w:spacing w:after="20"/>
            </w:pPr>
            <w:r>
              <w:rPr>
                <w:b/>
                <w:color w:val="1C3A36"/>
                <w:sz w:val="16"/>
              </w:rPr>
              <w:t>Instrument</w:t>
            </w:r>
          </w:p>
        </w:tc>
        <w:tc>
          <w:tcPr>
            <w:tcW w:type="dxa" w:w="2232"/>
            <w:shd w:val="clear" w:color="auto" w:fill="EAF0EE"/>
          </w:tcPr>
          <w:p>
            <w:pPr>
              <w:spacing w:after="20"/>
              <w:jc w:val="left"/>
            </w:pPr>
            <w:r>
              <w:rPr>
                <w:b/>
                <w:color w:val="1C3A36"/>
                <w:sz w:val="16"/>
              </w:rPr>
              <w:t>Basis</w:t>
            </w:r>
          </w:p>
        </w:tc>
        <w:tc>
          <w:tcPr>
            <w:tcW w:type="dxa" w:w="1944"/>
            <w:shd w:val="clear" w:color="auto" w:fill="EAF0EE"/>
          </w:tcPr>
          <w:p>
            <w:pPr>
              <w:spacing w:after="20"/>
            </w:pPr>
            <w:r>
              <w:rPr>
                <w:b/>
                <w:color w:val="1C3A36"/>
                <w:sz w:val="16"/>
              </w:rPr>
              <w:t>Rate</w:t>
            </w:r>
          </w:p>
        </w:tc>
      </w:tr>
      <w:tr>
        <w:trPr>
          <w:cantSplit/>
        </w:trPr>
        <w:tc>
          <w:tcPr>
            <w:tcW w:type="dxa" w:w="5904"/>
          </w:tcPr>
          <w:p>
            <w:pPr>
              <w:spacing w:after="20"/>
            </w:pPr>
            <w:r>
              <w:rPr>
                <w:color w:val="1C3A36"/>
                <w:sz w:val="16"/>
              </w:rPr>
              <w:t>Parent revolving credit facility, drawn January 2026</w:t>
            </w:r>
          </w:p>
        </w:tc>
        <w:tc>
          <w:tcPr>
            <w:tcW w:type="dxa" w:w="2232"/>
          </w:tcPr>
          <w:p>
            <w:pPr>
              <w:spacing w:after="20"/>
              <w:jc w:val="left"/>
            </w:pPr>
            <w:r>
              <w:rPr>
                <w:color w:val="1C3A36"/>
                <w:sz w:val="16"/>
              </w:rPr>
              <w:t>SOFR + 0.80%</w:t>
            </w:r>
          </w:p>
        </w:tc>
        <w:tc>
          <w:tcPr>
            <w:tcW w:type="dxa" w:w="1944"/>
          </w:tcPr>
          <w:p>
            <w:pPr>
              <w:spacing w:after="20"/>
              <w:jc w:val="right"/>
            </w:pPr>
            <w:r>
              <w:rPr>
                <w:color w:val="1C3A36"/>
                <w:sz w:val="16"/>
              </w:rPr>
              <w:t>4.45%</w:t>
            </w:r>
          </w:p>
        </w:tc>
      </w:tr>
      <w:tr>
        <w:trPr>
          <w:cantSplit/>
        </w:trPr>
        <w:tc>
          <w:tcPr>
            <w:tcW w:type="dxa" w:w="5904"/>
          </w:tcPr>
          <w:p>
            <w:pPr>
              <w:spacing w:after="20"/>
            </w:pPr>
            <w:r>
              <w:rPr>
                <w:color w:val="1C3A36"/>
                <w:sz w:val="16"/>
              </w:rPr>
              <w:t>Third-party bank loans, disclosed weighted-average range 7.11%-7.55%</w:t>
            </w:r>
          </w:p>
        </w:tc>
        <w:tc>
          <w:tcPr>
            <w:tcW w:type="dxa" w:w="2232"/>
          </w:tcPr>
          <w:p>
            <w:pPr>
              <w:spacing w:after="20"/>
              <w:jc w:val="left"/>
            </w:pPr>
            <w:r>
              <w:rPr>
                <w:color w:val="1C3A36"/>
                <w:sz w:val="16"/>
              </w:rPr>
              <w:t>midpoint</w:t>
            </w:r>
          </w:p>
        </w:tc>
        <w:tc>
          <w:tcPr>
            <w:tcW w:type="dxa" w:w="1944"/>
          </w:tcPr>
          <w:p>
            <w:pPr>
              <w:spacing w:after="20"/>
              <w:jc w:val="right"/>
            </w:pPr>
            <w:r>
              <w:rPr>
                <w:color w:val="1C3A36"/>
                <w:sz w:val="16"/>
              </w:rPr>
              <w:t>7.33%</w:t>
            </w:r>
          </w:p>
        </w:tc>
      </w:tr>
      <w:tr>
        <w:trPr>
          <w:cantSplit/>
        </w:trPr>
        <w:tc>
          <w:tcPr>
            <w:tcW w:type="dxa" w:w="5904"/>
          </w:tcPr>
          <w:p>
            <w:pPr>
              <w:spacing w:after="20"/>
            </w:pPr>
            <w:r>
              <w:rPr>
                <w:color w:val="1C3A36"/>
                <w:sz w:val="16"/>
              </w:rPr>
              <w:t>Other third-party borrowings, disclosed range 4.36%-8.31%</w:t>
            </w:r>
          </w:p>
        </w:tc>
        <w:tc>
          <w:tcPr>
            <w:tcW w:type="dxa" w:w="2232"/>
          </w:tcPr>
          <w:p>
            <w:pPr>
              <w:spacing w:after="20"/>
              <w:jc w:val="left"/>
            </w:pPr>
            <w:r>
              <w:rPr>
                <w:color w:val="1C3A36"/>
                <w:sz w:val="16"/>
              </w:rPr>
              <w:t>midpoint</w:t>
            </w:r>
          </w:p>
        </w:tc>
        <w:tc>
          <w:tcPr>
            <w:tcW w:type="dxa" w:w="1944"/>
          </w:tcPr>
          <w:p>
            <w:pPr>
              <w:spacing w:after="20"/>
              <w:jc w:val="right"/>
            </w:pPr>
            <w:r>
              <w:rPr>
                <w:color w:val="1C3A36"/>
                <w:sz w:val="16"/>
              </w:rPr>
              <w:t>6.33%</w:t>
            </w:r>
          </w:p>
        </w:tc>
      </w:tr>
      <w:tr>
        <w:trPr>
          <w:cantSplit/>
        </w:trPr>
        <w:tc>
          <w:tcPr>
            <w:tcW w:type="dxa" w:w="5904"/>
          </w:tcPr>
          <w:p>
            <w:pPr>
              <w:spacing w:after="20"/>
            </w:pPr>
            <w:r>
              <w:rPr>
                <w:color w:val="1C3A36"/>
                <w:sz w:val="16"/>
              </w:rPr>
              <w:t>Lease liabilities, interest charged over the average balance in 2025</w:t>
            </w:r>
          </w:p>
        </w:tc>
        <w:tc>
          <w:tcPr>
            <w:tcW w:type="dxa" w:w="2232"/>
          </w:tcPr>
          <w:p>
            <w:pPr>
              <w:spacing w:after="20"/>
              <w:jc w:val="left"/>
            </w:pPr>
            <w:r>
              <w:rPr>
                <w:color w:val="1C3A36"/>
                <w:sz w:val="16"/>
              </w:rPr>
              <w:t>implied</w:t>
            </w:r>
          </w:p>
        </w:tc>
        <w:tc>
          <w:tcPr>
            <w:tcW w:type="dxa" w:w="1944"/>
          </w:tcPr>
          <w:p>
            <w:pPr>
              <w:spacing w:after="20"/>
              <w:jc w:val="right"/>
            </w:pPr>
            <w:r>
              <w:rPr>
                <w:color w:val="1C3A36"/>
                <w:sz w:val="16"/>
              </w:rPr>
              <w:t>6.47%</w:t>
            </w:r>
          </w:p>
        </w:tc>
      </w:tr>
      <w:tr>
        <w:trPr>
          <w:cantSplit/>
        </w:trPr>
        <w:tc>
          <w:tcPr>
            <w:tcW w:type="dxa" w:w="5904"/>
          </w:tcPr>
          <w:p>
            <w:pPr>
              <w:spacing w:after="20"/>
            </w:pPr>
            <w:r>
              <w:rPr>
                <w:color w:val="1C3A36"/>
                <w:sz w:val="16"/>
              </w:rPr>
              <w:t>Perpetual capital securities placed with a third-party investor</w:t>
            </w:r>
          </w:p>
        </w:tc>
        <w:tc>
          <w:tcPr>
            <w:tcW w:type="dxa" w:w="2232"/>
          </w:tcPr>
          <w:p>
            <w:pPr>
              <w:spacing w:after="20"/>
              <w:jc w:val="left"/>
            </w:pPr>
            <w:r>
              <w:rPr>
                <w:color w:val="1C3A36"/>
                <w:sz w:val="16"/>
              </w:rPr>
              <w:t>SOFR + 1.25%</w:t>
            </w:r>
          </w:p>
        </w:tc>
        <w:tc>
          <w:tcPr>
            <w:tcW w:type="dxa" w:w="1944"/>
          </w:tcPr>
          <w:p>
            <w:pPr>
              <w:spacing w:after="20"/>
              <w:jc w:val="right"/>
            </w:pPr>
            <w:r>
              <w:rPr>
                <w:color w:val="1C3A36"/>
                <w:sz w:val="16"/>
              </w:rPr>
              <w:t>4.90%</w:t>
            </w:r>
          </w:p>
        </w:tc>
      </w:tr>
      <w:tr>
        <w:trPr>
          <w:cantSplit/>
        </w:trPr>
        <w:tc>
          <w:tcPr>
            <w:tcW w:type="dxa" w:w="5904"/>
          </w:tcPr>
          <w:p>
            <w:pPr>
              <w:spacing w:after="20"/>
            </w:pPr>
            <w:r>
              <w:rPr>
                <w:color w:val="1C3A36"/>
                <w:sz w:val="16"/>
              </w:rPr>
              <w:t>Local government bond, the dirham tranche maturing January 2031</w:t>
            </w:r>
          </w:p>
        </w:tc>
        <w:tc>
          <w:tcPr>
            <w:tcW w:type="dxa" w:w="2232"/>
          </w:tcPr>
          <w:p>
            <w:pPr>
              <w:spacing w:after="20"/>
              <w:jc w:val="left"/>
            </w:pPr>
            <w:r>
              <w:rPr>
                <w:color w:val="1C3A36"/>
                <w:sz w:val="16"/>
              </w:rPr>
              <w:t>auction yield</w:t>
            </w:r>
          </w:p>
        </w:tc>
        <w:tc>
          <w:tcPr>
            <w:tcW w:type="dxa" w:w="1944"/>
          </w:tcPr>
          <w:p>
            <w:pPr>
              <w:spacing w:after="20"/>
              <w:jc w:val="right"/>
            </w:pPr>
            <w:r>
              <w:rPr>
                <w:color w:val="1C3A36"/>
                <w:sz w:val="16"/>
              </w:rPr>
              <w:t>4.48%</w:t>
            </w:r>
          </w:p>
        </w:tc>
      </w:tr>
      <w:tr>
        <w:trPr>
          <w:cantSplit/>
        </w:trPr>
        <w:tc>
          <w:tcPr>
            <w:tcW w:type="dxa" w:w="5904"/>
            <w:shd w:val="clear" w:color="auto" w:fill="F6F1E6"/>
          </w:tcPr>
          <w:p>
            <w:pPr>
              <w:spacing w:after="20"/>
            </w:pPr>
            <w:r>
              <w:rPr>
                <w:b/>
                <w:color w:val="1C3A36"/>
                <w:sz w:val="16"/>
              </w:rPr>
              <w:t>Adopted cost of debt, pre-tax</w:t>
            </w:r>
          </w:p>
        </w:tc>
        <w:tc>
          <w:tcPr>
            <w:tcW w:type="dxa" w:w="2232"/>
            <w:shd w:val="clear" w:color="auto" w:fill="F6F1E6"/>
          </w:tcPr>
          <w:p>
            <w:pPr>
              <w:spacing w:after="20"/>
              <w:jc w:val="left"/>
            </w:pPr>
            <w:r>
              <w:rPr>
                <w:b/>
                <w:color w:val="1C3A36"/>
                <w:sz w:val="16"/>
              </w:rPr>
              <w:t>weighted across the drawn book</w:t>
            </w:r>
          </w:p>
        </w:tc>
        <w:tc>
          <w:tcPr>
            <w:tcW w:type="dxa" w:w="1944"/>
            <w:shd w:val="clear" w:color="auto" w:fill="F6F1E6"/>
          </w:tcPr>
          <w:p>
            <w:pPr>
              <w:spacing w:after="20"/>
              <w:jc w:val="right"/>
            </w:pPr>
            <w:r>
              <w:rPr>
                <w:b/>
                <w:color w:val="1C3A36"/>
                <w:sz w:val="16"/>
              </w:rPr>
              <w:t>5.82%</w:t>
            </w:r>
          </w:p>
        </w:tc>
      </w:tr>
    </w:tbl>
    <w:p>
      <w:pPr>
        <w:spacing w:after="40"/>
      </w:pPr>
    </w:p>
    <w:p>
      <w:pPr>
        <w:spacing w:after="200" w:before="0"/>
      </w:pPr>
      <w:r>
        <w:rPr>
          <w:b w:val="0"/>
          <w:i/>
          <w:color w:val="6E7B77"/>
          <w:sz w:val="17"/>
        </w:rPr>
        <w:t>The spread of the evidence is the point. The parent revolving facility at the secured overnight financing rate plus 80 basis points is the cheapest money in the book and is a genuine benefit of the ownership structure; third-party bank debt costs 288 basis points more. The adopted rate sits between them, weighted by what is actually drawn. It sits above the local sovereign yield of 4.48%, as a corporate borrowing in the same currency must. The perpetual capital securities appear in the evidence because they price the company's own subordinated risk, and they are also carried in the weights at that same 4.90% rather than averaged into the cost of debt: they are neither debt nor ordinary equity, so they get a weight and a rate of their own. They are deducted in the bridge as well, and that is not a double charge — deducting a claim from value and pricing the capital it supplies are two different operations, and doing only the first is what the earlier edition of this study got wrong.</w:t>
      </w:r>
    </w:p>
    <w:p>
      <w:pPr>
        <w:keepNext/>
        <w:spacing w:after="80" w:before="200"/>
      </w:pPr>
      <w:r>
        <w:rPr>
          <w:b/>
          <w:i w:val="0"/>
          <w:color w:val="1C3A36"/>
          <w:sz w:val="24"/>
        </w:rPr>
        <w:t>Where this construction is contested, and what the alternatives are worth</w:t>
      </w:r>
    </w:p>
    <w:p>
      <w:pPr>
        <w:spacing w:after="120" w:before="0"/>
      </w:pPr>
      <w:r>
        <w:rPr>
          <w:b w:val="0"/>
          <w:i w:val="0"/>
          <w:color w:val="1C3A36"/>
          <w:sz w:val="21"/>
        </w:rPr>
        <w:t>Five choices above are legitimately arguable. Each alternative is computed and its value published, so a reader who prefers a different convention can take the number directly instead of guessing at its size.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2664"/>
        <w:gridCol w:w="1843"/>
        <w:gridCol w:w="3240"/>
      </w:tblGrid>
      <w:tr>
        <w:trPr>
          <w:cantSplit/>
          <w:tblHeader/>
        </w:trPr>
        <w:tc>
          <w:tcPr>
            <w:tcW w:type="dxa" w:w="2333"/>
            <w:shd w:val="clear" w:color="auto" w:fill="EAF0EE"/>
          </w:tcPr>
          <w:p>
            <w:pPr>
              <w:spacing w:after="20"/>
            </w:pPr>
            <w:r>
              <w:rPr>
                <w:b/>
                <w:color w:val="1C3A36"/>
                <w:sz w:val="15"/>
              </w:rPr>
              <w:t>The choice made</w:t>
            </w:r>
          </w:p>
        </w:tc>
        <w:tc>
          <w:tcPr>
            <w:tcW w:type="dxa" w:w="2664"/>
            <w:shd w:val="clear" w:color="auto" w:fill="EAF0EE"/>
          </w:tcPr>
          <w:p>
            <w:pPr>
              <w:spacing w:after="20"/>
            </w:pPr>
            <w:r>
              <w:rPr>
                <w:b/>
                <w:color w:val="1C3A36"/>
                <w:sz w:val="15"/>
              </w:rPr>
              <w:t>The alternative</w:t>
            </w:r>
          </w:p>
        </w:tc>
        <w:tc>
          <w:tcPr>
            <w:tcW w:type="dxa" w:w="1843"/>
            <w:shd w:val="clear" w:color="auto" w:fill="EAF0EE"/>
          </w:tcPr>
          <w:p>
            <w:pPr>
              <w:spacing w:after="20"/>
            </w:pPr>
            <w:r>
              <w:rPr>
                <w:b/>
                <w:color w:val="1C3A36"/>
                <w:sz w:val="15"/>
              </w:rPr>
              <w:t>Value on the alternative</w:t>
            </w:r>
          </w:p>
        </w:tc>
        <w:tc>
          <w:tcPr>
            <w:tcW w:type="dxa" w:w="3240"/>
            <w:shd w:val="clear" w:color="auto" w:fill="EAF0EE"/>
          </w:tcPr>
          <w:p>
            <w:pPr>
              <w:spacing w:after="20"/>
            </w:pPr>
            <w:r>
              <w:rPr>
                <w:b/>
                <w:color w:val="1C3A36"/>
                <w:sz w:val="15"/>
              </w:rPr>
              <w:t>Why ours</w:t>
            </w:r>
          </w:p>
        </w:tc>
      </w:tr>
      <w:tr>
        <w:trPr>
          <w:cantSplit/>
        </w:trPr>
        <w:tc>
          <w:tcPr>
            <w:tcW w:type="dxa" w:w="2333"/>
          </w:tcPr>
          <w:p>
            <w:pPr>
              <w:spacing w:after="20"/>
            </w:pPr>
            <w:r>
              <w:rPr>
                <w:color w:val="1C3A36"/>
                <w:sz w:val="15"/>
              </w:rPr>
              <w:t>Beta measured against the published index of its own exchange, giving 1.085</w:t>
            </w:r>
          </w:p>
        </w:tc>
        <w:tc>
          <w:tcPr>
            <w:tcW w:type="dxa" w:w="2664"/>
          </w:tcPr>
          <w:p>
            <w:pPr>
              <w:spacing w:after="20"/>
            </w:pPr>
            <w:r>
              <w:rPr>
                <w:color w:val="1C3A36"/>
                <w:sz w:val="15"/>
              </w:rPr>
              <w:t>The same regression against an equal-weight composite of the same exchange's names, giving 0.705 — cost of equity 7.49% instead of 9.34%</w:t>
            </w:r>
          </w:p>
        </w:tc>
        <w:tc>
          <w:tcPr>
            <w:tcW w:type="dxa" w:w="1843"/>
          </w:tcPr>
          <w:p>
            <w:pPr>
              <w:spacing w:after="20"/>
            </w:pPr>
            <w:r>
              <w:rPr>
                <w:color w:val="1C3A36"/>
                <w:sz w:val="15"/>
              </w:rPr>
              <w:t>AED 8.59 against 6.03</w:t>
            </w:r>
          </w:p>
        </w:tc>
        <w:tc>
          <w:tcPr>
            <w:tcW w:type="dxa" w:w="3240"/>
          </w:tcPr>
          <w:p>
            <w:pPr>
              <w:spacing w:after="20"/>
            </w:pPr>
            <w:r>
              <w:rPr>
                <w:color w:val="1C3A36"/>
                <w:sz w:val="15"/>
              </w:rPr>
              <w:t>The published index is preferred, and not narrowly: it is the index of the exchange the share is listed on, and measuring a share against a composite in which the exchange’s smallest names carry the same weight as its largest measures it against a market it is not a member of. The composite is published at full size because it is what an earlier construction of this study used and the difference is large. Note that the adopted choice is the less flattering one</w:t>
            </w:r>
          </w:p>
        </w:tc>
      </w:tr>
      <w:tr>
        <w:trPr>
          <w:cantSplit/>
        </w:trPr>
        <w:tc>
          <w:tcPr>
            <w:tcW w:type="dxa" w:w="2333"/>
          </w:tcPr>
          <w:p>
            <w:pPr>
              <w:spacing w:after="20"/>
            </w:pPr>
            <w:r>
              <w:rPr>
                <w:color w:val="1C3A36"/>
                <w:sz w:val="15"/>
              </w:rPr>
              <w:t>Perpetual capital securities deducted at carrying value</w:t>
            </w:r>
          </w:p>
        </w:tc>
        <w:tc>
          <w:tcPr>
            <w:tcW w:type="dxa" w:w="2664"/>
          </w:tcPr>
          <w:p>
            <w:pPr>
              <w:spacing w:after="20"/>
            </w:pPr>
            <w:r>
              <w:rPr>
                <w:color w:val="1C3A36"/>
                <w:sz w:val="15"/>
              </w:rPr>
              <w:t>Deducted at the present value of their perpetual coupon, capitalised at the terminal cost of capital</w:t>
            </w:r>
          </w:p>
        </w:tc>
        <w:tc>
          <w:tcPr>
            <w:tcW w:type="dxa" w:w="1843"/>
          </w:tcPr>
          <w:p>
            <w:pPr>
              <w:spacing w:after="20"/>
            </w:pPr>
            <w:r>
              <w:rPr>
                <w:color w:val="1C3A36"/>
                <w:sz w:val="15"/>
              </w:rPr>
              <w:t>AED 6.39, +0.36 against 6.03</w:t>
            </w:r>
          </w:p>
        </w:tc>
        <w:tc>
          <w:tcPr>
            <w:tcW w:type="dxa" w:w="3240"/>
          </w:tcPr>
          <w:p>
            <w:pPr>
              <w:spacing w:after="20"/>
            </w:pPr>
            <w:r>
              <w:rPr>
                <w:color w:val="1C3A36"/>
                <w:sz w:val="15"/>
              </w:rPr>
              <w:t>Carrying value is the more conservative and is the amount that would have to be found if the securities were ever called. The coupon-value treatment is the right one if they are genuinely permanent. Both are shown in the bridge</w:t>
            </w:r>
          </w:p>
        </w:tc>
      </w:tr>
      <w:tr>
        <w:trPr>
          <w:cantSplit/>
        </w:trPr>
        <w:tc>
          <w:tcPr>
            <w:tcW w:type="dxa" w:w="2333"/>
          </w:tcPr>
          <w:p>
            <w:pPr>
              <w:spacing w:after="20"/>
            </w:pPr>
            <w:r>
              <w:rPr>
                <w:color w:val="1C3A36"/>
                <w:sz w:val="15"/>
              </w:rPr>
              <w:t>Country risk entering once, through the premium</w:t>
            </w:r>
          </w:p>
        </w:tc>
        <w:tc>
          <w:tcPr>
            <w:tcW w:type="dxa" w:w="2664"/>
          </w:tcPr>
          <w:p>
            <w:pPr>
              <w:spacing w:after="20"/>
            </w:pPr>
            <w:r>
              <w:rPr>
                <w:color w:val="1C3A36"/>
                <w:sz w:val="15"/>
              </w:rPr>
              <w:t>Using the raw local yield of 4.48% together with a premium that already contains the country charge</w:t>
            </w:r>
          </w:p>
        </w:tc>
        <w:tc>
          <w:tcPr>
            <w:tcW w:type="dxa" w:w="1843"/>
          </w:tcPr>
          <w:p>
            <w:pPr>
              <w:spacing w:after="20"/>
            </w:pPr>
            <w:r>
              <w:rPr>
                <w:color w:val="1C3A36"/>
                <w:sz w:val="15"/>
              </w:rPr>
              <w:t>raises the cost of equity by the sovereign spread of 0.42% and lowers the value</w:t>
            </w:r>
          </w:p>
        </w:tc>
        <w:tc>
          <w:tcPr>
            <w:tcW w:type="dxa" w:w="3240"/>
          </w:tcPr>
          <w:p>
            <w:pPr>
              <w:spacing w:after="20"/>
            </w:pPr>
            <w:r>
              <w:rPr>
                <w:color w:val="1C3A36"/>
                <w:sz w:val="15"/>
              </w:rPr>
              <w:t>That construction double-counts sovereign risk. The spread is netted from the yield and re-enters through the premium; the net country charge is therefore the premium itself, not the premium plus the spread</w:t>
            </w:r>
          </w:p>
        </w:tc>
      </w:tr>
      <w:tr>
        <w:trPr>
          <w:cantSplit/>
        </w:trPr>
        <w:tc>
          <w:tcPr>
            <w:tcW w:type="dxa" w:w="2333"/>
          </w:tcPr>
          <w:p>
            <w:pPr>
              <w:spacing w:after="20"/>
            </w:pPr>
            <w:r>
              <w:rPr>
                <w:color w:val="1C3A36"/>
                <w:sz w:val="15"/>
              </w:rPr>
              <w:t>A single premium basis, because only one exists for this country</w:t>
            </w:r>
          </w:p>
        </w:tc>
        <w:tc>
          <w:tcPr>
            <w:tcW w:type="dxa" w:w="2664"/>
          </w:tcPr>
          <w:p>
            <w:pPr>
              <w:spacing w:after="20"/>
            </w:pPr>
            <w:r>
              <w:rPr>
                <w:color w:val="1C3A36"/>
                <w:sz w:val="15"/>
              </w:rPr>
              <w:t>The credit-default-swap basis of the same published file</w:t>
            </w:r>
          </w:p>
        </w:tc>
        <w:tc>
          <w:tcPr>
            <w:tcW w:type="dxa" w:w="1843"/>
          </w:tcPr>
          <w:p>
            <w:pPr>
              <w:spacing w:after="20"/>
            </w:pPr>
            <w:r>
              <w:rPr>
                <w:color w:val="1C3A36"/>
                <w:sz w:val="15"/>
              </w:rPr>
              <w:t>not available — the UAE has no sovereign swap entry in the file</w:t>
            </w:r>
          </w:p>
        </w:tc>
        <w:tc>
          <w:tcPr>
            <w:tcW w:type="dxa" w:w="3240"/>
          </w:tcPr>
          <w:p>
            <w:pPr>
              <w:spacing w:after="20"/>
            </w:pPr>
            <w:r>
              <w:rPr>
                <w:color w:val="1C3A36"/>
                <w:sz w:val="15"/>
              </w:rPr>
              <w:t>This is stated rather than omitted. Gulf comparators that do carry both bases show they are not interchangeable: Saudi Arabia’s swap basis gives 5.72% against 5.01% on the agency credit-rating basis, a gap of about seventy basis points. A reader should treat the single available basis as carrying that much construction uncertainty</w:t>
            </w:r>
          </w:p>
        </w:tc>
      </w:tr>
      <w:tr>
        <w:trPr>
          <w:cantSplit/>
        </w:trPr>
        <w:tc>
          <w:tcPr>
            <w:tcW w:type="dxa" w:w="2333"/>
          </w:tcPr>
          <w:p>
            <w:pPr>
              <w:spacing w:after="20"/>
            </w:pPr>
            <w:r>
              <w:rPr>
                <w:color w:val="1C3A36"/>
                <w:sz w:val="15"/>
              </w:rPr>
              <w:t>Tax charged unit by unit at each unit’s own disclosed effective rate</w:t>
            </w:r>
          </w:p>
        </w:tc>
        <w:tc>
          <w:tcPr>
            <w:tcW w:type="dxa" w:w="2664"/>
          </w:tcPr>
          <w:p>
            <w:pPr>
              <w:spacing w:after="20"/>
            </w:pPr>
            <w:r>
              <w:rPr>
                <w:color w:val="1C3A36"/>
                <w:sz w:val="15"/>
              </w:rPr>
              <w:t>A uniform 15% across the group, the domestic minimum top-up rate</w:t>
            </w:r>
          </w:p>
        </w:tc>
        <w:tc>
          <w:tcPr>
            <w:tcW w:type="dxa" w:w="1843"/>
          </w:tcPr>
          <w:p>
            <w:pPr>
              <w:spacing w:after="20"/>
            </w:pPr>
            <w:r>
              <w:rPr>
                <w:color w:val="1C3A36"/>
                <w:sz w:val="15"/>
              </w:rPr>
              <w:t>AED 5.01 against 6.03</w:t>
            </w:r>
          </w:p>
        </w:tc>
        <w:tc>
          <w:tcPr>
            <w:tcW w:type="dxa" w:w="3240"/>
          </w:tcPr>
          <w:p>
            <w:pPr>
              <w:spacing w:after="20"/>
            </w:pPr>
            <w:r>
              <w:rPr>
                <w:color w:val="1C3A36"/>
                <w:sz w:val="15"/>
              </w:rPr>
              <w:t>The unit rates are what the company actually bore in FY2025 — about 1% in shipping, where international shipping income is relieved. Using a statutory rate the company does not pay would be wrong; but the relief is a policy choice that can change, so the downside is priced rather than assumed away</w:t>
            </w:r>
          </w:p>
        </w:tc>
      </w:tr>
    </w:tbl>
    <w:p>
      <w:pPr>
        <w:spacing w:after="40"/>
      </w:pP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400800" cy="2536166"/>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6400800" cy="2536166"/>
                    </a:xfrm>
                    <a:prstGeom prst="rect"/>
                  </pic:spPr>
                </pic:pic>
              </a:graphicData>
            </a:graphic>
          </wp:inline>
        </w:drawing>
      </w:r>
    </w:p>
    <w:p>
      <w:pPr>
        <w:spacing w:after="200" w:before="0"/>
      </w:pPr>
      <w:r>
        <w:rPr>
          <w:b w:val="0"/>
          <w:i/>
          <w:color w:val="6E7B77"/>
          <w:sz w:val="17"/>
        </w:rPr>
        <w:t>Figure 4 — left, fair value across beta and terminal growth; right, fair value against the mid-cycle rate the fleet reverts to. The market price of AED 6.16 is crossed in the beta grid between the 0.900 and 1.085 rows, and in the rate-anchor range between the 100% and 110% anchors.</w:t>
      </w:r>
    </w:p>
    <w:p>
      <w:pPr>
        <w:spacing w:after="120" w:before="0"/>
      </w:pPr>
      <w:r>
        <w:rPr>
          <w:b w:val="0"/>
          <w:i w:val="0"/>
          <w:color w:val="1C3A36"/>
          <w:sz w:val="21"/>
        </w:rPr>
        <w:t>Each anchor is varied independently around its own base, so each row shows what the valuation needs that one thing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555"/>
        <w:gridCol w:w="1555"/>
        <w:gridCol w:w="1555"/>
        <w:gridCol w:w="1555"/>
        <w:gridCol w:w="1555"/>
      </w:tblGrid>
      <w:tr>
        <w:trPr>
          <w:cantSplit/>
          <w:tblHeader/>
        </w:trPr>
        <w:tc>
          <w:tcPr>
            <w:tcW w:type="dxa" w:w="2304"/>
            <w:shd w:val="clear" w:color="auto" w:fill="EAF0EE"/>
          </w:tcPr>
          <w:p>
            <w:pPr>
              <w:spacing w:after="20"/>
            </w:pPr>
            <w:r>
              <w:rPr>
                <w:b/>
                <w:color w:val="1C3A36"/>
                <w:sz w:val="16"/>
              </w:rPr>
              <w:t>Beta →</w:t>
            </w:r>
          </w:p>
        </w:tc>
        <w:tc>
          <w:tcPr>
            <w:tcW w:type="dxa" w:w="1555"/>
            <w:shd w:val="clear" w:color="auto" w:fill="EAF0EE"/>
          </w:tcPr>
          <w:p>
            <w:pPr>
              <w:spacing w:after="20"/>
            </w:pPr>
            <w:r>
              <w:rPr>
                <w:b/>
                <w:color w:val="1C3A36"/>
                <w:sz w:val="16"/>
              </w:rPr>
              <w:t>0.705</w:t>
            </w:r>
          </w:p>
        </w:tc>
        <w:tc>
          <w:tcPr>
            <w:tcW w:type="dxa" w:w="1555"/>
            <w:shd w:val="clear" w:color="auto" w:fill="EAF0EE"/>
          </w:tcPr>
          <w:p>
            <w:pPr>
              <w:spacing w:after="20"/>
            </w:pPr>
            <w:r>
              <w:rPr>
                <w:b/>
                <w:color w:val="1C3A36"/>
                <w:sz w:val="16"/>
              </w:rPr>
              <w:t>0.900</w:t>
            </w:r>
          </w:p>
        </w:tc>
        <w:tc>
          <w:tcPr>
            <w:tcW w:type="dxa" w:w="1555"/>
            <w:shd w:val="clear" w:color="auto" w:fill="EAF0EE"/>
          </w:tcPr>
          <w:p>
            <w:pPr>
              <w:spacing w:after="20"/>
            </w:pPr>
            <w:r>
              <w:rPr>
                <w:b/>
                <w:color w:val="1C3A36"/>
                <w:sz w:val="16"/>
              </w:rPr>
              <w:t>1.085</w:t>
            </w:r>
          </w:p>
        </w:tc>
        <w:tc>
          <w:tcPr>
            <w:tcW w:type="dxa" w:w="1555"/>
            <w:shd w:val="clear" w:color="auto" w:fill="EAF0EE"/>
          </w:tcPr>
          <w:p>
            <w:pPr>
              <w:spacing w:after="20"/>
            </w:pPr>
            <w:r>
              <w:rPr>
                <w:b/>
                <w:color w:val="1C3A36"/>
                <w:sz w:val="16"/>
              </w:rPr>
              <w:t>1.250</w:t>
            </w:r>
          </w:p>
        </w:tc>
        <w:tc>
          <w:tcPr>
            <w:tcW w:type="dxa" w:w="1555"/>
            <w:shd w:val="clear" w:color="auto" w:fill="EAF0EE"/>
          </w:tcPr>
          <w:p>
            <w:pPr>
              <w:spacing w:after="20"/>
            </w:pPr>
            <w:r>
              <w:rPr>
                <w:b/>
                <w:color w:val="1C3A36"/>
                <w:sz w:val="16"/>
              </w:rPr>
              <w:t>1.412</w:t>
            </w:r>
          </w:p>
        </w:tc>
      </w:tr>
      <w:tr>
        <w:trPr>
          <w:cantSplit/>
        </w:trPr>
        <w:tc>
          <w:tcPr>
            <w:tcW w:type="dxa" w:w="2304"/>
          </w:tcPr>
          <w:p>
            <w:pPr>
              <w:spacing w:after="20"/>
            </w:pPr>
            <w:r>
              <w:rPr>
                <w:color w:val="1C3A36"/>
                <w:sz w:val="16"/>
              </w:rPr>
              <w:t>terminal growth 1.0%</w:t>
            </w:r>
          </w:p>
        </w:tc>
        <w:tc>
          <w:tcPr>
            <w:tcW w:type="dxa" w:w="1555"/>
          </w:tcPr>
          <w:p>
            <w:pPr>
              <w:spacing w:after="20"/>
              <w:jc w:val="right"/>
            </w:pPr>
            <w:r>
              <w:rPr>
                <w:color w:val="1C3A36"/>
                <w:sz w:val="16"/>
              </w:rPr>
              <w:t>7.68</w:t>
            </w:r>
          </w:p>
        </w:tc>
        <w:tc>
          <w:tcPr>
            <w:tcW w:type="dxa" w:w="1555"/>
          </w:tcPr>
          <w:p>
            <w:pPr>
              <w:spacing w:after="20"/>
              <w:jc w:val="right"/>
            </w:pPr>
            <w:r>
              <w:rPr>
                <w:color w:val="1C3A36"/>
                <w:sz w:val="16"/>
              </w:rPr>
              <w:t>6.52</w:t>
            </w:r>
          </w:p>
        </w:tc>
        <w:tc>
          <w:tcPr>
            <w:tcW w:type="dxa" w:w="1555"/>
          </w:tcPr>
          <w:p>
            <w:pPr>
              <w:spacing w:after="20"/>
              <w:jc w:val="right"/>
            </w:pPr>
            <w:r>
              <w:rPr>
                <w:color w:val="1C3A36"/>
                <w:sz w:val="16"/>
              </w:rPr>
              <w:t>5.66</w:t>
            </w:r>
          </w:p>
        </w:tc>
        <w:tc>
          <w:tcPr>
            <w:tcW w:type="dxa" w:w="1555"/>
          </w:tcPr>
          <w:p>
            <w:pPr>
              <w:spacing w:after="20"/>
              <w:jc w:val="right"/>
            </w:pPr>
            <w:r>
              <w:rPr>
                <w:color w:val="1C3A36"/>
                <w:sz w:val="16"/>
              </w:rPr>
              <w:t>5.04</w:t>
            </w:r>
          </w:p>
        </w:tc>
        <w:tc>
          <w:tcPr>
            <w:tcW w:type="dxa" w:w="1555"/>
          </w:tcPr>
          <w:p>
            <w:pPr>
              <w:spacing w:after="20"/>
              <w:jc w:val="right"/>
            </w:pPr>
            <w:r>
              <w:rPr>
                <w:color w:val="1C3A36"/>
                <w:sz w:val="16"/>
              </w:rPr>
              <w:t>4.52</w:t>
            </w:r>
          </w:p>
        </w:tc>
      </w:tr>
      <w:tr>
        <w:trPr>
          <w:cantSplit/>
        </w:trPr>
        <w:tc>
          <w:tcPr>
            <w:tcW w:type="dxa" w:w="2304"/>
          </w:tcPr>
          <w:p>
            <w:pPr>
              <w:spacing w:after="20"/>
            </w:pPr>
            <w:r>
              <w:rPr>
                <w:color w:val="1C3A36"/>
                <w:sz w:val="16"/>
              </w:rPr>
              <w:t>terminal growth 1.5%</w:t>
            </w:r>
          </w:p>
        </w:tc>
        <w:tc>
          <w:tcPr>
            <w:tcW w:type="dxa" w:w="1555"/>
          </w:tcPr>
          <w:p>
            <w:pPr>
              <w:spacing w:after="20"/>
              <w:jc w:val="right"/>
            </w:pPr>
            <w:r>
              <w:rPr>
                <w:color w:val="1C3A36"/>
                <w:sz w:val="16"/>
              </w:rPr>
              <w:t>8.09</w:t>
            </w:r>
          </w:p>
        </w:tc>
        <w:tc>
          <w:tcPr>
            <w:tcW w:type="dxa" w:w="1555"/>
          </w:tcPr>
          <w:p>
            <w:pPr>
              <w:spacing w:after="20"/>
              <w:jc w:val="right"/>
            </w:pPr>
            <w:r>
              <w:rPr>
                <w:color w:val="1C3A36"/>
                <w:sz w:val="16"/>
              </w:rPr>
              <w:t>6.78</w:t>
            </w:r>
          </w:p>
        </w:tc>
        <w:tc>
          <w:tcPr>
            <w:tcW w:type="dxa" w:w="1555"/>
          </w:tcPr>
          <w:p>
            <w:pPr>
              <w:spacing w:after="20"/>
              <w:jc w:val="right"/>
            </w:pPr>
            <w:r>
              <w:rPr>
                <w:color w:val="1C3A36"/>
                <w:sz w:val="16"/>
              </w:rPr>
              <w:t>5.83</w:t>
            </w:r>
          </w:p>
        </w:tc>
        <w:tc>
          <w:tcPr>
            <w:tcW w:type="dxa" w:w="1555"/>
          </w:tcPr>
          <w:p>
            <w:pPr>
              <w:spacing w:after="20"/>
              <w:jc w:val="right"/>
            </w:pPr>
            <w:r>
              <w:rPr>
                <w:color w:val="1C3A36"/>
                <w:sz w:val="16"/>
              </w:rPr>
              <w:t>5.15</w:t>
            </w:r>
          </w:p>
        </w:tc>
        <w:tc>
          <w:tcPr>
            <w:tcW w:type="dxa" w:w="1555"/>
          </w:tcPr>
          <w:p>
            <w:pPr>
              <w:spacing w:after="20"/>
              <w:jc w:val="right"/>
            </w:pPr>
            <w:r>
              <w:rPr>
                <w:color w:val="1C3A36"/>
                <w:sz w:val="16"/>
              </w:rPr>
              <w:t>4.60</w:t>
            </w:r>
          </w:p>
        </w:tc>
      </w:tr>
      <w:tr>
        <w:trPr>
          <w:cantSplit/>
        </w:trPr>
        <w:tc>
          <w:tcPr>
            <w:tcW w:type="dxa" w:w="2304"/>
          </w:tcPr>
          <w:p>
            <w:pPr>
              <w:spacing w:after="20"/>
            </w:pPr>
            <w:r>
              <w:rPr>
                <w:color w:val="1C3A36"/>
                <w:sz w:val="16"/>
              </w:rPr>
              <w:t>terminal growth 2.0%</w:t>
            </w:r>
          </w:p>
        </w:tc>
        <w:tc>
          <w:tcPr>
            <w:tcW w:type="dxa" w:w="1555"/>
          </w:tcPr>
          <w:p>
            <w:pPr>
              <w:spacing w:after="20"/>
              <w:jc w:val="right"/>
            </w:pPr>
            <w:r>
              <w:rPr>
                <w:color w:val="1C3A36"/>
                <w:sz w:val="16"/>
              </w:rPr>
              <w:t>8.59</w:t>
            </w:r>
          </w:p>
        </w:tc>
        <w:tc>
          <w:tcPr>
            <w:tcW w:type="dxa" w:w="1555"/>
          </w:tcPr>
          <w:p>
            <w:pPr>
              <w:spacing w:after="20"/>
              <w:jc w:val="right"/>
            </w:pPr>
            <w:r>
              <w:rPr>
                <w:color w:val="1C3A36"/>
                <w:sz w:val="16"/>
              </w:rPr>
              <w:t>7.09</w:t>
            </w:r>
          </w:p>
        </w:tc>
        <w:tc>
          <w:tcPr>
            <w:tcW w:type="dxa" w:w="1555"/>
          </w:tcPr>
          <w:p>
            <w:pPr>
              <w:spacing w:after="20"/>
              <w:jc w:val="right"/>
            </w:pPr>
            <w:r>
              <w:rPr>
                <w:color w:val="1C3A36"/>
                <w:sz w:val="16"/>
              </w:rPr>
              <w:t>6.03</w:t>
            </w:r>
          </w:p>
        </w:tc>
        <w:tc>
          <w:tcPr>
            <w:tcW w:type="dxa" w:w="1555"/>
          </w:tcPr>
          <w:p>
            <w:pPr>
              <w:spacing w:after="20"/>
              <w:jc w:val="right"/>
            </w:pPr>
            <w:r>
              <w:rPr>
                <w:color w:val="1C3A36"/>
                <w:sz w:val="16"/>
              </w:rPr>
              <w:t>5.29</w:t>
            </w:r>
          </w:p>
        </w:tc>
        <w:tc>
          <w:tcPr>
            <w:tcW w:type="dxa" w:w="1555"/>
          </w:tcPr>
          <w:p>
            <w:pPr>
              <w:spacing w:after="20"/>
              <w:jc w:val="right"/>
            </w:pPr>
            <w:r>
              <w:rPr>
                <w:color w:val="1C3A36"/>
                <w:sz w:val="16"/>
              </w:rPr>
              <w:t>4.69</w:t>
            </w:r>
          </w:p>
        </w:tc>
      </w:tr>
      <w:tr>
        <w:trPr>
          <w:cantSplit/>
        </w:trPr>
        <w:tc>
          <w:tcPr>
            <w:tcW w:type="dxa" w:w="2304"/>
          </w:tcPr>
          <w:p>
            <w:pPr>
              <w:spacing w:after="20"/>
            </w:pPr>
            <w:r>
              <w:rPr>
                <w:color w:val="1C3A36"/>
                <w:sz w:val="16"/>
              </w:rPr>
              <w:t>terminal growth 2.5%</w:t>
            </w:r>
          </w:p>
        </w:tc>
        <w:tc>
          <w:tcPr>
            <w:tcW w:type="dxa" w:w="1555"/>
          </w:tcPr>
          <w:p>
            <w:pPr>
              <w:spacing w:after="20"/>
              <w:jc w:val="right"/>
            </w:pPr>
            <w:r>
              <w:rPr>
                <w:color w:val="1C3A36"/>
                <w:sz w:val="16"/>
              </w:rPr>
              <w:t>9.21</w:t>
            </w:r>
          </w:p>
        </w:tc>
        <w:tc>
          <w:tcPr>
            <w:tcW w:type="dxa" w:w="1555"/>
          </w:tcPr>
          <w:p>
            <w:pPr>
              <w:spacing w:after="20"/>
              <w:jc w:val="right"/>
            </w:pPr>
            <w:r>
              <w:rPr>
                <w:color w:val="1C3A36"/>
                <w:sz w:val="16"/>
              </w:rPr>
              <w:t>7.45</w:t>
            </w:r>
          </w:p>
        </w:tc>
        <w:tc>
          <w:tcPr>
            <w:tcW w:type="dxa" w:w="1555"/>
          </w:tcPr>
          <w:p>
            <w:pPr>
              <w:spacing w:after="20"/>
              <w:jc w:val="right"/>
            </w:pPr>
            <w:r>
              <w:rPr>
                <w:color w:val="1C3A36"/>
                <w:sz w:val="16"/>
              </w:rPr>
              <w:t>6.26</w:t>
            </w:r>
          </w:p>
        </w:tc>
        <w:tc>
          <w:tcPr>
            <w:tcW w:type="dxa" w:w="1555"/>
          </w:tcPr>
          <w:p>
            <w:pPr>
              <w:spacing w:after="20"/>
              <w:jc w:val="right"/>
            </w:pPr>
            <w:r>
              <w:rPr>
                <w:color w:val="1C3A36"/>
                <w:sz w:val="16"/>
              </w:rPr>
              <w:t>5.44</w:t>
            </w:r>
          </w:p>
        </w:tc>
        <w:tc>
          <w:tcPr>
            <w:tcW w:type="dxa" w:w="1555"/>
          </w:tcPr>
          <w:p>
            <w:pPr>
              <w:spacing w:after="20"/>
              <w:jc w:val="right"/>
            </w:pPr>
            <w:r>
              <w:rPr>
                <w:color w:val="1C3A36"/>
                <w:sz w:val="16"/>
              </w:rPr>
              <w:t>4.79</w:t>
            </w:r>
          </w:p>
        </w:tc>
      </w:tr>
    </w:tbl>
    <w:p>
      <w:pPr>
        <w:spacing w:after="40"/>
      </w:pPr>
    </w:p>
    <w:p>
      <w:pPr>
        <w:spacing w:after="200" w:before="0"/>
      </w:pPr>
      <w:r>
        <w:rPr>
          <w:b w:val="0"/>
          <w:i/>
          <w:color w:val="6E7B77"/>
          <w:sz w:val="17"/>
        </w:rPr>
        <w:t>Fair value in AED per share. The adopted construction is the 1.085 column at 2.0% growth; the equal-weight composite alternative is the 0.705 column at the same growth. The right-hand column of 1.412 is the top of the regression's own 90% confidence interval and is where the bear case is struck; the bull case is struck at the bottom of that interval, 0.758, which sits just inside the left-hand column. Beta moves the answer across the whole width of this table; growth moves it a fraction of that.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808"/>
        <w:gridCol w:w="2304"/>
        <w:gridCol w:w="1944"/>
      </w:tblGrid>
      <w:tr>
        <w:trPr>
          <w:cantSplit/>
          <w:tblHeader/>
        </w:trPr>
        <w:tc>
          <w:tcPr>
            <w:tcW w:type="dxa" w:w="3024"/>
            <w:shd w:val="clear" w:color="auto" w:fill="EAF0EE"/>
          </w:tcPr>
          <w:p>
            <w:pPr>
              <w:spacing w:after="20"/>
            </w:pPr>
            <w:r>
              <w:rPr>
                <w:b/>
                <w:color w:val="1C3A36"/>
                <w:sz w:val="16"/>
              </w:rPr>
              <w:t>Sensitivity</w:t>
            </w:r>
          </w:p>
        </w:tc>
        <w:tc>
          <w:tcPr>
            <w:tcW w:type="dxa" w:w="2808"/>
            <w:shd w:val="clear" w:color="auto" w:fill="EAF0EE"/>
          </w:tcPr>
          <w:p>
            <w:pPr>
              <w:spacing w:after="20"/>
              <w:jc w:val="left"/>
            </w:pPr>
            <w:r>
              <w:rPr>
                <w:b/>
                <w:color w:val="1C3A36"/>
                <w:sz w:val="16"/>
              </w:rPr>
              <w:t>Range tested</w:t>
            </w:r>
          </w:p>
        </w:tc>
        <w:tc>
          <w:tcPr>
            <w:tcW w:type="dxa" w:w="2304"/>
            <w:shd w:val="clear" w:color="auto" w:fill="EAF0EE"/>
          </w:tcPr>
          <w:p>
            <w:pPr>
              <w:spacing w:after="20"/>
              <w:jc w:val="left"/>
            </w:pPr>
            <w:r>
              <w:rPr>
                <w:b/>
                <w:color w:val="1C3A36"/>
                <w:sz w:val="16"/>
              </w:rPr>
              <w:t>Fair value span (AED/share)</w:t>
            </w:r>
          </w:p>
        </w:tc>
        <w:tc>
          <w:tcPr>
            <w:tcW w:type="dxa" w:w="1944"/>
            <w:shd w:val="clear" w:color="auto" w:fill="EAF0EE"/>
          </w:tcPr>
          <w:p>
            <w:pPr>
              <w:spacing w:after="20"/>
            </w:pPr>
            <w:r>
              <w:rPr>
                <w:b/>
                <w:color w:val="1C3A36"/>
                <w:sz w:val="16"/>
              </w:rPr>
              <w:t>Swing</w:t>
            </w:r>
          </w:p>
        </w:tc>
      </w:tr>
      <w:tr>
        <w:trPr>
          <w:cantSplit/>
        </w:trPr>
        <w:tc>
          <w:tcPr>
            <w:tcW w:type="dxa" w:w="3024"/>
          </w:tcPr>
          <w:p>
            <w:pPr>
              <w:spacing w:after="20"/>
            </w:pPr>
            <w:r>
              <w:rPr>
                <w:color w:val="1C3A36"/>
                <w:sz w:val="16"/>
              </w:rPr>
              <w:t>Beta in the cost of equity</w:t>
            </w:r>
          </w:p>
        </w:tc>
        <w:tc>
          <w:tcPr>
            <w:tcW w:type="dxa" w:w="2808"/>
          </w:tcPr>
          <w:p>
            <w:pPr>
              <w:spacing w:after="20"/>
              <w:jc w:val="left"/>
            </w:pPr>
            <w:r>
              <w:rPr>
                <w:color w:val="1C3A36"/>
                <w:sz w:val="16"/>
              </w:rPr>
              <w:t>0.705 – 1.412</w:t>
            </w:r>
          </w:p>
        </w:tc>
        <w:tc>
          <w:tcPr>
            <w:tcW w:type="dxa" w:w="2304"/>
          </w:tcPr>
          <w:p>
            <w:pPr>
              <w:spacing w:after="20"/>
              <w:jc w:val="left"/>
            </w:pPr>
            <w:r>
              <w:rPr>
                <w:color w:val="1C3A36"/>
                <w:sz w:val="16"/>
              </w:rPr>
              <w:t>4.69 – 8.59</w:t>
            </w:r>
          </w:p>
        </w:tc>
        <w:tc>
          <w:tcPr>
            <w:tcW w:type="dxa" w:w="1944"/>
          </w:tcPr>
          <w:p>
            <w:pPr>
              <w:spacing w:after="20"/>
              <w:jc w:val="right"/>
            </w:pPr>
            <w:r>
              <w:rPr>
                <w:color w:val="1C3A36"/>
                <w:sz w:val="16"/>
              </w:rPr>
              <w:t>3.89</w:t>
            </w:r>
          </w:p>
        </w:tc>
      </w:tr>
      <w:tr>
        <w:trPr>
          <w:cantSplit/>
        </w:trPr>
        <w:tc>
          <w:tcPr>
            <w:tcW w:type="dxa" w:w="3024"/>
          </w:tcPr>
          <w:p>
            <w:pPr>
              <w:spacing w:after="20"/>
            </w:pPr>
            <w:r>
              <w:rPr>
                <w:color w:val="1C3A36"/>
                <w:sz w:val="16"/>
              </w:rPr>
              <w:t>Mid-cycle rate the fleet reverts to</w:t>
            </w:r>
          </w:p>
        </w:tc>
        <w:tc>
          <w:tcPr>
            <w:tcW w:type="dxa" w:w="2808"/>
          </w:tcPr>
          <w:p>
            <w:pPr>
              <w:spacing w:after="20"/>
              <w:jc w:val="left"/>
            </w:pPr>
            <w:r>
              <w:rPr>
                <w:color w:val="1C3A36"/>
                <w:sz w:val="16"/>
              </w:rPr>
              <w:t>80.0% – 120.0% of the base anchor</w:t>
            </w:r>
          </w:p>
        </w:tc>
        <w:tc>
          <w:tcPr>
            <w:tcW w:type="dxa" w:w="2304"/>
          </w:tcPr>
          <w:p>
            <w:pPr>
              <w:spacing w:after="20"/>
              <w:jc w:val="left"/>
            </w:pPr>
            <w:r>
              <w:rPr>
                <w:color w:val="1C3A36"/>
                <w:sz w:val="16"/>
              </w:rPr>
              <w:t>5.12 – 6.94</w:t>
            </w:r>
          </w:p>
        </w:tc>
        <w:tc>
          <w:tcPr>
            <w:tcW w:type="dxa" w:w="1944"/>
          </w:tcPr>
          <w:p>
            <w:pPr>
              <w:spacing w:after="20"/>
              <w:jc w:val="right"/>
            </w:pPr>
            <w:r>
              <w:rPr>
                <w:color w:val="1C3A36"/>
                <w:sz w:val="16"/>
              </w:rPr>
              <w:t>1.81</w:t>
            </w:r>
          </w:p>
        </w:tc>
      </w:tr>
      <w:tr>
        <w:trPr>
          <w:cantSplit/>
        </w:trPr>
        <w:tc>
          <w:tcPr>
            <w:tcW w:type="dxa" w:w="3024"/>
          </w:tcPr>
          <w:p>
            <w:pPr>
              <w:spacing w:after="20"/>
            </w:pPr>
            <w:r>
              <w:rPr>
                <w:color w:val="1C3A36"/>
                <w:sz w:val="16"/>
              </w:rPr>
              <w:t>Capital expenditure</w:t>
            </w:r>
          </w:p>
        </w:tc>
        <w:tc>
          <w:tcPr>
            <w:tcW w:type="dxa" w:w="2808"/>
          </w:tcPr>
          <w:p>
            <w:pPr>
              <w:spacing w:after="20"/>
              <w:jc w:val="left"/>
            </w:pPr>
            <w:r>
              <w:rPr>
                <w:color w:val="1C3A36"/>
                <w:sz w:val="16"/>
              </w:rPr>
              <w:t>90.0% – 120.0% of the guided programme</w:t>
            </w:r>
          </w:p>
        </w:tc>
        <w:tc>
          <w:tcPr>
            <w:tcW w:type="dxa" w:w="2304"/>
          </w:tcPr>
          <w:p>
            <w:pPr>
              <w:spacing w:after="20"/>
              <w:jc w:val="left"/>
            </w:pPr>
            <w:r>
              <w:rPr>
                <w:color w:val="1C3A36"/>
                <w:sz w:val="16"/>
              </w:rPr>
              <w:t>5.21 – 6.44</w:t>
            </w:r>
          </w:p>
        </w:tc>
        <w:tc>
          <w:tcPr>
            <w:tcW w:type="dxa" w:w="1944"/>
          </w:tcPr>
          <w:p>
            <w:pPr>
              <w:spacing w:after="20"/>
              <w:jc w:val="right"/>
            </w:pPr>
            <w:r>
              <w:rPr>
                <w:color w:val="1C3A36"/>
                <w:sz w:val="16"/>
              </w:rPr>
              <w:t>1.23</w:t>
            </w:r>
          </w:p>
        </w:tc>
      </w:tr>
      <w:tr>
        <w:trPr>
          <w:cantSplit/>
        </w:trPr>
        <w:tc>
          <w:tcPr>
            <w:tcW w:type="dxa" w:w="3024"/>
          </w:tcPr>
          <w:p>
            <w:pPr>
              <w:spacing w:after="20"/>
            </w:pPr>
            <w:r>
              <w:rPr>
                <w:color w:val="1C3A36"/>
                <w:sz w:val="16"/>
              </w:rPr>
              <w:t>Group tax rate</w:t>
            </w:r>
          </w:p>
        </w:tc>
        <w:tc>
          <w:tcPr>
            <w:tcW w:type="dxa" w:w="2808"/>
          </w:tcPr>
          <w:p>
            <w:pPr>
              <w:spacing w:after="20"/>
              <w:jc w:val="left"/>
            </w:pPr>
            <w:r>
              <w:rPr>
                <w:color w:val="1C3A36"/>
                <w:sz w:val="16"/>
              </w:rPr>
              <w:t>5% – 15% uniform across the group</w:t>
            </w:r>
          </w:p>
        </w:tc>
        <w:tc>
          <w:tcPr>
            <w:tcW w:type="dxa" w:w="2304"/>
          </w:tcPr>
          <w:p>
            <w:pPr>
              <w:spacing w:after="20"/>
              <w:jc w:val="left"/>
            </w:pPr>
            <w:r>
              <w:rPr>
                <w:color w:val="1C3A36"/>
                <w:sz w:val="16"/>
              </w:rPr>
              <w:t>5.01 – 6.01</w:t>
            </w:r>
          </w:p>
        </w:tc>
        <w:tc>
          <w:tcPr>
            <w:tcW w:type="dxa" w:w="1944"/>
          </w:tcPr>
          <w:p>
            <w:pPr>
              <w:spacing w:after="20"/>
              <w:jc w:val="right"/>
            </w:pPr>
            <w:r>
              <w:rPr>
                <w:color w:val="1C3A36"/>
                <w:sz w:val="16"/>
              </w:rPr>
              <w:t>1.00</w:t>
            </w:r>
          </w:p>
        </w:tc>
      </w:tr>
      <w:tr>
        <w:trPr>
          <w:cantSplit/>
        </w:trPr>
        <w:tc>
          <w:tcPr>
            <w:tcW w:type="dxa" w:w="3024"/>
          </w:tcPr>
          <w:p>
            <w:pPr>
              <w:spacing w:after="20"/>
            </w:pPr>
            <w:r>
              <w:rPr>
                <w:color w:val="1C3A36"/>
                <w:sz w:val="16"/>
              </w:rPr>
              <w:t>Terminal growth</w:t>
            </w:r>
          </w:p>
        </w:tc>
        <w:tc>
          <w:tcPr>
            <w:tcW w:type="dxa" w:w="2808"/>
          </w:tcPr>
          <w:p>
            <w:pPr>
              <w:spacing w:after="20"/>
              <w:jc w:val="left"/>
            </w:pPr>
            <w:r>
              <w:rPr>
                <w:color w:val="1C3A36"/>
                <w:sz w:val="16"/>
              </w:rPr>
              <w:t>1.0% – 2.5%</w:t>
            </w:r>
          </w:p>
        </w:tc>
        <w:tc>
          <w:tcPr>
            <w:tcW w:type="dxa" w:w="2304"/>
          </w:tcPr>
          <w:p>
            <w:pPr>
              <w:spacing w:after="20"/>
              <w:jc w:val="left"/>
            </w:pPr>
            <w:r>
              <w:rPr>
                <w:color w:val="1C3A36"/>
                <w:sz w:val="16"/>
              </w:rPr>
              <w:t>5.66 – 6.26</w:t>
            </w:r>
          </w:p>
        </w:tc>
        <w:tc>
          <w:tcPr>
            <w:tcW w:type="dxa" w:w="1944"/>
          </w:tcPr>
          <w:p>
            <w:pPr>
              <w:spacing w:after="20"/>
              <w:jc w:val="right"/>
            </w:pPr>
            <w:r>
              <w:rPr>
                <w:color w:val="1C3A36"/>
                <w:sz w:val="16"/>
              </w:rPr>
              <w:t>0.60</w:t>
            </w:r>
          </w:p>
        </w:tc>
      </w:tr>
      <w:tr>
        <w:trPr>
          <w:cantSplit/>
        </w:trPr>
        <w:tc>
          <w:tcPr>
            <w:tcW w:type="dxa" w:w="3024"/>
          </w:tcPr>
          <w:p>
            <w:pPr>
              <w:spacing w:after="20"/>
            </w:pPr>
            <w:r>
              <w:rPr>
                <w:color w:val="1C3A36"/>
                <w:sz w:val="16"/>
              </w:rPr>
              <w:t>Bear-to-bull scenario composite</w:t>
            </w:r>
          </w:p>
        </w:tc>
        <w:tc>
          <w:tcPr>
            <w:tcW w:type="dxa" w:w="2808"/>
          </w:tcPr>
          <w:p>
            <w:pPr>
              <w:spacing w:after="20"/>
              <w:jc w:val="left"/>
            </w:pPr>
            <w:r>
              <w:rPr>
                <w:color w:val="1C3A36"/>
                <w:sz w:val="16"/>
              </w:rPr>
              <w:t>rates, capital expenditure and the beta at the two ends of its own 90% interval — 1.412 in the bear, 0.758 in the bull</w:t>
            </w:r>
          </w:p>
        </w:tc>
        <w:tc>
          <w:tcPr>
            <w:tcW w:type="dxa" w:w="2304"/>
          </w:tcPr>
          <w:p>
            <w:pPr>
              <w:spacing w:after="20"/>
              <w:jc w:val="left"/>
            </w:pPr>
            <w:r>
              <w:rPr>
                <w:color w:val="1C3A36"/>
                <w:sz w:val="16"/>
              </w:rPr>
              <w:t>3.79 – 9.27</w:t>
            </w:r>
          </w:p>
        </w:tc>
        <w:tc>
          <w:tcPr>
            <w:tcW w:type="dxa" w:w="1944"/>
          </w:tcPr>
          <w:p>
            <w:pPr>
              <w:spacing w:after="20"/>
              <w:jc w:val="right"/>
            </w:pPr>
            <w:r>
              <w:rPr>
                <w:color w:val="1C3A36"/>
                <w:sz w:val="16"/>
              </w:rPr>
              <w:t>5.48</w:t>
            </w:r>
          </w:p>
        </w:tc>
      </w:tr>
    </w:tbl>
    <w:p>
      <w:pPr>
        <w:spacing w:after="40"/>
      </w:pPr>
    </w:p>
    <w:p>
      <w:pPr>
        <w:spacing w:after="200" w:before="0"/>
      </w:pPr>
      <w:r>
        <w:rPr>
          <w:b w:val="0"/>
          <w:i/>
          <w:color w:val="6E7B77"/>
          <w:sz w:val="17"/>
        </w:rPr>
        <w:t>Ranked by single-row swing, the beta is the largest by a wide margin — larger than the operating crux, larger than the capital programme, larger than the tax exposure. That is worth reading precisely. The width of the beta row is the width of a measured statistical interval, and the study publishes its bear and bull cases at that interval's two ends rather than choosing a comfortable point inside it; the width of the rate-anchor row is a judgement about the future that no amount of data settles. The first is uncertainty that has been quantified, the second is uncertainty that has not. The tax row deserves its own note: at a uniform 15% the value falls to AED 5.01, a loss of AED 1.02 a share, and that is the priced cost of the shipping relief being withdrawn. Every row is a full re-run of the unit build and the bridge, not a multiplier applied to a finished number.</w:t>
      </w:r>
    </w:p>
    <w:p>
      <w:pPr>
        <w:keepNext/>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804160"/>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400800" cy="2804160"/>
                    </a:xfrm>
                    <a:prstGeom prst="rect"/>
                  </pic:spPr>
                </pic:pic>
              </a:graphicData>
            </a:graphic>
          </wp:inline>
        </w:drawing>
      </w:r>
    </w:p>
    <w:p>
      <w:pPr>
        <w:spacing w:after="200" w:before="0"/>
      </w:pPr>
      <w:r>
        <w:rPr>
          <w:b w:val="0"/>
          <w:i/>
          <w:color w:val="6E7B77"/>
          <w:sz w:val="17"/>
        </w:rPr>
        <w:t>Figure 5 — price against the 20-, 50- and 200-session moving averages with the computed support and resistance ladder, to 2026-08-07.</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656"/>
        <w:gridCol w:w="5904"/>
      </w:tblGrid>
      <w:tr>
        <w:trPr>
          <w:cantSplit/>
          <w:tblHeader/>
        </w:trPr>
        <w:tc>
          <w:tcPr>
            <w:tcW w:type="dxa" w:w="2520"/>
            <w:shd w:val="clear" w:color="auto" w:fill="EAF0EE"/>
          </w:tcPr>
          <w:p>
            <w:pPr>
              <w:spacing w:after="20"/>
            </w:pPr>
            <w:r>
              <w:rPr>
                <w:b/>
                <w:color w:val="1C3A36"/>
                <w:sz w:val="16"/>
              </w:rPr>
              <w:t>Marker</w:t>
            </w:r>
          </w:p>
        </w:tc>
        <w:tc>
          <w:tcPr>
            <w:tcW w:type="dxa" w:w="1656"/>
            <w:shd w:val="clear" w:color="auto" w:fill="EAF0EE"/>
          </w:tcPr>
          <w:p>
            <w:pPr>
              <w:spacing w:after="20"/>
            </w:pPr>
            <w:r>
              <w:rPr>
                <w:b/>
                <w:color w:val="1C3A36"/>
                <w:sz w:val="16"/>
              </w:rPr>
              <w:t>Level (AED)</w:t>
            </w:r>
          </w:p>
        </w:tc>
        <w:tc>
          <w:tcPr>
            <w:tcW w:type="dxa" w:w="5904"/>
            <w:shd w:val="clear" w:color="auto" w:fill="EAF0EE"/>
          </w:tcPr>
          <w:p>
            <w:pPr>
              <w:spacing w:after="20"/>
              <w:jc w:val="left"/>
            </w:pPr>
            <w:r>
              <w:rPr>
                <w:b/>
                <w:color w:val="1C3A36"/>
                <w:sz w:val="16"/>
              </w:rPr>
              <w:t>Reading</w:t>
            </w:r>
          </w:p>
        </w:tc>
      </w:tr>
      <w:tr>
        <w:trPr>
          <w:cantSplit/>
        </w:trPr>
        <w:tc>
          <w:tcPr>
            <w:tcW w:type="dxa" w:w="2520"/>
          </w:tcPr>
          <w:p>
            <w:pPr>
              <w:spacing w:after="20"/>
            </w:pPr>
            <w:r>
              <w:rPr>
                <w:color w:val="1C3A36"/>
                <w:sz w:val="16"/>
              </w:rPr>
              <w:t>Last close</w:t>
            </w:r>
          </w:p>
        </w:tc>
        <w:tc>
          <w:tcPr>
            <w:tcW w:type="dxa" w:w="1656"/>
          </w:tcPr>
          <w:p>
            <w:pPr>
              <w:spacing w:after="20"/>
              <w:jc w:val="right"/>
            </w:pPr>
            <w:r>
              <w:rPr>
                <w:color w:val="1C3A36"/>
                <w:sz w:val="16"/>
              </w:rPr>
              <w:t>6.16</w:t>
            </w:r>
          </w:p>
        </w:tc>
        <w:tc>
          <w:tcPr>
            <w:tcW w:type="dxa" w:w="5904"/>
          </w:tcPr>
          <w:p>
            <w:pPr>
              <w:spacing w:after="20"/>
              <w:jc w:val="left"/>
            </w:pPr>
            <w:r>
              <w:rPr>
                <w:color w:val="1C3A36"/>
                <w:sz w:val="16"/>
              </w:rPr>
              <w:t>the anchor for everything in this study</w:t>
            </w:r>
          </w:p>
        </w:tc>
      </w:tr>
      <w:tr>
        <w:trPr>
          <w:cantSplit/>
        </w:trPr>
        <w:tc>
          <w:tcPr>
            <w:tcW w:type="dxa" w:w="2520"/>
          </w:tcPr>
          <w:p>
            <w:pPr>
              <w:spacing w:after="20"/>
            </w:pPr>
            <w:r>
              <w:rPr>
                <w:color w:val="1C3A36"/>
                <w:sz w:val="16"/>
              </w:rPr>
              <w:t>20-session average</w:t>
            </w:r>
          </w:p>
        </w:tc>
        <w:tc>
          <w:tcPr>
            <w:tcW w:type="dxa" w:w="1656"/>
          </w:tcPr>
          <w:p>
            <w:pPr>
              <w:spacing w:after="20"/>
              <w:jc w:val="right"/>
            </w:pPr>
            <w:r>
              <w:rPr>
                <w:color w:val="1C3A36"/>
                <w:sz w:val="16"/>
              </w:rPr>
              <w:t>6.19</w:t>
            </w:r>
          </w:p>
        </w:tc>
        <w:tc>
          <w:tcPr>
            <w:tcW w:type="dxa" w:w="5904"/>
          </w:tcPr>
          <w:p>
            <w:pPr>
              <w:spacing w:after="20"/>
              <w:jc w:val="left"/>
            </w:pPr>
            <w:r>
              <w:rPr>
                <w:color w:val="1C3A36"/>
                <w:sz w:val="16"/>
              </w:rPr>
              <w:t>price is -0.5% against it; the average is rising</w:t>
            </w:r>
          </w:p>
        </w:tc>
      </w:tr>
      <w:tr>
        <w:trPr>
          <w:cantSplit/>
        </w:trPr>
        <w:tc>
          <w:tcPr>
            <w:tcW w:type="dxa" w:w="2520"/>
          </w:tcPr>
          <w:p>
            <w:pPr>
              <w:spacing w:after="20"/>
            </w:pPr>
            <w:r>
              <w:rPr>
                <w:color w:val="1C3A36"/>
                <w:sz w:val="16"/>
              </w:rPr>
              <w:t>50-session average</w:t>
            </w:r>
          </w:p>
        </w:tc>
        <w:tc>
          <w:tcPr>
            <w:tcW w:type="dxa" w:w="1656"/>
          </w:tcPr>
          <w:p>
            <w:pPr>
              <w:spacing w:after="20"/>
              <w:jc w:val="right"/>
            </w:pPr>
            <w:r>
              <w:rPr>
                <w:color w:val="1C3A36"/>
                <w:sz w:val="16"/>
              </w:rPr>
              <w:t>6.03</w:t>
            </w:r>
          </w:p>
        </w:tc>
        <w:tc>
          <w:tcPr>
            <w:tcW w:type="dxa" w:w="5904"/>
          </w:tcPr>
          <w:p>
            <w:pPr>
              <w:spacing w:after="20"/>
              <w:jc w:val="left"/>
            </w:pPr>
            <w:r>
              <w:rPr>
                <w:color w:val="1C3A36"/>
                <w:sz w:val="16"/>
              </w:rPr>
              <w:t>price is +2.1% against it; the average is rising</w:t>
            </w:r>
          </w:p>
        </w:tc>
      </w:tr>
      <w:tr>
        <w:trPr>
          <w:cantSplit/>
        </w:trPr>
        <w:tc>
          <w:tcPr>
            <w:tcW w:type="dxa" w:w="2520"/>
          </w:tcPr>
          <w:p>
            <w:pPr>
              <w:spacing w:after="20"/>
            </w:pPr>
            <w:r>
              <w:rPr>
                <w:color w:val="1C3A36"/>
                <w:sz w:val="16"/>
              </w:rPr>
              <w:t>200-session average</w:t>
            </w:r>
          </w:p>
        </w:tc>
        <w:tc>
          <w:tcPr>
            <w:tcW w:type="dxa" w:w="1656"/>
          </w:tcPr>
          <w:p>
            <w:pPr>
              <w:spacing w:after="20"/>
              <w:jc w:val="right"/>
            </w:pPr>
            <w:r>
              <w:rPr>
                <w:color w:val="1C3A36"/>
                <w:sz w:val="16"/>
              </w:rPr>
              <w:t>5.70</w:t>
            </w:r>
          </w:p>
        </w:tc>
        <w:tc>
          <w:tcPr>
            <w:tcW w:type="dxa" w:w="5904"/>
          </w:tcPr>
          <w:p>
            <w:pPr>
              <w:spacing w:after="20"/>
              <w:jc w:val="left"/>
            </w:pPr>
            <w:r>
              <w:rPr>
                <w:color w:val="1C3A36"/>
                <w:sz w:val="16"/>
              </w:rPr>
              <w:t>price is +8.0% against it; the average is flat</w:t>
            </w:r>
          </w:p>
        </w:tc>
      </w:tr>
      <w:tr>
        <w:trPr>
          <w:cantSplit/>
        </w:trPr>
        <w:tc>
          <w:tcPr>
            <w:tcW w:type="dxa" w:w="2520"/>
          </w:tcPr>
          <w:p>
            <w:pPr>
              <w:spacing w:after="20"/>
            </w:pPr>
            <w:r>
              <w:rPr>
                <w:color w:val="1C3A36"/>
                <w:sz w:val="16"/>
              </w:rPr>
              <w:t>Nearest resistance</w:t>
            </w:r>
          </w:p>
        </w:tc>
        <w:tc>
          <w:tcPr>
            <w:tcW w:type="dxa" w:w="1656"/>
          </w:tcPr>
          <w:p>
            <w:pPr>
              <w:spacing w:after="20"/>
              <w:jc w:val="right"/>
            </w:pPr>
            <w:r>
              <w:rPr>
                <w:color w:val="1C3A36"/>
                <w:sz w:val="16"/>
              </w:rPr>
              <w:t>6.30</w:t>
            </w:r>
          </w:p>
        </w:tc>
        <w:tc>
          <w:tcPr>
            <w:tcW w:type="dxa" w:w="5904"/>
          </w:tcPr>
          <w:p>
            <w:pPr>
              <w:spacing w:after="20"/>
              <w:jc w:val="left"/>
            </w:pPr>
            <w:r>
              <w:rPr>
                <w:color w:val="1C3A36"/>
                <w:sz w:val="16"/>
              </w:rPr>
              <w:t>then 6.43 and 6.60; levels are computed from recency-weighted pivot clusters, not drawn by hand</w:t>
            </w:r>
          </w:p>
        </w:tc>
      </w:tr>
      <w:tr>
        <w:trPr>
          <w:cantSplit/>
        </w:trPr>
        <w:tc>
          <w:tcPr>
            <w:tcW w:type="dxa" w:w="2520"/>
          </w:tcPr>
          <w:p>
            <w:pPr>
              <w:spacing w:after="20"/>
            </w:pPr>
            <w:r>
              <w:rPr>
                <w:color w:val="1C3A36"/>
                <w:sz w:val="16"/>
              </w:rPr>
              <w:t>Nearest support</w:t>
            </w:r>
          </w:p>
        </w:tc>
        <w:tc>
          <w:tcPr>
            <w:tcW w:type="dxa" w:w="1656"/>
          </w:tcPr>
          <w:p>
            <w:pPr>
              <w:spacing w:after="20"/>
              <w:jc w:val="right"/>
            </w:pPr>
            <w:r>
              <w:rPr>
                <w:color w:val="1C3A36"/>
                <w:sz w:val="16"/>
              </w:rPr>
              <w:t>5.93</w:t>
            </w:r>
          </w:p>
        </w:tc>
        <w:tc>
          <w:tcPr>
            <w:tcW w:type="dxa" w:w="5904"/>
          </w:tcPr>
          <w:p>
            <w:pPr>
              <w:spacing w:after="20"/>
              <w:jc w:val="left"/>
            </w:pPr>
            <w:r>
              <w:rPr>
                <w:color w:val="1C3A36"/>
                <w:sz w:val="16"/>
              </w:rPr>
              <w:t>then 5.56 and 5.26; the nearest support has been touched 12 times in the window</w:t>
            </w:r>
          </w:p>
        </w:tc>
      </w:tr>
      <w:tr>
        <w:trPr>
          <w:cantSplit/>
        </w:trPr>
        <w:tc>
          <w:tcPr>
            <w:tcW w:type="dxa" w:w="2520"/>
          </w:tcPr>
          <w:p>
            <w:pPr>
              <w:spacing w:after="20"/>
            </w:pPr>
            <w:r>
              <w:rPr>
                <w:color w:val="1C3A36"/>
                <w:sz w:val="16"/>
              </w:rPr>
              <w:t>52-week range</w:t>
            </w:r>
          </w:p>
        </w:tc>
        <w:tc>
          <w:tcPr>
            <w:tcW w:type="dxa" w:w="1656"/>
          </w:tcPr>
          <w:p>
            <w:pPr>
              <w:spacing w:after="20"/>
              <w:jc w:val="right"/>
            </w:pPr>
            <w:r>
              <w:rPr>
                <w:color w:val="1C3A36"/>
                <w:sz w:val="16"/>
              </w:rPr>
              <w:t>4.65 – 6.44</w:t>
            </w:r>
          </w:p>
        </w:tc>
        <w:tc>
          <w:tcPr>
            <w:tcW w:type="dxa" w:w="5904"/>
          </w:tcPr>
          <w:p>
            <w:pPr>
              <w:spacing w:after="20"/>
              <w:jc w:val="left"/>
            </w:pPr>
            <w:r>
              <w:rPr>
                <w:color w:val="1C3A36"/>
                <w:sz w:val="16"/>
              </w:rPr>
              <w:t>the close sits 4.3% below the high and 32.5% above the low</w:t>
            </w:r>
          </w:p>
        </w:tc>
      </w:tr>
      <w:tr>
        <w:trPr>
          <w:cantSplit/>
        </w:trPr>
        <w:tc>
          <w:tcPr>
            <w:tcW w:type="dxa" w:w="2520"/>
          </w:tcPr>
          <w:p>
            <w:pPr>
              <w:spacing w:after="20"/>
            </w:pPr>
            <w:r>
              <w:rPr>
                <w:color w:val="1C3A36"/>
                <w:sz w:val="16"/>
              </w:rPr>
              <w:t>Relative strength index (14)</w:t>
            </w:r>
          </w:p>
        </w:tc>
        <w:tc>
          <w:tcPr>
            <w:tcW w:type="dxa" w:w="1656"/>
          </w:tcPr>
          <w:p>
            <w:pPr>
              <w:spacing w:after="20"/>
              <w:jc w:val="right"/>
            </w:pPr>
            <w:r>
              <w:rPr>
                <w:color w:val="1C3A36"/>
                <w:sz w:val="16"/>
              </w:rPr>
              <w:t>51.91</w:t>
            </w:r>
          </w:p>
        </w:tc>
        <w:tc>
          <w:tcPr>
            <w:tcW w:type="dxa" w:w="5904"/>
          </w:tcPr>
          <w:p>
            <w:pPr>
              <w:spacing w:after="20"/>
              <w:jc w:val="left"/>
            </w:pPr>
            <w:r>
              <w:rPr>
                <w:color w:val="1C3A36"/>
                <w:sz w:val="16"/>
              </w:rPr>
              <w:t>neutral — neither stretched nor washed out</w:t>
            </w:r>
          </w:p>
        </w:tc>
      </w:tr>
      <w:tr>
        <w:trPr>
          <w:cantSplit/>
        </w:trPr>
        <w:tc>
          <w:tcPr>
            <w:tcW w:type="dxa" w:w="2520"/>
          </w:tcPr>
          <w:p>
            <w:pPr>
              <w:spacing w:after="20"/>
            </w:pPr>
            <w:r>
              <w:rPr>
                <w:color w:val="1C3A36"/>
                <w:sz w:val="16"/>
              </w:rPr>
              <w:t>Average true range (14)</w:t>
            </w:r>
          </w:p>
        </w:tc>
        <w:tc>
          <w:tcPr>
            <w:tcW w:type="dxa" w:w="1656"/>
          </w:tcPr>
          <w:p>
            <w:pPr>
              <w:spacing w:after="20"/>
              <w:jc w:val="right"/>
            </w:pPr>
            <w:r>
              <w:rPr>
                <w:color w:val="1C3A36"/>
                <w:sz w:val="16"/>
              </w:rPr>
              <w:t>0.11</w:t>
            </w:r>
          </w:p>
        </w:tc>
        <w:tc>
          <w:tcPr>
            <w:tcW w:type="dxa" w:w="5904"/>
          </w:tcPr>
          <w:p>
            <w:pPr>
              <w:spacing w:after="20"/>
              <w:jc w:val="left"/>
            </w:pPr>
            <w:r>
              <w:rPr>
                <w:color w:val="1C3A36"/>
                <w:sz w:val="16"/>
              </w:rPr>
              <w:t>about 1.9% of the price a session — a normal tape</w:t>
            </w:r>
          </w:p>
        </w:tc>
      </w:tr>
      <w:tr>
        <w:trPr>
          <w:cantSplit/>
        </w:trPr>
        <w:tc>
          <w:tcPr>
            <w:tcW w:type="dxa" w:w="2520"/>
          </w:tcPr>
          <w:p>
            <w:pPr>
              <w:spacing w:after="20"/>
            </w:pPr>
            <w:r>
              <w:rPr>
                <w:color w:val="1C3A36"/>
                <w:sz w:val="16"/>
              </w:rPr>
              <w:t>Moving-average crossover</w:t>
            </w:r>
          </w:p>
        </w:tc>
        <w:tc>
          <w:tcPr>
            <w:tcW w:type="dxa" w:w="1656"/>
          </w:tcPr>
          <w:p>
            <w:pPr>
              <w:spacing w:after="20"/>
              <w:jc w:val="right"/>
            </w:pPr>
            <w:r>
              <w:rPr>
                <w:color w:val="1C3A36"/>
                <w:sz w:val="16"/>
              </w:rPr>
              <w:t>40 sessions ago</w:t>
            </w:r>
          </w:p>
        </w:tc>
        <w:tc>
          <w:tcPr>
            <w:tcW w:type="dxa" w:w="5904"/>
          </w:tcPr>
          <w:p>
            <w:pPr>
              <w:spacing w:after="20"/>
              <w:jc w:val="left"/>
            </w:pPr>
            <w:r>
              <w:rPr>
                <w:color w:val="1C3A36"/>
                <w:sz w:val="16"/>
              </w:rPr>
              <w:t>the 50-session average crossed above the 200-session; the configuration has held since</w:t>
            </w:r>
          </w:p>
        </w:tc>
      </w:tr>
      <w:tr>
        <w:trPr>
          <w:cantSplit/>
        </w:trPr>
        <w:tc>
          <w:tcPr>
            <w:tcW w:type="dxa" w:w="2520"/>
          </w:tcPr>
          <w:p>
            <w:pPr>
              <w:spacing w:after="20"/>
            </w:pPr>
            <w:r>
              <w:rPr>
                <w:color w:val="1C3A36"/>
                <w:sz w:val="16"/>
              </w:rPr>
              <w:t>Annualised volatility</w:t>
            </w:r>
          </w:p>
        </w:tc>
        <w:tc>
          <w:tcPr>
            <w:tcW w:type="dxa" w:w="1656"/>
          </w:tcPr>
          <w:p>
            <w:pPr>
              <w:spacing w:after="20"/>
              <w:jc w:val="right"/>
            </w:pPr>
            <w:r>
              <w:rPr>
                <w:color w:val="1C3A36"/>
                <w:sz w:val="16"/>
              </w:rPr>
              <w:t>28.2%</w:t>
            </w:r>
          </w:p>
        </w:tc>
        <w:tc>
          <w:tcPr>
            <w:tcW w:type="dxa" w:w="5904"/>
          </w:tcPr>
          <w:p>
            <w:pPr>
              <w:spacing w:after="20"/>
              <w:jc w:val="left"/>
            </w:pPr>
            <w:r>
              <w:rPr>
                <w:color w:val="1C3A36"/>
                <w:sz w:val="16"/>
              </w:rPr>
              <w:t>the current state of the range-based volatility model, and the input that sets the width of the cone in section 3</w:t>
            </w:r>
          </w:p>
        </w:tc>
      </w:tr>
    </w:tbl>
    <w:p>
      <w:pPr>
        <w:spacing w:after="40"/>
      </w:pPr>
    </w:p>
    <w:p>
      <w:pPr>
        <w:spacing w:after="120" w:before="0"/>
      </w:pPr>
      <w:r>
        <w:rPr>
          <w:b w:val="0"/>
          <w:i w:val="0"/>
          <w:color w:val="1C3A36"/>
          <w:sz w:val="21"/>
        </w:rPr>
        <w:t>The price closed 6.16 above a rising 50-day (6.03) and a flat 200-day (5.70), but below a rising 20-day (6.19). Momentum is neutral: RSI(14) is ~52 and the daily ATR near 0.11 (~1.9%) points to a normal tape. MACD (12·26·9) is above zero but rolling over (+0.05 / +0.07 / −0.01). Over the last year it has ranged 4.65–6.44; the last close sits 4% below that high and 32% above that low.</w:t>
      </w:r>
    </w:p>
    <w:p>
      <w:pPr>
        <w:spacing w:after="200" w:before="0"/>
      </w:pPr>
      <w:r>
        <w:rPr>
          <w:b w:val="0"/>
          <w:i w:val="0"/>
          <w:color w:val="1C3A36"/>
          <w:sz w:val="21"/>
        </w:rPr>
        <w:t>The structure to watch is straightforward. A daily close back above 6.30 would clear the nearest resistance and open the 6.60 zone. A close below 5.93 would break the nearest support and open the 5.26 zone. None of this is a valuation argument — it is the price context the valuation has to be read against. It is worth noting where the fundamental estimates sit relative to this ladder, because on the adopted construction they now sit inside it rather than far above it: the weighted central of AED 6.58 sits at the furthest computed resistance of 6.60, and the cash-flow lens on its own, at AED 6.03, sits between the first and second computed supports of 5.93 and 5.56. The equal-weight composite reading of AED 7.60 is the only one of the three above every level in the table. A valuation and a level ladder are unrelated constructions and their agreeing here proves nothing; it is recorded because the two disagreed markedly under the study's earlier measurement of the market and no longer do.</w:t>
      </w:r>
    </w:p>
    <w:p>
      <w:pPr>
        <w:keepNext/>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Fifty thousand price paths are simulated from a volatility model fitted to the daily high-low-open-close range, with a fat-tailed shock and a drift anchored to the cost of carry — the local deposit rate of 3.65% less the dividend yield of 2.75%, which is a cost of money and not a directional view.</w:t>
      </w:r>
    </w:p>
    <w:p>
      <w:pPr>
        <w:spacing w:after="120" w:before="0"/>
      </w:pPr>
      <w:r>
        <w:rPr>
          <w:b w:val="0"/>
          <w:i w:val="0"/>
          <w:color w:val="1C3A36"/>
          <w:sz w:val="21"/>
        </w:rPr>
        <w:t>The widths are tested rather than assumed, and the test is worth stating in plain terms. Over the share's listed history the three-month distributions scored +2.95% better than a random-walk benchmark anchored on the same cost of carry, across 8 independent non-overlapping windows with origins from 2024-06-21 to 2026-03-24, each one forecast using only data available before it. Outcomes fell across the distribution roughly evenly rather than bunching at one end: a uniformity test on where each outcome landed returns p = 0.64, and a second test of the same thing returns p = 0.53. Coverage was 38% inside the 50% band, 75% inside the 80% and 88% inside the 90% — close to advertised at the wide bands, light at the narrow one on a sample of only 8 windows. The one-month horizon has more windows and behaves better: 24 of them, coverage 67% / 88% / 96%, uniformity p = 0.48, and a score +0.03% against the benchmark — level with it rather than ahead of it. Pooling 91 three-month windows that start on staggered dates and therefore overlap one another gives +0.66% and coverage of 52% / 84% / 96% — a larger sample, but one whose windows are not independent of each other, so it corroborates the picture rather than adding new evidence to it.</w:t>
      </w:r>
    </w:p>
    <w:p>
      <w:pPr>
        <w:spacing w:after="120" w:before="0"/>
      </w:pPr>
      <w:r>
        <w:rPr>
          <w:b w:val="0"/>
          <w:i w:val="0"/>
          <w:color w:val="1C3A36"/>
          <w:sz w:val="21"/>
        </w:rPr>
        <w:t>Two limitations belong here rather than in a footnote. First, the bands are about 18% wider than the benchmark's, which is a real cost and means the model buys its accuracy partly with width. Second, this share listed in June 2023, so the cleaned series spans 3.2 years and a five-year set of origins does not exist for it — the width setting rests on the wider market panel of 18 Abu Dhabi names and 261 windows, which scored +0.68% against the benchmark with a 90% interval of -0.1% to +1.4%. On both the individual share and the panel the honest summary is the same: the model is level with or modestly ahead of a random walk and its stated probabilities are close to true, which is what this map claims and no more.</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804160"/>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400800" cy="2804160"/>
                    </a:xfrm>
                    <a:prstGeom prst="rect"/>
                  </pic:spPr>
                </pic:pic>
              </a:graphicData>
            </a:graphic>
          </wp:inline>
        </w:drawing>
      </w:r>
    </w:p>
    <w:p>
      <w:pPr>
        <w:spacing w:after="200" w:before="0"/>
      </w:pPr>
      <w:r>
        <w:rPr>
          <w:b w:val="0"/>
          <w:i/>
          <w:color w:val="6E7B77"/>
          <w:sz w:val="17"/>
        </w:rPr>
        <w:t>Figure 6 — the forward price cone to three months. The dashed lines are the two fundamental centrals: AED 6.58 on the beta measured against the published index, and AED 7.60 on the equal-weight composite.</w:t>
      </w:r>
    </w:p>
    <w:p>
      <w:pPr>
        <w:keepNext/>
        <w:spacing w:after="80" w:before="200"/>
      </w:pPr>
      <w:r>
        <w:rPr>
          <w:b/>
          <w:i w:val="0"/>
          <w:color w:val="1C3A36"/>
          <w:sz w:val="24"/>
        </w:rPr>
        <w:t>Percentile map (AED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rPr>
          <w:cantSplit/>
          <w:tblHeader/>
        </w:trP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Above the price today</w:t>
            </w:r>
          </w:p>
        </w:tc>
      </w:tr>
      <w:tr>
        <w:trPr>
          <w:cantSplit/>
        </w:trPr>
        <w:tc>
          <w:tcPr>
            <w:tcW w:type="dxa" w:w="2520"/>
          </w:tcPr>
          <w:p>
            <w:pPr>
              <w:spacing w:after="20"/>
            </w:pPr>
            <w:r>
              <w:rPr>
                <w:color w:val="1C3A36"/>
                <w:sz w:val="17"/>
              </w:rPr>
              <w:t>1 month (to 2026-09-07)</w:t>
            </w:r>
          </w:p>
        </w:tc>
        <w:tc>
          <w:tcPr>
            <w:tcW w:type="dxa" w:w="1152"/>
          </w:tcPr>
          <w:p>
            <w:pPr>
              <w:spacing w:after="20"/>
              <w:jc w:val="right"/>
            </w:pPr>
            <w:r>
              <w:rPr>
                <w:color w:val="1C3A36"/>
                <w:sz w:val="17"/>
              </w:rPr>
              <w:t>5.47</w:t>
            </w:r>
          </w:p>
        </w:tc>
        <w:tc>
          <w:tcPr>
            <w:tcW w:type="dxa" w:w="1152"/>
          </w:tcPr>
          <w:p>
            <w:pPr>
              <w:spacing w:after="20"/>
              <w:jc w:val="right"/>
            </w:pPr>
            <w:r>
              <w:rPr>
                <w:color w:val="1C3A36"/>
                <w:sz w:val="17"/>
              </w:rPr>
              <w:t>5.89</w:t>
            </w:r>
          </w:p>
        </w:tc>
        <w:tc>
          <w:tcPr>
            <w:tcW w:type="dxa" w:w="1152"/>
          </w:tcPr>
          <w:p>
            <w:pPr>
              <w:spacing w:after="20"/>
              <w:jc w:val="right"/>
            </w:pPr>
            <w:r>
              <w:rPr>
                <w:color w:val="1C3A36"/>
                <w:sz w:val="17"/>
              </w:rPr>
              <w:t>6.16</w:t>
            </w:r>
          </w:p>
        </w:tc>
        <w:tc>
          <w:tcPr>
            <w:tcW w:type="dxa" w:w="1152"/>
          </w:tcPr>
          <w:p>
            <w:pPr>
              <w:spacing w:after="20"/>
              <w:jc w:val="right"/>
            </w:pPr>
            <w:r>
              <w:rPr>
                <w:color w:val="1C3A36"/>
                <w:sz w:val="17"/>
              </w:rPr>
              <w:t>6.45</w:t>
            </w:r>
          </w:p>
        </w:tc>
        <w:tc>
          <w:tcPr>
            <w:tcW w:type="dxa" w:w="1152"/>
          </w:tcPr>
          <w:p>
            <w:pPr>
              <w:spacing w:after="20"/>
              <w:jc w:val="right"/>
            </w:pPr>
            <w:r>
              <w:rPr>
                <w:color w:val="1C3A36"/>
                <w:sz w:val="17"/>
              </w:rPr>
              <w:t>6.93</w:t>
            </w:r>
          </w:p>
        </w:tc>
        <w:tc>
          <w:tcPr>
            <w:tcW w:type="dxa" w:w="1800"/>
          </w:tcPr>
          <w:p>
            <w:pPr>
              <w:spacing w:after="20"/>
              <w:jc w:val="right"/>
            </w:pPr>
            <w:r>
              <w:rPr>
                <w:color w:val="1C3A36"/>
                <w:sz w:val="17"/>
              </w:rPr>
              <w:t>50%</w:t>
            </w:r>
          </w:p>
        </w:tc>
      </w:tr>
      <w:tr>
        <w:trPr>
          <w:cantSplit/>
        </w:trPr>
        <w:tc>
          <w:tcPr>
            <w:tcW w:type="dxa" w:w="2520"/>
          </w:tcPr>
          <w:p>
            <w:pPr>
              <w:spacing w:after="20"/>
            </w:pPr>
            <w:r>
              <w:rPr>
                <w:color w:val="1C3A36"/>
                <w:sz w:val="17"/>
              </w:rPr>
              <w:t>3 months (to 2026-11-09)</w:t>
            </w:r>
          </w:p>
        </w:tc>
        <w:tc>
          <w:tcPr>
            <w:tcW w:type="dxa" w:w="1152"/>
          </w:tcPr>
          <w:p>
            <w:pPr>
              <w:spacing w:after="20"/>
              <w:jc w:val="right"/>
            </w:pPr>
            <w:r>
              <w:rPr>
                <w:color w:val="1C3A36"/>
                <w:sz w:val="17"/>
              </w:rPr>
              <w:t>4.95</w:t>
            </w:r>
          </w:p>
        </w:tc>
        <w:tc>
          <w:tcPr>
            <w:tcW w:type="dxa" w:w="1152"/>
          </w:tcPr>
          <w:p>
            <w:pPr>
              <w:spacing w:after="20"/>
              <w:jc w:val="right"/>
            </w:pPr>
            <w:r>
              <w:rPr>
                <w:color w:val="1C3A36"/>
                <w:sz w:val="17"/>
              </w:rPr>
              <w:t>5.67</w:t>
            </w:r>
          </w:p>
        </w:tc>
        <w:tc>
          <w:tcPr>
            <w:tcW w:type="dxa" w:w="1152"/>
          </w:tcPr>
          <w:p>
            <w:pPr>
              <w:spacing w:after="20"/>
              <w:jc w:val="right"/>
            </w:pPr>
            <w:r>
              <w:rPr>
                <w:color w:val="1C3A36"/>
                <w:sz w:val="17"/>
              </w:rPr>
              <w:t>6.18</w:t>
            </w:r>
          </w:p>
        </w:tc>
        <w:tc>
          <w:tcPr>
            <w:tcW w:type="dxa" w:w="1152"/>
          </w:tcPr>
          <w:p>
            <w:pPr>
              <w:spacing w:after="20"/>
              <w:jc w:val="right"/>
            </w:pPr>
            <w:r>
              <w:rPr>
                <w:color w:val="1C3A36"/>
                <w:sz w:val="17"/>
              </w:rPr>
              <w:t>6.73</w:t>
            </w:r>
          </w:p>
        </w:tc>
        <w:tc>
          <w:tcPr>
            <w:tcW w:type="dxa" w:w="1152"/>
          </w:tcPr>
          <w:p>
            <w:pPr>
              <w:spacing w:after="20"/>
              <w:jc w:val="right"/>
            </w:pPr>
            <w:r>
              <w:rPr>
                <w:color w:val="1C3A36"/>
                <w:sz w:val="17"/>
              </w:rPr>
              <w:t>7.73</w:t>
            </w:r>
          </w:p>
        </w:tc>
        <w:tc>
          <w:tcPr>
            <w:tcW w:type="dxa" w:w="1800"/>
          </w:tcPr>
          <w:p>
            <w:pPr>
              <w:spacing w:after="20"/>
              <w:jc w:val="right"/>
            </w:pPr>
            <w:r>
              <w:rPr>
                <w:color w:val="1C3A36"/>
                <w:sz w:val="17"/>
              </w:rPr>
              <w:t>51%</w:t>
            </w:r>
          </w:p>
        </w:tc>
      </w:tr>
    </w:tbl>
    <w:p>
      <w:pPr>
        <w:spacing w:after="40"/>
      </w:pPr>
    </w:p>
    <w:p>
      <w:pPr>
        <w:spacing w:after="200" w:before="0"/>
      </w:pPr>
      <w:r>
        <w:rPr>
          <w:b w:val="0"/>
          <w:i/>
          <w:color w:val="6E7B77"/>
          <w:sz w:val="17"/>
        </w:rPr>
        <w:t>The check dates are calendar dates fixed when the map is struck: one month and three months from 2026-08-07, rolled forward to the exchange's first real trading session. The median barely moves from the price today because the drift is a carry, not a view.</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5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one-month outcome distribution.</w:t>
      </w:r>
    </w:p>
    <w:p>
      <w:pPr>
        <w:spacing w:after="40"/>
        <w:jc w:val="center"/>
      </w:pPr>
      <w:r>
        <w:drawing>
          <wp:inline xmlns:a="http://schemas.openxmlformats.org/drawingml/2006/main" xmlns:pic="http://schemas.openxmlformats.org/drawingml/2006/picture">
            <wp:extent cx="4846320" cy="2423160"/>
            <wp:docPr id="8" name="Picture 8"/>
            <wp:cNvGraphicFramePr>
              <a:graphicFrameLocks noChangeAspect="1"/>
            </wp:cNvGraphicFramePr>
            <a:graphic>
              <a:graphicData uri="http://schemas.openxmlformats.org/drawingml/2006/picture">
                <pic:pic>
                  <pic:nvPicPr>
                    <pic:cNvPr id="0" name="fig6_dist.png"/>
                    <pic:cNvPicPr/>
                  </pic:nvPicPr>
                  <pic:blipFill>
                    <a:blip r:embed="rId16"/>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8 — the three-month outcome distribution.</w:t>
      </w:r>
    </w:p>
    <w:p>
      <w:pPr>
        <w:keepNext/>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rPr>
          <w:cantSplit/>
          <w:tblHeader/>
        </w:trP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rPr>
          <w:cantSplit/>
        </w:trPr>
        <w:tc>
          <w:tcPr>
            <w:tcW w:type="dxa" w:w="4752"/>
          </w:tcPr>
          <w:p>
            <w:pPr>
              <w:spacing w:after="20"/>
            </w:pPr>
            <w:r>
              <w:rPr>
                <w:color w:val="1C3A36"/>
                <w:sz w:val="17"/>
              </w:rPr>
              <w:t>Finishes 10% or more above the price today</w:t>
            </w:r>
          </w:p>
        </w:tc>
        <w:tc>
          <w:tcPr>
            <w:tcW w:type="dxa" w:w="1944"/>
          </w:tcPr>
          <w:p>
            <w:pPr>
              <w:spacing w:after="20"/>
              <w:jc w:val="right"/>
            </w:pPr>
            <w:r>
              <w:rPr>
                <w:color w:val="1C3A36"/>
                <w:sz w:val="17"/>
              </w:rPr>
              <w:t>9%</w:t>
            </w:r>
          </w:p>
        </w:tc>
        <w:tc>
          <w:tcPr>
            <w:tcW w:type="dxa" w:w="1944"/>
          </w:tcPr>
          <w:p>
            <w:pPr>
              <w:spacing w:after="20"/>
              <w:jc w:val="right"/>
            </w:pPr>
            <w:r>
              <w:rPr>
                <w:color w:val="1C3A36"/>
                <w:sz w:val="17"/>
              </w:rPr>
              <w:t>23%</w:t>
            </w:r>
          </w:p>
        </w:tc>
      </w:tr>
      <w:tr>
        <w:trPr>
          <w:cantSplit/>
        </w:trPr>
        <w:tc>
          <w:tcPr>
            <w:tcW w:type="dxa" w:w="4752"/>
          </w:tcPr>
          <w:p>
            <w:pPr>
              <w:spacing w:after="20"/>
            </w:pPr>
            <w:r>
              <w:rPr>
                <w:color w:val="1C3A36"/>
                <w:sz w:val="17"/>
              </w:rPr>
              <w:t>Finishes 10% or more below the price today</w:t>
            </w:r>
          </w:p>
        </w:tc>
        <w:tc>
          <w:tcPr>
            <w:tcW w:type="dxa" w:w="1944"/>
          </w:tcPr>
          <w:p>
            <w:pPr>
              <w:spacing w:after="20"/>
              <w:jc w:val="right"/>
            </w:pPr>
            <w:r>
              <w:rPr>
                <w:color w:val="1C3A36"/>
                <w:sz w:val="17"/>
              </w:rPr>
              <w:t>7%</w:t>
            </w:r>
          </w:p>
        </w:tc>
        <w:tc>
          <w:tcPr>
            <w:tcW w:type="dxa" w:w="1944"/>
          </w:tcPr>
          <w:p>
            <w:pPr>
              <w:spacing w:after="20"/>
              <w:jc w:val="right"/>
            </w:pPr>
            <w:r>
              <w:rPr>
                <w:color w:val="1C3A36"/>
                <w:sz w:val="17"/>
              </w:rPr>
              <w:t>20%</w:t>
            </w:r>
          </w:p>
        </w:tc>
      </w:tr>
      <w:tr>
        <w:trPr>
          <w:cantSplit/>
        </w:trPr>
        <w:tc>
          <w:tcPr>
            <w:tcW w:type="dxa" w:w="4752"/>
          </w:tcPr>
          <w:p>
            <w:pPr>
              <w:spacing w:after="20"/>
            </w:pPr>
            <w:r>
              <w:rPr>
                <w:color w:val="1C3A36"/>
                <w:sz w:val="17"/>
              </w:rPr>
              <w:t>Touches 10% above at any point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42%</w:t>
            </w:r>
          </w:p>
        </w:tc>
      </w:tr>
      <w:tr>
        <w:trPr>
          <w:cantSplit/>
        </w:trPr>
        <w:tc>
          <w:tcPr>
            <w:tcW w:type="dxa" w:w="4752"/>
          </w:tcPr>
          <w:p>
            <w:pPr>
              <w:spacing w:after="20"/>
            </w:pPr>
            <w:r>
              <w:rPr>
                <w:color w:val="1C3A36"/>
                <w:sz w:val="17"/>
              </w:rPr>
              <w:t>Touches 10% below at any point</w:t>
            </w:r>
          </w:p>
        </w:tc>
        <w:tc>
          <w:tcPr>
            <w:tcW w:type="dxa" w:w="1944"/>
          </w:tcPr>
          <w:p>
            <w:pPr>
              <w:spacing w:after="20"/>
              <w:jc w:val="right"/>
            </w:pPr>
            <w:r>
              <w:rPr>
                <w:color w:val="1C3A36"/>
                <w:sz w:val="17"/>
              </w:rPr>
              <w:t>11%</w:t>
            </w:r>
          </w:p>
        </w:tc>
        <w:tc>
          <w:tcPr>
            <w:tcW w:type="dxa" w:w="1944"/>
          </w:tcPr>
          <w:p>
            <w:pPr>
              <w:spacing w:after="20"/>
              <w:jc w:val="right"/>
            </w:pPr>
            <w:r>
              <w:rPr>
                <w:color w:val="1C3A36"/>
                <w:sz w:val="17"/>
              </w:rPr>
              <w:t>36%</w:t>
            </w:r>
          </w:p>
        </w:tc>
      </w:tr>
    </w:tbl>
    <w:p>
      <w:pPr>
        <w:spacing w:after="40"/>
      </w:pPr>
    </w:p>
    <w:p>
      <w:pPr>
        <w:spacing w:after="200" w:before="0"/>
      </w:pPr>
      <w:r>
        <w:rPr>
          <w:b w:val="0"/>
          <w:i/>
          <w:color w:val="6E7B77"/>
          <w:sz w:val="17"/>
        </w:rPr>
        <w:t>Touch probabilities exceed finish probabilities because a path can visit a level and come back. The distinction matters for anyone thinking about a level rather than a date.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952"/>
        <w:gridCol w:w="4464"/>
      </w:tblGrid>
      <w:tr>
        <w:trPr>
          <w:cantSplit/>
          <w:tblHeader/>
        </w:trPr>
        <w:tc>
          <w:tcPr>
            <w:tcW w:type="dxa" w:w="2664"/>
            <w:shd w:val="clear" w:color="auto" w:fill="EAF0EE"/>
          </w:tcPr>
          <w:p>
            <w:pPr>
              <w:spacing w:after="20"/>
            </w:pPr>
            <w:r>
              <w:rPr>
                <w:b/>
                <w:color w:val="1C3A36"/>
                <w:sz w:val="16"/>
              </w:rPr>
              <w:t>Read</w:t>
            </w:r>
          </w:p>
        </w:tc>
        <w:tc>
          <w:tcPr>
            <w:tcW w:type="dxa" w:w="2952"/>
            <w:shd w:val="clear" w:color="auto" w:fill="EAF0EE"/>
          </w:tcPr>
          <w:p>
            <w:pPr>
              <w:spacing w:after="20"/>
            </w:pPr>
            <w:r>
              <w:rPr>
                <w:b/>
                <w:color w:val="1C3A36"/>
                <w:sz w:val="16"/>
              </w:rPr>
              <w:t>What it says</w:t>
            </w:r>
          </w:p>
        </w:tc>
        <w:tc>
          <w:tcPr>
            <w:tcW w:type="dxa" w:w="4464"/>
            <w:shd w:val="clear" w:color="auto" w:fill="EAF0EE"/>
          </w:tcPr>
          <w:p>
            <w:pPr>
              <w:spacing w:after="20"/>
            </w:pPr>
            <w:r>
              <w:rPr>
                <w:b/>
                <w:color w:val="1C3A36"/>
                <w:sz w:val="16"/>
              </w:rPr>
              <w:t>What it assumes</w:t>
            </w:r>
          </w:p>
        </w:tc>
      </w:tr>
      <w:tr>
        <w:trPr>
          <w:cantSplit/>
        </w:trPr>
        <w:tc>
          <w:tcPr>
            <w:tcW w:type="dxa" w:w="2664"/>
          </w:tcPr>
          <w:p>
            <w:pPr>
              <w:spacing w:after="20"/>
            </w:pPr>
            <w:r>
              <w:rPr>
                <w:color w:val="1C3A36"/>
                <w:sz w:val="16"/>
              </w:rPr>
              <w:t>Fundamental — published index</w:t>
            </w:r>
          </w:p>
        </w:tc>
        <w:tc>
          <w:tcPr>
            <w:tcW w:type="dxa" w:w="2952"/>
          </w:tcPr>
          <w:p>
            <w:pPr>
              <w:spacing w:after="20"/>
            </w:pPr>
            <w:r>
              <w:rPr>
                <w:color w:val="1C3A36"/>
                <w:sz w:val="16"/>
              </w:rPr>
              <w:t>AED 6.58, +7%</w:t>
            </w:r>
          </w:p>
        </w:tc>
        <w:tc>
          <w:tcPr>
            <w:tcW w:type="dxa" w:w="4464"/>
          </w:tcPr>
          <w:p>
            <w:pPr>
              <w:spacing w:after="20"/>
            </w:pPr>
            <w:r>
              <w:rPr>
                <w:color w:val="1C3A36"/>
                <w:sz w:val="16"/>
              </w:rPr>
              <w:t>that the share's own listed history, measured against its exchange's published index, describes its risk, and that the tanker fleet reverts to its FY2024-FY2025 average rate</w:t>
            </w:r>
          </w:p>
        </w:tc>
      </w:tr>
      <w:tr>
        <w:trPr>
          <w:cantSplit/>
        </w:trPr>
        <w:tc>
          <w:tcPr>
            <w:tcW w:type="dxa" w:w="2664"/>
          </w:tcPr>
          <w:p>
            <w:pPr>
              <w:spacing w:after="20"/>
            </w:pPr>
            <w:r>
              <w:rPr>
                <w:color w:val="1C3A36"/>
                <w:sz w:val="16"/>
              </w:rPr>
              <w:t>Fundamental — equal-weight composite</w:t>
            </w:r>
          </w:p>
        </w:tc>
        <w:tc>
          <w:tcPr>
            <w:tcW w:type="dxa" w:w="2952"/>
          </w:tcPr>
          <w:p>
            <w:pPr>
              <w:spacing w:after="20"/>
            </w:pPr>
            <w:r>
              <w:rPr>
                <w:color w:val="1C3A36"/>
                <w:sz w:val="16"/>
              </w:rPr>
              <w:t>AED 7.60, +23%</w:t>
            </w:r>
          </w:p>
        </w:tc>
        <w:tc>
          <w:tcPr>
            <w:tcW w:type="dxa" w:w="4464"/>
          </w:tcPr>
          <w:p>
            <w:pPr>
              <w:spacing w:after="20"/>
            </w:pPr>
            <w:r>
              <w:rPr>
                <w:color w:val="1C3A36"/>
                <w:sz w:val="16"/>
              </w:rPr>
              <w:t>that the market is better represented by an equal-weight composite of the exchange's names than by its published index, with the same operating forecast</w:t>
            </w:r>
          </w:p>
        </w:tc>
      </w:tr>
      <w:tr>
        <w:trPr>
          <w:cantSplit/>
        </w:trPr>
        <w:tc>
          <w:tcPr>
            <w:tcW w:type="dxa" w:w="2664"/>
          </w:tcPr>
          <w:p>
            <w:pPr>
              <w:spacing w:after="20"/>
            </w:pPr>
            <w:r>
              <w:rPr>
                <w:color w:val="1C3A36"/>
                <w:sz w:val="16"/>
              </w:rPr>
              <w:t>Cash flow alone, published index</w:t>
            </w:r>
          </w:p>
        </w:tc>
        <w:tc>
          <w:tcPr>
            <w:tcW w:type="dxa" w:w="2952"/>
          </w:tcPr>
          <w:p>
            <w:pPr>
              <w:spacing w:after="20"/>
            </w:pPr>
            <w:r>
              <w:rPr>
                <w:color w:val="1C3A36"/>
                <w:sz w:val="16"/>
              </w:rPr>
              <w:t>AED 6.03, -2%</w:t>
            </w:r>
          </w:p>
        </w:tc>
        <w:tc>
          <w:tcPr>
            <w:tcW w:type="dxa" w:w="4464"/>
          </w:tcPr>
          <w:p>
            <w:pPr>
              <w:spacing w:after="20"/>
            </w:pPr>
            <w:r>
              <w:rPr>
                <w:color w:val="1C3A36"/>
                <w:sz w:val="16"/>
              </w:rPr>
              <w:t>a cost of capital gliding 8.49% to 7.7%</w:t>
            </w:r>
          </w:p>
        </w:tc>
      </w:tr>
      <w:tr>
        <w:trPr>
          <w:cantSplit/>
        </w:trPr>
        <w:tc>
          <w:tcPr>
            <w:tcW w:type="dxa" w:w="2664"/>
          </w:tcPr>
          <w:p>
            <w:pPr>
              <w:spacing w:after="20"/>
            </w:pPr>
            <w:r>
              <w:rPr>
                <w:color w:val="1C3A36"/>
                <w:sz w:val="16"/>
              </w:rPr>
              <w:t>Cash flow alone, equal-weight composite</w:t>
            </w:r>
          </w:p>
        </w:tc>
        <w:tc>
          <w:tcPr>
            <w:tcW w:type="dxa" w:w="2952"/>
          </w:tcPr>
          <w:p>
            <w:pPr>
              <w:spacing w:after="20"/>
            </w:pPr>
            <w:r>
              <w:rPr>
                <w:color w:val="1C3A36"/>
                <w:sz w:val="16"/>
              </w:rPr>
              <w:t>AED 8.59, +39%</w:t>
            </w:r>
          </w:p>
        </w:tc>
        <w:tc>
          <w:tcPr>
            <w:tcW w:type="dxa" w:w="4464"/>
          </w:tcPr>
          <w:p>
            <w:pPr>
              <w:spacing w:after="20"/>
            </w:pPr>
            <w:r>
              <w:rPr>
                <w:color w:val="1C3A36"/>
                <w:sz w:val="16"/>
              </w:rPr>
              <w:t>the same, gliding 7.00% to 6.3%</w:t>
            </w:r>
          </w:p>
        </w:tc>
      </w:tr>
      <w:tr>
        <w:trPr>
          <w:cantSplit/>
        </w:trPr>
        <w:tc>
          <w:tcPr>
            <w:tcW w:type="dxa" w:w="2664"/>
          </w:tcPr>
          <w:p>
            <w:pPr>
              <w:spacing w:after="20"/>
            </w:pPr>
            <w:r>
              <w:rPr>
                <w:color w:val="1C3A36"/>
                <w:sz w:val="16"/>
              </w:rPr>
              <w:t>Multiples, blended</w:t>
            </w:r>
          </w:p>
        </w:tc>
        <w:tc>
          <w:tcPr>
            <w:tcW w:type="dxa" w:w="2952"/>
          </w:tcPr>
          <w:p>
            <w:pPr>
              <w:spacing w:after="20"/>
            </w:pPr>
            <w:r>
              <w:rPr>
                <w:color w:val="1C3A36"/>
                <w:sz w:val="16"/>
              </w:rPr>
              <w:t>AED 8.25, +34%</w:t>
            </w:r>
          </w:p>
        </w:tc>
        <w:tc>
          <w:tcPr>
            <w:tcW w:type="dxa" w:w="4464"/>
          </w:tcPr>
          <w:p>
            <w:pPr>
              <w:spacing w:after="20"/>
            </w:pPr>
            <w:r>
              <w:rPr>
                <w:color w:val="1C3A36"/>
                <w:sz w:val="16"/>
              </w:rPr>
              <w:t>that a contracted shipowner's multiple and a spot owner's multiple, blended on this company's own disclosed spot exposure, describe it</w:t>
            </w:r>
          </w:p>
        </w:tc>
      </w:tr>
      <w:tr>
        <w:trPr>
          <w:cantSplit/>
        </w:trPr>
        <w:tc>
          <w:tcPr>
            <w:tcW w:type="dxa" w:w="2664"/>
          </w:tcPr>
          <w:p>
            <w:pPr>
              <w:spacing w:after="20"/>
            </w:pPr>
            <w:r>
              <w:rPr>
                <w:color w:val="1C3A36"/>
                <w:sz w:val="16"/>
              </w:rPr>
              <w:t>Sum of the parts</w:t>
            </w:r>
          </w:p>
        </w:tc>
        <w:tc>
          <w:tcPr>
            <w:tcW w:type="dxa" w:w="2952"/>
          </w:tcPr>
          <w:p>
            <w:pPr>
              <w:spacing w:after="20"/>
            </w:pPr>
            <w:r>
              <w:rPr>
                <w:color w:val="1C3A36"/>
                <w:sz w:val="16"/>
              </w:rPr>
              <w:t>AED 9.66, +57%</w:t>
            </w:r>
          </w:p>
        </w:tc>
        <w:tc>
          <w:tcPr>
            <w:tcW w:type="dxa" w:w="4464"/>
          </w:tcPr>
          <w:p>
            <w:pPr>
              <w:spacing w:after="20"/>
            </w:pPr>
            <w:r>
              <w:rPr>
                <w:color w:val="1C3A36"/>
                <w:sz w:val="16"/>
              </w:rPr>
              <w:t>the same two multiples applied where each belongs rather than to the group</w:t>
            </w:r>
          </w:p>
        </w:tc>
      </w:tr>
      <w:tr>
        <w:trPr>
          <w:cantSplit/>
        </w:trPr>
        <w:tc>
          <w:tcPr>
            <w:tcW w:type="dxa" w:w="2664"/>
          </w:tcPr>
          <w:p>
            <w:pPr>
              <w:spacing w:after="20"/>
            </w:pPr>
            <w:r>
              <w:rPr>
                <w:color w:val="1C3A36"/>
                <w:sz w:val="16"/>
              </w:rPr>
              <w:t>Rates hold near current levels</w:t>
            </w:r>
          </w:p>
        </w:tc>
        <w:tc>
          <w:tcPr>
            <w:tcW w:type="dxa" w:w="2952"/>
          </w:tcPr>
          <w:p>
            <w:pPr>
              <w:spacing w:after="20"/>
            </w:pPr>
            <w:r>
              <w:rPr>
                <w:color w:val="1C3A36"/>
                <w:sz w:val="16"/>
              </w:rPr>
              <w:t>AED 7.39, +20%</w:t>
            </w:r>
          </w:p>
        </w:tc>
        <w:tc>
          <w:tcPr>
            <w:tcW w:type="dxa" w:w="4464"/>
          </w:tcPr>
          <w:p>
            <w:pPr>
              <w:spacing w:after="20"/>
            </w:pPr>
            <w:r>
              <w:rPr>
                <w:color w:val="1C3A36"/>
                <w:sz w:val="16"/>
              </w:rPr>
              <w:t>that the fleet settles well above its own recent average — the direction the company's guidance points</w:t>
            </w:r>
          </w:p>
        </w:tc>
      </w:tr>
      <w:tr>
        <w:trPr>
          <w:cantSplit/>
        </w:trPr>
        <w:tc>
          <w:tcPr>
            <w:tcW w:type="dxa" w:w="2664"/>
          </w:tcPr>
          <w:p>
            <w:pPr>
              <w:spacing w:after="20"/>
            </w:pPr>
            <w:r>
              <w:rPr>
                <w:color w:val="1C3A36"/>
                <w:sz w:val="16"/>
              </w:rPr>
              <w:t>The market</w:t>
            </w:r>
          </w:p>
        </w:tc>
        <w:tc>
          <w:tcPr>
            <w:tcW w:type="dxa" w:w="2952"/>
          </w:tcPr>
          <w:p>
            <w:pPr>
              <w:spacing w:after="20"/>
            </w:pPr>
            <w:r>
              <w:rPr>
                <w:color w:val="1C3A36"/>
                <w:sz w:val="16"/>
              </w:rPr>
              <w:t>6.16</w:t>
            </w:r>
          </w:p>
        </w:tc>
        <w:tc>
          <w:tcPr>
            <w:tcW w:type="dxa" w:w="4464"/>
          </w:tcPr>
          <w:p>
            <w:pPr>
              <w:spacing w:after="20"/>
            </w:pPr>
            <w:r>
              <w:rPr>
                <w:color w:val="1C3A36"/>
                <w:sz w:val="16"/>
              </w:rPr>
              <w:t>revealed preference of the marginal buyer</w:t>
            </w:r>
          </w:p>
        </w:tc>
      </w:tr>
      <w:tr>
        <w:trPr>
          <w:cantSplit/>
        </w:trPr>
        <w:tc>
          <w:tcPr>
            <w:tcW w:type="dxa" w:w="2664"/>
          </w:tcPr>
          <w:p>
            <w:pPr>
              <w:spacing w:after="20"/>
            </w:pPr>
            <w:r>
              <w:rPr>
                <w:color w:val="1C3A36"/>
                <w:sz w:val="16"/>
              </w:rPr>
              <w:t>Three-month price map</w:t>
            </w:r>
          </w:p>
        </w:tc>
        <w:tc>
          <w:tcPr>
            <w:tcW w:type="dxa" w:w="2952"/>
          </w:tcPr>
          <w:p>
            <w:pPr>
              <w:spacing w:after="20"/>
            </w:pPr>
            <w:r>
              <w:rPr>
                <w:color w:val="1C3A36"/>
                <w:sz w:val="16"/>
              </w:rPr>
              <w:t>median 6.18, 51% chance of finishing above the price today</w:t>
            </w:r>
          </w:p>
        </w:tc>
        <w:tc>
          <w:tcPr>
            <w:tcW w:type="dxa" w:w="4464"/>
          </w:tcPr>
          <w:p>
            <w:pPr>
              <w:spacing w:after="20"/>
            </w:pPr>
            <w:r>
              <w:rPr>
                <w:color w:val="1C3A36"/>
                <w:sz w:val="16"/>
              </w:rPr>
              <w:t>that volatility persists as it has; no view on value at all</w:t>
            </w:r>
          </w:p>
        </w:tc>
      </w:tr>
    </w:tbl>
    <w:p>
      <w:pPr>
        <w:spacing w:after="40"/>
      </w:pPr>
    </w:p>
    <w:p>
      <w:pPr>
        <w:spacing w:after="120" w:before="0"/>
      </w:pPr>
      <w:r>
        <w:rPr>
          <w:b w:val="0"/>
          <w:i w:val="0"/>
          <w:color w:val="1C3A36"/>
          <w:sz w:val="21"/>
        </w:rPr>
        <w:t>Read down that table and the striking thing is how little room there is between the reads. The market price of AED 6.16 sits above the cash-flow lens of AED 6.03 and below the weighted central of AED 6.58, a band of roughly 9% from end to end. The two multiple lenses land above the market, but they import their cost of capital from comparators rather than state one, so they are evidence about relative pricing rather than an independent answer; the expert panel in Appendix C, which prices mid-cycle earnings rather than a terminal value, centres at AED 5.49, 11% below the market price. Read together, the evidence brackets the screen price. It does not point away from it.</w:t>
      </w:r>
    </w:p>
    <w:p>
      <w:pPr>
        <w:spacing w:after="120" w:before="0"/>
      </w:pPr>
      <w:r>
        <w:rPr>
          <w:b w:val="0"/>
          <w:i w:val="0"/>
          <w:color w:val="1C3A36"/>
          <w:sz w:val="21"/>
        </w:rPr>
        <w:t>This is a weaker claim than the study previously made, and the reason is worth stating plainly. The cash-flow lens rests on a beta of 1.085, measured on 161 weekly observations against the FTSE ADX General Index — the published index of the share's own exchange. The economic prior for a fleet owner has always been that it carries the risk of the market its ships trade in whoever signs the charter, and that prior and the regression now say the same thing. Measure the market instead as an equal-weight composite of the same exchange's names and the beta falls to 0.705 and the central rises to AED 7.60 — a difference of AED 1.02 a share that turns entirely on index weighting. Both numbers are in this document at full size and neither is hidden inside an average, but the adopted one is the published index, and on it this share is close to fairly priced rather than materially cheap.</w:t>
      </w:r>
    </w:p>
    <w:p>
      <w:pPr>
        <w:spacing w:after="200" w:before="0"/>
      </w:pPr>
      <w:r>
        <w:rPr>
          <w:b w:val="0"/>
          <w:i w:val="0"/>
          <w:color w:val="1C3A36"/>
          <w:sz w:val="21"/>
        </w:rPr>
        <w:t>No recommendation and no forecast of the share price is expressed here or anywhere else in this document. The output is a range and a distribution.</w:t>
      </w:r>
    </w:p>
    <w:p>
      <w:pPr>
        <w:keepNext/>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3888"/>
      </w:tblGrid>
      <w:tr>
        <w:trPr>
          <w:cantSplit/>
          <w:tblHeader/>
        </w:trPr>
        <w:tc>
          <w:tcPr>
            <w:tcW w:type="dxa" w:w="2232"/>
            <w:shd w:val="clear" w:color="auto" w:fill="EAF0EE"/>
          </w:tcPr>
          <w:p>
            <w:pPr>
              <w:spacing w:after="20"/>
            </w:pPr>
            <w:r>
              <w:rPr>
                <w:b/>
                <w:color w:val="1C3A36"/>
                <w:sz w:val="16"/>
              </w:rPr>
              <w:t>Catalyst</w:t>
            </w:r>
          </w:p>
        </w:tc>
        <w:tc>
          <w:tcPr>
            <w:tcW w:type="dxa" w:w="3960"/>
            <w:shd w:val="clear" w:color="auto" w:fill="EAF0EE"/>
          </w:tcPr>
          <w:p>
            <w:pPr>
              <w:spacing w:after="20"/>
            </w:pPr>
            <w:r>
              <w:rPr>
                <w:b/>
                <w:color w:val="1C3A36"/>
                <w:sz w:val="16"/>
              </w:rPr>
              <w:t>Why it matters</w:t>
            </w:r>
          </w:p>
        </w:tc>
        <w:tc>
          <w:tcPr>
            <w:tcW w:type="dxa" w:w="3888"/>
            <w:shd w:val="clear" w:color="auto" w:fill="EAF0EE"/>
          </w:tcPr>
          <w:p>
            <w:pPr>
              <w:spacing w:after="20"/>
            </w:pPr>
            <w:r>
              <w:rPr>
                <w:b/>
                <w:color w:val="1C3A36"/>
                <w:sz w:val="16"/>
              </w:rPr>
              <w:t>What to watch</w:t>
            </w:r>
          </w:p>
        </w:tc>
      </w:tr>
      <w:tr>
        <w:trPr>
          <w:cantSplit/>
        </w:trPr>
        <w:tc>
          <w:tcPr>
            <w:tcW w:type="dxa" w:w="2232"/>
          </w:tcPr>
          <w:p>
            <w:pPr>
              <w:spacing w:after="20"/>
            </w:pPr>
            <w:r>
              <w:rPr>
                <w:color w:val="1C3A36"/>
                <w:sz w:val="16"/>
              </w:rPr>
              <w:t>Second-quarter and half-year results</w:t>
            </w:r>
          </w:p>
        </w:tc>
        <w:tc>
          <w:tcPr>
            <w:tcW w:type="dxa" w:w="3960"/>
          </w:tcPr>
          <w:p>
            <w:pPr>
              <w:spacing w:after="20"/>
            </w:pPr>
            <w:r>
              <w:rPr>
                <w:color w:val="1C3A36"/>
                <w:sz w:val="16"/>
              </w:rPr>
              <w:t>the second-quarter published rate of USD 260,000 a day for the largest class was an indication given on a call, not a reported figure; the half-year statement is the first hard confirmation</w:t>
            </w:r>
          </w:p>
        </w:tc>
        <w:tc>
          <w:tcPr>
            <w:tcW w:type="dxa" w:w="3888"/>
          </w:tcPr>
          <w:p>
            <w:pPr>
              <w:spacing w:after="20"/>
            </w:pPr>
            <w:r>
              <w:rPr>
                <w:color w:val="1C3A36"/>
                <w:sz w:val="16"/>
              </w:rPr>
              <w:t>the reported time-charter equivalent by class against the indicated levels, and whether the third quarter is being framed up or down</w:t>
            </w:r>
          </w:p>
        </w:tc>
      </w:tr>
      <w:tr>
        <w:trPr>
          <w:cantSplit/>
        </w:trPr>
        <w:tc>
          <w:tcPr>
            <w:tcW w:type="dxa" w:w="2232"/>
          </w:tcPr>
          <w:p>
            <w:pPr>
              <w:spacing w:after="20"/>
            </w:pPr>
            <w:r>
              <w:rPr>
                <w:color w:val="1C3A36"/>
                <w:sz w:val="16"/>
              </w:rPr>
              <w:t>Where rates settle, not where they peak</w:t>
            </w:r>
          </w:p>
        </w:tc>
        <w:tc>
          <w:tcPr>
            <w:tcW w:type="dxa" w:w="3960"/>
          </w:tcPr>
          <w:p>
            <w:pPr>
              <w:spacing w:after="20"/>
            </w:pPr>
            <w:r>
              <w:rPr>
                <w:color w:val="1C3A36"/>
                <w:sz w:val="16"/>
              </w:rPr>
              <w:t>the base case reverts to the mid-cycle anchor over four years; the whole AED 1.81 of the rate sensitivity sits in that path</w:t>
            </w:r>
          </w:p>
        </w:tc>
        <w:tc>
          <w:tcPr>
            <w:tcW w:type="dxa" w:w="3888"/>
          </w:tcPr>
          <w:p>
            <w:pPr>
              <w:spacing w:after="20"/>
            </w:pPr>
            <w:r>
              <w:rPr>
                <w:color w:val="1C3A36"/>
                <w:sz w:val="16"/>
              </w:rPr>
              <w:t>one-year time-charter fixtures rather than spot prints — a forward commitment is the market pricing duration, which is what this model needs</w:t>
            </w:r>
          </w:p>
        </w:tc>
      </w:tr>
      <w:tr>
        <w:trPr>
          <w:cantSplit/>
        </w:trPr>
        <w:tc>
          <w:tcPr>
            <w:tcW w:type="dxa" w:w="2232"/>
          </w:tcPr>
          <w:p>
            <w:pPr>
              <w:spacing w:after="20"/>
            </w:pPr>
            <w:r>
              <w:rPr>
                <w:color w:val="1C3A36"/>
                <w:sz w:val="16"/>
              </w:rPr>
              <w:t>Tanker supply</w:t>
            </w:r>
          </w:p>
        </w:tc>
        <w:tc>
          <w:tcPr>
            <w:tcW w:type="dxa" w:w="3960"/>
          </w:tcPr>
          <w:p>
            <w:pPr>
              <w:spacing w:after="20"/>
            </w:pPr>
            <w:r>
              <w:rPr>
                <w:color w:val="1C3A36"/>
                <w:sz w:val="16"/>
              </w:rPr>
              <w:t>an order book near 27% of the trading fleet is the mechanism by which the cycle ends</w:t>
            </w:r>
          </w:p>
        </w:tc>
        <w:tc>
          <w:tcPr>
            <w:tcW w:type="dxa" w:w="3888"/>
          </w:tcPr>
          <w:p>
            <w:pPr>
              <w:spacing w:after="20"/>
            </w:pPr>
            <w:r>
              <w:rPr>
                <w:color w:val="1C3A36"/>
                <w:sz w:val="16"/>
              </w:rPr>
              <w:t>deliveries against scrapping, and whether ordering continues at these rates</w:t>
            </w:r>
          </w:p>
        </w:tc>
      </w:tr>
      <w:tr>
        <w:trPr>
          <w:cantSplit/>
        </w:trPr>
        <w:tc>
          <w:tcPr>
            <w:tcW w:type="dxa" w:w="2232"/>
          </w:tcPr>
          <w:p>
            <w:pPr>
              <w:spacing w:after="20"/>
            </w:pPr>
            <w:r>
              <w:rPr>
                <w:color w:val="1C3A36"/>
                <w:sz w:val="16"/>
              </w:rPr>
              <w:t>The contracted expansion delivering</w:t>
            </w:r>
          </w:p>
        </w:tc>
        <w:tc>
          <w:tcPr>
            <w:tcW w:type="dxa" w:w="3960"/>
          </w:tcPr>
          <w:p>
            <w:pPr>
              <w:spacing w:after="20"/>
            </w:pPr>
            <w:r>
              <w:rPr>
                <w:color w:val="1C3A36"/>
                <w:sz w:val="16"/>
              </w:rPr>
              <w:t>gas carrier vessel-years rise from 10.8 in 2026 to 25.0 by 2029, which is what takes spot exposure down from 31% to 23% of earnings</w:t>
            </w:r>
          </w:p>
        </w:tc>
        <w:tc>
          <w:tcPr>
            <w:tcW w:type="dxa" w:w="3888"/>
          </w:tcPr>
          <w:p>
            <w:pPr>
              <w:spacing w:after="20"/>
            </w:pPr>
            <w:r>
              <w:rPr>
                <w:color w:val="1C3A36"/>
                <w:sz w:val="16"/>
              </w:rPr>
              <w:t>on-time delivery of the ethane and Ruwais carriers, and new long-term charters</w:t>
            </w:r>
          </w:p>
        </w:tc>
      </w:tr>
      <w:tr>
        <w:trPr>
          <w:cantSplit/>
        </w:trPr>
        <w:tc>
          <w:tcPr>
            <w:tcW w:type="dxa" w:w="2232"/>
          </w:tcPr>
          <w:p>
            <w:pPr>
              <w:spacing w:after="20"/>
            </w:pPr>
            <w:r>
              <w:rPr>
                <w:color w:val="1C3A36"/>
                <w:sz w:val="16"/>
              </w:rPr>
              <w:t>Capital allocation, because the model runs to net cash</w:t>
            </w:r>
          </w:p>
        </w:tc>
        <w:tc>
          <w:tcPr>
            <w:tcW w:type="dxa" w:w="3960"/>
          </w:tcPr>
          <w:p>
            <w:pPr>
              <w:spacing w:after="20"/>
            </w:pPr>
            <w:r>
              <w:rPr>
                <w:color w:val="1C3A36"/>
                <w:sz w:val="16"/>
              </w:rPr>
              <w:t>on this build net debt falls from 0.46× earnings in 2026E to net cash by 2029E, against a stated target of 2.0× to 2.5×. The company will not sit there</w:t>
            </w:r>
          </w:p>
        </w:tc>
        <w:tc>
          <w:tcPr>
            <w:tcW w:type="dxa" w:w="3888"/>
          </w:tcPr>
          <w:p>
            <w:pPr>
              <w:spacing w:after="20"/>
            </w:pPr>
            <w:r>
              <w:rPr>
                <w:color w:val="1C3A36"/>
                <w:sz w:val="16"/>
              </w:rPr>
              <w:t>acquisitions, a step-up in distributions beyond the stated 5% a year, or a larger newbuild programme — see section 7</w:t>
            </w:r>
          </w:p>
        </w:tc>
      </w:tr>
      <w:tr>
        <w:trPr>
          <w:cantSplit/>
        </w:trPr>
        <w:tc>
          <w:tcPr>
            <w:tcW w:type="dxa" w:w="2232"/>
          </w:tcPr>
          <w:p>
            <w:pPr>
              <w:spacing w:after="20"/>
            </w:pPr>
            <w:r>
              <w:rPr>
                <w:color w:val="1C3A36"/>
                <w:sz w:val="16"/>
              </w:rPr>
              <w:t>The tax relief on international shipping</w:t>
            </w:r>
          </w:p>
        </w:tc>
        <w:tc>
          <w:tcPr>
            <w:tcW w:type="dxa" w:w="3960"/>
          </w:tcPr>
          <w:p>
            <w:pPr>
              <w:spacing w:after="20"/>
            </w:pPr>
            <w:r>
              <w:rPr>
                <w:color w:val="1C3A36"/>
                <w:sz w:val="16"/>
              </w:rPr>
              <w:t>the shipping units bore about 1% in FY2025; a uniform 15% would cost AED 1.02 a share</w:t>
            </w:r>
          </w:p>
        </w:tc>
        <w:tc>
          <w:tcPr>
            <w:tcW w:type="dxa" w:w="3888"/>
          </w:tcPr>
          <w:p>
            <w:pPr>
              <w:spacing w:after="20"/>
            </w:pPr>
            <w:r>
              <w:rPr>
                <w:color w:val="1C3A36"/>
                <w:sz w:val="16"/>
              </w:rPr>
              <w:t>any change to the exclusion of international shipping income from the domestic minimum top-up tax</w:t>
            </w:r>
          </w:p>
        </w:tc>
      </w:tr>
      <w:tr>
        <w:trPr>
          <w:cantSplit/>
        </w:trPr>
        <w:tc>
          <w:tcPr>
            <w:tcW w:type="dxa" w:w="2232"/>
          </w:tcPr>
          <w:p>
            <w:pPr>
              <w:spacing w:after="20"/>
            </w:pPr>
            <w:r>
              <w:rPr>
                <w:color w:val="1C3A36"/>
                <w:sz w:val="16"/>
              </w:rPr>
              <w:t>Offshore Projects</w:t>
            </w:r>
          </w:p>
        </w:tc>
        <w:tc>
          <w:tcPr>
            <w:tcW w:type="dxa" w:w="3960"/>
          </w:tcPr>
          <w:p>
            <w:pPr>
              <w:spacing w:after="20"/>
            </w:pPr>
            <w:r>
              <w:rPr>
                <w:color w:val="1C3A36"/>
                <w:sz w:val="16"/>
              </w:rPr>
              <w:t>the least visible line in the model: FY2025 revenue of USD 531 million falls to a guided USD 125 million in 2026E after the large island project completed</w:t>
            </w:r>
          </w:p>
        </w:tc>
        <w:tc>
          <w:tcPr>
            <w:tcW w:type="dxa" w:w="3888"/>
          </w:tcPr>
          <w:p>
            <w:pPr>
              <w:spacing w:after="20"/>
            </w:pPr>
            <w:r>
              <w:rPr>
                <w:color w:val="1C3A36"/>
                <w:sz w:val="16"/>
              </w:rPr>
              <w:t>new engineering and construction awards replacing the completed work</w:t>
            </w:r>
          </w:p>
        </w:tc>
      </w:tr>
      <w:tr>
        <w:trPr>
          <w:cantSplit/>
        </w:trPr>
        <w:tc>
          <w:tcPr>
            <w:tcW w:type="dxa" w:w="2232"/>
          </w:tcPr>
          <w:p>
            <w:pPr>
              <w:spacing w:after="20"/>
            </w:pPr>
            <w:r>
              <w:rPr>
                <w:color w:val="1C3A36"/>
                <w:sz w:val="16"/>
              </w:rPr>
              <w:t>The perpetual capital securities</w:t>
            </w:r>
          </w:p>
        </w:tc>
        <w:tc>
          <w:tcPr>
            <w:tcW w:type="dxa" w:w="3960"/>
          </w:tcPr>
          <w:p>
            <w:pPr>
              <w:spacing w:after="20"/>
            </w:pPr>
            <w:r>
              <w:rPr>
                <w:color w:val="1C3A36"/>
                <w:sz w:val="16"/>
              </w:rPr>
              <w:t>USD 2.0 billion ranking ahead of the ordinary shares, worth AED 0.36 a share between the two treatments</w:t>
            </w:r>
          </w:p>
        </w:tc>
        <w:tc>
          <w:tcPr>
            <w:tcW w:type="dxa" w:w="3888"/>
          </w:tcPr>
          <w:p>
            <w:pPr>
              <w:spacing w:after="20"/>
            </w:pPr>
            <w:r>
              <w:rPr>
                <w:color w:val="1C3A36"/>
                <w:sz w:val="16"/>
              </w:rPr>
              <w:t>any call, refinancing or reset of the coupon</w:t>
            </w:r>
          </w:p>
        </w:tc>
      </w:tr>
    </w:tbl>
    <w:p>
      <w:pPr>
        <w:spacing w:after="40"/>
      </w:pPr>
    </w:p>
    <w:p>
      <w:pPr>
        <w:keepNext/>
        <w:spacing w:after="120" w:before="280"/>
      </w:pPr>
      <w:r>
        <w:rPr>
          <w:b/>
          <w:i w:val="0"/>
          <w:color w:val="1C3A36"/>
          <w:sz w:val="30"/>
        </w:rPr>
        <w:t>6  Reading the probability zones</w:t>
      </w:r>
    </w:p>
    <w:p>
      <w:pPr>
        <w:spacing w:after="120" w:before="0"/>
      </w:pPr>
      <w:r>
        <w:rPr>
          <w:b w:val="0"/>
          <w:i w:val="0"/>
          <w:color w:val="1C3A36"/>
          <w:sz w:val="21"/>
        </w:rPr>
        <w:t>The three-month distribution has a median of AED 6.18 and a 5th-to-95th span of 4.95 to 7.73. Read that honestly: the model treats a -20% move and a +25% move as equally unremarkable tail outcomes over a single quarter. Anyone who finds that range uncomfortably wide is reacting to the volatility of the share, which has run near 28% annualised,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2448"/>
        <w:gridCol w:w="5040"/>
      </w:tblGrid>
      <w:tr>
        <w:trPr>
          <w:cantSplit/>
          <w:tblHeader/>
        </w:trPr>
        <w:tc>
          <w:tcPr>
            <w:tcW w:type="dxa" w:w="2592"/>
            <w:shd w:val="clear" w:color="auto" w:fill="EAF0EE"/>
          </w:tcPr>
          <w:p>
            <w:pPr>
              <w:spacing w:after="20"/>
            </w:pPr>
            <w:r>
              <w:rPr>
                <w:b/>
                <w:color w:val="1C3A36"/>
                <w:sz w:val="16"/>
              </w:rPr>
              <w:t>Zone</w:t>
            </w:r>
          </w:p>
        </w:tc>
        <w:tc>
          <w:tcPr>
            <w:tcW w:type="dxa" w:w="2448"/>
            <w:shd w:val="clear" w:color="auto" w:fill="EAF0EE"/>
          </w:tcPr>
          <w:p>
            <w:pPr>
              <w:spacing w:after="20"/>
            </w:pPr>
            <w:r>
              <w:rPr>
                <w:b/>
                <w:color w:val="1C3A36"/>
                <w:sz w:val="16"/>
              </w:rPr>
              <w:t>Three-month range (AED)</w:t>
            </w:r>
          </w:p>
        </w:tc>
        <w:tc>
          <w:tcPr>
            <w:tcW w:type="dxa" w:w="5040"/>
            <w:shd w:val="clear" w:color="auto" w:fill="EAF0EE"/>
          </w:tcPr>
          <w:p>
            <w:pPr>
              <w:spacing w:after="20"/>
              <w:jc w:val="left"/>
            </w:pPr>
            <w:r>
              <w:rPr>
                <w:b/>
                <w:color w:val="1C3A36"/>
                <w:sz w:val="16"/>
              </w:rPr>
              <w:t>How to read it</w:t>
            </w:r>
          </w:p>
        </w:tc>
      </w:tr>
      <w:tr>
        <w:trPr>
          <w:cantSplit/>
        </w:trPr>
        <w:tc>
          <w:tcPr>
            <w:tcW w:type="dxa" w:w="2592"/>
          </w:tcPr>
          <w:p>
            <w:pPr>
              <w:spacing w:after="20"/>
            </w:pPr>
            <w:r>
              <w:rPr>
                <w:color w:val="1C3A36"/>
                <w:sz w:val="16"/>
              </w:rPr>
              <w:t>Lower tail</w:t>
            </w:r>
          </w:p>
        </w:tc>
        <w:tc>
          <w:tcPr>
            <w:tcW w:type="dxa" w:w="2448"/>
          </w:tcPr>
          <w:p>
            <w:pPr>
              <w:spacing w:after="20"/>
              <w:jc w:val="right"/>
            </w:pPr>
            <w:r>
              <w:rPr>
                <w:color w:val="1C3A36"/>
                <w:sz w:val="16"/>
              </w:rPr>
              <w:t>below 4.95</w:t>
            </w:r>
          </w:p>
        </w:tc>
        <w:tc>
          <w:tcPr>
            <w:tcW w:type="dxa" w:w="5040"/>
          </w:tcPr>
          <w:p>
            <w:pPr>
              <w:spacing w:after="20"/>
              <w:jc w:val="left"/>
            </w:pPr>
            <w:r>
              <w:rPr>
                <w:color w:val="1C3A36"/>
                <w:sz w:val="16"/>
              </w:rPr>
              <w:t>a 1-in-20 outcome; would need a genuine shock — a rate collapse faster than any in the recent record, or a change in the contracted relationship with the parent</w:t>
            </w:r>
          </w:p>
        </w:tc>
      </w:tr>
      <w:tr>
        <w:trPr>
          <w:cantSplit/>
        </w:trPr>
        <w:tc>
          <w:tcPr>
            <w:tcW w:type="dxa" w:w="2592"/>
          </w:tcPr>
          <w:p>
            <w:pPr>
              <w:spacing w:after="20"/>
            </w:pPr>
            <w:r>
              <w:rPr>
                <w:color w:val="1C3A36"/>
                <w:sz w:val="16"/>
              </w:rPr>
              <w:t>Lower half of the central band</w:t>
            </w:r>
          </w:p>
        </w:tc>
        <w:tc>
          <w:tcPr>
            <w:tcW w:type="dxa" w:w="2448"/>
          </w:tcPr>
          <w:p>
            <w:pPr>
              <w:spacing w:after="20"/>
              <w:jc w:val="right"/>
            </w:pPr>
            <w:r>
              <w:rPr>
                <w:color w:val="1C3A36"/>
                <w:sz w:val="16"/>
              </w:rPr>
              <w:t>5.67 – 6.18</w:t>
            </w:r>
          </w:p>
        </w:tc>
        <w:tc>
          <w:tcPr>
            <w:tcW w:type="dxa" w:w="5040"/>
          </w:tcPr>
          <w:p>
            <w:pPr>
              <w:spacing w:after="20"/>
              <w:jc w:val="left"/>
            </w:pPr>
            <w:r>
              <w:rPr>
                <w:color w:val="1C3A36"/>
                <w:sz w:val="16"/>
              </w:rPr>
              <w:t>ordinary drift lower; the cash-flow lens on its own sits inside this zone and the book lens below it, so this is not a range at which the fundamental work would call the share cheap</w:t>
            </w:r>
          </w:p>
        </w:tc>
      </w:tr>
      <w:tr>
        <w:trPr>
          <w:cantSplit/>
        </w:trPr>
        <w:tc>
          <w:tcPr>
            <w:tcW w:type="dxa" w:w="2592"/>
          </w:tcPr>
          <w:p>
            <w:pPr>
              <w:spacing w:after="20"/>
            </w:pPr>
            <w:r>
              <w:rPr>
                <w:color w:val="1C3A36"/>
                <w:sz w:val="16"/>
              </w:rPr>
              <w:t>Upper half of the central band</w:t>
            </w:r>
          </w:p>
        </w:tc>
        <w:tc>
          <w:tcPr>
            <w:tcW w:type="dxa" w:w="2448"/>
          </w:tcPr>
          <w:p>
            <w:pPr>
              <w:spacing w:after="20"/>
              <w:jc w:val="right"/>
            </w:pPr>
            <w:r>
              <w:rPr>
                <w:color w:val="1C3A36"/>
                <w:sz w:val="16"/>
              </w:rPr>
              <w:t>6.18 – 6.73</w:t>
            </w:r>
          </w:p>
        </w:tc>
        <w:tc>
          <w:tcPr>
            <w:tcW w:type="dxa" w:w="5040"/>
          </w:tcPr>
          <w:p>
            <w:pPr>
              <w:spacing w:after="20"/>
              <w:jc w:val="left"/>
            </w:pPr>
            <w:r>
              <w:rPr>
                <w:color w:val="1C3A36"/>
                <w:sz w:val="16"/>
              </w:rPr>
              <w:t>ordinary drift higher; this zone contains the study’s own weighted central, so no repricing of the business is needed to reach it</w:t>
            </w:r>
          </w:p>
        </w:tc>
      </w:tr>
      <w:tr>
        <w:trPr>
          <w:cantSplit/>
        </w:trPr>
        <w:tc>
          <w:tcPr>
            <w:tcW w:type="dxa" w:w="2592"/>
          </w:tcPr>
          <w:p>
            <w:pPr>
              <w:spacing w:after="20"/>
            </w:pPr>
            <w:r>
              <w:rPr>
                <w:color w:val="1C3A36"/>
                <w:sz w:val="16"/>
              </w:rPr>
              <w:t>Upper tail</w:t>
            </w:r>
          </w:p>
        </w:tc>
        <w:tc>
          <w:tcPr>
            <w:tcW w:type="dxa" w:w="2448"/>
          </w:tcPr>
          <w:p>
            <w:pPr>
              <w:spacing w:after="20"/>
              <w:jc w:val="right"/>
            </w:pPr>
            <w:r>
              <w:rPr>
                <w:color w:val="1C3A36"/>
                <w:sz w:val="16"/>
              </w:rPr>
              <w:t>above 7.73</w:t>
            </w:r>
          </w:p>
        </w:tc>
        <w:tc>
          <w:tcPr>
            <w:tcW w:type="dxa" w:w="5040"/>
          </w:tcPr>
          <w:p>
            <w:pPr>
              <w:spacing w:after="20"/>
              <w:jc w:val="left"/>
            </w:pPr>
            <w:r>
              <w:rPr>
                <w:color w:val="1C3A36"/>
                <w:sz w:val="16"/>
              </w:rPr>
              <w:t>a 1-in-20 outcome; the zone in which the market would be pricing the rate strength as durable, or the equal-weight reading of the discount rate</w:t>
            </w:r>
          </w:p>
        </w:tc>
      </w:tr>
      <w:tr>
        <w:trPr>
          <w:cantSplit/>
        </w:trPr>
        <w:tc>
          <w:tcPr>
            <w:tcW w:type="dxa" w:w="2592"/>
          </w:tcPr>
          <w:p>
            <w:pPr>
              <w:spacing w:after="20"/>
            </w:pPr>
            <w:r>
              <w:rPr>
                <w:color w:val="1C3A36"/>
                <w:sz w:val="16"/>
              </w:rPr>
              <w:t>Where the weighted central sits</w:t>
            </w:r>
          </w:p>
        </w:tc>
        <w:tc>
          <w:tcPr>
            <w:tcW w:type="dxa" w:w="2448"/>
          </w:tcPr>
          <w:p>
            <w:pPr>
              <w:spacing w:after="20"/>
              <w:jc w:val="right"/>
            </w:pPr>
            <w:r>
              <w:rPr>
                <w:color w:val="1C3A36"/>
                <w:sz w:val="16"/>
              </w:rPr>
              <w:t>6.58</w:t>
            </w:r>
          </w:p>
        </w:tc>
        <w:tc>
          <w:tcPr>
            <w:tcW w:type="dxa" w:w="5040"/>
          </w:tcPr>
          <w:p>
            <w:pPr>
              <w:spacing w:after="20"/>
              <w:jc w:val="left"/>
            </w:pPr>
            <w:r>
              <w:rPr>
                <w:color w:val="1C3A36"/>
                <w:sz w:val="16"/>
              </w:rPr>
              <w:t>between the 50th and 75th percentile of the three-month distribution. The valuation and the price map — which knows nothing about value — are in the same place, which is a change from this study's earlier measurement of the market and is the clearest sign that the share is close to fairly priced</w:t>
            </w:r>
          </w:p>
        </w:tc>
      </w:tr>
      <w:tr>
        <w:trPr>
          <w:cantSplit/>
        </w:trPr>
        <w:tc>
          <w:tcPr>
            <w:tcW w:type="dxa" w:w="2592"/>
          </w:tcPr>
          <w:p>
            <w:pPr>
              <w:spacing w:after="20"/>
            </w:pPr>
            <w:r>
              <w:rPr>
                <w:color w:val="1C3A36"/>
                <w:sz w:val="16"/>
              </w:rPr>
              <w:t>Where the cash-flow lens alone sits</w:t>
            </w:r>
          </w:p>
        </w:tc>
        <w:tc>
          <w:tcPr>
            <w:tcW w:type="dxa" w:w="2448"/>
          </w:tcPr>
          <w:p>
            <w:pPr>
              <w:spacing w:after="20"/>
              <w:jc w:val="right"/>
            </w:pPr>
            <w:r>
              <w:rPr>
                <w:color w:val="1C3A36"/>
                <w:sz w:val="16"/>
              </w:rPr>
              <w:t>6.03</w:t>
            </w:r>
          </w:p>
        </w:tc>
        <w:tc>
          <w:tcPr>
            <w:tcW w:type="dxa" w:w="5040"/>
          </w:tcPr>
          <w:p>
            <w:pPr>
              <w:spacing w:after="20"/>
              <w:jc w:val="left"/>
            </w:pPr>
            <w:r>
              <w:rPr>
                <w:color w:val="1C3A36"/>
                <w:sz w:val="16"/>
              </w:rPr>
              <w:t>between the 25th and 50th percentile — below the price today, and reachable inside the horizon without anything unusual happening</w:t>
            </w:r>
          </w:p>
        </w:tc>
      </w:tr>
      <w:tr>
        <w:trPr>
          <w:cantSplit/>
        </w:trPr>
        <w:tc>
          <w:tcPr>
            <w:tcW w:type="dxa" w:w="2592"/>
          </w:tcPr>
          <w:p>
            <w:pPr>
              <w:spacing w:after="20"/>
            </w:pPr>
            <w:r>
              <w:rPr>
                <w:color w:val="1C3A36"/>
                <w:sz w:val="16"/>
              </w:rPr>
              <w:t>Where the equal-weight composite central sits</w:t>
            </w:r>
          </w:p>
        </w:tc>
        <w:tc>
          <w:tcPr>
            <w:tcW w:type="dxa" w:w="2448"/>
          </w:tcPr>
          <w:p>
            <w:pPr>
              <w:spacing w:after="20"/>
              <w:jc w:val="right"/>
            </w:pPr>
            <w:r>
              <w:rPr>
                <w:color w:val="1C3A36"/>
                <w:sz w:val="16"/>
              </w:rPr>
              <w:t>7.60</w:t>
            </w:r>
          </w:p>
        </w:tc>
        <w:tc>
          <w:tcPr>
            <w:tcW w:type="dxa" w:w="5040"/>
          </w:tcPr>
          <w:p>
            <w:pPr>
              <w:spacing w:after="20"/>
              <w:jc w:val="left"/>
            </w:pPr>
            <w:r>
              <w:rPr>
                <w:color w:val="1C3A36"/>
                <w:sz w:val="16"/>
              </w:rPr>
              <w:t>between the 75th and 95th percentile of the three-month distribution</w:t>
            </w:r>
          </w:p>
        </w:tc>
      </w:tr>
    </w:tbl>
    <w:p>
      <w:pPr>
        <w:spacing w:after="40"/>
      </w:pPr>
    </w:p>
    <w:p>
      <w:pPr>
        <w:keepNext/>
        <w:spacing w:after="120" w:before="280"/>
      </w:pPr>
      <w:r>
        <w:rPr>
          <w:b/>
          <w:i w:val="0"/>
          <w:color w:val="1C3A36"/>
          <w:sz w:val="30"/>
        </w:rPr>
        <w:t>7  Caveats and what would change our mind</w:t>
      </w:r>
    </w:p>
    <w:p>
      <w:pPr>
        <w:pStyle w:val="ListBullet"/>
        <w:spacing w:after="60"/>
      </w:pPr>
      <w:r>
        <w:rPr>
          <w:b/>
          <w:color w:val="1C3A36"/>
          <w:sz w:val="21"/>
        </w:rPr>
        <w:t xml:space="preserve">The beta still moves the answer more than anything else, even though it is now settled. </w:t>
      </w:r>
      <w:r>
        <w:rPr>
          <w:color w:val="1C3A36"/>
          <w:sz w:val="21"/>
        </w:rPr>
        <w:t>Regressed against the FTSE ADX General Index, the beta is 1.085; regressed against an equal-weight composite of the same exchange's names it is 0.705, worth AED 2.56 a share on the cash-flow lens. Across the beta range tested in section 1.9 the swing is AED 3.89, still the widest single sensitivity in the study. What has changed is that this is no longer an unresolved argument between a regression and an economic prior — the published index of the share's own exchange is the right yardstick and the two now agree. What remains is ordinary statistical uncertainty: 3.2 years of listed history, an R-squared of 0.158, and a 90% interval of [0.76, 1.41] that this study's bear and bull cases carry at full width rather than narrowing. A longer history could still move the point estimate inside that interval, and the share is a constituent of the index it is measured against, which pulls the estimate up rather than down (section 1.8).</w:t>
      </w:r>
    </w:p>
    <w:p>
      <w:pPr>
        <w:pStyle w:val="ListBullet"/>
        <w:spacing w:after="60"/>
      </w:pPr>
      <w:r>
        <w:rPr>
          <w:b/>
          <w:color w:val="1C3A36"/>
          <w:sz w:val="21"/>
        </w:rPr>
        <w:t xml:space="preserve">The terminal value is most of the answer. </w:t>
      </w:r>
      <w:r>
        <w:rPr>
          <w:color w:val="1C3A36"/>
          <w:sz w:val="21"/>
        </w:rPr>
        <w:t>78% of the cash-flow model's enterprise value is the terminal value on the adopted construction, 83% on the equal-weight composite. That is high, and it is the arithmetic consequence of discounting a business whose explicit years are depressed by a heavy capital programme — capital expenditure runs USD 1,375 million in 2026E against earnings of USD 1,900 million. The terminal assumptions are stressed across the cost of capital, growth and the rate anchor in section 1.9, and the growth in the perpetuity is paid for through an explicit reinvestment rate rather than assumed free.</w:t>
      </w:r>
    </w:p>
    <w:p>
      <w:pPr>
        <w:pStyle w:val="ListBullet"/>
        <w:spacing w:after="60"/>
      </w:pPr>
      <w:r>
        <w:rPr>
          <w:b/>
          <w:color w:val="1C3A36"/>
          <w:sz w:val="21"/>
        </w:rPr>
        <w:t xml:space="preserve">The build sits above the company's own guidance, on purpose. </w:t>
      </w:r>
      <w:r>
        <w:rPr>
          <w:color w:val="1C3A36"/>
          <w:sz w:val="21"/>
        </w:rPr>
        <w:t>The 2026E build is +18% above the guided group earnings midpoint — +23% in Shipping. Management states that its shipping assumptions are set well below prevailing spot rates and its logistics guidance at minimum activity levels. This build marks the fleet to the rates the company itself reported and indicated. Both numbers are in section 1.6 and the gap is not reconciled anywhere below; a reader who prefers the guided figures should scale the first forecast year accordingly.</w:t>
      </w:r>
    </w:p>
    <w:p>
      <w:pPr>
        <w:pStyle w:val="ListBullet"/>
        <w:spacing w:after="60"/>
      </w:pPr>
      <w:r>
        <w:rPr>
          <w:b/>
          <w:color w:val="1C3A36"/>
          <w:sz w:val="21"/>
        </w:rPr>
        <w:t xml:space="preserve">The modelled balance sheet goes to net cash, and the company will not allow that. </w:t>
      </w:r>
      <w:r>
        <w:rPr>
          <w:color w:val="1C3A36"/>
          <w:sz w:val="21"/>
        </w:rPr>
        <w:t>On this build net debt falls from 0.46× earnings in 2026E to 0.20× in 2028E and turns to net cash of USD 1,028 million by 2030E, against a stated medium-term target of 2.0× to 2.5×. At the low end of that target the 2030E balance sheet would carry about USD 3,730 million of net debt, so the modelled path leaves roughly USD 4,758 million of unused capacity, on top of an undrawn committed revolving facility of USD 2.0 billion. The company will either lever up for acquisitions or return more capital. This does not change the answer, and the reason is worth being explicit about: free cash flow to the firm is struck before financing, so the enterprise value is indifferent to the mix of debt, dividends and buybacks. What the choice changes is the shape of the return to shareholders and the risk profile of the equity — not what the operating business is worth.</w:t>
      </w:r>
    </w:p>
    <w:p>
      <w:pPr>
        <w:pStyle w:val="ListBullet"/>
        <w:spacing w:after="60"/>
      </w:pPr>
      <w:r>
        <w:rPr>
          <w:b/>
          <w:color w:val="1C3A36"/>
          <w:sz w:val="21"/>
        </w:rPr>
        <w:t xml:space="preserve">There is no net-asset-value lens, which is the sector standard for a shipowner. </w:t>
      </w:r>
      <w:r>
        <w:rPr>
          <w:color w:val="1C3A36"/>
          <w:sz w:val="21"/>
        </w:rPr>
        <w:t>The conventional way to value a fleet owner is vessel by vessel at independent broker valuations, bridged to equity. Those valuations are not obtainable from this research environment, so the book-value lens stands in for them at 15% weight. The only direct evidence on the gap between carrying value and market value is the January 2026 sale of a 2017-built very large crude carrier for USD 111 million against a carrying value of USD 83 million — 1.34× book, on one vessel, in a strong market. It says the book lens is biased conservative, but one transaction is not a fleet valuation and it is not extrapolated into the numbers.</w:t>
      </w:r>
    </w:p>
    <w:p>
      <w:pPr>
        <w:pStyle w:val="ListBullet"/>
        <w:spacing w:after="60"/>
      </w:pPr>
      <w:r>
        <w:rPr>
          <w:b/>
          <w:color w:val="1C3A36"/>
          <w:sz w:val="21"/>
        </w:rPr>
        <w:t xml:space="preserve">The second-quarter rate is an indication, not a reported figure. </w:t>
      </w:r>
      <w:r>
        <w:rPr>
          <w:color w:val="1C3A36"/>
          <w:sz w:val="21"/>
        </w:rPr>
        <w:t>The published USD 260,000 a day for the largest class in the second quarter of 2026 is the level the company indicated on its first-quarter call, not an audited or reported outcome. It is one of the four quarters that sets the 2026E rate, so an error there flows into the first forecast year. The reported half-year will settle it.</w:t>
      </w:r>
    </w:p>
    <w:p>
      <w:pPr>
        <w:pStyle w:val="ListBullet"/>
        <w:spacing w:after="60"/>
      </w:pPr>
      <w:r>
        <w:rPr>
          <w:b/>
          <w:color w:val="1C3A36"/>
          <w:sz w:val="21"/>
        </w:rPr>
        <w:t xml:space="preserve">Two rate substitutions are carried in the fleet build. </w:t>
      </w:r>
      <w:r>
        <w:rPr>
          <w:color w:val="1C3A36"/>
          <w:sz w:val="21"/>
        </w:rPr>
        <w:t>Quarterly rates for the medium-range class are not disclosed for FY2024, so the FY2025 average stands in; the handysize vessels are not broken out at all and are carried at the medium-range rate. Together those are 18 of 52 vessels and the lowest earners in the fleet, so the effect is small — but it is a substitution, and it is labelled as one.</w:t>
      </w:r>
    </w:p>
    <w:p>
      <w:pPr>
        <w:pStyle w:val="ListBullet"/>
        <w:spacing w:after="60"/>
      </w:pPr>
      <w:r>
        <w:rPr>
          <w:b/>
          <w:color w:val="1C3A36"/>
          <w:sz w:val="21"/>
        </w:rPr>
        <w:t xml:space="preserve">The open-market rate is solved out of a published average, and that construction has a load-bearing assumption inside it. </w:t>
      </w:r>
      <w:r>
        <w:rPr>
          <w:color w:val="1C3A36"/>
          <w:sz w:val="21"/>
        </w:rPr>
        <w:t>The company publishes one rate per vessel class per quarter and states that it is blended across the whole class. This study takes the 12 vessels on charter out at their own disclosed rates and solves the rest out of that average, which gives USD 199,838 a day for the largest class in the first quarter of 2026 against a published USD 145,000. The arithmetic is exact only if the published average is a straight vessel-day average of the whole class. If the company weights it differently, or if a vessel was off-hire for part of the quarter, the solved rate is too high by the same amount the average is understated. The check available is that where a class has no vessel on charter out the two figures come out identical, which they do. The half-year statement, which reports the second quarter rather than indicating it, is the first outside test of the construction.</w:t>
      </w:r>
    </w:p>
    <w:p>
      <w:pPr>
        <w:pStyle w:val="ListBullet"/>
        <w:spacing w:after="60"/>
      </w:pPr>
      <w:r>
        <w:rPr>
          <w:b/>
          <w:color w:val="1C3A36"/>
          <w:sz w:val="21"/>
        </w:rPr>
        <w:t xml:space="preserve">The fade in the asset lens is a judgement with nothing observable behind it. </w:t>
      </w:r>
      <w:r>
        <w:rPr>
          <w:color w:val="1C3A36"/>
          <w:sz w:val="21"/>
        </w:rPr>
        <w:t>Residual income beyond the fifth year is carried as a remainder decaying at 10% a year, worth USD 533 million of the USD 6,993 million this lens produces. The economic argument for a fade is solid — a fleet has to be replaced at market prices rather than at the value it is carried at, so a return above the cost of equity cannot persist unchanged — but the speed is chosen, not measured. A slower fade raises this lens and a faster one lowers it. The lens carries 15% weight, which is the lowest of the four, partly for this reason.</w:t>
      </w:r>
    </w:p>
    <w:p>
      <w:pPr>
        <w:pStyle w:val="ListBullet"/>
        <w:spacing w:after="60"/>
      </w:pPr>
      <w:r>
        <w:rPr>
          <w:b/>
          <w:color w:val="1C3A36"/>
          <w:sz w:val="21"/>
        </w:rPr>
        <w:t xml:space="preserve">Two unit inputs are solved rather than sourced. </w:t>
      </w:r>
      <w:r>
        <w:rPr>
          <w:color w:val="1C3A36"/>
          <w:sz w:val="21"/>
        </w:rPr>
        <w:t>Per-vessel running cost of USD 9,355 a day is solved so that the owned fleet's earnings reproduce the reported FY2025 result, and the gas carrier day rate of USD 61,573 is solved from reported FY2025 revenue over consolidated vessel-years. Neither is disclosed at a finer level anywhere in the filings. Both are labelled as solved wherever they appear, and both are anchored on a reported outcome rather than assumed.</w:t>
      </w:r>
    </w:p>
    <w:p>
      <w:pPr>
        <w:pStyle w:val="ListBullet"/>
        <w:spacing w:after="60"/>
      </w:pPr>
      <w:r>
        <w:rPr>
          <w:b/>
          <w:color w:val="1C3A36"/>
          <w:sz w:val="21"/>
        </w:rPr>
        <w:t xml:space="preserve">The revenue gross-up for the tanker fleet is presentational. </w:t>
      </w:r>
      <w:r>
        <w:rPr>
          <w:color w:val="1C3A36"/>
          <w:sz w:val="21"/>
        </w:rPr>
        <w:t>Reported Tankers revenue was 2.72× the owned fleet's own charter-equivalent revenue in FY2025, because of chartered-in and relet trading that carries almost no margin. The forecast sets that ratio at 1.60× from 2026E, on the evidence of the first quarter, where revenue fell year on year while the rate earned per vessel more than doubled. The ratio moves the revenue line and never the earnings line, so it cannot affect the valuation — but a reader comparing this study's revenue forecast with a broker's should know the two may be on different conventions.</w:t>
      </w:r>
    </w:p>
    <w:p>
      <w:pPr>
        <w:pStyle w:val="ListBullet"/>
        <w:spacing w:after="60"/>
      </w:pPr>
      <w:r>
        <w:rPr>
          <w:b/>
          <w:color w:val="1C3A36"/>
          <w:sz w:val="21"/>
        </w:rPr>
        <w:t xml:space="preserve">The tax relief on international shipping is a policy, not a right. </w:t>
      </w:r>
      <w:r>
        <w:rPr>
          <w:color w:val="1C3A36"/>
          <w:sz w:val="21"/>
        </w:rPr>
        <w:t>The model taxes each unit at its own disclosed FY2025 effective rate, which is about 1% in shipping because international shipping income is excluded from the UAE's domestic minimum top-up tax rules. That exclusion is a policy choice. Priced at a uniform 15% across the group, fair value falls to AED 5.01.</w:t>
      </w:r>
    </w:p>
    <w:p>
      <w:pPr>
        <w:pStyle w:val="ListBullet"/>
        <w:spacing w:after="60"/>
      </w:pPr>
      <w:r>
        <w:rPr>
          <w:b/>
          <w:color w:val="1C3A36"/>
          <w:sz w:val="21"/>
        </w:rPr>
        <w:t xml:space="preserve">The price history is short, and it is short in a specific way. </w:t>
      </w:r>
      <w:r>
        <w:rPr>
          <w:color w:val="1C3A36"/>
          <w:sz w:val="21"/>
        </w:rPr>
        <w:t>The share listed in June 2023, so the cleaned series spans 3.2 years. That is short for a beta and too short for a five-year test of the price map, which is why the map's width setting rests on the wider Abu Dhabi panel and why the beta is set out against three separate market series in section 1.8 rather than accepted at face value. One further limit belongs here: the index series supplied ends 2026-07-24, before the share's last session used elsewhere in this study, so 2 weekly observations sit outside the regression. The window was stopped where the index stops rather than pairing the share against a stale index level.</w:t>
      </w:r>
    </w:p>
    <w:p>
      <w:pPr>
        <w:pStyle w:val="ListBullet"/>
        <w:spacing w:after="60"/>
      </w:pPr>
      <w:r>
        <w:rPr>
          <w:b/>
          <w:color w:val="1C3A36"/>
          <w:sz w:val="21"/>
        </w:rPr>
        <w:t xml:space="preserve">What would change our mind, specifically. </w:t>
      </w:r>
      <w:r>
        <w:rPr>
          <w:color w:val="1C3A36"/>
          <w:sz w:val="21"/>
        </w:rPr>
        <w:t>Upward: one-year time-charter fixtures settling durably above the mid-cycle anchor used here; the contracted gas programme delivering on time and taking spot exposure below the disclosed 23%; a longer price history that settles the beta toward the lower end of its interval as the contracted programme comes in, which would lift the cash-flow lens directly. Downward: the same history settling it toward the upper end; rates reverting faster than the four-year glide assumed here; the shipping tax relief being withdrawn; a capital programme that grows without a matching contracted return; or evidence that the contracted relationship with the parent is repriced rather than renewed.</w:t>
      </w:r>
    </w:p>
    <w:p>
      <w:pPr>
        <w:spacing w:after="160" w:before="0"/>
      </w:pPr>
      <w:r>
        <w:rPr>
          <w:b w:val="0"/>
          <w:i w:val="0"/>
          <w:color w:val="1C3A36"/>
          <w:sz w:val="21"/>
        </w:rPr>
      </w:r>
    </w:p>
    <w:p>
      <w:pPr>
        <w:keepNext/>
        <w:spacing w:after="120" w:before="280"/>
      </w:pPr>
      <w:r>
        <w:rPr>
          <w:b/>
          <w:i w:val="0"/>
          <w:color w:val="1C3A36"/>
          <w:sz w:val="30"/>
        </w:rPr>
        <w:t>What changed in this edition, and why</w:t>
      </w:r>
    </w:p>
    <w:p>
      <w:pPr>
        <w:spacing w:after="120" w:before="0"/>
      </w:pPr>
      <w:r>
        <w:rPr>
          <w:b w:val="0"/>
          <w:i w:val="0"/>
          <w:color w:val="1C3A36"/>
          <w:sz w:val="21"/>
        </w:rPr>
        <w:t>An earlier edition of this study was circulated for review, and four independent readers came back with findings. Five of those findings were substantive enough to change the answer. All five have been acted on, and every one of them is set out below with the direction it moved the value and roughly how far. None of this is presented as refinement: three of the five were errors, and they are called errors here. A study that has been corrected and does not say so is worse than one that was right the first time, because the reader has no way of telling which they are holding.</w:t>
      </w:r>
    </w:p>
    <w:p>
      <w:pPr>
        <w:spacing w:after="120" w:before="0"/>
      </w:pPr>
      <w:r>
        <w:rPr>
          <w:b w:val="0"/>
          <w:i w:val="0"/>
          <w:color w:val="1C3A36"/>
          <w:sz w:val="21"/>
        </w:rPr>
        <w:t>Two of the corrections raised the value and three lowered it. On the cash-flow lens the net effect is a move to AED 6.03 a share and the weighted central to AED 6.58, against a market price of 6.16. The conclusion the study reaches — that this share is close to fairly priced on the evidence assembled here rather than materially cheap — is unchanged, but it is now reached from a materially different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30"/>
        <w:gridCol w:w="2966"/>
        <w:gridCol w:w="2966"/>
        <w:gridCol w:w="2218"/>
      </w:tblGrid>
      <w:tr>
        <w:trPr>
          <w:cantSplit/>
          <w:tblHeader/>
        </w:trPr>
        <w:tc>
          <w:tcPr>
            <w:tcW w:type="dxa" w:w="1930"/>
            <w:shd w:val="clear" w:color="auto" w:fill="EAF0EE"/>
          </w:tcPr>
          <w:p>
            <w:pPr>
              <w:spacing w:after="20"/>
            </w:pPr>
            <w:r>
              <w:rPr>
                <w:b/>
                <w:color w:val="1C3A36"/>
                <w:sz w:val="15"/>
              </w:rPr>
              <w:t>What changed</w:t>
            </w:r>
          </w:p>
        </w:tc>
        <w:tc>
          <w:tcPr>
            <w:tcW w:type="dxa" w:w="2966"/>
            <w:shd w:val="clear" w:color="auto" w:fill="EAF0EE"/>
          </w:tcPr>
          <w:p>
            <w:pPr>
              <w:spacing w:after="20"/>
            </w:pPr>
            <w:r>
              <w:rPr>
                <w:b/>
                <w:color w:val="1C3A36"/>
                <w:sz w:val="15"/>
              </w:rPr>
              <w:t>What was wrong before</w:t>
            </w:r>
          </w:p>
        </w:tc>
        <w:tc>
          <w:tcPr>
            <w:tcW w:type="dxa" w:w="2966"/>
            <w:shd w:val="clear" w:color="auto" w:fill="EAF0EE"/>
          </w:tcPr>
          <w:p>
            <w:pPr>
              <w:spacing w:after="20"/>
            </w:pPr>
            <w:r>
              <w:rPr>
                <w:b/>
                <w:color w:val="1C3A36"/>
                <w:sz w:val="15"/>
              </w:rPr>
              <w:t>What it is now</w:t>
            </w:r>
          </w:p>
        </w:tc>
        <w:tc>
          <w:tcPr>
            <w:tcW w:type="dxa" w:w="2218"/>
            <w:shd w:val="clear" w:color="auto" w:fill="EAF0EE"/>
          </w:tcPr>
          <w:p>
            <w:pPr>
              <w:spacing w:after="20"/>
            </w:pPr>
            <w:r>
              <w:rPr>
                <w:b/>
                <w:color w:val="1C3A36"/>
                <w:sz w:val="15"/>
              </w:rPr>
              <w:t>Which way it moved the answer</w:t>
            </w:r>
          </w:p>
        </w:tc>
      </w:tr>
      <w:tr>
        <w:trPr>
          <w:cantSplit/>
        </w:trPr>
        <w:tc>
          <w:tcPr>
            <w:tcW w:type="dxa" w:w="1930"/>
          </w:tcPr>
          <w:p>
            <w:pPr>
              <w:spacing w:after="20"/>
            </w:pPr>
            <w:r>
              <w:rPr>
                <w:color w:val="1C3A36"/>
                <w:sz w:val="15"/>
              </w:rPr>
              <w:t>The tanker fleet is built vessel by vessel</w:t>
            </w:r>
          </w:p>
        </w:tc>
        <w:tc>
          <w:tcPr>
            <w:tcW w:type="dxa" w:w="2966"/>
          </w:tcPr>
          <w:p>
            <w:pPr>
              <w:spacing w:after="20"/>
            </w:pPr>
            <w:r>
              <w:rPr>
                <w:color w:val="1C3A36"/>
                <w:sz w:val="15"/>
              </w:rPr>
              <w:t>The company publishes one rate per vessel class per quarter, and that rate is a blend across the whole class — the chief financial officer said so in terms on the first-quarter call. The earlier edition read it as the open-market rate AND then added the vessels on charter out separately at their own lower rates, so the drag of the charters was charged twice.</w:t>
            </w:r>
          </w:p>
        </w:tc>
        <w:tc>
          <w:tcPr>
            <w:tcW w:type="dxa" w:w="2966"/>
          </w:tcPr>
          <w:p>
            <w:pPr>
              <w:spacing w:after="20"/>
            </w:pPr>
            <w:r>
              <w:rPr>
                <w:color w:val="1C3A36"/>
                <w:sz w:val="15"/>
              </w:rPr>
              <w:t>Each of the 12 vessels chartered out earns its own disclosed rate for exactly the days its own contract runs, and the open-market rate is solved out of the published blend rather than assumed. For the largest class in the first quarter of 2026 that gives USD 199,838 a day against a published USD 145,000. Section 1.7.</w:t>
            </w:r>
          </w:p>
        </w:tc>
        <w:tc>
          <w:tcPr>
            <w:tcW w:type="dxa" w:w="2218"/>
          </w:tcPr>
          <w:p>
            <w:pPr>
              <w:spacing w:after="20"/>
            </w:pPr>
            <w:r>
              <w:rPr>
                <w:color w:val="1C3A36"/>
                <w:sz w:val="15"/>
              </w:rPr>
              <w:t>UP. The fleet starts from a higher rate, and the same reversion judgement applied to a higher starting point produces a higher value.</w:t>
            </w:r>
          </w:p>
        </w:tc>
      </w:tr>
      <w:tr>
        <w:trPr>
          <w:cantSplit/>
        </w:trPr>
        <w:tc>
          <w:tcPr>
            <w:tcW w:type="dxa" w:w="1930"/>
          </w:tcPr>
          <w:p>
            <w:pPr>
              <w:spacing w:after="20"/>
            </w:pPr>
            <w:r>
              <w:rPr>
                <w:color w:val="1C3A36"/>
                <w:sz w:val="15"/>
              </w:rPr>
              <w:t>The perpetual capital securities are priced in the cost of capital</w:t>
            </w:r>
          </w:p>
        </w:tc>
        <w:tc>
          <w:tcPr>
            <w:tcW w:type="dxa" w:w="2966"/>
          </w:tcPr>
          <w:p>
            <w:pPr>
              <w:spacing w:after="20"/>
            </w:pPr>
            <w:r>
              <w:rPr>
                <w:color w:val="1C3A36"/>
                <w:sz w:val="15"/>
              </w:rPr>
              <w:t>They were deducted in the bridge as a claim ranking ahead of the ordinary shares but left out of the weights in the cost of capital, on the ground that including them would charge for them twice. That was a non-sequitur, and two of the four reviews said so independently: deducting a claim from value and pricing the capital it supplies are different operations, and doing only the first removes a cheap tranche of funding from the enterprise without letting it lower the rate.</w:t>
            </w:r>
          </w:p>
        </w:tc>
        <w:tc>
          <w:tcPr>
            <w:tcW w:type="dxa" w:w="2966"/>
          </w:tcPr>
          <w:p>
            <w:pPr>
              <w:spacing w:after="20"/>
            </w:pPr>
            <w:r>
              <w:rPr>
                <w:color w:val="1C3A36"/>
                <w:sz w:val="15"/>
              </w:rPr>
              <w:t>They now carry a weight of 12.8% at their own coupon of 4.90%, beside ordinary equity at 80.0% and debt at 7.2%, and that cost normalises with the risk-free rate in the terminal because the coupon floats. The cost of capital falls from 9.01% to 8.49% and the terminal rate from 8.21% to 7.73%. Section 1.8.</w:t>
            </w:r>
          </w:p>
        </w:tc>
        <w:tc>
          <w:tcPr>
            <w:tcW w:type="dxa" w:w="2218"/>
          </w:tcPr>
          <w:p>
            <w:pPr>
              <w:spacing w:after="20"/>
            </w:pPr>
            <w:r>
              <w:rPr>
                <w:color w:val="1C3A36"/>
                <w:sz w:val="15"/>
              </w:rPr>
              <w:t>UP, and this is the largest of the five. A lower discount rate raises a valuation in which most of the value sits beyond the fifth year.</w:t>
            </w:r>
          </w:p>
        </w:tc>
      </w:tr>
      <w:tr>
        <w:trPr>
          <w:cantSplit/>
        </w:trPr>
        <w:tc>
          <w:tcPr>
            <w:tcW w:type="dxa" w:w="1930"/>
          </w:tcPr>
          <w:p>
            <w:pPr>
              <w:spacing w:after="20"/>
            </w:pPr>
            <w:r>
              <w:rPr>
                <w:color w:val="1C3A36"/>
                <w:sz w:val="15"/>
              </w:rPr>
              <w:t>The joint ventures are counted once</w:t>
            </w:r>
          </w:p>
        </w:tc>
        <w:tc>
          <w:tcPr>
            <w:tcW w:type="dxa" w:w="2966"/>
          </w:tcPr>
          <w:p>
            <w:pPr>
              <w:spacing w:after="20"/>
            </w:pPr>
            <w:r>
              <w:rPr>
                <w:color w:val="1C3A36"/>
                <w:sz w:val="15"/>
              </w:rPr>
              <w:t>The earnings the company discloses for each business unit already include the group's share of its equity-accounted joint ventures — USD 21 million inside Gas Carriers and USD 16 million inside Services in FY2025, both visible in the segment note. The earlier edition forecast those earnings inside the units AND added the stakes again at carrying value in the bridge.</w:t>
            </w:r>
          </w:p>
        </w:tc>
        <w:tc>
          <w:tcPr>
            <w:tcW w:type="dxa" w:w="2966"/>
          </w:tcPr>
          <w:p>
            <w:pPr>
              <w:spacing w:after="20"/>
            </w:pPr>
            <w:r>
              <w:rPr>
                <w:color w:val="1C3A36"/>
                <w:sz w:val="15"/>
              </w:rPr>
              <w:t>The joint-venture share is taken out of the unit earnings before the forecast starts. The stakes are still added in the bridge at their reviewed book value of USD 493 million, which is now the only place they appear. Sections 1.1 and 1.6.</w:t>
            </w:r>
          </w:p>
        </w:tc>
        <w:tc>
          <w:tcPr>
            <w:tcW w:type="dxa" w:w="2218"/>
          </w:tcPr>
          <w:p>
            <w:pPr>
              <w:spacing w:after="20"/>
            </w:pPr>
            <w:r>
              <w:rPr>
                <w:color w:val="1C3A36"/>
                <w:sz w:val="15"/>
              </w:rPr>
              <w:t>DOWN. Forecast earnings are lower in both affected units, and the terminal value carries that reduction forward.</w:t>
            </w:r>
          </w:p>
        </w:tc>
      </w:tr>
      <w:tr>
        <w:trPr>
          <w:cantSplit/>
        </w:trPr>
        <w:tc>
          <w:tcPr>
            <w:tcW w:type="dxa" w:w="1930"/>
          </w:tcPr>
          <w:p>
            <w:pPr>
              <w:spacing w:after="20"/>
            </w:pPr>
            <w:r>
              <w:rPr>
                <w:color w:val="1C3A36"/>
                <w:sz w:val="15"/>
              </w:rPr>
              <w:t>The asset lens is residual income, not a justified price-to-book</w:t>
            </w:r>
          </w:p>
        </w:tc>
        <w:tc>
          <w:tcPr>
            <w:tcW w:type="dxa" w:w="2966"/>
          </w:tcPr>
          <w:p>
            <w:pPr>
              <w:spacing w:after="20"/>
            </w:pPr>
            <w:r>
              <w:rPr>
                <w:color w:val="1C3A36"/>
                <w:sz w:val="15"/>
              </w:rPr>
              <w:t>A justified price-to-book multiple assumes a steady state in which the company pays out everything it does not need to fund its growth — at this company's returns, 88% of earnings. It pays out 30% to 40% and compounds its book faster than its own cost of equity, which is the region in which that formula is not merely inaccurate but undefined.</w:t>
            </w:r>
          </w:p>
        </w:tc>
        <w:tc>
          <w:tcPr>
            <w:tcW w:type="dxa" w:w="2966"/>
          </w:tcPr>
          <w:p>
            <w:pPr>
              <w:spacing w:after="20"/>
            </w:pPr>
            <w:r>
              <w:rPr>
                <w:color w:val="1C3A36"/>
                <w:sz w:val="15"/>
              </w:rPr>
              <w:t>Opening ordinary book, plus five years of returns earned above the cost of equity on that book, discounted, plus a remainder fading at 10% a year. Section 1.2.</w:t>
            </w:r>
          </w:p>
        </w:tc>
        <w:tc>
          <w:tcPr>
            <w:tcW w:type="dxa" w:w="2218"/>
          </w:tcPr>
          <w:p>
            <w:pPr>
              <w:spacing w:after="20"/>
            </w:pPr>
            <w:r>
              <w:rPr>
                <w:color w:val="1C3A36"/>
                <w:sz w:val="15"/>
              </w:rPr>
              <w:t>DOWN, and by more than any other single change. On the same returns, the same cost of equity and the same growth, the justified-multiple form gives 2.08× book, or AED 5.24 a share; residual income gives AED 3.47. At 15% weight the difference is worth about AED 0.27 of the weighted central.</w:t>
            </w:r>
          </w:p>
        </w:tc>
      </w:tr>
      <w:tr>
        <w:trPr>
          <w:cantSplit/>
        </w:trPr>
        <w:tc>
          <w:tcPr>
            <w:tcW w:type="dxa" w:w="1930"/>
          </w:tcPr>
          <w:p>
            <w:pPr>
              <w:spacing w:after="20"/>
            </w:pPr>
            <w:r>
              <w:rPr>
                <w:color w:val="1C3A36"/>
                <w:sz w:val="15"/>
              </w:rPr>
              <w:t>Earnings per share is struck after the perpetual coupon</w:t>
            </w:r>
          </w:p>
        </w:tc>
        <w:tc>
          <w:tcPr>
            <w:tcW w:type="dxa" w:w="2966"/>
          </w:tcPr>
          <w:p>
            <w:pPr>
              <w:spacing w:after="20"/>
            </w:pPr>
            <w:r>
              <w:rPr>
                <w:color w:val="1C3A36"/>
                <w:sz w:val="15"/>
              </w:rPr>
              <w:t>Forecast earnings per share was profit attributable to ordinary AND perpetual holders divided by the ordinary shares. The coupon ranks ahead of the ordinary shares, so that figure belongs to somebody else.</w:t>
            </w:r>
          </w:p>
        </w:tc>
        <w:tc>
          <w:tcPr>
            <w:tcW w:type="dxa" w:w="2966"/>
          </w:tcPr>
          <w:p>
            <w:pPr>
              <w:spacing w:after="20"/>
            </w:pPr>
            <w:r>
              <w:rPr>
                <w:color w:val="1C3A36"/>
                <w:sz w:val="15"/>
              </w:rPr>
              <w:t>Earnings per share is now profit after the USD 97 million annual coupon, over the ordinary shares. The figure before the coupon is kept as a memorandum line so the two reconcile. Appendix A.1.</w:t>
            </w:r>
          </w:p>
        </w:tc>
        <w:tc>
          <w:tcPr>
            <w:tcW w:type="dxa" w:w="2218"/>
          </w:tcPr>
          <w:p>
            <w:pPr>
              <w:spacing w:after="20"/>
            </w:pPr>
            <w:r>
              <w:rPr>
                <w:color w:val="1C3A36"/>
                <w:sz w:val="15"/>
              </w:rPr>
              <w:t>DOWN by about 8.5% on the per-share earnings, which feeds the earnings-multiple leg of the comparison and normalised lenses.</w:t>
            </w:r>
          </w:p>
        </w:tc>
      </w:tr>
      <w:tr>
        <w:trPr>
          <w:cantSplit/>
        </w:trPr>
        <w:tc>
          <w:tcPr>
            <w:tcW w:type="dxa" w:w="1930"/>
          </w:tcPr>
          <w:p>
            <w:pPr>
              <w:spacing w:after="20"/>
            </w:pPr>
            <w:r>
              <w:rPr>
                <w:color w:val="1C3A36"/>
                <w:sz w:val="15"/>
              </w:rPr>
              <w:t>Two smaller corrections, carried for completeness</w:t>
            </w:r>
          </w:p>
        </w:tc>
        <w:tc>
          <w:tcPr>
            <w:tcW w:type="dxa" w:w="2966"/>
          </w:tcPr>
          <w:p>
            <w:pPr>
              <w:spacing w:after="20"/>
            </w:pPr>
            <w:r>
              <w:rPr>
                <w:color w:val="1C3A36"/>
                <w:sz w:val="15"/>
              </w:rPr>
              <w:t>The fleet was counted at the FY2025 year end, at 53 owned tankers, after a very large crude carrier had already been sold in January 2026. And the minority interests were deducted at book value with no explanation of why book was the right measure when the minorities take 8.8% of profit.</w:t>
            </w:r>
          </w:p>
        </w:tc>
        <w:tc>
          <w:tcPr>
            <w:tcW w:type="dxa" w:w="2966"/>
          </w:tcPr>
          <w:p>
            <w:pPr>
              <w:spacing w:after="20"/>
            </w:pPr>
            <w:r>
              <w:rPr>
                <w:color w:val="1C3A36"/>
                <w:sz w:val="15"/>
              </w:rPr>
              <w:t>The fleet is 52 owned tankers at the valuation date. The minorities are deducted at USD 333 million: the USD 252 million arising on the tanker combination stays at book because that stake is contracted for purchase in mid-2027 at a price already deducted as deferred consideration, and only the remaining USD 20 million is lifted to its share of value. Sections 1.1 and 1.7.</w:t>
            </w:r>
          </w:p>
        </w:tc>
        <w:tc>
          <w:tcPr>
            <w:tcW w:type="dxa" w:w="2218"/>
          </w:tcPr>
          <w:p>
            <w:pPr>
              <w:spacing w:after="20"/>
            </w:pPr>
            <w:r>
              <w:rPr>
                <w:color w:val="1C3A36"/>
                <w:sz w:val="15"/>
              </w:rPr>
              <w:t>DOWN, marginally, on both. The minority treatment costs AED 0.03 a share, not the AED 0.41 that applying the profit share to the whole equity value would have cost — the criticism was right about the premise and wrong about the conclusion.</w:t>
            </w:r>
          </w:p>
        </w:tc>
      </w:tr>
    </w:tbl>
    <w:p>
      <w:pPr>
        <w:spacing w:after="40"/>
      </w:pPr>
    </w:p>
    <w:p>
      <w:pPr>
        <w:spacing w:after="200" w:before="0"/>
      </w:pPr>
      <w:r>
        <w:rPr>
          <w:b w:val="0"/>
          <w:i w:val="0"/>
          <w:color w:val="1C3A36"/>
          <w:sz w:val="21"/>
        </w:rPr>
        <w:t>One thing did not change and is worth saying so. The reversion judgement in section 1.7 — that the fleet glides over four years to the average of what it earned in FY2024 and FY2025 — is the same judgement it was, and it remains the largest open question in the study. The corrections above changed what the fleet is reverting FROM, not the view about where it settles. Nor did the beta change: it is still 1.085 against the published index of the share's own exchange, with the equal-weight composite reading of 0.705 published beside it at full size throughout.</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reported and five years forecast (consolidated, USD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rPr>
          <w:cantSplit/>
          <w:tblHeader/>
        </w:trPr>
        <w:tc>
          <w:tcPr>
            <w:tcW w:type="dxa" w:w="2477"/>
            <w:shd w:val="clear" w:color="auto" w:fill="EAF0EE"/>
          </w:tcPr>
          <w:p>
            <w:pPr>
              <w:spacing w:after="20"/>
            </w:pPr>
            <w:r>
              <w:rPr>
                <w:b/>
                <w:color w:val="1C3A36"/>
                <w:sz w:val="15"/>
              </w:rPr>
              <w:t>USD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rPr>
          <w:cantSplit/>
        </w:trPr>
        <w:tc>
          <w:tcPr>
            <w:tcW w:type="dxa" w:w="2477"/>
          </w:tcPr>
          <w:p>
            <w:pPr>
              <w:spacing w:after="20"/>
            </w:pPr>
            <w:r>
              <w:rPr>
                <w:color w:val="1C3A36"/>
                <w:sz w:val="15"/>
              </w:rPr>
              <w:t>Revenue</w:t>
            </w:r>
          </w:p>
        </w:tc>
        <w:tc>
          <w:tcPr>
            <w:tcW w:type="dxa" w:w="950"/>
          </w:tcPr>
          <w:p>
            <w:pPr>
              <w:spacing w:after="20"/>
              <w:jc w:val="right"/>
            </w:pPr>
            <w:r>
              <w:rPr>
                <w:color w:val="1C3A36"/>
                <w:sz w:val="15"/>
              </w:rPr>
              <w:t>2,755</w:t>
            </w:r>
          </w:p>
        </w:tc>
        <w:tc>
          <w:tcPr>
            <w:tcW w:type="dxa" w:w="950"/>
          </w:tcPr>
          <w:p>
            <w:pPr>
              <w:spacing w:after="20"/>
              <w:jc w:val="right"/>
            </w:pPr>
            <w:r>
              <w:rPr>
                <w:color w:val="1C3A36"/>
                <w:sz w:val="15"/>
              </w:rPr>
              <w:t>3,549</w:t>
            </w:r>
          </w:p>
        </w:tc>
        <w:tc>
          <w:tcPr>
            <w:tcW w:type="dxa" w:w="950"/>
          </w:tcPr>
          <w:p>
            <w:pPr>
              <w:spacing w:after="20"/>
              <w:jc w:val="right"/>
            </w:pPr>
            <w:r>
              <w:rPr>
                <w:color w:val="1C3A36"/>
                <w:sz w:val="15"/>
              </w:rPr>
              <w:t>5,016</w:t>
            </w:r>
          </w:p>
        </w:tc>
        <w:tc>
          <w:tcPr>
            <w:tcW w:type="dxa" w:w="950"/>
          </w:tcPr>
          <w:p>
            <w:pPr>
              <w:spacing w:after="20"/>
              <w:jc w:val="right"/>
            </w:pPr>
            <w:r>
              <w:rPr>
                <w:color w:val="1C3A36"/>
                <w:sz w:val="15"/>
              </w:rPr>
              <w:t>4,715</w:t>
            </w:r>
          </w:p>
        </w:tc>
        <w:tc>
          <w:tcPr>
            <w:tcW w:type="dxa" w:w="950"/>
          </w:tcPr>
          <w:p>
            <w:pPr>
              <w:spacing w:after="20"/>
              <w:jc w:val="right"/>
            </w:pPr>
            <w:r>
              <w:rPr>
                <w:color w:val="1C3A36"/>
                <w:sz w:val="15"/>
              </w:rPr>
              <w:t>4,968</w:t>
            </w:r>
          </w:p>
        </w:tc>
        <w:tc>
          <w:tcPr>
            <w:tcW w:type="dxa" w:w="950"/>
          </w:tcPr>
          <w:p>
            <w:pPr>
              <w:spacing w:after="20"/>
              <w:jc w:val="right"/>
            </w:pPr>
            <w:r>
              <w:rPr>
                <w:color w:val="1C3A36"/>
                <w:sz w:val="15"/>
              </w:rPr>
              <w:t>5,144</w:t>
            </w:r>
          </w:p>
        </w:tc>
        <w:tc>
          <w:tcPr>
            <w:tcW w:type="dxa" w:w="950"/>
          </w:tcPr>
          <w:p>
            <w:pPr>
              <w:spacing w:after="20"/>
              <w:jc w:val="right"/>
            </w:pPr>
            <w:r>
              <w:rPr>
                <w:color w:val="1C3A36"/>
                <w:sz w:val="15"/>
              </w:rPr>
              <w:t>5,056</w:t>
            </w:r>
          </w:p>
        </w:tc>
        <w:tc>
          <w:tcPr>
            <w:tcW w:type="dxa" w:w="950"/>
          </w:tcPr>
          <w:p>
            <w:pPr>
              <w:spacing w:after="20"/>
              <w:jc w:val="right"/>
            </w:pPr>
            <w:r>
              <w:rPr>
                <w:color w:val="1C3A36"/>
                <w:sz w:val="15"/>
              </w:rPr>
              <w:t>4,885</w:t>
            </w:r>
          </w:p>
        </w:tc>
      </w:tr>
      <w:tr>
        <w:trPr>
          <w:cantSplit/>
        </w:trPr>
        <w:tc>
          <w:tcPr>
            <w:tcW w:type="dxa" w:w="2477"/>
          </w:tcPr>
          <w:p>
            <w:pPr>
              <w:spacing w:after="20"/>
            </w:pPr>
            <w:r>
              <w:rPr>
                <w:color w:val="1C3A36"/>
                <w:sz w:val="15"/>
              </w:rPr>
              <w:t>Direct and operating costs</w:t>
            </w:r>
          </w:p>
        </w:tc>
        <w:tc>
          <w:tcPr>
            <w:tcW w:type="dxa" w:w="950"/>
          </w:tcPr>
          <w:p>
            <w:pPr>
              <w:spacing w:after="20"/>
              <w:jc w:val="right"/>
            </w:pPr>
            <w:r>
              <w:rPr>
                <w:color w:val="1C3A36"/>
                <w:sz w:val="15"/>
              </w:rPr>
              <w:t>(2,003)</w:t>
            </w:r>
          </w:p>
        </w:tc>
        <w:tc>
          <w:tcPr>
            <w:tcW w:type="dxa" w:w="950"/>
          </w:tcPr>
          <w:p>
            <w:pPr>
              <w:spacing w:after="20"/>
              <w:jc w:val="right"/>
            </w:pPr>
            <w:r>
              <w:rPr>
                <w:color w:val="1C3A36"/>
                <w:sz w:val="15"/>
              </w:rPr>
              <w:t>(2,609)</w:t>
            </w:r>
          </w:p>
        </w:tc>
        <w:tc>
          <w:tcPr>
            <w:tcW w:type="dxa" w:w="950"/>
          </w:tcPr>
          <w:p>
            <w:pPr>
              <w:spacing w:after="20"/>
              <w:jc w:val="right"/>
            </w:pPr>
            <w:r>
              <w:rPr>
                <w:color w:val="1C3A36"/>
                <w:sz w:val="15"/>
              </w:rPr>
              <w:t>(3,908)</w:t>
            </w:r>
          </w:p>
        </w:tc>
        <w:tc>
          <w:tcPr>
            <w:tcW w:type="dxa" w:w="950"/>
          </w:tcPr>
          <w:p>
            <w:pPr>
              <w:spacing w:after="20"/>
              <w:jc w:val="right"/>
            </w:pPr>
            <w:r>
              <w:rPr>
                <w:color w:val="1C3A36"/>
                <w:sz w:val="15"/>
              </w:rPr>
              <w:t>(2,814)</w:t>
            </w:r>
          </w:p>
        </w:tc>
        <w:tc>
          <w:tcPr>
            <w:tcW w:type="dxa" w:w="950"/>
          </w:tcPr>
          <w:p>
            <w:pPr>
              <w:spacing w:after="20"/>
              <w:jc w:val="right"/>
            </w:pPr>
            <w:r>
              <w:rPr>
                <w:color w:val="1C3A36"/>
                <w:sz w:val="15"/>
              </w:rPr>
              <w:t>(2,932)</w:t>
            </w:r>
          </w:p>
        </w:tc>
        <w:tc>
          <w:tcPr>
            <w:tcW w:type="dxa" w:w="950"/>
          </w:tcPr>
          <w:p>
            <w:pPr>
              <w:spacing w:after="20"/>
              <w:jc w:val="right"/>
            </w:pPr>
            <w:r>
              <w:rPr>
                <w:color w:val="1C3A36"/>
                <w:sz w:val="15"/>
              </w:rPr>
              <w:t>(3,025)</w:t>
            </w:r>
          </w:p>
        </w:tc>
        <w:tc>
          <w:tcPr>
            <w:tcW w:type="dxa" w:w="950"/>
          </w:tcPr>
          <w:p>
            <w:pPr>
              <w:spacing w:after="20"/>
              <w:jc w:val="right"/>
            </w:pPr>
            <w:r>
              <w:rPr>
                <w:color w:val="1C3A36"/>
                <w:sz w:val="15"/>
              </w:rPr>
              <w:t>(3,034)</w:t>
            </w:r>
          </w:p>
        </w:tc>
        <w:tc>
          <w:tcPr>
            <w:tcW w:type="dxa" w:w="950"/>
          </w:tcPr>
          <w:p>
            <w:pPr>
              <w:spacing w:after="20"/>
              <w:jc w:val="right"/>
            </w:pPr>
            <w:r>
              <w:rPr>
                <w:color w:val="1C3A36"/>
                <w:sz w:val="15"/>
              </w:rPr>
              <w:t>(3,020)</w:t>
            </w:r>
          </w:p>
        </w:tc>
      </w:tr>
      <w:tr>
        <w:trPr>
          <w:cantSplit/>
        </w:trPr>
        <w:tc>
          <w:tcPr>
            <w:tcW w:type="dxa" w:w="2477"/>
          </w:tcPr>
          <w:p>
            <w:pPr>
              <w:spacing w:after="20"/>
            </w:pPr>
            <w:r>
              <w:rPr>
                <w:color w:val="1C3A36"/>
                <w:sz w:val="15"/>
              </w:rPr>
              <w:t>Gross profit</w:t>
            </w:r>
          </w:p>
        </w:tc>
        <w:tc>
          <w:tcPr>
            <w:tcW w:type="dxa" w:w="950"/>
          </w:tcPr>
          <w:p>
            <w:pPr>
              <w:spacing w:after="20"/>
              <w:jc w:val="right"/>
            </w:pPr>
            <w:r>
              <w:rPr>
                <w:color w:val="1C3A36"/>
                <w:sz w:val="15"/>
              </w:rPr>
              <w:t>752</w:t>
            </w:r>
          </w:p>
        </w:tc>
        <w:tc>
          <w:tcPr>
            <w:tcW w:type="dxa" w:w="950"/>
          </w:tcPr>
          <w:p>
            <w:pPr>
              <w:spacing w:after="20"/>
              <w:jc w:val="right"/>
            </w:pPr>
            <w:r>
              <w:rPr>
                <w:color w:val="1C3A36"/>
                <w:sz w:val="15"/>
              </w:rPr>
              <w:t>941</w:t>
            </w:r>
          </w:p>
        </w:tc>
        <w:tc>
          <w:tcPr>
            <w:tcW w:type="dxa" w:w="950"/>
          </w:tcPr>
          <w:p>
            <w:pPr>
              <w:spacing w:after="20"/>
              <w:jc w:val="right"/>
            </w:pPr>
            <w:r>
              <w:rPr>
                <w:color w:val="1C3A36"/>
                <w:sz w:val="15"/>
              </w:rPr>
              <w:t>1,108</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General and administrative</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(142)</w:t>
            </w:r>
          </w:p>
        </w:tc>
        <w:tc>
          <w:tcPr>
            <w:tcW w:type="dxa" w:w="950"/>
          </w:tcPr>
          <w:p>
            <w:pPr>
              <w:spacing w:after="20"/>
              <w:jc w:val="right"/>
            </w:pPr>
            <w:r>
              <w:rPr>
                <w:color w:val="1C3A36"/>
                <w:sz w:val="15"/>
              </w:rPr>
              <w:t>(205)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Other income and charges</w:t>
            </w:r>
          </w:p>
        </w:tc>
        <w:tc>
          <w:tcPr>
            <w:tcW w:type="dxa" w:w="950"/>
          </w:tcPr>
          <w:p>
            <w:pPr>
              <w:spacing w:after="20"/>
              <w:jc w:val="right"/>
            </w:pPr>
            <w:r>
              <w:rPr>
                <w:color w:val="1C3A36"/>
                <w:sz w:val="15"/>
              </w:rPr>
              <w:t>8</w:t>
            </w:r>
          </w:p>
        </w:tc>
        <w:tc>
          <w:tcPr>
            <w:tcW w:type="dxa" w:w="950"/>
          </w:tcPr>
          <w:p>
            <w:pPr>
              <w:spacing w:after="20"/>
              <w:jc w:val="right"/>
            </w:pPr>
            <w:r>
              <w:rPr>
                <w:color w:val="1C3A36"/>
                <w:sz w:val="15"/>
              </w:rPr>
              <w:t>18</w:t>
            </w:r>
          </w:p>
        </w:tc>
        <w:tc>
          <w:tcPr>
            <w:tcW w:type="dxa" w:w="950"/>
          </w:tcPr>
          <w:p>
            <w:pPr>
              <w:spacing w:after="20"/>
              <w:jc w:val="right"/>
            </w:pPr>
            <w:r>
              <w:rPr>
                <w:color w:val="1C3A36"/>
                <w:sz w:val="15"/>
              </w:rPr>
              <w:t>41</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shd w:val="clear" w:color="auto" w:fill="F6F1E6"/>
          </w:tcPr>
          <w:p>
            <w:pPr>
              <w:spacing w:after="20"/>
            </w:pPr>
            <w:r>
              <w:rPr>
                <w:b/>
                <w:color w:val="1C3A36"/>
                <w:sz w:val="15"/>
              </w:rPr>
              <w:t>Earnings before interest, tax, depreciation and amortisation</w:t>
            </w:r>
          </w:p>
        </w:tc>
        <w:tc>
          <w:tcPr>
            <w:tcW w:type="dxa" w:w="950"/>
            <w:shd w:val="clear" w:color="auto" w:fill="F6F1E6"/>
          </w:tcPr>
          <w:p>
            <w:pPr>
              <w:spacing w:after="20"/>
              <w:jc w:val="right"/>
            </w:pPr>
            <w:r>
              <w:rPr>
                <w:b/>
                <w:color w:val="1C3A36"/>
                <w:sz w:val="15"/>
              </w:rPr>
              <w:t>862</w:t>
            </w:r>
          </w:p>
        </w:tc>
        <w:tc>
          <w:tcPr>
            <w:tcW w:type="dxa" w:w="950"/>
            <w:shd w:val="clear" w:color="auto" w:fill="F6F1E6"/>
          </w:tcPr>
          <w:p>
            <w:pPr>
              <w:spacing w:after="20"/>
              <w:jc w:val="right"/>
            </w:pPr>
            <w:r>
              <w:rPr>
                <w:b/>
                <w:color w:val="1C3A36"/>
                <w:sz w:val="15"/>
              </w:rPr>
              <w:t>1,135</w:t>
            </w:r>
          </w:p>
        </w:tc>
        <w:tc>
          <w:tcPr>
            <w:tcW w:type="dxa" w:w="950"/>
            <w:shd w:val="clear" w:color="auto" w:fill="F6F1E6"/>
          </w:tcPr>
          <w:p>
            <w:pPr>
              <w:spacing w:after="20"/>
              <w:jc w:val="right"/>
            </w:pPr>
            <w:r>
              <w:rPr>
                <w:b/>
                <w:color w:val="1C3A36"/>
                <w:sz w:val="15"/>
              </w:rPr>
              <w:t>1,469</w:t>
            </w:r>
          </w:p>
        </w:tc>
        <w:tc>
          <w:tcPr>
            <w:tcW w:type="dxa" w:w="950"/>
            <w:shd w:val="clear" w:color="auto" w:fill="F6F1E6"/>
          </w:tcPr>
          <w:p>
            <w:pPr>
              <w:spacing w:after="20"/>
              <w:jc w:val="right"/>
            </w:pPr>
            <w:r>
              <w:rPr>
                <w:b/>
                <w:color w:val="1C3A36"/>
                <w:sz w:val="15"/>
              </w:rPr>
              <w:t>1,900</w:t>
            </w:r>
          </w:p>
        </w:tc>
        <w:tc>
          <w:tcPr>
            <w:tcW w:type="dxa" w:w="950"/>
            <w:shd w:val="clear" w:color="auto" w:fill="F6F1E6"/>
          </w:tcPr>
          <w:p>
            <w:pPr>
              <w:spacing w:after="20"/>
              <w:jc w:val="right"/>
            </w:pPr>
            <w:r>
              <w:rPr>
                <w:b/>
                <w:color w:val="1C3A36"/>
                <w:sz w:val="15"/>
              </w:rPr>
              <w:t>2,036</w:t>
            </w:r>
          </w:p>
        </w:tc>
        <w:tc>
          <w:tcPr>
            <w:tcW w:type="dxa" w:w="950"/>
            <w:shd w:val="clear" w:color="auto" w:fill="F6F1E6"/>
          </w:tcPr>
          <w:p>
            <w:pPr>
              <w:spacing w:after="20"/>
              <w:jc w:val="right"/>
            </w:pPr>
            <w:r>
              <w:rPr>
                <w:b/>
                <w:color w:val="1C3A36"/>
                <w:sz w:val="15"/>
              </w:rPr>
              <w:t>2,119</w:t>
            </w:r>
          </w:p>
        </w:tc>
        <w:tc>
          <w:tcPr>
            <w:tcW w:type="dxa" w:w="950"/>
            <w:shd w:val="clear" w:color="auto" w:fill="F6F1E6"/>
          </w:tcPr>
          <w:p>
            <w:pPr>
              <w:spacing w:after="20"/>
              <w:jc w:val="right"/>
            </w:pPr>
            <w:r>
              <w:rPr>
                <w:b/>
                <w:color w:val="1C3A36"/>
                <w:sz w:val="15"/>
              </w:rPr>
              <w:t>2,022</w:t>
            </w:r>
          </w:p>
        </w:tc>
        <w:tc>
          <w:tcPr>
            <w:tcW w:type="dxa" w:w="950"/>
            <w:shd w:val="clear" w:color="auto" w:fill="F6F1E6"/>
          </w:tcPr>
          <w:p>
            <w:pPr>
              <w:spacing w:after="20"/>
              <w:jc w:val="right"/>
            </w:pPr>
            <w:r>
              <w:rPr>
                <w:b/>
                <w:color w:val="1C3A36"/>
                <w:sz w:val="15"/>
              </w:rPr>
              <w:t>1,865</w:t>
            </w:r>
          </w:p>
        </w:tc>
      </w:tr>
      <w:tr>
        <w:trPr>
          <w:cantSplit/>
        </w:trPr>
        <w:tc>
          <w:tcPr>
            <w:tcW w:type="dxa" w:w="2477"/>
          </w:tcPr>
          <w:p>
            <w:pPr>
              <w:spacing w:after="20"/>
            </w:pPr>
            <w:r>
              <w:rPr>
                <w:color w:val="1C3A36"/>
                <w:sz w:val="15"/>
              </w:rPr>
              <w:t xml:space="preserve">  margin</w:t>
            </w:r>
          </w:p>
        </w:tc>
        <w:tc>
          <w:tcPr>
            <w:tcW w:type="dxa" w:w="950"/>
          </w:tcPr>
          <w:p>
            <w:pPr>
              <w:spacing w:after="20"/>
              <w:jc w:val="right"/>
            </w:pPr>
            <w:r>
              <w:rPr>
                <w:color w:val="1C3A36"/>
                <w:sz w:val="15"/>
              </w:rPr>
              <w:t>31.3%</w:t>
            </w:r>
          </w:p>
        </w:tc>
        <w:tc>
          <w:tcPr>
            <w:tcW w:type="dxa" w:w="950"/>
          </w:tcPr>
          <w:p>
            <w:pPr>
              <w:spacing w:after="20"/>
              <w:jc w:val="right"/>
            </w:pPr>
            <w:r>
              <w:rPr>
                <w:color w:val="1C3A36"/>
                <w:sz w:val="15"/>
              </w:rPr>
              <w:t>32.0%</w:t>
            </w:r>
          </w:p>
        </w:tc>
        <w:tc>
          <w:tcPr>
            <w:tcW w:type="dxa" w:w="950"/>
          </w:tcPr>
          <w:p>
            <w:pPr>
              <w:spacing w:after="20"/>
              <w:jc w:val="right"/>
            </w:pPr>
            <w:r>
              <w:rPr>
                <w:color w:val="1C3A36"/>
                <w:sz w:val="15"/>
              </w:rPr>
              <w:t>29.3%</w:t>
            </w:r>
          </w:p>
        </w:tc>
        <w:tc>
          <w:tcPr>
            <w:tcW w:type="dxa" w:w="950"/>
          </w:tcPr>
          <w:p>
            <w:pPr>
              <w:spacing w:after="20"/>
              <w:jc w:val="right"/>
            </w:pPr>
            <w:r>
              <w:rPr>
                <w:color w:val="1C3A36"/>
                <w:sz w:val="15"/>
              </w:rPr>
              <w:t>40.3%</w:t>
            </w:r>
          </w:p>
        </w:tc>
        <w:tc>
          <w:tcPr>
            <w:tcW w:type="dxa" w:w="950"/>
          </w:tcPr>
          <w:p>
            <w:pPr>
              <w:spacing w:after="20"/>
              <w:jc w:val="right"/>
            </w:pPr>
            <w:r>
              <w:rPr>
                <w:color w:val="1C3A36"/>
                <w:sz w:val="15"/>
              </w:rPr>
              <w:t>41.0%</w:t>
            </w:r>
          </w:p>
        </w:tc>
        <w:tc>
          <w:tcPr>
            <w:tcW w:type="dxa" w:w="950"/>
          </w:tcPr>
          <w:p>
            <w:pPr>
              <w:spacing w:after="20"/>
              <w:jc w:val="right"/>
            </w:pPr>
            <w:r>
              <w:rPr>
                <w:color w:val="1C3A36"/>
                <w:sz w:val="15"/>
              </w:rPr>
              <w:t>41.2%</w:t>
            </w:r>
          </w:p>
        </w:tc>
        <w:tc>
          <w:tcPr>
            <w:tcW w:type="dxa" w:w="950"/>
          </w:tcPr>
          <w:p>
            <w:pPr>
              <w:spacing w:after="20"/>
              <w:jc w:val="right"/>
            </w:pPr>
            <w:r>
              <w:rPr>
                <w:color w:val="1C3A36"/>
                <w:sz w:val="15"/>
              </w:rPr>
              <w:t>40.0%</w:t>
            </w:r>
          </w:p>
        </w:tc>
        <w:tc>
          <w:tcPr>
            <w:tcW w:type="dxa" w:w="950"/>
          </w:tcPr>
          <w:p>
            <w:pPr>
              <w:spacing w:after="20"/>
              <w:jc w:val="right"/>
            </w:pPr>
            <w:r>
              <w:rPr>
                <w:color w:val="1C3A36"/>
                <w:sz w:val="15"/>
              </w:rPr>
              <w:t>38.2%</w:t>
            </w:r>
          </w:p>
        </w:tc>
      </w:tr>
      <w:tr>
        <w:trPr>
          <w:cantSplit/>
        </w:trP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(249)</w:t>
            </w:r>
          </w:p>
        </w:tc>
        <w:tc>
          <w:tcPr>
            <w:tcW w:type="dxa" w:w="950"/>
          </w:tcPr>
          <w:p>
            <w:pPr>
              <w:spacing w:after="20"/>
              <w:jc w:val="right"/>
            </w:pPr>
            <w:r>
              <w:rPr>
                <w:color w:val="1C3A36"/>
                <w:sz w:val="15"/>
              </w:rPr>
              <w:t>(317)</w:t>
            </w:r>
          </w:p>
        </w:tc>
        <w:tc>
          <w:tcPr>
            <w:tcW w:type="dxa" w:w="950"/>
          </w:tcPr>
          <w:p>
            <w:pPr>
              <w:spacing w:after="20"/>
              <w:jc w:val="right"/>
            </w:pPr>
            <w:r>
              <w:rPr>
                <w:color w:val="1C3A36"/>
                <w:sz w:val="15"/>
              </w:rPr>
              <w:t>(525)</w:t>
            </w:r>
          </w:p>
        </w:tc>
        <w:tc>
          <w:tcPr>
            <w:tcW w:type="dxa" w:w="950"/>
          </w:tcPr>
          <w:p>
            <w:pPr>
              <w:spacing w:after="20"/>
              <w:jc w:val="right"/>
            </w:pPr>
            <w:r>
              <w:rPr>
                <w:color w:val="1C3A36"/>
                <w:sz w:val="15"/>
              </w:rPr>
              <w:t>(538)</w:t>
            </w:r>
          </w:p>
        </w:tc>
        <w:tc>
          <w:tcPr>
            <w:tcW w:type="dxa" w:w="950"/>
          </w:tcPr>
          <w:p>
            <w:pPr>
              <w:spacing w:after="20"/>
              <w:jc w:val="right"/>
            </w:pPr>
            <w:r>
              <w:rPr>
                <w:color w:val="1C3A36"/>
                <w:sz w:val="15"/>
              </w:rPr>
              <w:t>(590)</w:t>
            </w:r>
          </w:p>
        </w:tc>
        <w:tc>
          <w:tcPr>
            <w:tcW w:type="dxa" w:w="950"/>
          </w:tcPr>
          <w:p>
            <w:pPr>
              <w:spacing w:after="20"/>
              <w:jc w:val="right"/>
            </w:pPr>
            <w:r>
              <w:rPr>
                <w:color w:val="1C3A36"/>
                <w:sz w:val="15"/>
              </w:rPr>
              <w:t>(636)</w:t>
            </w:r>
          </w:p>
        </w:tc>
        <w:tc>
          <w:tcPr>
            <w:tcW w:type="dxa" w:w="950"/>
          </w:tcPr>
          <w:p>
            <w:pPr>
              <w:spacing w:after="20"/>
              <w:jc w:val="right"/>
            </w:pPr>
            <w:r>
              <w:rPr>
                <w:color w:val="1C3A36"/>
                <w:sz w:val="15"/>
              </w:rPr>
              <w:t>(664)</w:t>
            </w:r>
          </w:p>
        </w:tc>
        <w:tc>
          <w:tcPr>
            <w:tcW w:type="dxa" w:w="950"/>
          </w:tcPr>
          <w:p>
            <w:pPr>
              <w:spacing w:after="20"/>
              <w:jc w:val="right"/>
            </w:pPr>
            <w:r>
              <w:rPr>
                <w:color w:val="1C3A36"/>
                <w:sz w:val="15"/>
              </w:rPr>
              <w:t>(674)</w:t>
            </w:r>
          </w:p>
        </w:tc>
      </w:tr>
      <w:tr>
        <w:trPr>
          <w:cantSplit/>
        </w:trPr>
        <w:tc>
          <w:tcPr>
            <w:tcW w:type="dxa" w:w="2477"/>
          </w:tcPr>
          <w:p>
            <w:pPr>
              <w:spacing w:after="20"/>
            </w:pPr>
            <w:r>
              <w:rPr>
                <w:color w:val="1C3A36"/>
                <w:sz w:val="15"/>
              </w:rPr>
              <w:t>Earnings before interest and tax</w:t>
            </w:r>
          </w:p>
        </w:tc>
        <w:tc>
          <w:tcPr>
            <w:tcW w:type="dxa" w:w="950"/>
          </w:tcPr>
          <w:p>
            <w:pPr>
              <w:spacing w:after="20"/>
              <w:jc w:val="right"/>
            </w:pPr>
            <w:r>
              <w:rPr>
                <w:color w:val="1C3A36"/>
                <w:sz w:val="15"/>
              </w:rPr>
              <w:t>614</w:t>
            </w:r>
          </w:p>
        </w:tc>
        <w:tc>
          <w:tcPr>
            <w:tcW w:type="dxa" w:w="950"/>
          </w:tcPr>
          <w:p>
            <w:pPr>
              <w:spacing w:after="20"/>
              <w:jc w:val="right"/>
            </w:pPr>
            <w:r>
              <w:rPr>
                <w:color w:val="1C3A36"/>
                <w:sz w:val="15"/>
              </w:rPr>
              <w:t>817</w:t>
            </w:r>
          </w:p>
        </w:tc>
        <w:tc>
          <w:tcPr>
            <w:tcW w:type="dxa" w:w="950"/>
          </w:tcPr>
          <w:p>
            <w:pPr>
              <w:spacing w:after="20"/>
              <w:jc w:val="right"/>
            </w:pPr>
            <w:r>
              <w:rPr>
                <w:color w:val="1C3A36"/>
                <w:sz w:val="15"/>
              </w:rPr>
              <w:t>944</w:t>
            </w:r>
          </w:p>
        </w:tc>
        <w:tc>
          <w:tcPr>
            <w:tcW w:type="dxa" w:w="950"/>
          </w:tcPr>
          <w:p>
            <w:pPr>
              <w:spacing w:after="20"/>
              <w:jc w:val="right"/>
            </w:pPr>
            <w:r>
              <w:rPr>
                <w:color w:val="1C3A36"/>
                <w:sz w:val="15"/>
              </w:rPr>
              <w:t>1,362</w:t>
            </w:r>
          </w:p>
        </w:tc>
        <w:tc>
          <w:tcPr>
            <w:tcW w:type="dxa" w:w="950"/>
          </w:tcPr>
          <w:p>
            <w:pPr>
              <w:spacing w:after="20"/>
              <w:jc w:val="right"/>
            </w:pPr>
            <w:r>
              <w:rPr>
                <w:color w:val="1C3A36"/>
                <w:sz w:val="15"/>
              </w:rPr>
              <w:t>1,446</w:t>
            </w:r>
          </w:p>
        </w:tc>
        <w:tc>
          <w:tcPr>
            <w:tcW w:type="dxa" w:w="950"/>
          </w:tcPr>
          <w:p>
            <w:pPr>
              <w:spacing w:after="20"/>
              <w:jc w:val="right"/>
            </w:pPr>
            <w:r>
              <w:rPr>
                <w:color w:val="1C3A36"/>
                <w:sz w:val="15"/>
              </w:rPr>
              <w:t>1,483</w:t>
            </w:r>
          </w:p>
        </w:tc>
        <w:tc>
          <w:tcPr>
            <w:tcW w:type="dxa" w:w="950"/>
          </w:tcPr>
          <w:p>
            <w:pPr>
              <w:spacing w:after="20"/>
              <w:jc w:val="right"/>
            </w:pPr>
            <w:r>
              <w:rPr>
                <w:color w:val="1C3A36"/>
                <w:sz w:val="15"/>
              </w:rPr>
              <w:t>1,358</w:t>
            </w:r>
          </w:p>
        </w:tc>
        <w:tc>
          <w:tcPr>
            <w:tcW w:type="dxa" w:w="950"/>
          </w:tcPr>
          <w:p>
            <w:pPr>
              <w:spacing w:after="20"/>
              <w:jc w:val="right"/>
            </w:pPr>
            <w:r>
              <w:rPr>
                <w:color w:val="1C3A36"/>
                <w:sz w:val="15"/>
              </w:rPr>
              <w:t>1,191</w:t>
            </w:r>
          </w:p>
        </w:tc>
      </w:tr>
      <w:tr>
        <w:trPr>
          <w:cantSplit/>
        </w:trPr>
        <w:tc>
          <w:tcPr>
            <w:tcW w:type="dxa" w:w="2477"/>
          </w:tcPr>
          <w:p>
            <w:pPr>
              <w:spacing w:after="20"/>
            </w:pPr>
            <w:r>
              <w:rPr>
                <w:color w:val="1C3A36"/>
                <w:sz w:val="15"/>
              </w:rPr>
              <w:t>Share of joint ventures and associates</w:t>
            </w:r>
          </w:p>
        </w:tc>
        <w:tc>
          <w:tcPr>
            <w:tcW w:type="dxa" w:w="950"/>
          </w:tcPr>
          <w:p>
            <w:pPr>
              <w:spacing w:after="20"/>
              <w:jc w:val="right"/>
            </w:pPr>
            <w:r>
              <w:rPr>
                <w:color w:val="1C3A36"/>
                <w:sz w:val="15"/>
              </w:rPr>
              <w:t>14</w:t>
            </w:r>
          </w:p>
        </w:tc>
        <w:tc>
          <w:tcPr>
            <w:tcW w:type="dxa" w:w="950"/>
          </w:tcPr>
          <w:p>
            <w:pPr>
              <w:spacing w:after="20"/>
              <w:jc w:val="right"/>
            </w:pPr>
            <w:r>
              <w:rPr>
                <w:color w:val="1C3A36"/>
                <w:sz w:val="15"/>
              </w:rPr>
              <w:t>14</w:t>
            </w:r>
          </w:p>
        </w:tc>
        <w:tc>
          <w:tcPr>
            <w:tcW w:type="dxa" w:w="950"/>
          </w:tcPr>
          <w:p>
            <w:pPr>
              <w:spacing w:after="20"/>
              <w:jc w:val="right"/>
            </w:pPr>
            <w:r>
              <w:rPr>
                <w:color w:val="1C3A36"/>
                <w:sz w:val="15"/>
              </w:rPr>
              <w:t>37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Net finance cost</w:t>
            </w:r>
          </w:p>
        </w:tc>
        <w:tc>
          <w:tcPr>
            <w:tcW w:type="dxa" w:w="950"/>
          </w:tcPr>
          <w:p>
            <w:pPr>
              <w:spacing w:after="20"/>
              <w:jc w:val="right"/>
            </w:pPr>
            <w:r>
              <w:rPr>
                <w:color w:val="1C3A36"/>
                <w:sz w:val="15"/>
              </w:rPr>
              <w:t>(5)</w:t>
            </w:r>
          </w:p>
        </w:tc>
        <w:tc>
          <w:tcPr>
            <w:tcW w:type="dxa" w:w="950"/>
          </w:tcPr>
          <w:p>
            <w:pPr>
              <w:spacing w:after="20"/>
              <w:jc w:val="right"/>
            </w:pPr>
            <w:r>
              <w:rPr>
                <w:color w:val="1C3A36"/>
                <w:sz w:val="15"/>
              </w:rPr>
              <w:t>(2)</w:t>
            </w:r>
          </w:p>
        </w:tc>
        <w:tc>
          <w:tcPr>
            <w:tcW w:type="dxa" w:w="950"/>
          </w:tcPr>
          <w:p>
            <w:pPr>
              <w:spacing w:after="20"/>
              <w:jc w:val="right"/>
            </w:pPr>
            <w:r>
              <w:rPr>
                <w:color w:val="1C3A36"/>
                <w:sz w:val="15"/>
              </w:rPr>
              <w:t>(68)</w:t>
            </w:r>
          </w:p>
        </w:tc>
        <w:tc>
          <w:tcPr>
            <w:tcW w:type="dxa" w:w="950"/>
          </w:tcPr>
          <w:p>
            <w:pPr>
              <w:spacing w:after="20"/>
              <w:jc w:val="right"/>
            </w:pPr>
            <w:r>
              <w:rPr>
                <w:color w:val="1C3A36"/>
                <w:sz w:val="15"/>
              </w:rPr>
              <w:t>(57)</w:t>
            </w:r>
          </w:p>
        </w:tc>
        <w:tc>
          <w:tcPr>
            <w:tcW w:type="dxa" w:w="950"/>
          </w:tcPr>
          <w:p>
            <w:pPr>
              <w:spacing w:after="20"/>
              <w:jc w:val="right"/>
            </w:pPr>
            <w:r>
              <w:rPr>
                <w:color w:val="1C3A36"/>
                <w:sz w:val="15"/>
              </w:rPr>
              <w:t>(67)</w:t>
            </w:r>
          </w:p>
        </w:tc>
        <w:tc>
          <w:tcPr>
            <w:tcW w:type="dxa" w:w="950"/>
          </w:tcPr>
          <w:p>
            <w:pPr>
              <w:spacing w:after="20"/>
              <w:jc w:val="right"/>
            </w:pPr>
            <w:r>
              <w:rPr>
                <w:color w:val="1C3A36"/>
                <w:sz w:val="15"/>
              </w:rPr>
              <w:t>(56)</w:t>
            </w:r>
          </w:p>
        </w:tc>
        <w:tc>
          <w:tcPr>
            <w:tcW w:type="dxa" w:w="950"/>
          </w:tcPr>
          <w:p>
            <w:pPr>
              <w:spacing w:after="20"/>
              <w:jc w:val="right"/>
            </w:pPr>
            <w:r>
              <w:rPr>
                <w:color w:val="1C3A36"/>
                <w:sz w:val="15"/>
              </w:rPr>
              <w:t>(40)</w:t>
            </w:r>
          </w:p>
        </w:tc>
        <w:tc>
          <w:tcPr>
            <w:tcW w:type="dxa" w:w="950"/>
          </w:tcPr>
          <w:p>
            <w:pPr>
              <w:spacing w:after="20"/>
              <w:jc w:val="right"/>
            </w:pPr>
            <w:r>
              <w:rPr>
                <w:color w:val="1C3A36"/>
                <w:sz w:val="15"/>
              </w:rPr>
              <w:t>(-4)</w:t>
            </w:r>
          </w:p>
        </w:tc>
      </w:tr>
      <w:tr>
        <w:trPr>
          <w:cantSplit/>
        </w:trPr>
        <w:tc>
          <w:tcPr>
            <w:tcW w:type="dxa" w:w="2477"/>
          </w:tcPr>
          <w:p>
            <w:pPr>
              <w:spacing w:after="20"/>
            </w:pPr>
            <w:r>
              <w:rPr>
                <w:color w:val="1C3A36"/>
                <w:sz w:val="15"/>
              </w:rPr>
              <w:t>Profit before tax</w:t>
            </w:r>
          </w:p>
        </w:tc>
        <w:tc>
          <w:tcPr>
            <w:tcW w:type="dxa" w:w="950"/>
          </w:tcPr>
          <w:p>
            <w:pPr>
              <w:spacing w:after="20"/>
              <w:jc w:val="right"/>
            </w:pPr>
            <w:r>
              <w:rPr>
                <w:color w:val="1C3A36"/>
                <w:sz w:val="15"/>
              </w:rPr>
              <w:t>622</w:t>
            </w:r>
          </w:p>
        </w:tc>
        <w:tc>
          <w:tcPr>
            <w:tcW w:type="dxa" w:w="950"/>
          </w:tcPr>
          <w:p>
            <w:pPr>
              <w:spacing w:after="20"/>
              <w:jc w:val="right"/>
            </w:pPr>
            <w:r>
              <w:rPr>
                <w:color w:val="1C3A36"/>
                <w:sz w:val="15"/>
              </w:rPr>
              <w:t>829</w:t>
            </w:r>
          </w:p>
        </w:tc>
        <w:tc>
          <w:tcPr>
            <w:tcW w:type="dxa" w:w="950"/>
          </w:tcPr>
          <w:p>
            <w:pPr>
              <w:spacing w:after="20"/>
              <w:jc w:val="right"/>
            </w:pPr>
            <w:r>
              <w:rPr>
                <w:color w:val="1C3A36"/>
                <w:sz w:val="15"/>
              </w:rPr>
              <w:t>922</w:t>
            </w:r>
          </w:p>
        </w:tc>
        <w:tc>
          <w:tcPr>
            <w:tcW w:type="dxa" w:w="950"/>
          </w:tcPr>
          <w:p>
            <w:pPr>
              <w:spacing w:after="20"/>
              <w:jc w:val="right"/>
            </w:pPr>
            <w:r>
              <w:rPr>
                <w:color w:val="1C3A36"/>
                <w:sz w:val="15"/>
              </w:rPr>
              <w:t>1,305</w:t>
            </w:r>
          </w:p>
        </w:tc>
        <w:tc>
          <w:tcPr>
            <w:tcW w:type="dxa" w:w="950"/>
          </w:tcPr>
          <w:p>
            <w:pPr>
              <w:spacing w:after="20"/>
              <w:jc w:val="right"/>
            </w:pPr>
            <w:r>
              <w:rPr>
                <w:color w:val="1C3A36"/>
                <w:sz w:val="15"/>
              </w:rPr>
              <w:t>1,379</w:t>
            </w:r>
          </w:p>
        </w:tc>
        <w:tc>
          <w:tcPr>
            <w:tcW w:type="dxa" w:w="950"/>
          </w:tcPr>
          <w:p>
            <w:pPr>
              <w:spacing w:after="20"/>
              <w:jc w:val="right"/>
            </w:pPr>
            <w:r>
              <w:rPr>
                <w:color w:val="1C3A36"/>
                <w:sz w:val="15"/>
              </w:rPr>
              <w:t>1,428</w:t>
            </w:r>
          </w:p>
        </w:tc>
        <w:tc>
          <w:tcPr>
            <w:tcW w:type="dxa" w:w="950"/>
          </w:tcPr>
          <w:p>
            <w:pPr>
              <w:spacing w:after="20"/>
              <w:jc w:val="right"/>
            </w:pPr>
            <w:r>
              <w:rPr>
                <w:color w:val="1C3A36"/>
                <w:sz w:val="15"/>
              </w:rPr>
              <w:t>1,318</w:t>
            </w:r>
          </w:p>
        </w:tc>
        <w:tc>
          <w:tcPr>
            <w:tcW w:type="dxa" w:w="950"/>
          </w:tcPr>
          <w:p>
            <w:pPr>
              <w:spacing w:after="20"/>
              <w:jc w:val="right"/>
            </w:pPr>
            <w:r>
              <w:rPr>
                <w:color w:val="1C3A36"/>
                <w:sz w:val="15"/>
              </w:rPr>
              <w:t>1,196</w:t>
            </w:r>
          </w:p>
        </w:tc>
      </w:tr>
      <w:tr>
        <w:trPr>
          <w:cantSplit/>
        </w:trPr>
        <w:tc>
          <w:tcPr>
            <w:tcW w:type="dxa" w:w="2477"/>
          </w:tcPr>
          <w:p>
            <w:pPr>
              <w:spacing w:after="20"/>
            </w:pPr>
            <w:r>
              <w:rPr>
                <w:color w:val="1C3A36"/>
                <w:sz w:val="15"/>
              </w:rPr>
              <w:t>Income tax</w:t>
            </w:r>
          </w:p>
        </w:tc>
        <w:tc>
          <w:tcPr>
            <w:tcW w:type="dxa" w:w="950"/>
          </w:tcPr>
          <w:p>
            <w:pPr>
              <w:spacing w:after="20"/>
              <w:jc w:val="right"/>
            </w:pPr>
            <w:r>
              <w:rPr>
                <w:color w:val="1C3A36"/>
                <w:sz w:val="15"/>
              </w:rPr>
              <w:t>(2)</w:t>
            </w:r>
          </w:p>
        </w:tc>
        <w:tc>
          <w:tcPr>
            <w:tcW w:type="dxa" w:w="950"/>
          </w:tcPr>
          <w:p>
            <w:pPr>
              <w:spacing w:after="20"/>
              <w:jc w:val="right"/>
            </w:pPr>
            <w:r>
              <w:rPr>
                <w:color w:val="1C3A36"/>
                <w:sz w:val="15"/>
              </w:rPr>
              <w:t>(73)</w:t>
            </w:r>
          </w:p>
        </w:tc>
        <w:tc>
          <w:tcPr>
            <w:tcW w:type="dxa" w:w="950"/>
          </w:tcPr>
          <w:p>
            <w:pPr>
              <w:spacing w:after="20"/>
              <w:jc w:val="right"/>
            </w:pPr>
            <w:r>
              <w:rPr>
                <w:color w:val="1C3A36"/>
                <w:sz w:val="15"/>
              </w:rPr>
              <w:t>(59)</w:t>
            </w:r>
          </w:p>
        </w:tc>
        <w:tc>
          <w:tcPr>
            <w:tcW w:type="dxa" w:w="950"/>
          </w:tcPr>
          <w:p>
            <w:pPr>
              <w:spacing w:after="20"/>
              <w:jc w:val="right"/>
            </w:pPr>
            <w:r>
              <w:rPr>
                <w:color w:val="1C3A36"/>
                <w:sz w:val="15"/>
              </w:rPr>
              <w:t>(47)</w:t>
            </w:r>
          </w:p>
        </w:tc>
        <w:tc>
          <w:tcPr>
            <w:tcW w:type="dxa" w:w="950"/>
          </w:tcPr>
          <w:p>
            <w:pPr>
              <w:spacing w:after="20"/>
              <w:jc w:val="right"/>
            </w:pPr>
            <w:r>
              <w:rPr>
                <w:color w:val="1C3A36"/>
                <w:sz w:val="15"/>
              </w:rPr>
              <w:t>(53)</w:t>
            </w:r>
          </w:p>
        </w:tc>
        <w:tc>
          <w:tcPr>
            <w:tcW w:type="dxa" w:w="950"/>
          </w:tcPr>
          <w:p>
            <w:pPr>
              <w:spacing w:after="20"/>
              <w:jc w:val="right"/>
            </w:pPr>
            <w:r>
              <w:rPr>
                <w:color w:val="1C3A36"/>
                <w:sz w:val="15"/>
              </w:rPr>
              <w:t>(56)</w:t>
            </w:r>
          </w:p>
        </w:tc>
        <w:tc>
          <w:tcPr>
            <w:tcW w:type="dxa" w:w="950"/>
          </w:tcPr>
          <w:p>
            <w:pPr>
              <w:spacing w:after="20"/>
              <w:jc w:val="right"/>
            </w:pPr>
            <w:r>
              <w:rPr>
                <w:color w:val="1C3A36"/>
                <w:sz w:val="15"/>
              </w:rPr>
              <w:t>(57)</w:t>
            </w:r>
          </w:p>
        </w:tc>
        <w:tc>
          <w:tcPr>
            <w:tcW w:type="dxa" w:w="950"/>
          </w:tcPr>
          <w:p>
            <w:pPr>
              <w:spacing w:after="20"/>
              <w:jc w:val="right"/>
            </w:pPr>
            <w:r>
              <w:rPr>
                <w:color w:val="1C3A36"/>
                <w:sz w:val="15"/>
              </w:rPr>
              <w:t>(60)</w:t>
            </w:r>
          </w:p>
        </w:tc>
      </w:tr>
      <w:tr>
        <w:trPr>
          <w:cantSplit/>
        </w:trPr>
        <w:tc>
          <w:tcPr>
            <w:tcW w:type="dxa" w:w="2477"/>
          </w:tcPr>
          <w:p>
            <w:pPr>
              <w:spacing w:after="20"/>
            </w:pPr>
            <w:r>
              <w:rPr>
                <w:color w:val="1C3A36"/>
                <w:sz w:val="15"/>
              </w:rPr>
              <w:t>Profit for the year</w:t>
            </w:r>
          </w:p>
        </w:tc>
        <w:tc>
          <w:tcPr>
            <w:tcW w:type="dxa" w:w="950"/>
          </w:tcPr>
          <w:p>
            <w:pPr>
              <w:spacing w:after="20"/>
              <w:jc w:val="right"/>
            </w:pPr>
            <w:r>
              <w:rPr>
                <w:color w:val="1C3A36"/>
                <w:sz w:val="15"/>
              </w:rPr>
              <w:t>620</w:t>
            </w:r>
          </w:p>
        </w:tc>
        <w:tc>
          <w:tcPr>
            <w:tcW w:type="dxa" w:w="950"/>
          </w:tcPr>
          <w:p>
            <w:pPr>
              <w:spacing w:after="20"/>
              <w:jc w:val="right"/>
            </w:pPr>
            <w:r>
              <w:rPr>
                <w:color w:val="1C3A36"/>
                <w:sz w:val="15"/>
              </w:rPr>
              <w:t>756</w:t>
            </w:r>
          </w:p>
        </w:tc>
        <w:tc>
          <w:tcPr>
            <w:tcW w:type="dxa" w:w="950"/>
          </w:tcPr>
          <w:p>
            <w:pPr>
              <w:spacing w:after="20"/>
              <w:jc w:val="right"/>
            </w:pPr>
            <w:r>
              <w:rPr>
                <w:color w:val="1C3A36"/>
                <w:sz w:val="15"/>
              </w:rPr>
              <w:t>863</w:t>
            </w:r>
          </w:p>
        </w:tc>
        <w:tc>
          <w:tcPr>
            <w:tcW w:type="dxa" w:w="950"/>
          </w:tcPr>
          <w:p>
            <w:pPr>
              <w:spacing w:after="20"/>
              <w:jc w:val="right"/>
            </w:pPr>
            <w:r>
              <w:rPr>
                <w:color w:val="1C3A36"/>
                <w:sz w:val="15"/>
              </w:rPr>
              <w:t>1,257</w:t>
            </w:r>
          </w:p>
        </w:tc>
        <w:tc>
          <w:tcPr>
            <w:tcW w:type="dxa" w:w="950"/>
          </w:tcPr>
          <w:p>
            <w:pPr>
              <w:spacing w:after="20"/>
              <w:jc w:val="right"/>
            </w:pPr>
            <w:r>
              <w:rPr>
                <w:color w:val="1C3A36"/>
                <w:sz w:val="15"/>
              </w:rPr>
              <w:t>1,326</w:t>
            </w:r>
          </w:p>
        </w:tc>
        <w:tc>
          <w:tcPr>
            <w:tcW w:type="dxa" w:w="950"/>
          </w:tcPr>
          <w:p>
            <w:pPr>
              <w:spacing w:after="20"/>
              <w:jc w:val="right"/>
            </w:pPr>
            <w:r>
              <w:rPr>
                <w:color w:val="1C3A36"/>
                <w:sz w:val="15"/>
              </w:rPr>
              <w:t>1,371</w:t>
            </w:r>
          </w:p>
        </w:tc>
        <w:tc>
          <w:tcPr>
            <w:tcW w:type="dxa" w:w="950"/>
          </w:tcPr>
          <w:p>
            <w:pPr>
              <w:spacing w:after="20"/>
              <w:jc w:val="right"/>
            </w:pPr>
            <w:r>
              <w:rPr>
                <w:color w:val="1C3A36"/>
                <w:sz w:val="15"/>
              </w:rPr>
              <w:t>1,261</w:t>
            </w:r>
          </w:p>
        </w:tc>
        <w:tc>
          <w:tcPr>
            <w:tcW w:type="dxa" w:w="950"/>
          </w:tcPr>
          <w:p>
            <w:pPr>
              <w:spacing w:after="20"/>
              <w:jc w:val="right"/>
            </w:pPr>
            <w:r>
              <w:rPr>
                <w:color w:val="1C3A36"/>
                <w:sz w:val="15"/>
              </w:rPr>
              <w:t>1,135</w:t>
            </w:r>
          </w:p>
        </w:tc>
      </w:tr>
      <w:tr>
        <w:trPr>
          <w:cantSplit/>
        </w:trPr>
        <w:tc>
          <w:tcPr>
            <w:tcW w:type="dxa" w:w="2477"/>
          </w:tcPr>
          <w:p>
            <w:pPr>
              <w:spacing w:after="20"/>
            </w:pPr>
            <w:r>
              <w:rPr>
                <w:color w:val="1C3A36"/>
                <w:sz w:val="15"/>
              </w:rPr>
              <w:t>Non-controlling interests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(24)</w:t>
            </w:r>
          </w:p>
        </w:tc>
        <w:tc>
          <w:tcPr>
            <w:tcW w:type="dxa" w:w="950"/>
          </w:tcPr>
          <w:p>
            <w:pPr>
              <w:spacing w:after="20"/>
              <w:jc w:val="right"/>
            </w:pPr>
            <w:r>
              <w:rPr>
                <w:color w:val="1C3A36"/>
                <w:sz w:val="15"/>
              </w:rPr>
              <w:t>(111)</w:t>
            </w:r>
          </w:p>
        </w:tc>
        <w:tc>
          <w:tcPr>
            <w:tcW w:type="dxa" w:w="950"/>
          </w:tcPr>
          <w:p>
            <w:pPr>
              <w:spacing w:after="20"/>
              <w:jc w:val="right"/>
            </w:pPr>
            <w:r>
              <w:rPr>
                <w:color w:val="1C3A36"/>
                <w:sz w:val="15"/>
              </w:rPr>
              <w:t>(117)</w:t>
            </w:r>
          </w:p>
        </w:tc>
        <w:tc>
          <w:tcPr>
            <w:tcW w:type="dxa" w:w="950"/>
          </w:tcPr>
          <w:p>
            <w:pPr>
              <w:spacing w:after="20"/>
              <w:jc w:val="right"/>
            </w:pPr>
            <w:r>
              <w:rPr>
                <w:color w:val="1C3A36"/>
                <w:sz w:val="15"/>
              </w:rPr>
              <w:t>(121)</w:t>
            </w:r>
          </w:p>
        </w:tc>
        <w:tc>
          <w:tcPr>
            <w:tcW w:type="dxa" w:w="950"/>
          </w:tcPr>
          <w:p>
            <w:pPr>
              <w:spacing w:after="20"/>
              <w:jc w:val="right"/>
            </w:pPr>
            <w:r>
              <w:rPr>
                <w:color w:val="1C3A36"/>
                <w:sz w:val="15"/>
              </w:rPr>
              <w:t>(111)</w:t>
            </w:r>
          </w:p>
        </w:tc>
        <w:tc>
          <w:tcPr>
            <w:tcW w:type="dxa" w:w="950"/>
          </w:tcPr>
          <w:p>
            <w:pPr>
              <w:spacing w:after="20"/>
              <w:jc w:val="right"/>
            </w:pPr>
            <w:r>
              <w:rPr>
                <w:color w:val="1C3A36"/>
                <w:sz w:val="15"/>
              </w:rPr>
              <w:t>(100)</w:t>
            </w:r>
          </w:p>
        </w:tc>
      </w:tr>
      <w:tr>
        <w:trPr>
          <w:cantSplit/>
        </w:trPr>
        <w:tc>
          <w:tcPr>
            <w:tcW w:type="dxa" w:w="2477"/>
            <w:shd w:val="clear" w:color="auto" w:fill="F6F1E6"/>
          </w:tcPr>
          <w:p>
            <w:pPr>
              <w:spacing w:after="20"/>
            </w:pPr>
            <w:r>
              <w:rPr>
                <w:b/>
                <w:color w:val="1C3A36"/>
                <w:sz w:val="15"/>
              </w:rPr>
              <w:t>Attributable to ordinary and hybrid holders</w:t>
            </w:r>
          </w:p>
        </w:tc>
        <w:tc>
          <w:tcPr>
            <w:tcW w:type="dxa" w:w="950"/>
            <w:shd w:val="clear" w:color="auto" w:fill="F6F1E6"/>
          </w:tcPr>
          <w:p>
            <w:pPr>
              <w:spacing w:after="20"/>
              <w:jc w:val="right"/>
            </w:pPr>
            <w:r>
              <w:rPr>
                <w:b/>
                <w:color w:val="1C3A36"/>
                <w:sz w:val="15"/>
              </w:rPr>
              <w:t>620</w:t>
            </w:r>
          </w:p>
        </w:tc>
        <w:tc>
          <w:tcPr>
            <w:tcW w:type="dxa" w:w="950"/>
            <w:shd w:val="clear" w:color="auto" w:fill="F6F1E6"/>
          </w:tcPr>
          <w:p>
            <w:pPr>
              <w:spacing w:after="20"/>
              <w:jc w:val="right"/>
            </w:pPr>
            <w:r>
              <w:rPr>
                <w:b/>
                <w:color w:val="1C3A36"/>
                <w:sz w:val="15"/>
              </w:rPr>
              <w:t>756</w:t>
            </w:r>
          </w:p>
        </w:tc>
        <w:tc>
          <w:tcPr>
            <w:tcW w:type="dxa" w:w="950"/>
            <w:shd w:val="clear" w:color="auto" w:fill="F6F1E6"/>
          </w:tcPr>
          <w:p>
            <w:pPr>
              <w:spacing w:after="20"/>
              <w:jc w:val="right"/>
            </w:pPr>
            <w:r>
              <w:rPr>
                <w:b/>
                <w:color w:val="1C3A36"/>
                <w:sz w:val="15"/>
              </w:rPr>
              <w:t>839</w:t>
            </w:r>
          </w:p>
        </w:tc>
        <w:tc>
          <w:tcPr>
            <w:tcW w:type="dxa" w:w="950"/>
            <w:shd w:val="clear" w:color="auto" w:fill="F6F1E6"/>
          </w:tcPr>
          <w:p>
            <w:pPr>
              <w:spacing w:after="20"/>
              <w:jc w:val="right"/>
            </w:pPr>
            <w:r>
              <w:rPr>
                <w:b/>
                <w:color w:val="1C3A36"/>
                <w:sz w:val="15"/>
              </w:rPr>
              <w:t>1,147</w:t>
            </w:r>
          </w:p>
        </w:tc>
        <w:tc>
          <w:tcPr>
            <w:tcW w:type="dxa" w:w="950"/>
            <w:shd w:val="clear" w:color="auto" w:fill="F6F1E6"/>
          </w:tcPr>
          <w:p>
            <w:pPr>
              <w:spacing w:after="20"/>
              <w:jc w:val="right"/>
            </w:pPr>
            <w:r>
              <w:rPr>
                <w:b/>
                <w:color w:val="1C3A36"/>
                <w:sz w:val="15"/>
              </w:rPr>
              <w:t>1,210</w:t>
            </w:r>
          </w:p>
        </w:tc>
        <w:tc>
          <w:tcPr>
            <w:tcW w:type="dxa" w:w="950"/>
            <w:shd w:val="clear" w:color="auto" w:fill="F6F1E6"/>
          </w:tcPr>
          <w:p>
            <w:pPr>
              <w:spacing w:after="20"/>
              <w:jc w:val="right"/>
            </w:pPr>
            <w:r>
              <w:rPr>
                <w:b/>
                <w:color w:val="1C3A36"/>
                <w:sz w:val="15"/>
              </w:rPr>
              <w:t>1,251</w:t>
            </w:r>
          </w:p>
        </w:tc>
        <w:tc>
          <w:tcPr>
            <w:tcW w:type="dxa" w:w="950"/>
            <w:shd w:val="clear" w:color="auto" w:fill="F6F1E6"/>
          </w:tcPr>
          <w:p>
            <w:pPr>
              <w:spacing w:after="20"/>
              <w:jc w:val="right"/>
            </w:pPr>
            <w:r>
              <w:rPr>
                <w:b/>
                <w:color w:val="1C3A36"/>
                <w:sz w:val="15"/>
              </w:rPr>
              <w:t>1,150</w:t>
            </w:r>
          </w:p>
        </w:tc>
        <w:tc>
          <w:tcPr>
            <w:tcW w:type="dxa" w:w="950"/>
            <w:shd w:val="clear" w:color="auto" w:fill="F6F1E6"/>
          </w:tcPr>
          <w:p>
            <w:pPr>
              <w:spacing w:after="20"/>
              <w:jc w:val="right"/>
            </w:pPr>
            <w:r>
              <w:rPr>
                <w:b/>
                <w:color w:val="1C3A36"/>
                <w:sz w:val="15"/>
              </w:rPr>
              <w:t>1,035</w:t>
            </w:r>
          </w:p>
        </w:tc>
      </w:tr>
      <w:tr>
        <w:trPr>
          <w:cantSplit/>
        </w:trPr>
        <w:tc>
          <w:tcPr>
            <w:tcW w:type="dxa" w:w="2477"/>
          </w:tcPr>
          <w:p>
            <w:pPr>
              <w:spacing w:after="20"/>
            </w:pPr>
            <w:r>
              <w:rPr>
                <w:color w:val="1C3A36"/>
                <w:sz w:val="15"/>
              </w:rPr>
              <w:t>Perpetual securities coupon</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(61)</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r>
      <w:tr>
        <w:trPr>
          <w:cantSplit/>
        </w:trPr>
        <w:tc>
          <w:tcPr>
            <w:tcW w:type="dxa" w:w="2477"/>
          </w:tcPr>
          <w:p>
            <w:pPr>
              <w:spacing w:after="20"/>
            </w:pPr>
            <w:r>
              <w:rPr>
                <w:color w:val="1C3A36"/>
                <w:sz w:val="15"/>
              </w:rPr>
              <w:t>Attributable to ordinary shareholders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777</w:t>
            </w:r>
          </w:p>
        </w:tc>
        <w:tc>
          <w:tcPr>
            <w:tcW w:type="dxa" w:w="950"/>
          </w:tcPr>
          <w:p>
            <w:pPr>
              <w:spacing w:after="20"/>
              <w:jc w:val="right"/>
            </w:pPr>
            <w:r>
              <w:rPr>
                <w:color w:val="1C3A36"/>
                <w:sz w:val="15"/>
              </w:rPr>
              <w:t>1,050</w:t>
            </w:r>
          </w:p>
        </w:tc>
        <w:tc>
          <w:tcPr>
            <w:tcW w:type="dxa" w:w="950"/>
          </w:tcPr>
          <w:p>
            <w:pPr>
              <w:spacing w:after="20"/>
              <w:jc w:val="right"/>
            </w:pPr>
            <w:r>
              <w:rPr>
                <w:color w:val="1C3A36"/>
                <w:sz w:val="15"/>
              </w:rPr>
              <w:t>1,113</w:t>
            </w:r>
          </w:p>
        </w:tc>
        <w:tc>
          <w:tcPr>
            <w:tcW w:type="dxa" w:w="950"/>
          </w:tcPr>
          <w:p>
            <w:pPr>
              <w:spacing w:after="20"/>
              <w:jc w:val="right"/>
            </w:pPr>
            <w:r>
              <w:rPr>
                <w:color w:val="1C3A36"/>
                <w:sz w:val="15"/>
              </w:rPr>
              <w:t>1,154</w:t>
            </w:r>
          </w:p>
        </w:tc>
        <w:tc>
          <w:tcPr>
            <w:tcW w:type="dxa" w:w="950"/>
          </w:tcPr>
          <w:p>
            <w:pPr>
              <w:spacing w:after="20"/>
              <w:jc w:val="right"/>
            </w:pPr>
            <w:r>
              <w:rPr>
                <w:color w:val="1C3A36"/>
                <w:sz w:val="15"/>
              </w:rPr>
              <w:t>1,053</w:t>
            </w:r>
          </w:p>
        </w:tc>
        <w:tc>
          <w:tcPr>
            <w:tcW w:type="dxa" w:w="950"/>
          </w:tcPr>
          <w:p>
            <w:pPr>
              <w:spacing w:after="20"/>
              <w:jc w:val="right"/>
            </w:pPr>
            <w:r>
              <w:rPr>
                <w:color w:val="1C3A36"/>
                <w:sz w:val="15"/>
              </w:rPr>
              <w:t>938</w:t>
            </w:r>
          </w:p>
        </w:tc>
      </w:tr>
      <w:tr>
        <w:trPr>
          <w:cantSplit/>
        </w:trPr>
        <w:tc>
          <w:tcPr>
            <w:tcW w:type="dxa" w:w="2477"/>
            <w:shd w:val="clear" w:color="auto" w:fill="F6F1E6"/>
          </w:tcPr>
          <w:p>
            <w:pPr>
              <w:spacing w:after="20"/>
            </w:pPr>
            <w:r>
              <w:rPr>
                <w:b/>
                <w:color w:val="1C3A36"/>
                <w:sz w:val="15"/>
              </w:rPr>
              <w:t>Earnings per share (USD)</w:t>
            </w:r>
          </w:p>
        </w:tc>
        <w:tc>
          <w:tcPr>
            <w:tcW w:type="dxa" w:w="950"/>
            <w:shd w:val="clear" w:color="auto" w:fill="F6F1E6"/>
          </w:tcPr>
          <w:p>
            <w:pPr>
              <w:spacing w:after="20"/>
              <w:jc w:val="right"/>
            </w:pPr>
            <w:r>
              <w:rPr>
                <w:b/>
                <w:color w:val="1C3A36"/>
                <w:sz w:val="15"/>
              </w:rPr>
              <w:t>0.080</w:t>
            </w:r>
          </w:p>
        </w:tc>
        <w:tc>
          <w:tcPr>
            <w:tcW w:type="dxa" w:w="950"/>
            <w:shd w:val="clear" w:color="auto" w:fill="F6F1E6"/>
          </w:tcPr>
          <w:p>
            <w:pPr>
              <w:spacing w:after="20"/>
              <w:jc w:val="right"/>
            </w:pPr>
            <w:r>
              <w:rPr>
                <w:b/>
                <w:color w:val="1C3A36"/>
                <w:sz w:val="15"/>
              </w:rPr>
              <w:t>0.100</w:t>
            </w:r>
          </w:p>
        </w:tc>
        <w:tc>
          <w:tcPr>
            <w:tcW w:type="dxa" w:w="950"/>
            <w:shd w:val="clear" w:color="auto" w:fill="F6F1E6"/>
          </w:tcPr>
          <w:p>
            <w:pPr>
              <w:spacing w:after="20"/>
              <w:jc w:val="right"/>
            </w:pPr>
            <w:r>
              <w:rPr>
                <w:b/>
                <w:color w:val="1C3A36"/>
                <w:sz w:val="15"/>
              </w:rPr>
              <w:t>0.110</w:t>
            </w:r>
          </w:p>
        </w:tc>
        <w:tc>
          <w:tcPr>
            <w:tcW w:type="dxa" w:w="950"/>
            <w:shd w:val="clear" w:color="auto" w:fill="F6F1E6"/>
          </w:tcPr>
          <w:p>
            <w:pPr>
              <w:spacing w:after="20"/>
              <w:jc w:val="right"/>
            </w:pPr>
            <w:r>
              <w:rPr>
                <w:b/>
                <w:color w:val="1C3A36"/>
                <w:sz w:val="15"/>
              </w:rPr>
              <w:t>0.142</w:t>
            </w:r>
          </w:p>
        </w:tc>
        <w:tc>
          <w:tcPr>
            <w:tcW w:type="dxa" w:w="950"/>
            <w:shd w:val="clear" w:color="auto" w:fill="F6F1E6"/>
          </w:tcPr>
          <w:p>
            <w:pPr>
              <w:spacing w:after="20"/>
              <w:jc w:val="right"/>
            </w:pPr>
            <w:r>
              <w:rPr>
                <w:b/>
                <w:color w:val="1C3A36"/>
                <w:sz w:val="15"/>
              </w:rPr>
              <w:t>0.150</w:t>
            </w:r>
          </w:p>
        </w:tc>
        <w:tc>
          <w:tcPr>
            <w:tcW w:type="dxa" w:w="950"/>
            <w:shd w:val="clear" w:color="auto" w:fill="F6F1E6"/>
          </w:tcPr>
          <w:p>
            <w:pPr>
              <w:spacing w:after="20"/>
              <w:jc w:val="right"/>
            </w:pPr>
            <w:r>
              <w:rPr>
                <w:b/>
                <w:color w:val="1C3A36"/>
                <w:sz w:val="15"/>
              </w:rPr>
              <w:t>0.156</w:t>
            </w:r>
          </w:p>
        </w:tc>
        <w:tc>
          <w:tcPr>
            <w:tcW w:type="dxa" w:w="950"/>
            <w:shd w:val="clear" w:color="auto" w:fill="F6F1E6"/>
          </w:tcPr>
          <w:p>
            <w:pPr>
              <w:spacing w:after="20"/>
              <w:jc w:val="right"/>
            </w:pPr>
            <w:r>
              <w:rPr>
                <w:b/>
                <w:color w:val="1C3A36"/>
                <w:sz w:val="15"/>
              </w:rPr>
              <w:t>0.142</w:t>
            </w:r>
          </w:p>
        </w:tc>
        <w:tc>
          <w:tcPr>
            <w:tcW w:type="dxa" w:w="950"/>
            <w:shd w:val="clear" w:color="auto" w:fill="F6F1E6"/>
          </w:tcPr>
          <w:p>
            <w:pPr>
              <w:spacing w:after="20"/>
              <w:jc w:val="right"/>
            </w:pPr>
            <w:r>
              <w:rPr>
                <w:b/>
                <w:color w:val="1C3A36"/>
                <w:sz w:val="15"/>
              </w:rPr>
              <w:t>0.127</w:t>
            </w:r>
          </w:p>
        </w:tc>
      </w:tr>
      <w:tr>
        <w:trPr>
          <w:cantSplit/>
        </w:trPr>
        <w:tc>
          <w:tcPr>
            <w:tcW w:type="dxa" w:w="2477"/>
          </w:tcPr>
          <w:p>
            <w:pPr>
              <w:spacing w:after="20"/>
            </w:pPr>
            <w:r>
              <w:rPr>
                <w:color w:val="1C3A36"/>
                <w:sz w:val="15"/>
              </w:rPr>
              <w:t xml:space="preserve">  memorandum — before the perpetual coupon (USD)</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0.155</w:t>
            </w:r>
          </w:p>
        </w:tc>
        <w:tc>
          <w:tcPr>
            <w:tcW w:type="dxa" w:w="950"/>
          </w:tcPr>
          <w:p>
            <w:pPr>
              <w:spacing w:after="20"/>
              <w:jc w:val="right"/>
            </w:pPr>
            <w:r>
              <w:rPr>
                <w:color w:val="1C3A36"/>
                <w:sz w:val="15"/>
              </w:rPr>
              <w:t>0.163</w:t>
            </w:r>
          </w:p>
        </w:tc>
        <w:tc>
          <w:tcPr>
            <w:tcW w:type="dxa" w:w="950"/>
          </w:tcPr>
          <w:p>
            <w:pPr>
              <w:spacing w:after="20"/>
              <w:jc w:val="right"/>
            </w:pPr>
            <w:r>
              <w:rPr>
                <w:color w:val="1C3A36"/>
                <w:sz w:val="15"/>
              </w:rPr>
              <w:t>0.169</w:t>
            </w:r>
          </w:p>
        </w:tc>
        <w:tc>
          <w:tcPr>
            <w:tcW w:type="dxa" w:w="950"/>
          </w:tcPr>
          <w:p>
            <w:pPr>
              <w:spacing w:after="20"/>
              <w:jc w:val="right"/>
            </w:pPr>
            <w:r>
              <w:rPr>
                <w:color w:val="1C3A36"/>
                <w:sz w:val="15"/>
              </w:rPr>
              <w:t>0.155</w:t>
            </w:r>
          </w:p>
        </w:tc>
        <w:tc>
          <w:tcPr>
            <w:tcW w:type="dxa" w:w="950"/>
          </w:tcPr>
          <w:p>
            <w:pPr>
              <w:spacing w:after="20"/>
              <w:jc w:val="right"/>
            </w:pPr>
            <w:r>
              <w:rPr>
                <w:color w:val="1C3A36"/>
                <w:sz w:val="15"/>
              </w:rPr>
              <w:t>0.140</w:t>
            </w:r>
          </w:p>
        </w:tc>
      </w:tr>
    </w:tbl>
    <w:p>
      <w:pPr>
        <w:spacing w:after="40"/>
      </w:pPr>
    </w:p>
    <w:p>
      <w:pPr>
        <w:spacing w:after="200" w:before="0"/>
      </w:pPr>
      <w:r>
        <w:rPr>
          <w:b w:val="0"/>
          <w:i/>
          <w:color w:val="6E7B77"/>
          <w:sz w:val="17"/>
        </w:rPr>
        <w:t>Every reported line is taken directly from the company's audited consolidated statements. Two rows are house derivations and are labelled: earnings before interest, tax, depreciation and amortisation is earnings before interest and tax plus depreciation and amortisation — the audited statements carry no such line, and the company's own reported figure (USD 1,515 million in FY2025 against the USD 1,469 million used here) adds the share of joint ventures and one-off items; and forecast earnings per share is profit attributable to the ORDINARY shareholders over shares outstanding — that is, after the perpetual securities coupon of USD 97 million a year, which ranks ahead of them. An earlier edition struck it before that coupon, which overstated it by about 9.2%; the figure before the coupon is kept as the memorandum line so the two can be reconciled. The reported earnings per share in the first three columns are the company's own published basic figures and are not restated here. Forecast profit is struck after interest on the modelled debt path and after tax at each unit's own rate, so it differs from the free-cash-flow waterfall in section 1.1, which is a pre-financing measure by construction.</w:t>
      </w:r>
    </w:p>
    <w:p>
      <w:pPr>
        <w:keepNext/>
        <w:spacing w:after="80" w:before="200"/>
      </w:pPr>
      <w:r>
        <w:rPr>
          <w:b/>
          <w:i w:val="0"/>
          <w:color w:val="1C3A36"/>
          <w:sz w:val="24"/>
        </w:rPr>
        <w:t>A.2  Balance sheet — condensed house layout (consolidated, USD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rPr>
          <w:cantSplit/>
          <w:tblHeader/>
        </w:trPr>
        <w:tc>
          <w:tcPr>
            <w:tcW w:type="dxa" w:w="2477"/>
            <w:shd w:val="clear" w:color="auto" w:fill="EAF0EE"/>
          </w:tcPr>
          <w:p>
            <w:pPr>
              <w:spacing w:after="20"/>
            </w:pPr>
            <w:r>
              <w:rPr>
                <w:b/>
                <w:color w:val="1C3A36"/>
                <w:sz w:val="15"/>
              </w:rPr>
              <w:t>USD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rPr>
          <w:cantSplit/>
        </w:trPr>
        <w:tc>
          <w:tcPr>
            <w:tcW w:type="dxa" w:w="2477"/>
          </w:tcPr>
          <w:p>
            <w:pPr>
              <w:spacing w:after="20"/>
            </w:pPr>
            <w:r>
              <w:rPr>
                <w:color w:val="1C3A36"/>
                <w:sz w:val="15"/>
              </w:rPr>
              <w:t>Property, plant and equipment</w:t>
            </w:r>
          </w:p>
        </w:tc>
        <w:tc>
          <w:tcPr>
            <w:tcW w:type="dxa" w:w="950"/>
          </w:tcPr>
          <w:p>
            <w:pPr>
              <w:spacing w:after="20"/>
              <w:jc w:val="right"/>
            </w:pPr>
            <w:r>
              <w:rPr>
                <w:color w:val="1C3A36"/>
                <w:sz w:val="15"/>
              </w:rPr>
              <w:t>3,807</w:t>
            </w:r>
          </w:p>
        </w:tc>
        <w:tc>
          <w:tcPr>
            <w:tcW w:type="dxa" w:w="950"/>
          </w:tcPr>
          <w:p>
            <w:pPr>
              <w:spacing w:after="20"/>
              <w:jc w:val="right"/>
            </w:pPr>
            <w:r>
              <w:rPr>
                <w:color w:val="1C3A36"/>
                <w:sz w:val="15"/>
              </w:rPr>
              <w:t>4,543</w:t>
            </w:r>
          </w:p>
        </w:tc>
        <w:tc>
          <w:tcPr>
            <w:tcW w:type="dxa" w:w="950"/>
          </w:tcPr>
          <w:p>
            <w:pPr>
              <w:spacing w:after="20"/>
              <w:jc w:val="right"/>
            </w:pPr>
            <w:r>
              <w:rPr>
                <w:color w:val="1C3A36"/>
                <w:sz w:val="15"/>
              </w:rPr>
              <w:t>6,884</w:t>
            </w:r>
          </w:p>
        </w:tc>
        <w:tc>
          <w:tcPr>
            <w:tcW w:type="dxa" w:w="950"/>
          </w:tcPr>
          <w:p>
            <w:pPr>
              <w:spacing w:after="20"/>
              <w:jc w:val="right"/>
            </w:pPr>
            <w:r>
              <w:rPr>
                <w:color w:val="1C3A36"/>
                <w:sz w:val="15"/>
              </w:rPr>
              <w:t>7,833</w:t>
            </w:r>
          </w:p>
        </w:tc>
        <w:tc>
          <w:tcPr>
            <w:tcW w:type="dxa" w:w="950"/>
          </w:tcPr>
          <w:p>
            <w:pPr>
              <w:spacing w:after="20"/>
              <w:jc w:val="right"/>
            </w:pPr>
            <w:r>
              <w:rPr>
                <w:color w:val="1C3A36"/>
                <w:sz w:val="15"/>
              </w:rPr>
              <w:t>8,602</w:t>
            </w:r>
          </w:p>
        </w:tc>
        <w:tc>
          <w:tcPr>
            <w:tcW w:type="dxa" w:w="950"/>
          </w:tcPr>
          <w:p>
            <w:pPr>
              <w:spacing w:after="20"/>
              <w:jc w:val="right"/>
            </w:pPr>
            <w:r>
              <w:rPr>
                <w:color w:val="1C3A36"/>
                <w:sz w:val="15"/>
              </w:rPr>
              <w:t>9,327</w:t>
            </w:r>
          </w:p>
        </w:tc>
        <w:tc>
          <w:tcPr>
            <w:tcW w:type="dxa" w:w="950"/>
          </w:tcPr>
          <w:p>
            <w:pPr>
              <w:spacing w:after="20"/>
              <w:jc w:val="right"/>
            </w:pPr>
            <w:r>
              <w:rPr>
                <w:color w:val="1C3A36"/>
                <w:sz w:val="15"/>
              </w:rPr>
              <w:t>9,482</w:t>
            </w:r>
          </w:p>
        </w:tc>
        <w:tc>
          <w:tcPr>
            <w:tcW w:type="dxa" w:w="950"/>
          </w:tcPr>
          <w:p>
            <w:pPr>
              <w:spacing w:after="20"/>
              <w:jc w:val="right"/>
            </w:pPr>
            <w:r>
              <w:rPr>
                <w:color w:val="1C3A36"/>
                <w:sz w:val="15"/>
              </w:rPr>
              <w:t>9,580</w:t>
            </w:r>
          </w:p>
        </w:tc>
      </w:tr>
      <w:tr>
        <w:trPr>
          <w:cantSplit/>
        </w:trPr>
        <w:tc>
          <w:tcPr>
            <w:tcW w:type="dxa" w:w="2477"/>
          </w:tcPr>
          <w:p>
            <w:pPr>
              <w:spacing w:after="20"/>
            </w:pPr>
            <w:r>
              <w:rPr>
                <w:color w:val="1C3A36"/>
                <w:sz w:val="15"/>
              </w:rPr>
              <w:t>Right-of-use assets</w:t>
            </w:r>
          </w:p>
        </w:tc>
        <w:tc>
          <w:tcPr>
            <w:tcW w:type="dxa" w:w="950"/>
          </w:tcPr>
          <w:p>
            <w:pPr>
              <w:spacing w:after="20"/>
              <w:jc w:val="right"/>
            </w:pPr>
            <w:r>
              <w:rPr>
                <w:color w:val="1C3A36"/>
                <w:sz w:val="15"/>
              </w:rPr>
              <w:t>148</w:t>
            </w:r>
          </w:p>
        </w:tc>
        <w:tc>
          <w:tcPr>
            <w:tcW w:type="dxa" w:w="950"/>
          </w:tcPr>
          <w:p>
            <w:pPr>
              <w:spacing w:after="20"/>
              <w:jc w:val="right"/>
            </w:pPr>
            <w:r>
              <w:rPr>
                <w:color w:val="1C3A36"/>
                <w:sz w:val="15"/>
              </w:rPr>
              <w:t>162</w:t>
            </w:r>
          </w:p>
        </w:tc>
        <w:tc>
          <w:tcPr>
            <w:tcW w:type="dxa" w:w="950"/>
          </w:tcPr>
          <w:p>
            <w:pPr>
              <w:spacing w:after="20"/>
              <w:jc w:val="right"/>
            </w:pPr>
            <w:r>
              <w:rPr>
                <w:color w:val="1C3A36"/>
                <w:sz w:val="15"/>
              </w:rPr>
              <w:t>225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Joint ventures and associates</w:t>
            </w:r>
          </w:p>
        </w:tc>
        <w:tc>
          <w:tcPr>
            <w:tcW w:type="dxa" w:w="950"/>
          </w:tcPr>
          <w:p>
            <w:pPr>
              <w:spacing w:after="20"/>
              <w:jc w:val="right"/>
            </w:pPr>
            <w:r>
              <w:rPr>
                <w:color w:val="1C3A36"/>
                <w:sz w:val="15"/>
              </w:rPr>
              <w:t>77</w:t>
            </w:r>
          </w:p>
        </w:tc>
        <w:tc>
          <w:tcPr>
            <w:tcW w:type="dxa" w:w="950"/>
          </w:tcPr>
          <w:p>
            <w:pPr>
              <w:spacing w:after="20"/>
              <w:jc w:val="right"/>
            </w:pPr>
            <w:r>
              <w:rPr>
                <w:color w:val="1C3A36"/>
                <w:sz w:val="15"/>
              </w:rPr>
              <w:t>268</w:t>
            </w:r>
          </w:p>
        </w:tc>
        <w:tc>
          <w:tcPr>
            <w:tcW w:type="dxa" w:w="950"/>
          </w:tcPr>
          <w:p>
            <w:pPr>
              <w:spacing w:after="20"/>
              <w:jc w:val="right"/>
            </w:pPr>
            <w:r>
              <w:rPr>
                <w:color w:val="1C3A36"/>
                <w:sz w:val="15"/>
              </w:rPr>
              <w:t>578</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r>
      <w:tr>
        <w:trPr>
          <w:cantSplit/>
        </w:trPr>
        <w:tc>
          <w:tcPr>
            <w:tcW w:type="dxa" w:w="2477"/>
          </w:tcPr>
          <w:p>
            <w:pPr>
              <w:spacing w:after="20"/>
            </w:pPr>
            <w:r>
              <w:rPr>
                <w:color w:val="1C3A36"/>
                <w:sz w:val="15"/>
              </w:rPr>
              <w:t>Intangibles and goodwill</w:t>
            </w:r>
          </w:p>
        </w:tc>
        <w:tc>
          <w:tcPr>
            <w:tcW w:type="dxa" w:w="950"/>
          </w:tcPr>
          <w:p>
            <w:pPr>
              <w:spacing w:after="20"/>
              <w:jc w:val="right"/>
            </w:pPr>
            <w:r>
              <w:rPr>
                <w:color w:val="1C3A36"/>
                <w:sz w:val="15"/>
              </w:rPr>
              <w:t>63</w:t>
            </w:r>
          </w:p>
        </w:tc>
        <w:tc>
          <w:tcPr>
            <w:tcW w:type="dxa" w:w="950"/>
          </w:tcPr>
          <w:p>
            <w:pPr>
              <w:spacing w:after="20"/>
              <w:jc w:val="right"/>
            </w:pPr>
            <w:r>
              <w:rPr>
                <w:color w:val="1C3A36"/>
                <w:sz w:val="15"/>
              </w:rPr>
              <w:t>62</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r>
      <w:tr>
        <w:trPr>
          <w:cantSplit/>
        </w:trPr>
        <w:tc>
          <w:tcPr>
            <w:tcW w:type="dxa" w:w="2477"/>
          </w:tcPr>
          <w:p>
            <w:pPr>
              <w:spacing w:after="20"/>
            </w:pPr>
            <w:r>
              <w:rPr>
                <w:color w:val="1C3A36"/>
                <w:sz w:val="15"/>
              </w:rPr>
              <w:t>Inventories</w:t>
            </w:r>
          </w:p>
        </w:tc>
        <w:tc>
          <w:tcPr>
            <w:tcW w:type="dxa" w:w="950"/>
          </w:tcPr>
          <w:p>
            <w:pPr>
              <w:spacing w:after="20"/>
              <w:jc w:val="right"/>
            </w:pPr>
            <w:r>
              <w:rPr>
                <w:color w:val="1C3A36"/>
                <w:sz w:val="15"/>
              </w:rPr>
              <w:t>121</w:t>
            </w:r>
          </w:p>
        </w:tc>
        <w:tc>
          <w:tcPr>
            <w:tcW w:type="dxa" w:w="950"/>
          </w:tcPr>
          <w:p>
            <w:pPr>
              <w:spacing w:after="20"/>
              <w:jc w:val="right"/>
            </w:pPr>
            <w:r>
              <w:rPr>
                <w:color w:val="1C3A36"/>
                <w:sz w:val="15"/>
              </w:rPr>
              <w:t>133</w:t>
            </w:r>
          </w:p>
        </w:tc>
        <w:tc>
          <w:tcPr>
            <w:tcW w:type="dxa" w:w="950"/>
          </w:tcPr>
          <w:p>
            <w:pPr>
              <w:spacing w:after="20"/>
              <w:jc w:val="right"/>
            </w:pPr>
            <w:r>
              <w:rPr>
                <w:color w:val="1C3A36"/>
                <w:sz w:val="15"/>
              </w:rPr>
              <w:t>137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Receivables and amounts due from related parties</w:t>
            </w:r>
          </w:p>
        </w:tc>
        <w:tc>
          <w:tcPr>
            <w:tcW w:type="dxa" w:w="950"/>
          </w:tcPr>
          <w:p>
            <w:pPr>
              <w:spacing w:after="20"/>
              <w:jc w:val="right"/>
            </w:pPr>
            <w:r>
              <w:rPr>
                <w:color w:val="1C3A36"/>
                <w:sz w:val="15"/>
              </w:rPr>
              <w:t>1,131</w:t>
            </w:r>
          </w:p>
        </w:tc>
        <w:tc>
          <w:tcPr>
            <w:tcW w:type="dxa" w:w="950"/>
          </w:tcPr>
          <w:p>
            <w:pPr>
              <w:spacing w:after="20"/>
              <w:jc w:val="right"/>
            </w:pPr>
            <w:r>
              <w:rPr>
                <w:color w:val="1C3A36"/>
                <w:sz w:val="15"/>
              </w:rPr>
              <w:t>1,285</w:t>
            </w:r>
          </w:p>
        </w:tc>
        <w:tc>
          <w:tcPr>
            <w:tcW w:type="dxa" w:w="950"/>
          </w:tcPr>
          <w:p>
            <w:pPr>
              <w:spacing w:after="20"/>
              <w:jc w:val="right"/>
            </w:pPr>
            <w:r>
              <w:rPr>
                <w:color w:val="1C3A36"/>
                <w:sz w:val="15"/>
              </w:rPr>
              <w:t>1,490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Payables and amounts due to related parties</w:t>
            </w:r>
          </w:p>
        </w:tc>
        <w:tc>
          <w:tcPr>
            <w:tcW w:type="dxa" w:w="950"/>
          </w:tcPr>
          <w:p>
            <w:pPr>
              <w:spacing w:after="20"/>
              <w:jc w:val="right"/>
            </w:pPr>
            <w:r>
              <w:rPr>
                <w:color w:val="1C3A36"/>
                <w:sz w:val="15"/>
              </w:rPr>
              <w:t>(962)</w:t>
            </w:r>
          </w:p>
        </w:tc>
        <w:tc>
          <w:tcPr>
            <w:tcW w:type="dxa" w:w="950"/>
          </w:tcPr>
          <w:p>
            <w:pPr>
              <w:spacing w:after="20"/>
              <w:jc w:val="right"/>
            </w:pPr>
            <w:r>
              <w:rPr>
                <w:color w:val="1C3A36"/>
                <w:sz w:val="15"/>
              </w:rPr>
              <w:t>(1,228)</w:t>
            </w:r>
          </w:p>
        </w:tc>
        <w:tc>
          <w:tcPr>
            <w:tcW w:type="dxa" w:w="950"/>
          </w:tcPr>
          <w:p>
            <w:pPr>
              <w:spacing w:after="20"/>
              <w:jc w:val="right"/>
            </w:pPr>
            <w:r>
              <w:rPr>
                <w:color w:val="1C3A36"/>
                <w:sz w:val="15"/>
              </w:rPr>
              <w:t>(1,280)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shd w:val="clear" w:color="auto" w:fill="F6F1E6"/>
          </w:tcPr>
          <w:p>
            <w:pPr>
              <w:spacing w:after="20"/>
            </w:pPr>
            <w:r>
              <w:rPr>
                <w:b/>
                <w:color w:val="1C3A36"/>
                <w:sz w:val="15"/>
              </w:rPr>
              <w:t>Net working capital</w:t>
            </w:r>
          </w:p>
        </w:tc>
        <w:tc>
          <w:tcPr>
            <w:tcW w:type="dxa" w:w="950"/>
            <w:shd w:val="clear" w:color="auto" w:fill="F6F1E6"/>
          </w:tcPr>
          <w:p>
            <w:pPr>
              <w:spacing w:after="20"/>
              <w:jc w:val="right"/>
            </w:pPr>
            <w:r>
              <w:rPr>
                <w:b/>
                <w:color w:val="1C3A36"/>
                <w:sz w:val="15"/>
              </w:rPr>
              <w:t>290</w:t>
            </w:r>
          </w:p>
        </w:tc>
        <w:tc>
          <w:tcPr>
            <w:tcW w:type="dxa" w:w="950"/>
            <w:shd w:val="clear" w:color="auto" w:fill="F6F1E6"/>
          </w:tcPr>
          <w:p>
            <w:pPr>
              <w:spacing w:after="20"/>
              <w:jc w:val="right"/>
            </w:pPr>
            <w:r>
              <w:rPr>
                <w:b/>
                <w:color w:val="1C3A36"/>
                <w:sz w:val="15"/>
              </w:rPr>
              <w:t>190</w:t>
            </w:r>
          </w:p>
        </w:tc>
        <w:tc>
          <w:tcPr>
            <w:tcW w:type="dxa" w:w="950"/>
            <w:shd w:val="clear" w:color="auto" w:fill="F6F1E6"/>
          </w:tcPr>
          <w:p>
            <w:pPr>
              <w:spacing w:after="20"/>
              <w:jc w:val="right"/>
            </w:pPr>
            <w:r>
              <w:rPr>
                <w:b/>
                <w:color w:val="1C3A36"/>
                <w:sz w:val="15"/>
              </w:rPr>
              <w:t>346</w:t>
            </w:r>
          </w:p>
        </w:tc>
        <w:tc>
          <w:tcPr>
            <w:tcW w:type="dxa" w:w="950"/>
            <w:shd w:val="clear" w:color="auto" w:fill="F6F1E6"/>
          </w:tcPr>
          <w:p>
            <w:pPr>
              <w:spacing w:after="20"/>
              <w:jc w:val="right"/>
            </w:pPr>
            <w:r>
              <w:rPr>
                <w:b/>
                <w:color w:val="1C3A36"/>
                <w:sz w:val="15"/>
              </w:rPr>
              <w:t>493</w:t>
            </w:r>
          </w:p>
        </w:tc>
        <w:tc>
          <w:tcPr>
            <w:tcW w:type="dxa" w:w="950"/>
            <w:shd w:val="clear" w:color="auto" w:fill="F6F1E6"/>
          </w:tcPr>
          <w:p>
            <w:pPr>
              <w:spacing w:after="20"/>
              <w:jc w:val="right"/>
            </w:pPr>
            <w:r>
              <w:rPr>
                <w:b/>
                <w:color w:val="1C3A36"/>
                <w:sz w:val="15"/>
              </w:rPr>
              <w:t>531</w:t>
            </w:r>
          </w:p>
        </w:tc>
        <w:tc>
          <w:tcPr>
            <w:tcW w:type="dxa" w:w="950"/>
            <w:shd w:val="clear" w:color="auto" w:fill="F6F1E6"/>
          </w:tcPr>
          <w:p>
            <w:pPr>
              <w:spacing w:after="20"/>
              <w:jc w:val="right"/>
            </w:pPr>
            <w:r>
              <w:rPr>
                <w:b/>
                <w:color w:val="1C3A36"/>
                <w:sz w:val="15"/>
              </w:rPr>
              <w:t>553</w:t>
            </w:r>
          </w:p>
        </w:tc>
        <w:tc>
          <w:tcPr>
            <w:tcW w:type="dxa" w:w="950"/>
            <w:shd w:val="clear" w:color="auto" w:fill="F6F1E6"/>
          </w:tcPr>
          <w:p>
            <w:pPr>
              <w:spacing w:after="20"/>
              <w:jc w:val="right"/>
            </w:pPr>
            <w:r>
              <w:rPr>
                <w:b/>
                <w:color w:val="1C3A36"/>
                <w:sz w:val="15"/>
              </w:rPr>
              <w:t>524</w:t>
            </w:r>
          </w:p>
        </w:tc>
        <w:tc>
          <w:tcPr>
            <w:tcW w:type="dxa" w:w="950"/>
            <w:shd w:val="clear" w:color="auto" w:fill="F6F1E6"/>
          </w:tcPr>
          <w:p>
            <w:pPr>
              <w:spacing w:after="20"/>
              <w:jc w:val="right"/>
            </w:pPr>
            <w:r>
              <w:rPr>
                <w:b/>
                <w:color w:val="1C3A36"/>
                <w:sz w:val="15"/>
              </w:rPr>
              <w:t>478</w:t>
            </w:r>
          </w:p>
        </w:tc>
      </w:tr>
      <w:tr>
        <w:trPr>
          <w:cantSplit/>
        </w:trPr>
        <w:tc>
          <w:tcPr>
            <w:tcW w:type="dxa" w:w="2477"/>
          </w:tcPr>
          <w:p>
            <w:pPr>
              <w:spacing w:after="20"/>
            </w:pPr>
            <w:r>
              <w:rPr>
                <w:color w:val="1C3A36"/>
                <w:sz w:val="15"/>
              </w:rPr>
              <w:t>Cash and cash equivalents</w:t>
            </w:r>
          </w:p>
        </w:tc>
        <w:tc>
          <w:tcPr>
            <w:tcW w:type="dxa" w:w="950"/>
          </w:tcPr>
          <w:p>
            <w:pPr>
              <w:spacing w:after="20"/>
              <w:jc w:val="right"/>
            </w:pPr>
            <w:r>
              <w:rPr>
                <w:color w:val="1C3A36"/>
                <w:sz w:val="15"/>
              </w:rPr>
              <w:t>216</w:t>
            </w:r>
          </w:p>
        </w:tc>
        <w:tc>
          <w:tcPr>
            <w:tcW w:type="dxa" w:w="950"/>
          </w:tcPr>
          <w:p>
            <w:pPr>
              <w:spacing w:after="20"/>
              <w:jc w:val="right"/>
            </w:pPr>
            <w:r>
              <w:rPr>
                <w:color w:val="1C3A36"/>
                <w:sz w:val="15"/>
              </w:rPr>
              <w:t>199</w:t>
            </w:r>
          </w:p>
        </w:tc>
        <w:tc>
          <w:tcPr>
            <w:tcW w:type="dxa" w:w="950"/>
          </w:tcPr>
          <w:p>
            <w:pPr>
              <w:spacing w:after="20"/>
              <w:jc w:val="right"/>
            </w:pPr>
            <w:r>
              <w:rPr>
                <w:color w:val="1C3A36"/>
                <w:sz w:val="15"/>
              </w:rPr>
              <w:t>338</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r>
      <w:tr>
        <w:trPr>
          <w:cantSplit/>
        </w:trPr>
        <w:tc>
          <w:tcPr>
            <w:tcW w:type="dxa" w:w="2477"/>
          </w:tcPr>
          <w:p>
            <w:pPr>
              <w:spacing w:after="20"/>
            </w:pPr>
            <w:r>
              <w:rPr>
                <w:color w:val="1C3A36"/>
                <w:sz w:val="15"/>
              </w:rPr>
              <w:t>Total assets</w:t>
            </w:r>
          </w:p>
        </w:tc>
        <w:tc>
          <w:tcPr>
            <w:tcW w:type="dxa" w:w="950"/>
          </w:tcPr>
          <w:p>
            <w:pPr>
              <w:spacing w:after="20"/>
              <w:jc w:val="right"/>
            </w:pPr>
            <w:r>
              <w:rPr>
                <w:color w:val="1C3A36"/>
                <w:sz w:val="15"/>
              </w:rPr>
              <w:t>5,746</w:t>
            </w:r>
          </w:p>
        </w:tc>
        <w:tc>
          <w:tcPr>
            <w:tcW w:type="dxa" w:w="950"/>
          </w:tcPr>
          <w:p>
            <w:pPr>
              <w:spacing w:after="20"/>
              <w:jc w:val="right"/>
            </w:pPr>
            <w:r>
              <w:rPr>
                <w:color w:val="1C3A36"/>
                <w:sz w:val="15"/>
              </w:rPr>
              <w:t>7,003</w:t>
            </w:r>
          </w:p>
        </w:tc>
        <w:tc>
          <w:tcPr>
            <w:tcW w:type="dxa" w:w="950"/>
          </w:tcPr>
          <w:p>
            <w:pPr>
              <w:spacing w:after="20"/>
              <w:jc w:val="right"/>
            </w:pPr>
            <w:r>
              <w:rPr>
                <w:color w:val="1C3A36"/>
                <w:sz w:val="15"/>
              </w:rPr>
              <w:t>9,965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Gross debt</w:t>
            </w:r>
          </w:p>
        </w:tc>
        <w:tc>
          <w:tcPr>
            <w:tcW w:type="dxa" w:w="950"/>
          </w:tcPr>
          <w:p>
            <w:pPr>
              <w:spacing w:after="20"/>
              <w:jc w:val="right"/>
            </w:pPr>
            <w:r>
              <w:rPr>
                <w:color w:val="1C3A36"/>
                <w:sz w:val="15"/>
              </w:rPr>
              <w:t>290</w:t>
            </w:r>
          </w:p>
        </w:tc>
        <w:tc>
          <w:tcPr>
            <w:tcW w:type="dxa" w:w="950"/>
          </w:tcPr>
          <w:p>
            <w:pPr>
              <w:spacing w:after="20"/>
              <w:jc w:val="right"/>
            </w:pPr>
            <w:r>
              <w:rPr>
                <w:color w:val="1C3A36"/>
                <w:sz w:val="15"/>
              </w:rPr>
              <w:t>739</w:t>
            </w:r>
          </w:p>
        </w:tc>
        <w:tc>
          <w:tcPr>
            <w:tcW w:type="dxa" w:w="950"/>
          </w:tcPr>
          <w:p>
            <w:pPr>
              <w:spacing w:after="20"/>
              <w:jc w:val="right"/>
            </w:pPr>
            <w:r>
              <w:rPr>
                <w:color w:val="1C3A36"/>
                <w:sz w:val="15"/>
              </w:rPr>
              <w:t>1,032</w:t>
            </w:r>
          </w:p>
        </w:tc>
        <w:tc>
          <w:tcPr>
            <w:tcW w:type="dxa" w:w="950"/>
          </w:tcPr>
          <w:p>
            <w:pPr>
              <w:spacing w:after="20"/>
              <w:jc w:val="right"/>
            </w:pPr>
            <w:r>
              <w:rPr>
                <w:color w:val="1C3A36"/>
                <w:sz w:val="15"/>
              </w:rPr>
              <w:t>1,417</w:t>
            </w:r>
          </w:p>
        </w:tc>
        <w:tc>
          <w:tcPr>
            <w:tcW w:type="dxa" w:w="950"/>
          </w:tcPr>
          <w:p>
            <w:pPr>
              <w:spacing w:after="20"/>
              <w:jc w:val="right"/>
            </w:pPr>
            <w:r>
              <w:rPr>
                <w:color w:val="1C3A36"/>
                <w:sz w:val="15"/>
              </w:rPr>
              <w:t>1,578</w:t>
            </w:r>
          </w:p>
        </w:tc>
        <w:tc>
          <w:tcPr>
            <w:tcW w:type="dxa" w:w="950"/>
          </w:tcPr>
          <w:p>
            <w:pPr>
              <w:spacing w:after="20"/>
              <w:jc w:val="right"/>
            </w:pPr>
            <w:r>
              <w:rPr>
                <w:color w:val="1C3A36"/>
                <w:sz w:val="15"/>
              </w:rPr>
              <w:t>1,395</w:t>
            </w:r>
          </w:p>
        </w:tc>
        <w:tc>
          <w:tcPr>
            <w:tcW w:type="dxa" w:w="950"/>
          </w:tcPr>
          <w:p>
            <w:pPr>
              <w:spacing w:after="20"/>
              <w:jc w:val="right"/>
            </w:pPr>
            <w:r>
              <w:rPr>
                <w:color w:val="1C3A36"/>
                <w:sz w:val="15"/>
              </w:rPr>
              <w:t>1,125</w:t>
            </w:r>
          </w:p>
        </w:tc>
        <w:tc>
          <w:tcPr>
            <w:tcW w:type="dxa" w:w="950"/>
          </w:tcPr>
          <w:p>
            <w:pPr>
              <w:spacing w:after="20"/>
              <w:jc w:val="right"/>
            </w:pPr>
            <w:r>
              <w:rPr>
                <w:color w:val="1C3A36"/>
                <w:sz w:val="15"/>
              </w:rPr>
              <w:t>361</w:t>
            </w:r>
          </w:p>
        </w:tc>
      </w:tr>
      <w:tr>
        <w:trPr>
          <w:cantSplit/>
        </w:trPr>
        <w:tc>
          <w:tcPr>
            <w:tcW w:type="dxa" w:w="2477"/>
          </w:tcPr>
          <w:p>
            <w:pPr>
              <w:spacing w:after="20"/>
            </w:pPr>
            <w:r>
              <w:rPr>
                <w:color w:val="1C3A36"/>
                <w:sz w:val="15"/>
              </w:rPr>
              <w:t>Net debt</w:t>
            </w:r>
          </w:p>
        </w:tc>
        <w:tc>
          <w:tcPr>
            <w:tcW w:type="dxa" w:w="950"/>
          </w:tcPr>
          <w:p>
            <w:pPr>
              <w:spacing w:after="20"/>
              <w:jc w:val="right"/>
            </w:pPr>
            <w:r>
              <w:rPr>
                <w:color w:val="1C3A36"/>
                <w:sz w:val="15"/>
              </w:rPr>
              <w:t>74</w:t>
            </w:r>
          </w:p>
        </w:tc>
        <w:tc>
          <w:tcPr>
            <w:tcW w:type="dxa" w:w="950"/>
          </w:tcPr>
          <w:p>
            <w:pPr>
              <w:spacing w:after="20"/>
              <w:jc w:val="right"/>
            </w:pPr>
            <w:r>
              <w:rPr>
                <w:color w:val="1C3A36"/>
                <w:sz w:val="15"/>
              </w:rPr>
              <w:t>540</w:t>
            </w:r>
          </w:p>
        </w:tc>
        <w:tc>
          <w:tcPr>
            <w:tcW w:type="dxa" w:w="950"/>
          </w:tcPr>
          <w:p>
            <w:pPr>
              <w:spacing w:after="20"/>
              <w:jc w:val="right"/>
            </w:pPr>
            <w:r>
              <w:rPr>
                <w:color w:val="1C3A36"/>
                <w:sz w:val="15"/>
              </w:rPr>
              <w:t>694</w:t>
            </w:r>
          </w:p>
        </w:tc>
        <w:tc>
          <w:tcPr>
            <w:tcW w:type="dxa" w:w="950"/>
          </w:tcPr>
          <w:p>
            <w:pPr>
              <w:spacing w:after="20"/>
              <w:jc w:val="right"/>
            </w:pPr>
            <w:r>
              <w:rPr>
                <w:color w:val="1C3A36"/>
                <w:sz w:val="15"/>
              </w:rPr>
              <w:t>882</w:t>
            </w:r>
          </w:p>
        </w:tc>
        <w:tc>
          <w:tcPr>
            <w:tcW w:type="dxa" w:w="950"/>
          </w:tcPr>
          <w:p>
            <w:pPr>
              <w:spacing w:after="20"/>
              <w:jc w:val="right"/>
            </w:pPr>
            <w:r>
              <w:rPr>
                <w:color w:val="1C3A36"/>
                <w:sz w:val="15"/>
              </w:rPr>
              <w:t>699</w:t>
            </w:r>
          </w:p>
        </w:tc>
        <w:tc>
          <w:tcPr>
            <w:tcW w:type="dxa" w:w="950"/>
          </w:tcPr>
          <w:p>
            <w:pPr>
              <w:spacing w:after="20"/>
              <w:jc w:val="right"/>
            </w:pPr>
            <w:r>
              <w:rPr>
                <w:color w:val="1C3A36"/>
                <w:sz w:val="15"/>
              </w:rPr>
              <w:t>430</w:t>
            </w:r>
          </w:p>
        </w:tc>
        <w:tc>
          <w:tcPr>
            <w:tcW w:type="dxa" w:w="950"/>
          </w:tcPr>
          <w:p>
            <w:pPr>
              <w:spacing w:after="20"/>
              <w:jc w:val="right"/>
            </w:pPr>
            <w:r>
              <w:rPr>
                <w:color w:val="1C3A36"/>
                <w:sz w:val="15"/>
              </w:rPr>
              <w:t>(334)</w:t>
            </w:r>
          </w:p>
        </w:tc>
        <w:tc>
          <w:tcPr>
            <w:tcW w:type="dxa" w:w="950"/>
          </w:tcPr>
          <w:p>
            <w:pPr>
              <w:spacing w:after="20"/>
              <w:jc w:val="right"/>
            </w:pPr>
            <w:r>
              <w:rPr>
                <w:color w:val="1C3A36"/>
                <w:sz w:val="15"/>
              </w:rPr>
              <w:t>(1,028)</w:t>
            </w:r>
          </w:p>
        </w:tc>
      </w:tr>
      <w:tr>
        <w:trPr>
          <w:cantSplit/>
        </w:trPr>
        <w:tc>
          <w:tcPr>
            <w:tcW w:type="dxa" w:w="2477"/>
          </w:tcPr>
          <w:p>
            <w:pPr>
              <w:spacing w:after="20"/>
            </w:pPr>
            <w:r>
              <w:rPr>
                <w:color w:val="1C3A36"/>
                <w:sz w:val="15"/>
              </w:rPr>
              <w:t>Perpetual capital securities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r>
      <w:tr>
        <w:trPr>
          <w:cantSplit/>
        </w:trPr>
        <w:tc>
          <w:tcPr>
            <w:tcW w:type="dxa" w:w="2477"/>
          </w:tcPr>
          <w:p>
            <w:pPr>
              <w:spacing w:after="20"/>
            </w:pPr>
            <w:r>
              <w:rPr>
                <w:color w:val="1C3A36"/>
                <w:sz w:val="15"/>
              </w:rPr>
              <w:t>Non-controlling interests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265</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r>
      <w:tr>
        <w:trPr>
          <w:cantSplit/>
        </w:trPr>
        <w:tc>
          <w:tcPr>
            <w:tcW w:type="dxa" w:w="2477"/>
            <w:shd w:val="clear" w:color="auto" w:fill="F6F1E6"/>
          </w:tcPr>
          <w:p>
            <w:pPr>
              <w:spacing w:after="20"/>
            </w:pPr>
            <w:r>
              <w:rPr>
                <w:b/>
                <w:color w:val="1C3A36"/>
                <w:sz w:val="15"/>
              </w:rPr>
              <w:t>Equity attributable to ordinary shareholders</w:t>
            </w:r>
          </w:p>
        </w:tc>
        <w:tc>
          <w:tcPr>
            <w:tcW w:type="dxa" w:w="950"/>
            <w:shd w:val="clear" w:color="auto" w:fill="F6F1E6"/>
          </w:tcPr>
          <w:p>
            <w:pPr>
              <w:spacing w:after="20"/>
              <w:jc w:val="right"/>
            </w:pPr>
            <w:r>
              <w:rPr>
                <w:b/>
                <w:color w:val="1C3A36"/>
                <w:sz w:val="15"/>
              </w:rPr>
              <w:t>4,406</w:t>
            </w:r>
          </w:p>
        </w:tc>
        <w:tc>
          <w:tcPr>
            <w:tcW w:type="dxa" w:w="950"/>
            <w:shd w:val="clear" w:color="auto" w:fill="F6F1E6"/>
          </w:tcPr>
          <w:p>
            <w:pPr>
              <w:spacing w:after="20"/>
              <w:jc w:val="right"/>
            </w:pPr>
            <w:r>
              <w:rPr>
                <w:b/>
                <w:color w:val="1C3A36"/>
                <w:sz w:val="15"/>
              </w:rPr>
              <w:t>4,895</w:t>
            </w:r>
          </w:p>
        </w:tc>
        <w:tc>
          <w:tcPr>
            <w:tcW w:type="dxa" w:w="950"/>
            <w:shd w:val="clear" w:color="auto" w:fill="F6F1E6"/>
          </w:tcPr>
          <w:p>
            <w:pPr>
              <w:spacing w:after="20"/>
              <w:jc w:val="right"/>
            </w:pPr>
            <w:r>
              <w:rPr>
                <w:b/>
                <w:color w:val="1C3A36"/>
                <w:sz w:val="15"/>
              </w:rPr>
              <w:t>4,982</w:t>
            </w:r>
          </w:p>
        </w:tc>
        <w:tc>
          <w:tcPr>
            <w:tcW w:type="dxa" w:w="950"/>
            <w:shd w:val="clear" w:color="auto" w:fill="F6F1E6"/>
          </w:tcPr>
          <w:p>
            <w:pPr>
              <w:spacing w:after="20"/>
              <w:jc w:val="right"/>
            </w:pPr>
            <w:r>
              <w:rPr>
                <w:b/>
                <w:color w:val="1C3A36"/>
                <w:sz w:val="15"/>
              </w:rPr>
              <w:t>5,783</w:t>
            </w:r>
          </w:p>
        </w:tc>
        <w:tc>
          <w:tcPr>
            <w:tcW w:type="dxa" w:w="950"/>
            <w:shd w:val="clear" w:color="auto" w:fill="F6F1E6"/>
          </w:tcPr>
          <w:p>
            <w:pPr>
              <w:spacing w:after="20"/>
              <w:jc w:val="right"/>
            </w:pPr>
            <w:r>
              <w:rPr>
                <w:b/>
                <w:color w:val="1C3A36"/>
                <w:sz w:val="15"/>
              </w:rPr>
              <w:t>6,537</w:t>
            </w:r>
          </w:p>
        </w:tc>
        <w:tc>
          <w:tcPr>
            <w:tcW w:type="dxa" w:w="950"/>
            <w:shd w:val="clear" w:color="auto" w:fill="F6F1E6"/>
          </w:tcPr>
          <w:p>
            <w:pPr>
              <w:spacing w:after="20"/>
              <w:jc w:val="right"/>
            </w:pPr>
            <w:r>
              <w:rPr>
                <w:b/>
                <w:color w:val="1C3A36"/>
                <w:sz w:val="15"/>
              </w:rPr>
              <w:t>7,315</w:t>
            </w:r>
          </w:p>
        </w:tc>
        <w:tc>
          <w:tcPr>
            <w:tcW w:type="dxa" w:w="950"/>
            <w:shd w:val="clear" w:color="auto" w:fill="F6F1E6"/>
          </w:tcPr>
          <w:p>
            <w:pPr>
              <w:spacing w:after="20"/>
              <w:jc w:val="right"/>
            </w:pPr>
            <w:r>
              <w:rPr>
                <w:b/>
                <w:color w:val="1C3A36"/>
                <w:sz w:val="15"/>
              </w:rPr>
              <w:t>7,973</w:t>
            </w:r>
          </w:p>
        </w:tc>
        <w:tc>
          <w:tcPr>
            <w:tcW w:type="dxa" w:w="950"/>
            <w:shd w:val="clear" w:color="auto" w:fill="F6F1E6"/>
          </w:tcPr>
          <w:p>
            <w:pPr>
              <w:spacing w:after="20"/>
              <w:jc w:val="right"/>
            </w:pPr>
            <w:r>
              <w:rPr>
                <w:b/>
                <w:color w:val="1C3A36"/>
                <w:sz w:val="15"/>
              </w:rPr>
              <w:t>8,497</w:t>
            </w:r>
          </w:p>
        </w:tc>
      </w:tr>
      <w:tr>
        <w:trPr>
          <w:cantSplit/>
        </w:trPr>
        <w:tc>
          <w:tcPr>
            <w:tcW w:type="dxa" w:w="2477"/>
          </w:tcPr>
          <w:p>
            <w:pPr>
              <w:spacing w:after="20"/>
            </w:pPr>
            <w:r>
              <w:rPr>
                <w:color w:val="1C3A36"/>
                <w:sz w:val="15"/>
              </w:rPr>
              <w:t>Book value per share (USD)</w:t>
            </w:r>
          </w:p>
        </w:tc>
        <w:tc>
          <w:tcPr>
            <w:tcW w:type="dxa" w:w="950"/>
          </w:tcPr>
          <w:p>
            <w:pPr>
              <w:spacing w:after="20"/>
              <w:jc w:val="right"/>
            </w:pPr>
            <w:r>
              <w:rPr>
                <w:color w:val="1C3A36"/>
                <w:sz w:val="15"/>
              </w:rPr>
              <w:t>0.5955</w:t>
            </w:r>
          </w:p>
        </w:tc>
        <w:tc>
          <w:tcPr>
            <w:tcW w:type="dxa" w:w="950"/>
          </w:tcPr>
          <w:p>
            <w:pPr>
              <w:spacing w:after="20"/>
              <w:jc w:val="right"/>
            </w:pPr>
            <w:r>
              <w:rPr>
                <w:color w:val="1C3A36"/>
                <w:sz w:val="15"/>
              </w:rPr>
              <w:t>0.6616</w:t>
            </w:r>
          </w:p>
        </w:tc>
        <w:tc>
          <w:tcPr>
            <w:tcW w:type="dxa" w:w="950"/>
          </w:tcPr>
          <w:p>
            <w:pPr>
              <w:spacing w:after="20"/>
              <w:jc w:val="right"/>
            </w:pPr>
            <w:r>
              <w:rPr>
                <w:color w:val="1C3A36"/>
                <w:sz w:val="15"/>
              </w:rPr>
              <w:t>0.6734</w:t>
            </w:r>
          </w:p>
        </w:tc>
        <w:tc>
          <w:tcPr>
            <w:tcW w:type="dxa" w:w="950"/>
          </w:tcPr>
          <w:p>
            <w:pPr>
              <w:spacing w:after="20"/>
              <w:jc w:val="right"/>
            </w:pPr>
            <w:r>
              <w:rPr>
                <w:color w:val="1C3A36"/>
                <w:sz w:val="15"/>
              </w:rPr>
              <w:t>0.7816</w:t>
            </w:r>
          </w:p>
        </w:tc>
        <w:tc>
          <w:tcPr>
            <w:tcW w:type="dxa" w:w="950"/>
          </w:tcPr>
          <w:p>
            <w:pPr>
              <w:spacing w:after="20"/>
              <w:jc w:val="right"/>
            </w:pPr>
            <w:r>
              <w:rPr>
                <w:color w:val="1C3A36"/>
                <w:sz w:val="15"/>
              </w:rPr>
              <w:t>0.8836</w:t>
            </w:r>
          </w:p>
        </w:tc>
        <w:tc>
          <w:tcPr>
            <w:tcW w:type="dxa" w:w="950"/>
          </w:tcPr>
          <w:p>
            <w:pPr>
              <w:spacing w:after="20"/>
              <w:jc w:val="right"/>
            </w:pPr>
            <w:r>
              <w:rPr>
                <w:color w:val="1C3A36"/>
                <w:sz w:val="15"/>
              </w:rPr>
              <w:t>0.9887</w:t>
            </w:r>
          </w:p>
        </w:tc>
        <w:tc>
          <w:tcPr>
            <w:tcW w:type="dxa" w:w="950"/>
          </w:tcPr>
          <w:p>
            <w:pPr>
              <w:spacing w:after="20"/>
              <w:jc w:val="right"/>
            </w:pPr>
            <w:r>
              <w:rPr>
                <w:color w:val="1C3A36"/>
                <w:sz w:val="15"/>
              </w:rPr>
              <w:t>1.0776</w:t>
            </w:r>
          </w:p>
        </w:tc>
        <w:tc>
          <w:tcPr>
            <w:tcW w:type="dxa" w:w="950"/>
          </w:tcPr>
          <w:p>
            <w:pPr>
              <w:spacing w:after="20"/>
              <w:jc w:val="right"/>
            </w:pPr>
            <w:r>
              <w:rPr>
                <w:color w:val="1C3A36"/>
                <w:sz w:val="15"/>
              </w:rPr>
              <w:t>1.1484</w:t>
            </w:r>
          </w:p>
        </w:tc>
      </w:tr>
      <w:tr>
        <w:trPr>
          <w:cantSplit/>
        </w:trPr>
        <w:tc>
          <w:tcPr>
            <w:tcW w:type="dxa" w:w="2477"/>
          </w:tcPr>
          <w:p>
            <w:pPr>
              <w:spacing w:after="20"/>
            </w:pPr>
            <w:r>
              <w:rPr>
                <w:color w:val="1C3A36"/>
                <w:sz w:val="15"/>
              </w:rPr>
              <w:t>Net debt / earnings</w:t>
            </w:r>
          </w:p>
        </w:tc>
        <w:tc>
          <w:tcPr>
            <w:tcW w:type="dxa" w:w="950"/>
          </w:tcPr>
          <w:p>
            <w:pPr>
              <w:spacing w:after="20"/>
              <w:jc w:val="right"/>
            </w:pPr>
            <w:r>
              <w:rPr>
                <w:color w:val="1C3A36"/>
                <w:sz w:val="15"/>
              </w:rPr>
              <w:t>0.08×</w:t>
            </w:r>
          </w:p>
        </w:tc>
        <w:tc>
          <w:tcPr>
            <w:tcW w:type="dxa" w:w="950"/>
          </w:tcPr>
          <w:p>
            <w:pPr>
              <w:spacing w:after="20"/>
              <w:jc w:val="right"/>
            </w:pPr>
            <w:r>
              <w:rPr>
                <w:color w:val="1C3A36"/>
                <w:sz w:val="15"/>
              </w:rPr>
              <w:t>0.47×</w:t>
            </w:r>
          </w:p>
        </w:tc>
        <w:tc>
          <w:tcPr>
            <w:tcW w:type="dxa" w:w="950"/>
          </w:tcPr>
          <w:p>
            <w:pPr>
              <w:spacing w:after="20"/>
              <w:jc w:val="right"/>
            </w:pPr>
            <w:r>
              <w:rPr>
                <w:color w:val="1C3A36"/>
                <w:sz w:val="15"/>
              </w:rPr>
              <w:t>0.46×</w:t>
            </w:r>
          </w:p>
        </w:tc>
        <w:tc>
          <w:tcPr>
            <w:tcW w:type="dxa" w:w="950"/>
          </w:tcPr>
          <w:p>
            <w:pPr>
              <w:spacing w:after="20"/>
              <w:jc w:val="right"/>
            </w:pPr>
            <w:r>
              <w:rPr>
                <w:color w:val="1C3A36"/>
                <w:sz w:val="15"/>
              </w:rPr>
              <w:t>0.46×</w:t>
            </w:r>
          </w:p>
        </w:tc>
        <w:tc>
          <w:tcPr>
            <w:tcW w:type="dxa" w:w="950"/>
          </w:tcPr>
          <w:p>
            <w:pPr>
              <w:spacing w:after="20"/>
              <w:jc w:val="right"/>
            </w:pPr>
            <w:r>
              <w:rPr>
                <w:color w:val="1C3A36"/>
                <w:sz w:val="15"/>
              </w:rPr>
              <w:t>0.34×</w:t>
            </w:r>
          </w:p>
        </w:tc>
        <w:tc>
          <w:tcPr>
            <w:tcW w:type="dxa" w:w="950"/>
          </w:tcPr>
          <w:p>
            <w:pPr>
              <w:spacing w:after="20"/>
              <w:jc w:val="right"/>
            </w:pPr>
            <w:r>
              <w:rPr>
                <w:color w:val="1C3A36"/>
                <w:sz w:val="15"/>
              </w:rPr>
              <w:t>0.20×</w:t>
            </w:r>
          </w:p>
        </w:tc>
        <w:tc>
          <w:tcPr>
            <w:tcW w:type="dxa" w:w="950"/>
          </w:tcPr>
          <w:p>
            <w:pPr>
              <w:spacing w:after="20"/>
              <w:jc w:val="right"/>
            </w:pPr>
            <w:r>
              <w:rPr>
                <w:color w:val="1C3A36"/>
                <w:sz w:val="15"/>
              </w:rPr>
              <w:t>-0.17×</w:t>
            </w:r>
          </w:p>
        </w:tc>
        <w:tc>
          <w:tcPr>
            <w:tcW w:type="dxa" w:w="950"/>
          </w:tcPr>
          <w:p>
            <w:pPr>
              <w:spacing w:after="20"/>
              <w:jc w:val="right"/>
            </w:pPr>
            <w:r>
              <w:rPr>
                <w:color w:val="1C3A36"/>
                <w:sz w:val="15"/>
              </w:rPr>
              <w:t>-0.55×</w:t>
            </w:r>
          </w:p>
        </w:tc>
      </w:tr>
      <w:tr>
        <w:trPr>
          <w:cantSplit/>
        </w:trPr>
        <w:tc>
          <w:tcPr>
            <w:tcW w:type="dxa" w:w="2477"/>
          </w:tcPr>
          <w:p>
            <w:pPr>
              <w:spacing w:after="20"/>
            </w:pPr>
            <w:r>
              <w:rPr>
                <w:color w:val="1C3A36"/>
                <w:sz w:val="15"/>
              </w:rPr>
              <w:t>Return on equity</w:t>
            </w:r>
          </w:p>
        </w:tc>
        <w:tc>
          <w:tcPr>
            <w:tcW w:type="dxa" w:w="950"/>
          </w:tcPr>
          <w:p>
            <w:pPr>
              <w:spacing w:after="20"/>
              <w:jc w:val="right"/>
            </w:pPr>
            <w:r>
              <w:rPr>
                <w:color w:val="1C3A36"/>
                <w:sz w:val="15"/>
              </w:rPr>
              <w:t>14.1%</w:t>
            </w:r>
          </w:p>
        </w:tc>
        <w:tc>
          <w:tcPr>
            <w:tcW w:type="dxa" w:w="950"/>
          </w:tcPr>
          <w:p>
            <w:pPr>
              <w:spacing w:after="20"/>
              <w:jc w:val="right"/>
            </w:pPr>
            <w:r>
              <w:rPr>
                <w:color w:val="1C3A36"/>
                <w:sz w:val="15"/>
              </w:rPr>
              <w:t>15.4%</w:t>
            </w:r>
          </w:p>
        </w:tc>
        <w:tc>
          <w:tcPr>
            <w:tcW w:type="dxa" w:w="950"/>
          </w:tcPr>
          <w:p>
            <w:pPr>
              <w:spacing w:after="20"/>
              <w:jc w:val="right"/>
            </w:pPr>
            <w:r>
              <w:rPr>
                <w:color w:val="1C3A36"/>
                <w:sz w:val="15"/>
              </w:rPr>
              <w:t>16.8%</w:t>
            </w:r>
          </w:p>
        </w:tc>
        <w:tc>
          <w:tcPr>
            <w:tcW w:type="dxa" w:w="950"/>
          </w:tcPr>
          <w:p>
            <w:pPr>
              <w:spacing w:after="20"/>
              <w:jc w:val="right"/>
            </w:pPr>
            <w:r>
              <w:rPr>
                <w:color w:val="1C3A36"/>
                <w:sz w:val="15"/>
              </w:rPr>
              <w:t>21.1%</w:t>
            </w:r>
          </w:p>
        </w:tc>
        <w:tc>
          <w:tcPr>
            <w:tcW w:type="dxa" w:w="950"/>
          </w:tcPr>
          <w:p>
            <w:pPr>
              <w:spacing w:after="20"/>
              <w:jc w:val="right"/>
            </w:pPr>
            <w:r>
              <w:rPr>
                <w:color w:val="1C3A36"/>
                <w:sz w:val="15"/>
              </w:rPr>
              <w:t>19.6%</w:t>
            </w:r>
          </w:p>
        </w:tc>
        <w:tc>
          <w:tcPr>
            <w:tcW w:type="dxa" w:w="950"/>
          </w:tcPr>
          <w:p>
            <w:pPr>
              <w:spacing w:after="20"/>
              <w:jc w:val="right"/>
            </w:pPr>
            <w:r>
              <w:rPr>
                <w:color w:val="1C3A36"/>
                <w:sz w:val="15"/>
              </w:rPr>
              <w:t>18.1%</w:t>
            </w:r>
          </w:p>
        </w:tc>
        <w:tc>
          <w:tcPr>
            <w:tcW w:type="dxa" w:w="950"/>
          </w:tcPr>
          <w:p>
            <w:pPr>
              <w:spacing w:after="20"/>
              <w:jc w:val="right"/>
            </w:pPr>
            <w:r>
              <w:rPr>
                <w:color w:val="1C3A36"/>
                <w:sz w:val="15"/>
              </w:rPr>
              <w:t>15.0%</w:t>
            </w:r>
          </w:p>
        </w:tc>
        <w:tc>
          <w:tcPr>
            <w:tcW w:type="dxa" w:w="950"/>
          </w:tcPr>
          <w:p>
            <w:pPr>
              <w:spacing w:after="20"/>
              <w:jc w:val="right"/>
            </w:pPr>
            <w:r>
              <w:rPr>
                <w:color w:val="1C3A36"/>
                <w:sz w:val="15"/>
              </w:rPr>
              <w:t>12.6%</w:t>
            </w:r>
          </w:p>
        </w:tc>
      </w:tr>
    </w:tbl>
    <w:p>
      <w:pPr>
        <w:spacing w:after="40"/>
      </w:pPr>
    </w:p>
    <w:p>
      <w:pPr>
        <w:spacing w:after="200" w:before="0"/>
      </w:pPr>
      <w:r>
        <w:rPr>
          <w:b w:val="0"/>
          <w:i/>
          <w:color w:val="6E7B77"/>
          <w:sz w:val="17"/>
        </w:rPr>
        <w:t>All three reported years are audited; every line is the closing figure from the company's own consolidated statements, with no roll-forward. The forecast columns are a condensed layout carrying only the lines the model actually rolls forward — the fleet, working capital, the funding and the equity account — and lines that are not modelled are shown as unavailable rather than estimated. Book value per share excludes the perpetual capital securities, which the accounts include inside total equity. The perpetual securities are the reason total equity jumped from USD 4,895 million to USD 7,225 million in FY2025 while equity attributable to ordinary shareholders barely moved.</w:t>
      </w:r>
    </w:p>
    <w:p>
      <w:pPr>
        <w:keepNext/>
        <w:spacing w:after="80" w:before="200"/>
      </w:pPr>
      <w:r>
        <w:rPr>
          <w:b/>
          <w:i w:val="0"/>
          <w:color w:val="1C3A36"/>
          <w:sz w:val="24"/>
        </w:rPr>
        <w:t>A.3  Forecast balance-sheet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Capital expenditure</w:t>
            </w:r>
          </w:p>
        </w:tc>
        <w:tc>
          <w:tcPr>
            <w:tcW w:type="dxa" w:w="1382"/>
          </w:tcPr>
          <w:p>
            <w:pPr>
              <w:spacing w:after="20"/>
              <w:jc w:val="right"/>
            </w:pPr>
            <w:r>
              <w:rPr>
                <w:color w:val="1C3A36"/>
                <w:sz w:val="16"/>
              </w:rPr>
              <w:t>(1,375)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(700)</w:t>
            </w:r>
          </w:p>
        </w:tc>
        <w:tc>
          <w:tcPr>
            <w:tcW w:type="dxa" w:w="1382"/>
          </w:tcPr>
          <w:p>
            <w:pPr>
              <w:spacing w:after="20"/>
              <w:jc w:val="right"/>
            </w:pPr>
            <w:r>
              <w:rPr>
                <w:color w:val="1C3A36"/>
                <w:sz w:val="16"/>
              </w:rPr>
              <w:t>(650)</w:t>
            </w:r>
          </w:p>
        </w:tc>
      </w:tr>
      <w:tr>
        <w:trPr>
          <w:cantSplit/>
        </w:trPr>
        <w:tc>
          <w:tcPr>
            <w:tcW w:type="dxa" w:w="3168"/>
          </w:tcPr>
          <w:p>
            <w:pPr>
              <w:spacing w:after="20"/>
            </w:pPr>
            <w:r>
              <w:rPr>
                <w:color w:val="1C3A36"/>
                <w:sz w:val="16"/>
              </w:rPr>
              <w:t>Change in working capital</w:t>
            </w:r>
          </w:p>
        </w:tc>
        <w:tc>
          <w:tcPr>
            <w:tcW w:type="dxa" w:w="1382"/>
          </w:tcPr>
          <w:p>
            <w:pPr>
              <w:spacing w:after="20"/>
              <w:jc w:val="right"/>
            </w:pPr>
            <w:r>
              <w:rPr>
                <w:color w:val="1C3A36"/>
                <w:sz w:val="16"/>
              </w:rPr>
              <w:t>(147)</w:t>
            </w:r>
          </w:p>
        </w:tc>
        <w:tc>
          <w:tcPr>
            <w:tcW w:type="dxa" w:w="1382"/>
          </w:tcPr>
          <w:p>
            <w:pPr>
              <w:spacing w:after="20"/>
              <w:jc w:val="right"/>
            </w:pPr>
            <w:r>
              <w:rPr>
                <w:color w:val="1C3A36"/>
                <w:sz w:val="16"/>
              </w:rPr>
              <w:t>(37)</w:t>
            </w:r>
          </w:p>
        </w:tc>
        <w:tc>
          <w:tcPr>
            <w:tcW w:type="dxa" w:w="1382"/>
          </w:tcPr>
          <w:p>
            <w:pPr>
              <w:spacing w:after="20"/>
              <w:jc w:val="right"/>
            </w:pPr>
            <w:r>
              <w:rPr>
                <w:color w:val="1C3A36"/>
                <w:sz w:val="16"/>
              </w:rPr>
              <w:t>(22)</w:t>
            </w:r>
          </w:p>
        </w:tc>
        <w:tc>
          <w:tcPr>
            <w:tcW w:type="dxa" w:w="1382"/>
          </w:tcPr>
          <w:p>
            <w:pPr>
              <w:spacing w:after="20"/>
              <w:jc w:val="right"/>
            </w:pPr>
            <w:r>
              <w:rPr>
                <w:color w:val="1C3A36"/>
                <w:sz w:val="16"/>
              </w:rPr>
              <w:t>29</w:t>
            </w:r>
          </w:p>
        </w:tc>
        <w:tc>
          <w:tcPr>
            <w:tcW w:type="dxa" w:w="1382"/>
          </w:tcPr>
          <w:p>
            <w:pPr>
              <w:spacing w:after="20"/>
              <w:jc w:val="right"/>
            </w:pPr>
            <w:r>
              <w:rPr>
                <w:color w:val="1C3A36"/>
                <w:sz w:val="16"/>
              </w:rPr>
              <w:t>46</w:t>
            </w:r>
          </w:p>
        </w:tc>
      </w:tr>
      <w:tr>
        <w:trPr>
          <w:cantSplit/>
        </w:trPr>
        <w:tc>
          <w:tcPr>
            <w:tcW w:type="dxa" w:w="3168"/>
            <w:shd w:val="clear" w:color="auto" w:fill="F6F1E6"/>
          </w:tcPr>
          <w:p>
            <w:pPr>
              <w:spacing w:after="20"/>
            </w:pPr>
            <w:r>
              <w:rPr>
                <w:b/>
                <w:color w:val="1C3A36"/>
                <w:sz w:val="16"/>
              </w:rPr>
              <w:t>Free cash flow to the firm</w:t>
            </w:r>
          </w:p>
        </w:tc>
        <w:tc>
          <w:tcPr>
            <w:tcW w:type="dxa" w:w="1382"/>
            <w:shd w:val="clear" w:color="auto" w:fill="F6F1E6"/>
          </w:tcPr>
          <w:p>
            <w:pPr>
              <w:spacing w:after="20"/>
              <w:jc w:val="right"/>
            </w:pPr>
            <w:r>
              <w:rPr>
                <w:b/>
                <w:color w:val="1C3A36"/>
                <w:sz w:val="16"/>
              </w:rPr>
              <w:t>329</w:t>
            </w:r>
          </w:p>
        </w:tc>
        <w:tc>
          <w:tcPr>
            <w:tcW w:type="dxa" w:w="1382"/>
            <w:shd w:val="clear" w:color="auto" w:fill="F6F1E6"/>
          </w:tcPr>
          <w:p>
            <w:pPr>
              <w:spacing w:after="20"/>
              <w:jc w:val="right"/>
            </w:pPr>
            <w:r>
              <w:rPr>
                <w:b/>
                <w:color w:val="1C3A36"/>
                <w:sz w:val="16"/>
              </w:rPr>
              <w:t>698</w:t>
            </w:r>
          </w:p>
        </w:tc>
        <w:tc>
          <w:tcPr>
            <w:tcW w:type="dxa" w:w="1382"/>
            <w:shd w:val="clear" w:color="auto" w:fill="F6F1E6"/>
          </w:tcPr>
          <w:p>
            <w:pPr>
              <w:spacing w:after="20"/>
              <w:jc w:val="right"/>
            </w:pPr>
            <w:r>
              <w:rPr>
                <w:b/>
                <w:color w:val="1C3A36"/>
                <w:sz w:val="16"/>
              </w:rPr>
              <w:t>793</w:t>
            </w:r>
          </w:p>
        </w:tc>
        <w:tc>
          <w:tcPr>
            <w:tcW w:type="dxa" w:w="1382"/>
            <w:shd w:val="clear" w:color="auto" w:fill="F6F1E6"/>
          </w:tcPr>
          <w:p>
            <w:pPr>
              <w:spacing w:after="20"/>
              <w:jc w:val="right"/>
            </w:pPr>
            <w:r>
              <w:rPr>
                <w:b/>
                <w:color w:val="1C3A36"/>
                <w:sz w:val="16"/>
              </w:rPr>
              <w:t>1,292</w:t>
            </w:r>
          </w:p>
        </w:tc>
        <w:tc>
          <w:tcPr>
            <w:tcW w:type="dxa" w:w="1382"/>
            <w:shd w:val="clear" w:color="auto" w:fill="F6F1E6"/>
          </w:tcPr>
          <w:p>
            <w:pPr>
              <w:spacing w:after="20"/>
              <w:jc w:val="right"/>
            </w:pPr>
            <w:r>
              <w:rPr>
                <w:b/>
                <w:color w:val="1C3A36"/>
                <w:sz w:val="16"/>
              </w:rPr>
              <w:t>1,201</w:t>
            </w:r>
          </w:p>
        </w:tc>
      </w:tr>
      <w:tr>
        <w:trPr>
          <w:cantSplit/>
        </w:trPr>
        <w:tc>
          <w:tcPr>
            <w:tcW w:type="dxa" w:w="3168"/>
          </w:tcPr>
          <w:p>
            <w:pPr>
              <w:spacing w:after="20"/>
            </w:pPr>
            <w:r>
              <w:rPr>
                <w:color w:val="1C3A36"/>
                <w:sz w:val="16"/>
              </w:rPr>
              <w:t>Interest on the modelled debt</w:t>
            </w:r>
          </w:p>
        </w:tc>
        <w:tc>
          <w:tcPr>
            <w:tcW w:type="dxa" w:w="1382"/>
          </w:tcPr>
          <w:p>
            <w:pPr>
              <w:spacing w:after="20"/>
              <w:jc w:val="right"/>
            </w:pPr>
            <w:r>
              <w:rPr>
                <w:color w:val="1C3A36"/>
                <w:sz w:val="16"/>
              </w:rPr>
              <w:t>(83)</w:t>
            </w:r>
          </w:p>
        </w:tc>
        <w:tc>
          <w:tcPr>
            <w:tcW w:type="dxa" w:w="1382"/>
          </w:tcPr>
          <w:p>
            <w:pPr>
              <w:spacing w:after="20"/>
              <w:jc w:val="right"/>
            </w:pPr>
            <w:r>
              <w:rPr>
                <w:color w:val="1C3A36"/>
                <w:sz w:val="16"/>
              </w:rPr>
              <w:t>(92)</w:t>
            </w:r>
          </w:p>
        </w:tc>
        <w:tc>
          <w:tcPr>
            <w:tcW w:type="dxa" w:w="1382"/>
          </w:tcPr>
          <w:p>
            <w:pPr>
              <w:spacing w:after="20"/>
              <w:jc w:val="right"/>
            </w:pPr>
            <w:r>
              <w:rPr>
                <w:color w:val="1C3A36"/>
                <w:sz w:val="16"/>
              </w:rPr>
              <w:t>(81)</w:t>
            </w:r>
          </w:p>
        </w:tc>
        <w:tc>
          <w:tcPr>
            <w:tcW w:type="dxa" w:w="1382"/>
          </w:tcPr>
          <w:p>
            <w:pPr>
              <w:spacing w:after="20"/>
              <w:jc w:val="right"/>
            </w:pPr>
            <w:r>
              <w:rPr>
                <w:color w:val="1C3A36"/>
                <w:sz w:val="16"/>
              </w:rPr>
              <w:t>(66)</w:t>
            </w:r>
          </w:p>
        </w:tc>
        <w:tc>
          <w:tcPr>
            <w:tcW w:type="dxa" w:w="1382"/>
          </w:tcPr>
          <w:p>
            <w:pPr>
              <w:spacing w:after="20"/>
              <w:jc w:val="right"/>
            </w:pPr>
            <w:r>
              <w:rPr>
                <w:color w:val="1C3A36"/>
                <w:sz w:val="16"/>
              </w:rPr>
              <w:t>(21)</w:t>
            </w:r>
          </w:p>
        </w:tc>
      </w:tr>
      <w:tr>
        <w:trPr>
          <w:cantSplit/>
        </w:trPr>
        <w:tc>
          <w:tcPr>
            <w:tcW w:type="dxa" w:w="3168"/>
          </w:tcPr>
          <w:p>
            <w:pPr>
              <w:spacing w:after="20"/>
            </w:pPr>
            <w:r>
              <w:rPr>
                <w:color w:val="1C3A36"/>
                <w:sz w:val="16"/>
              </w:rPr>
              <w:t>Perpetual securities coupon</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r>
      <w:tr>
        <w:trPr>
          <w:cantSplit/>
        </w:trPr>
        <w:tc>
          <w:tcPr>
            <w:tcW w:type="dxa" w:w="3168"/>
          </w:tcPr>
          <w:p>
            <w:pPr>
              <w:spacing w:after="20"/>
            </w:pPr>
            <w:r>
              <w:rPr>
                <w:color w:val="1C3A36"/>
                <w:sz w:val="16"/>
              </w:rPr>
              <w:t>Ordinary distributions</w:t>
            </w:r>
          </w:p>
        </w:tc>
        <w:tc>
          <w:tcPr>
            <w:tcW w:type="dxa" w:w="1382"/>
          </w:tcPr>
          <w:p>
            <w:pPr>
              <w:spacing w:after="20"/>
              <w:jc w:val="right"/>
            </w:pPr>
            <w:r>
              <w:rPr>
                <w:color w:val="1C3A36"/>
                <w:sz w:val="16"/>
              </w:rPr>
              <w:t>(341)</w:t>
            </w:r>
          </w:p>
        </w:tc>
        <w:tc>
          <w:tcPr>
            <w:tcW w:type="dxa" w:w="1382"/>
          </w:tcPr>
          <w:p>
            <w:pPr>
              <w:spacing w:after="20"/>
              <w:jc w:val="right"/>
            </w:pPr>
            <w:r>
              <w:rPr>
                <w:color w:val="1C3A36"/>
                <w:sz w:val="16"/>
              </w:rPr>
              <w:t>(358)</w:t>
            </w:r>
          </w:p>
        </w:tc>
        <w:tc>
          <w:tcPr>
            <w:tcW w:type="dxa" w:w="1382"/>
          </w:tcPr>
          <w:p>
            <w:pPr>
              <w:spacing w:after="20"/>
              <w:jc w:val="right"/>
            </w:pPr>
            <w:r>
              <w:rPr>
                <w:color w:val="1C3A36"/>
                <w:sz w:val="16"/>
              </w:rPr>
              <w:t>(376)</w:t>
            </w:r>
          </w:p>
        </w:tc>
        <w:tc>
          <w:tcPr>
            <w:tcW w:type="dxa" w:w="1382"/>
          </w:tcPr>
          <w:p>
            <w:pPr>
              <w:spacing w:after="20"/>
              <w:jc w:val="right"/>
            </w:pPr>
            <w:r>
              <w:rPr>
                <w:color w:val="1C3A36"/>
                <w:sz w:val="16"/>
              </w:rPr>
              <w:t>(395)</w:t>
            </w:r>
          </w:p>
        </w:tc>
        <w:tc>
          <w:tcPr>
            <w:tcW w:type="dxa" w:w="1382"/>
          </w:tcPr>
          <w:p>
            <w:pPr>
              <w:spacing w:after="20"/>
              <w:jc w:val="right"/>
            </w:pPr>
            <w:r>
              <w:rPr>
                <w:color w:val="1C3A36"/>
                <w:sz w:val="16"/>
              </w:rPr>
              <w:t>(414)</w:t>
            </w:r>
          </w:p>
        </w:tc>
      </w:tr>
      <w:tr>
        <w:trPr>
          <w:cantSplit/>
        </w:trPr>
        <w:tc>
          <w:tcPr>
            <w:tcW w:type="dxa" w:w="3168"/>
          </w:tcPr>
          <w:p>
            <w:pPr>
              <w:spacing w:after="20"/>
            </w:pPr>
            <w:r>
              <w:rPr>
                <w:color w:val="1C3A36"/>
                <w:sz w:val="16"/>
              </w:rPr>
              <w:t>Payout ratio on attributable profit</w:t>
            </w:r>
          </w:p>
        </w:tc>
        <w:tc>
          <w:tcPr>
            <w:tcW w:type="dxa" w:w="1382"/>
          </w:tcPr>
          <w:p>
            <w:pPr>
              <w:spacing w:after="20"/>
              <w:jc w:val="right"/>
            </w:pPr>
            <w:r>
              <w:rPr>
                <w:color w:val="1C3A36"/>
                <w:sz w:val="16"/>
              </w:rPr>
              <w:t>30%</w:t>
            </w:r>
          </w:p>
        </w:tc>
        <w:tc>
          <w:tcPr>
            <w:tcW w:type="dxa" w:w="1382"/>
          </w:tcPr>
          <w:p>
            <w:pPr>
              <w:spacing w:after="20"/>
              <w:jc w:val="right"/>
            </w:pPr>
            <w:r>
              <w:rPr>
                <w:color w:val="1C3A36"/>
                <w:sz w:val="16"/>
              </w:rPr>
              <w:t>30%</w:t>
            </w:r>
          </w:p>
        </w:tc>
        <w:tc>
          <w:tcPr>
            <w:tcW w:type="dxa" w:w="1382"/>
          </w:tcPr>
          <w:p>
            <w:pPr>
              <w:spacing w:after="20"/>
              <w:jc w:val="right"/>
            </w:pPr>
            <w:r>
              <w:rPr>
                <w:color w:val="1C3A36"/>
                <w:sz w:val="16"/>
              </w:rPr>
              <w:t>30%</w:t>
            </w:r>
          </w:p>
        </w:tc>
        <w:tc>
          <w:tcPr>
            <w:tcW w:type="dxa" w:w="1382"/>
          </w:tcPr>
          <w:p>
            <w:pPr>
              <w:spacing w:after="20"/>
              <w:jc w:val="right"/>
            </w:pPr>
            <w:r>
              <w:rPr>
                <w:color w:val="1C3A36"/>
                <w:sz w:val="16"/>
              </w:rPr>
              <w:t>34%</w:t>
            </w:r>
          </w:p>
        </w:tc>
        <w:tc>
          <w:tcPr>
            <w:tcW w:type="dxa" w:w="1382"/>
          </w:tcPr>
          <w:p>
            <w:pPr>
              <w:spacing w:after="20"/>
              <w:jc w:val="right"/>
            </w:pPr>
            <w:r>
              <w:rPr>
                <w:color w:val="1C3A36"/>
                <w:sz w:val="16"/>
              </w:rPr>
              <w:t>40%</w:t>
            </w:r>
          </w:p>
        </w:tc>
      </w:tr>
      <w:tr>
        <w:trPr>
          <w:cantSplit/>
        </w:trPr>
        <w:tc>
          <w:tcPr>
            <w:tcW w:type="dxa" w:w="3168"/>
          </w:tcPr>
          <w:p>
            <w:pPr>
              <w:spacing w:after="20"/>
            </w:pPr>
            <w:r>
              <w:rPr>
                <w:color w:val="1C3A36"/>
                <w:sz w:val="16"/>
              </w:rPr>
              <w:t>Gross debt</w:t>
            </w:r>
          </w:p>
        </w:tc>
        <w:tc>
          <w:tcPr>
            <w:tcW w:type="dxa" w:w="1382"/>
          </w:tcPr>
          <w:p>
            <w:pPr>
              <w:spacing w:after="20"/>
              <w:jc w:val="right"/>
            </w:pPr>
            <w:r>
              <w:rPr>
                <w:color w:val="1C3A36"/>
                <w:sz w:val="16"/>
              </w:rPr>
              <w:t>1,417</w:t>
            </w:r>
          </w:p>
        </w:tc>
        <w:tc>
          <w:tcPr>
            <w:tcW w:type="dxa" w:w="1382"/>
          </w:tcPr>
          <w:p>
            <w:pPr>
              <w:spacing w:after="20"/>
              <w:jc w:val="right"/>
            </w:pPr>
            <w:r>
              <w:rPr>
                <w:color w:val="1C3A36"/>
                <w:sz w:val="16"/>
              </w:rPr>
              <w:t>1,578</w:t>
            </w:r>
          </w:p>
        </w:tc>
        <w:tc>
          <w:tcPr>
            <w:tcW w:type="dxa" w:w="1382"/>
          </w:tcPr>
          <w:p>
            <w:pPr>
              <w:spacing w:after="20"/>
              <w:jc w:val="right"/>
            </w:pPr>
            <w:r>
              <w:rPr>
                <w:color w:val="1C3A36"/>
                <w:sz w:val="16"/>
              </w:rPr>
              <w:t>1,395</w:t>
            </w:r>
          </w:p>
        </w:tc>
        <w:tc>
          <w:tcPr>
            <w:tcW w:type="dxa" w:w="1382"/>
          </w:tcPr>
          <w:p>
            <w:pPr>
              <w:spacing w:after="20"/>
              <w:jc w:val="right"/>
            </w:pPr>
            <w:r>
              <w:rPr>
                <w:color w:val="1C3A36"/>
                <w:sz w:val="16"/>
              </w:rPr>
              <w:t>1,125</w:t>
            </w:r>
          </w:p>
        </w:tc>
        <w:tc>
          <w:tcPr>
            <w:tcW w:type="dxa" w:w="1382"/>
          </w:tcPr>
          <w:p>
            <w:pPr>
              <w:spacing w:after="20"/>
              <w:jc w:val="right"/>
            </w:pPr>
            <w:r>
              <w:rPr>
                <w:color w:val="1C3A36"/>
                <w:sz w:val="16"/>
              </w:rPr>
              <w:t>361</w:t>
            </w:r>
          </w:p>
        </w:tc>
      </w:tr>
      <w:tr>
        <w:trPr>
          <w:cantSplit/>
        </w:trPr>
        <w:tc>
          <w:tcPr>
            <w:tcW w:type="dxa" w:w="3168"/>
          </w:tcPr>
          <w:p>
            <w:pPr>
              <w:spacing w:after="20"/>
            </w:pPr>
            <w:r>
              <w:rPr>
                <w:color w:val="1C3A36"/>
                <w:sz w:val="16"/>
              </w:rPr>
              <w:t>Net debt</w:t>
            </w:r>
          </w:p>
        </w:tc>
        <w:tc>
          <w:tcPr>
            <w:tcW w:type="dxa" w:w="1382"/>
          </w:tcPr>
          <w:p>
            <w:pPr>
              <w:spacing w:after="20"/>
              <w:jc w:val="right"/>
            </w:pPr>
            <w:r>
              <w:rPr>
                <w:color w:val="1C3A36"/>
                <w:sz w:val="16"/>
              </w:rPr>
              <w:t>882</w:t>
            </w:r>
          </w:p>
        </w:tc>
        <w:tc>
          <w:tcPr>
            <w:tcW w:type="dxa" w:w="1382"/>
          </w:tcPr>
          <w:p>
            <w:pPr>
              <w:spacing w:after="20"/>
              <w:jc w:val="right"/>
            </w:pPr>
            <w:r>
              <w:rPr>
                <w:color w:val="1C3A36"/>
                <w:sz w:val="16"/>
              </w:rPr>
              <w:t>699</w:t>
            </w:r>
          </w:p>
        </w:tc>
        <w:tc>
          <w:tcPr>
            <w:tcW w:type="dxa" w:w="1382"/>
          </w:tcPr>
          <w:p>
            <w:pPr>
              <w:spacing w:after="20"/>
              <w:jc w:val="right"/>
            </w:pPr>
            <w:r>
              <w:rPr>
                <w:color w:val="1C3A36"/>
                <w:sz w:val="16"/>
              </w:rPr>
              <w:t>430</w:t>
            </w:r>
          </w:p>
        </w:tc>
        <w:tc>
          <w:tcPr>
            <w:tcW w:type="dxa" w:w="1382"/>
          </w:tcPr>
          <w:p>
            <w:pPr>
              <w:spacing w:after="20"/>
              <w:jc w:val="right"/>
            </w:pPr>
            <w:r>
              <w:rPr>
                <w:color w:val="1C3A36"/>
                <w:sz w:val="16"/>
              </w:rPr>
              <w:t>(334)</w:t>
            </w:r>
          </w:p>
        </w:tc>
        <w:tc>
          <w:tcPr>
            <w:tcW w:type="dxa" w:w="1382"/>
          </w:tcPr>
          <w:p>
            <w:pPr>
              <w:spacing w:after="20"/>
              <w:jc w:val="right"/>
            </w:pPr>
            <w:r>
              <w:rPr>
                <w:color w:val="1C3A36"/>
                <w:sz w:val="16"/>
              </w:rPr>
              <w:t>(1,028)</w:t>
            </w:r>
          </w:p>
        </w:tc>
      </w:tr>
      <w:tr>
        <w:trPr>
          <w:cantSplit/>
        </w:trPr>
        <w:tc>
          <w:tcPr>
            <w:tcW w:type="dxa" w:w="3168"/>
            <w:shd w:val="clear" w:color="auto" w:fill="F6F1E6"/>
          </w:tcPr>
          <w:p>
            <w:pPr>
              <w:spacing w:after="20"/>
            </w:pPr>
            <w:r>
              <w:rPr>
                <w:b/>
                <w:color w:val="1C3A36"/>
                <w:sz w:val="16"/>
              </w:rPr>
              <w:t>Net debt / earnings</w:t>
            </w:r>
          </w:p>
        </w:tc>
        <w:tc>
          <w:tcPr>
            <w:tcW w:type="dxa" w:w="1382"/>
            <w:shd w:val="clear" w:color="auto" w:fill="F6F1E6"/>
          </w:tcPr>
          <w:p>
            <w:pPr>
              <w:spacing w:after="20"/>
              <w:jc w:val="right"/>
            </w:pPr>
            <w:r>
              <w:rPr>
                <w:b/>
                <w:color w:val="1C3A36"/>
                <w:sz w:val="16"/>
              </w:rPr>
              <w:t>0.46×</w:t>
            </w:r>
          </w:p>
        </w:tc>
        <w:tc>
          <w:tcPr>
            <w:tcW w:type="dxa" w:w="1382"/>
            <w:shd w:val="clear" w:color="auto" w:fill="F6F1E6"/>
          </w:tcPr>
          <w:p>
            <w:pPr>
              <w:spacing w:after="20"/>
              <w:jc w:val="right"/>
            </w:pPr>
            <w:r>
              <w:rPr>
                <w:b/>
                <w:color w:val="1C3A36"/>
                <w:sz w:val="16"/>
              </w:rPr>
              <w:t>0.34×</w:t>
            </w:r>
          </w:p>
        </w:tc>
        <w:tc>
          <w:tcPr>
            <w:tcW w:type="dxa" w:w="1382"/>
            <w:shd w:val="clear" w:color="auto" w:fill="F6F1E6"/>
          </w:tcPr>
          <w:p>
            <w:pPr>
              <w:spacing w:after="20"/>
              <w:jc w:val="right"/>
            </w:pPr>
            <w:r>
              <w:rPr>
                <w:b/>
                <w:color w:val="1C3A36"/>
                <w:sz w:val="16"/>
              </w:rPr>
              <w:t>0.20×</w:t>
            </w:r>
          </w:p>
        </w:tc>
        <w:tc>
          <w:tcPr>
            <w:tcW w:type="dxa" w:w="1382"/>
            <w:shd w:val="clear" w:color="auto" w:fill="F6F1E6"/>
          </w:tcPr>
          <w:p>
            <w:pPr>
              <w:spacing w:after="20"/>
              <w:jc w:val="right"/>
            </w:pPr>
            <w:r>
              <w:rPr>
                <w:b/>
                <w:color w:val="1C3A36"/>
                <w:sz w:val="16"/>
              </w:rPr>
              <w:t>-0.17×</w:t>
            </w:r>
          </w:p>
        </w:tc>
        <w:tc>
          <w:tcPr>
            <w:tcW w:type="dxa" w:w="1382"/>
            <w:shd w:val="clear" w:color="auto" w:fill="F6F1E6"/>
          </w:tcPr>
          <w:p>
            <w:pPr>
              <w:spacing w:after="20"/>
              <w:jc w:val="right"/>
            </w:pPr>
            <w:r>
              <w:rPr>
                <w:b/>
                <w:color w:val="1C3A36"/>
                <w:sz w:val="16"/>
              </w:rPr>
              <w:t>-0.55×</w:t>
            </w:r>
          </w:p>
        </w:tc>
      </w:tr>
      <w:tr>
        <w:trPr>
          <w:cantSplit/>
        </w:trPr>
        <w:tc>
          <w:tcPr>
            <w:tcW w:type="dxa" w:w="3168"/>
          </w:tcPr>
          <w:p>
            <w:pPr>
              <w:spacing w:after="20"/>
            </w:pPr>
            <w:r>
              <w:rPr>
                <w:color w:val="1C3A36"/>
                <w:sz w:val="16"/>
              </w:rPr>
              <w:t>Invested capital</w:t>
            </w:r>
          </w:p>
        </w:tc>
        <w:tc>
          <w:tcPr>
            <w:tcW w:type="dxa" w:w="1382"/>
          </w:tcPr>
          <w:p>
            <w:pPr>
              <w:spacing w:after="20"/>
              <w:jc w:val="right"/>
            </w:pPr>
            <w:r>
              <w:rPr>
                <w:color w:val="1C3A36"/>
                <w:sz w:val="16"/>
              </w:rPr>
              <w:t>8,397</w:t>
            </w:r>
          </w:p>
        </w:tc>
        <w:tc>
          <w:tcPr>
            <w:tcW w:type="dxa" w:w="1382"/>
          </w:tcPr>
          <w:p>
            <w:pPr>
              <w:spacing w:after="20"/>
              <w:jc w:val="right"/>
            </w:pPr>
            <w:r>
              <w:rPr>
                <w:color w:val="1C3A36"/>
                <w:sz w:val="16"/>
              </w:rPr>
              <w:t>9,203</w:t>
            </w:r>
          </w:p>
        </w:tc>
        <w:tc>
          <w:tcPr>
            <w:tcW w:type="dxa" w:w="1382"/>
          </w:tcPr>
          <w:p>
            <w:pPr>
              <w:spacing w:after="20"/>
              <w:jc w:val="right"/>
            </w:pPr>
            <w:r>
              <w:rPr>
                <w:color w:val="1C3A36"/>
                <w:sz w:val="16"/>
              </w:rPr>
              <w:t>9,951</w:t>
            </w:r>
          </w:p>
        </w:tc>
        <w:tc>
          <w:tcPr>
            <w:tcW w:type="dxa" w:w="1382"/>
          </w:tcPr>
          <w:p>
            <w:pPr>
              <w:spacing w:after="20"/>
              <w:jc w:val="right"/>
            </w:pPr>
            <w:r>
              <w:rPr>
                <w:color w:val="1C3A36"/>
                <w:sz w:val="16"/>
              </w:rPr>
              <w:t>10,077</w:t>
            </w:r>
          </w:p>
        </w:tc>
        <w:tc>
          <w:tcPr>
            <w:tcW w:type="dxa" w:w="1382"/>
          </w:tcPr>
          <w:p>
            <w:pPr>
              <w:spacing w:after="20"/>
              <w:jc w:val="right"/>
            </w:pPr>
            <w:r>
              <w:rPr>
                <w:color w:val="1C3A36"/>
                <w:sz w:val="16"/>
              </w:rPr>
              <w:t>10,128</w:t>
            </w:r>
          </w:p>
        </w:tc>
      </w:tr>
      <w:tr>
        <w:trPr>
          <w:cantSplit/>
        </w:trPr>
        <w:tc>
          <w:tcPr>
            <w:tcW w:type="dxa" w:w="3168"/>
          </w:tcPr>
          <w:p>
            <w:pPr>
              <w:spacing w:after="20"/>
            </w:pPr>
            <w:r>
              <w:rPr>
                <w:color w:val="1C3A36"/>
                <w:sz w:val="16"/>
              </w:rPr>
              <w:t>Return on invested capital</w:t>
            </w:r>
          </w:p>
        </w:tc>
        <w:tc>
          <w:tcPr>
            <w:tcW w:type="dxa" w:w="1382"/>
          </w:tcPr>
          <w:p>
            <w:pPr>
              <w:spacing w:after="20"/>
              <w:jc w:val="right"/>
            </w:pPr>
            <w:r>
              <w:rPr>
                <w:color w:val="1C3A36"/>
                <w:sz w:val="16"/>
              </w:rPr>
              <w:t>15.6%</w:t>
            </w:r>
          </w:p>
        </w:tc>
        <w:tc>
          <w:tcPr>
            <w:tcW w:type="dxa" w:w="1382"/>
          </w:tcPr>
          <w:p>
            <w:pPr>
              <w:spacing w:after="20"/>
              <w:jc w:val="right"/>
            </w:pPr>
            <w:r>
              <w:rPr>
                <w:color w:val="1C3A36"/>
                <w:sz w:val="16"/>
              </w:rPr>
              <w:t>15.1%</w:t>
            </w:r>
          </w:p>
        </w:tc>
        <w:tc>
          <w:tcPr>
            <w:tcW w:type="dxa" w:w="1382"/>
          </w:tcPr>
          <w:p>
            <w:pPr>
              <w:spacing w:after="20"/>
              <w:jc w:val="right"/>
            </w:pPr>
            <w:r>
              <w:rPr>
                <w:color w:val="1C3A36"/>
                <w:sz w:val="16"/>
              </w:rPr>
              <w:t>14.3%</w:t>
            </w:r>
          </w:p>
        </w:tc>
        <w:tc>
          <w:tcPr>
            <w:tcW w:type="dxa" w:w="1382"/>
          </w:tcPr>
          <w:p>
            <w:pPr>
              <w:spacing w:after="20"/>
              <w:jc w:val="right"/>
            </w:pPr>
            <w:r>
              <w:rPr>
                <w:color w:val="1C3A36"/>
                <w:sz w:val="16"/>
              </w:rPr>
              <w:t>12.9%</w:t>
            </w:r>
          </w:p>
        </w:tc>
        <w:tc>
          <w:tcPr>
            <w:tcW w:type="dxa" w:w="1382"/>
          </w:tcPr>
          <w:p>
            <w:pPr>
              <w:spacing w:after="20"/>
              <w:jc w:val="right"/>
            </w:pPr>
            <w:r>
              <w:rPr>
                <w:color w:val="1C3A36"/>
                <w:sz w:val="16"/>
              </w:rPr>
              <w:t>11.2%</w:t>
            </w:r>
          </w:p>
        </w:tc>
      </w:tr>
      <w:tr>
        <w:trPr>
          <w:cantSplit/>
        </w:trPr>
        <w:tc>
          <w:tcPr>
            <w:tcW w:type="dxa" w:w="3168"/>
          </w:tcPr>
          <w:p>
            <w:pPr>
              <w:spacing w:after="20"/>
            </w:pPr>
            <w:r>
              <w:rPr>
                <w:color w:val="1C3A36"/>
                <w:sz w:val="16"/>
              </w:rPr>
              <w:t>Cost of capital that year</w:t>
            </w:r>
          </w:p>
        </w:tc>
        <w:tc>
          <w:tcPr>
            <w:tcW w:type="dxa" w:w="1382"/>
          </w:tcPr>
          <w:p>
            <w:pPr>
              <w:spacing w:after="20"/>
              <w:jc w:val="right"/>
            </w:pPr>
            <w:r>
              <w:rPr>
                <w:color w:val="1C3A36"/>
                <w:sz w:val="16"/>
              </w:rPr>
              <w:t>8.34%</w:t>
            </w:r>
          </w:p>
        </w:tc>
        <w:tc>
          <w:tcPr>
            <w:tcW w:type="dxa" w:w="1382"/>
          </w:tcPr>
          <w:p>
            <w:pPr>
              <w:spacing w:after="20"/>
              <w:jc w:val="right"/>
            </w:pPr>
            <w:r>
              <w:rPr>
                <w:color w:val="1C3A36"/>
                <w:sz w:val="16"/>
              </w:rPr>
              <w:t>8.18%</w:t>
            </w:r>
          </w:p>
        </w:tc>
        <w:tc>
          <w:tcPr>
            <w:tcW w:type="dxa" w:w="1382"/>
          </w:tcPr>
          <w:p>
            <w:pPr>
              <w:spacing w:after="20"/>
              <w:jc w:val="right"/>
            </w:pPr>
            <w:r>
              <w:rPr>
                <w:color w:val="1C3A36"/>
                <w:sz w:val="16"/>
              </w:rPr>
              <w:t>8.03%</w:t>
            </w:r>
          </w:p>
        </w:tc>
        <w:tc>
          <w:tcPr>
            <w:tcW w:type="dxa" w:w="1382"/>
          </w:tcPr>
          <w:p>
            <w:pPr>
              <w:spacing w:after="20"/>
              <w:jc w:val="right"/>
            </w:pPr>
            <w:r>
              <w:rPr>
                <w:color w:val="1C3A36"/>
                <w:sz w:val="16"/>
              </w:rPr>
              <w:t>7.88%</w:t>
            </w:r>
          </w:p>
        </w:tc>
        <w:tc>
          <w:tcPr>
            <w:tcW w:type="dxa" w:w="1382"/>
          </w:tcPr>
          <w:p>
            <w:pPr>
              <w:spacing w:after="20"/>
              <w:jc w:val="right"/>
            </w:pPr>
            <w:r>
              <w:rPr>
                <w:color w:val="1C3A36"/>
                <w:sz w:val="16"/>
              </w:rPr>
              <w:t>7.73%</w:t>
            </w:r>
          </w:p>
        </w:tc>
      </w:tr>
      <w:tr>
        <w:trPr>
          <w:cantSplit/>
        </w:trPr>
        <w:tc>
          <w:tcPr>
            <w:tcW w:type="dxa" w:w="3168"/>
            <w:shd w:val="clear" w:color="auto" w:fill="F6F1E6"/>
          </w:tcPr>
          <w:p>
            <w:pPr>
              <w:spacing w:after="20"/>
            </w:pPr>
            <w:r>
              <w:rPr>
                <w:b/>
                <w:color w:val="1C3A36"/>
                <w:sz w:val="16"/>
              </w:rPr>
              <w:t>Spread</w:t>
            </w:r>
          </w:p>
        </w:tc>
        <w:tc>
          <w:tcPr>
            <w:tcW w:type="dxa" w:w="1382"/>
            <w:shd w:val="clear" w:color="auto" w:fill="F6F1E6"/>
          </w:tcPr>
          <w:p>
            <w:pPr>
              <w:spacing w:after="20"/>
              <w:jc w:val="right"/>
            </w:pPr>
            <w:r>
              <w:rPr>
                <w:b/>
                <w:color w:val="1C3A36"/>
                <w:sz w:val="16"/>
              </w:rPr>
              <w:t>+7.3pp</w:t>
            </w:r>
          </w:p>
        </w:tc>
        <w:tc>
          <w:tcPr>
            <w:tcW w:type="dxa" w:w="1382"/>
            <w:shd w:val="clear" w:color="auto" w:fill="F6F1E6"/>
          </w:tcPr>
          <w:p>
            <w:pPr>
              <w:spacing w:after="20"/>
              <w:jc w:val="right"/>
            </w:pPr>
            <w:r>
              <w:rPr>
                <w:b/>
                <w:color w:val="1C3A36"/>
                <w:sz w:val="16"/>
              </w:rPr>
              <w:t>+6.9pp</w:t>
            </w:r>
          </w:p>
        </w:tc>
        <w:tc>
          <w:tcPr>
            <w:tcW w:type="dxa" w:w="1382"/>
            <w:shd w:val="clear" w:color="auto" w:fill="F6F1E6"/>
          </w:tcPr>
          <w:p>
            <w:pPr>
              <w:spacing w:after="20"/>
              <w:jc w:val="right"/>
            </w:pPr>
            <w:r>
              <w:rPr>
                <w:b/>
                <w:color w:val="1C3A36"/>
                <w:sz w:val="16"/>
              </w:rPr>
              <w:t>+6.3pp</w:t>
            </w:r>
          </w:p>
        </w:tc>
        <w:tc>
          <w:tcPr>
            <w:tcW w:type="dxa" w:w="1382"/>
            <w:shd w:val="clear" w:color="auto" w:fill="F6F1E6"/>
          </w:tcPr>
          <w:p>
            <w:pPr>
              <w:spacing w:after="20"/>
              <w:jc w:val="right"/>
            </w:pPr>
            <w:r>
              <w:rPr>
                <w:b/>
                <w:color w:val="1C3A36"/>
                <w:sz w:val="16"/>
              </w:rPr>
              <w:t>+5.0pp</w:t>
            </w:r>
          </w:p>
        </w:tc>
        <w:tc>
          <w:tcPr>
            <w:tcW w:type="dxa" w:w="1382"/>
            <w:shd w:val="clear" w:color="auto" w:fill="F6F1E6"/>
          </w:tcPr>
          <w:p>
            <w:pPr>
              <w:spacing w:after="20"/>
              <w:jc w:val="right"/>
            </w:pPr>
            <w:r>
              <w:rPr>
                <w:b/>
                <w:color w:val="1C3A36"/>
                <w:sz w:val="16"/>
              </w:rPr>
              <w:t>+3.4pp</w:t>
            </w:r>
          </w:p>
        </w:tc>
      </w:tr>
    </w:tbl>
    <w:p>
      <w:pPr>
        <w:spacing w:after="40"/>
      </w:pPr>
    </w:p>
    <w:p>
      <w:pPr>
        <w:spacing w:after="120" w:before="0"/>
      </w:pPr>
      <w:r>
        <w:rPr>
          <w:b w:val="0"/>
          <w:i w:val="0"/>
          <w:color w:val="1C3A36"/>
          <w:sz w:val="21"/>
        </w:rPr>
        <w:t>Three things in that table are worth reading together. Free cash flow to the firm is only USD 329 million in 2026E — on earnings of USD 1,900 million — because the capital programme peaks at USD 1,375 million and working capital builds by USD 147 million in the same year. It then quadruples by 2029E as the newbuild programme delivers and spending falls back toward maintenance levels. That shape is why the terminal value carries so much of the enterprise value: the explicit years are the investment years. And the spread of return on invested capital over the cost of capital is positive in every year of the forecast, narrowing from +7.3 percentage points to +3.4 as the rate cycle normalises — this business creates value on the study's own cost of capital throughout, which is the single most important thing the cash-flow model says.</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84"/>
        <w:gridCol w:w="3082"/>
        <w:gridCol w:w="3082"/>
      </w:tblGrid>
      <w:tr>
        <w:trPr>
          <w:cantSplit/>
          <w:tblHeader/>
        </w:trPr>
        <w:tc>
          <w:tcPr>
            <w:tcW w:type="dxa" w:w="2333"/>
            <w:shd w:val="clear" w:color="auto" w:fill="EAF0EE"/>
          </w:tcPr>
          <w:p>
            <w:pPr>
              <w:spacing w:after="20"/>
            </w:pPr>
            <w:r>
              <w:rPr>
                <w:b/>
                <w:color w:val="1C3A36"/>
                <w:sz w:val="16"/>
              </w:rPr>
              <w:t>Company</w:t>
            </w:r>
          </w:p>
        </w:tc>
        <w:tc>
          <w:tcPr>
            <w:tcW w:type="dxa" w:w="1584"/>
            <w:shd w:val="clear" w:color="auto" w:fill="EAF0EE"/>
          </w:tcPr>
          <w:p>
            <w:pPr>
              <w:spacing w:after="20"/>
            </w:pPr>
            <w:r>
              <w:rPr>
                <w:b/>
                <w:color w:val="1C3A36"/>
                <w:sz w:val="16"/>
              </w:rPr>
              <w:t>Market</w:t>
            </w:r>
          </w:p>
        </w:tc>
        <w:tc>
          <w:tcPr>
            <w:tcW w:type="dxa" w:w="3082"/>
            <w:shd w:val="clear" w:color="auto" w:fill="EAF0EE"/>
          </w:tcPr>
          <w:p>
            <w:pPr>
              <w:spacing w:after="20"/>
            </w:pPr>
            <w:r>
              <w:rPr>
                <w:b/>
                <w:color w:val="1C3A36"/>
                <w:sz w:val="16"/>
              </w:rPr>
              <w:t>Relevance</w:t>
            </w:r>
          </w:p>
        </w:tc>
        <w:tc>
          <w:tcPr>
            <w:tcW w:type="dxa" w:w="3082"/>
            <w:shd w:val="clear" w:color="auto" w:fill="EAF0EE"/>
          </w:tcPr>
          <w:p>
            <w:pPr>
              <w:spacing w:after="20"/>
            </w:pPr>
            <w:r>
              <w:rPr>
                <w:b/>
                <w:color w:val="1C3A36"/>
                <w:sz w:val="16"/>
              </w:rPr>
              <w:t>Caution</w:t>
            </w:r>
          </w:p>
        </w:tc>
      </w:tr>
      <w:tr>
        <w:trPr>
          <w:cantSplit/>
        </w:trPr>
        <w:tc>
          <w:tcPr>
            <w:tcW w:type="dxa" w:w="2333"/>
          </w:tcPr>
          <w:p>
            <w:pPr>
              <w:spacing w:after="20"/>
            </w:pPr>
            <w:r>
              <w:rPr>
                <w:color w:val="1C3A36"/>
                <w:sz w:val="16"/>
              </w:rPr>
              <w:t>Qatar Gas Transport (Nakilat)</w:t>
            </w:r>
          </w:p>
        </w:tc>
        <w:tc>
          <w:tcPr>
            <w:tcW w:type="dxa" w:w="1584"/>
          </w:tcPr>
          <w:p>
            <w:pPr>
              <w:spacing w:after="20"/>
            </w:pPr>
            <w:r>
              <w:rPr>
                <w:color w:val="1C3A36"/>
                <w:sz w:val="16"/>
              </w:rPr>
              <w:t>Qatar</w:t>
            </w:r>
          </w:p>
        </w:tc>
        <w:tc>
          <w:tcPr>
            <w:tcW w:type="dxa" w:w="3082"/>
          </w:tcPr>
          <w:p>
            <w:pPr>
              <w:spacing w:after="20"/>
            </w:pPr>
            <w:r>
              <w:rPr>
                <w:color w:val="1C3A36"/>
                <w:sz w:val="16"/>
              </w:rPr>
              <w:t>the closest listed analogue to the contracted legs — long-term contracted gas shipping for a national energy company, the same customer structure</w:t>
            </w:r>
          </w:p>
        </w:tc>
        <w:tc>
          <w:tcPr>
            <w:tcW w:type="dxa" w:w="3082"/>
          </w:tcPr>
          <w:p>
            <w:pPr>
              <w:spacing w:after="20"/>
            </w:pPr>
            <w:r>
              <w:rPr>
                <w:color w:val="1C3A36"/>
                <w:sz w:val="16"/>
              </w:rPr>
              <w:t>a pure contracted shipowner with no merchant fleet and no offshore logistics arm; its multiple describes the half of this company that is contracted and says nothing about the other half</w:t>
            </w:r>
          </w:p>
        </w:tc>
      </w:tr>
      <w:tr>
        <w:trPr>
          <w:cantSplit/>
        </w:trPr>
        <w:tc>
          <w:tcPr>
            <w:tcW w:type="dxa" w:w="2333"/>
          </w:tcPr>
          <w:p>
            <w:pPr>
              <w:spacing w:after="20"/>
            </w:pPr>
            <w:r>
              <w:rPr>
                <w:color w:val="1C3A36"/>
                <w:sz w:val="16"/>
              </w:rPr>
              <w:t>Frontline plc</w:t>
            </w:r>
          </w:p>
        </w:tc>
        <w:tc>
          <w:tcPr>
            <w:tcW w:type="dxa" w:w="1584"/>
          </w:tcPr>
          <w:p>
            <w:pPr>
              <w:spacing w:after="20"/>
            </w:pPr>
            <w:r>
              <w:rPr>
                <w:color w:val="1C3A36"/>
                <w:sz w:val="16"/>
              </w:rPr>
              <w:t>Oslo / New York</w:t>
            </w:r>
          </w:p>
        </w:tc>
        <w:tc>
          <w:tcPr>
            <w:tcW w:type="dxa" w:w="3082"/>
          </w:tcPr>
          <w:p>
            <w:pPr>
              <w:spacing w:after="20"/>
            </w:pPr>
            <w:r>
              <w:rPr>
                <w:color w:val="1C3A36"/>
                <w:sz w:val="16"/>
              </w:rPr>
              <w:t>a large listed spot crude tanker owner — the right frame for the merchant fleet</w:t>
            </w:r>
          </w:p>
        </w:tc>
        <w:tc>
          <w:tcPr>
            <w:tcW w:type="dxa" w:w="3082"/>
          </w:tcPr>
          <w:p>
            <w:pPr>
              <w:spacing w:after="20"/>
            </w:pPr>
            <w:r>
              <w:rPr>
                <w:color w:val="1C3A36"/>
                <w:sz w:val="16"/>
              </w:rPr>
              <w:t>no contracted revenue, a different tax and domicile structure, and a shareholder base that trades it as a rate proxy</w:t>
            </w:r>
          </w:p>
        </w:tc>
      </w:tr>
      <w:tr>
        <w:trPr>
          <w:cantSplit/>
        </w:trPr>
        <w:tc>
          <w:tcPr>
            <w:tcW w:type="dxa" w:w="2333"/>
          </w:tcPr>
          <w:p>
            <w:pPr>
              <w:spacing w:after="20"/>
            </w:pPr>
            <w:r>
              <w:rPr>
                <w:color w:val="1C3A36"/>
                <w:sz w:val="16"/>
              </w:rPr>
              <w:t>International Seaways</w:t>
            </w:r>
          </w:p>
        </w:tc>
        <w:tc>
          <w:tcPr>
            <w:tcW w:type="dxa" w:w="1584"/>
          </w:tcPr>
          <w:p>
            <w:pPr>
              <w:spacing w:after="20"/>
            </w:pPr>
            <w:r>
              <w:rPr>
                <w:color w:val="1C3A36"/>
                <w:sz w:val="16"/>
              </w:rPr>
              <w:t>New York</w:t>
            </w:r>
          </w:p>
        </w:tc>
        <w:tc>
          <w:tcPr>
            <w:tcW w:type="dxa" w:w="3082"/>
          </w:tcPr>
          <w:p>
            <w:pPr>
              <w:spacing w:after="20"/>
            </w:pPr>
            <w:r>
              <w:rPr>
                <w:color w:val="1C3A36"/>
                <w:sz w:val="16"/>
              </w:rPr>
              <w:t>a second listed spot crude and product tanker owner, used with the first to average away single-company effects</w:t>
            </w:r>
          </w:p>
        </w:tc>
        <w:tc>
          <w:tcPr>
            <w:tcW w:type="dxa" w:w="3082"/>
          </w:tcPr>
          <w:p>
            <w:pPr>
              <w:spacing w:after="20"/>
            </w:pPr>
            <w:r>
              <w:rPr>
                <w:color w:val="1C3A36"/>
                <w:sz w:val="16"/>
              </w:rPr>
              <w:t>fewer published measures; only the enterprise multiple is used from it</w:t>
            </w:r>
          </w:p>
        </w:tc>
      </w:tr>
      <w:tr>
        <w:trPr>
          <w:cantSplit/>
        </w:trPr>
        <w:tc>
          <w:tcPr>
            <w:tcW w:type="dxa" w:w="2333"/>
          </w:tcPr>
          <w:p>
            <w:pPr>
              <w:spacing w:after="20"/>
            </w:pPr>
            <w:r>
              <w:rPr>
                <w:color w:val="1C3A36"/>
                <w:sz w:val="16"/>
              </w:rPr>
              <w:t>Offshore support and contracting names</w:t>
            </w:r>
          </w:p>
        </w:tc>
        <w:tc>
          <w:tcPr>
            <w:tcW w:type="dxa" w:w="1584"/>
          </w:tcPr>
          <w:p>
            <w:pPr>
              <w:spacing w:after="20"/>
            </w:pPr>
            <w:r>
              <w:rPr>
                <w:color w:val="1C3A36"/>
                <w:sz w:val="16"/>
              </w:rPr>
              <w:t>Gulf and international</w:t>
            </w:r>
          </w:p>
        </w:tc>
        <w:tc>
          <w:tcPr>
            <w:tcW w:type="dxa" w:w="3082"/>
          </w:tcPr>
          <w:p>
            <w:pPr>
              <w:spacing w:after="20"/>
            </w:pPr>
            <w:r>
              <w:rPr>
                <w:color w:val="1C3A36"/>
                <w:sz w:val="16"/>
              </w:rPr>
              <w:t>the right frame for Integrated Logistics, which is the largest earner</w:t>
            </w:r>
          </w:p>
        </w:tc>
        <w:tc>
          <w:tcPr>
            <w:tcW w:type="dxa" w:w="3082"/>
          </w:tcPr>
          <w:p>
            <w:pPr>
              <w:spacing w:after="20"/>
            </w:pPr>
            <w:r>
              <w:rPr>
                <w:color w:val="1C3A36"/>
                <w:sz w:val="16"/>
              </w:rPr>
              <w:t>no listed comparator combines offshore contracting with a national oil company parent as customer and shareholder; the contracted multiple is used for this leg instead</w:t>
            </w:r>
          </w:p>
        </w:tc>
      </w:tr>
    </w:tbl>
    <w:p>
      <w:pPr>
        <w:spacing w:after="40"/>
      </w:pPr>
    </w:p>
    <w:p>
      <w:pPr>
        <w:spacing w:after="120" w:before="0"/>
      </w:pPr>
      <w:r>
        <w:rPr>
          <w:b w:val="0"/>
          <w:i w:val="0"/>
          <w:color w:val="1C3A36"/>
          <w:sz w:val="21"/>
        </w:rPr>
        <w:t>The absence of a single clean comparable is itself a finding, and it is the reason the relative lens is constructed as a blend and cross-checked by the sum of the parts in section 1.3 rather than taken from one peer. Note what the comparators themselves say: the contracted shipowner trades at 12.26× enterprise value to earnings and the spot owners at 8.53× — a gap of 3.7 turns that exists for exactly the reason this study spends section 1.7 on. The market prices contracted marine earnings and spot marine earnings as different assets, and so does this study.</w:t>
      </w: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3960"/>
        <w:gridCol w:w="3528"/>
      </w:tblGrid>
      <w:tr>
        <w:trPr>
          <w:cantSplit/>
          <w:tblHeader/>
        </w:trPr>
        <w:tc>
          <w:tcPr>
            <w:tcW w:type="dxa" w:w="2592"/>
            <w:shd w:val="clear" w:color="auto" w:fill="EAF0EE"/>
          </w:tcPr>
          <w:p>
            <w:pPr>
              <w:spacing w:after="20"/>
            </w:pPr>
            <w:r>
              <w:rPr>
                <w:b/>
                <w:color w:val="1C3A36"/>
                <w:sz w:val="16"/>
              </w:rPr>
              <w:t>Risk</w:t>
            </w:r>
          </w:p>
        </w:tc>
        <w:tc>
          <w:tcPr>
            <w:tcW w:type="dxa" w:w="3960"/>
            <w:shd w:val="clear" w:color="auto" w:fill="EAF0EE"/>
          </w:tcPr>
          <w:p>
            <w:pPr>
              <w:spacing w:after="20"/>
            </w:pPr>
            <w:r>
              <w:rPr>
                <w:b/>
                <w:color w:val="1C3A36"/>
                <w:sz w:val="16"/>
              </w:rPr>
              <w:t>Mechanism</w:t>
            </w:r>
          </w:p>
        </w:tc>
        <w:tc>
          <w:tcPr>
            <w:tcW w:type="dxa" w:w="3528"/>
            <w:shd w:val="clear" w:color="auto" w:fill="EAF0EE"/>
          </w:tcPr>
          <w:p>
            <w:pPr>
              <w:spacing w:after="20"/>
            </w:pPr>
            <w:r>
              <w:rPr>
                <w:b/>
                <w:color w:val="1C3A36"/>
                <w:sz w:val="16"/>
              </w:rPr>
              <w:t>Rough valuation impact</w:t>
            </w:r>
          </w:p>
        </w:tc>
      </w:tr>
      <w:tr>
        <w:trPr>
          <w:cantSplit/>
        </w:trPr>
        <w:tc>
          <w:tcPr>
            <w:tcW w:type="dxa" w:w="2592"/>
          </w:tcPr>
          <w:p>
            <w:pPr>
              <w:spacing w:after="20"/>
            </w:pPr>
            <w:r>
              <w:rPr>
                <w:color w:val="1C3A36"/>
                <w:sz w:val="16"/>
              </w:rPr>
              <w:t>The rate cycle turning faster than assumed</w:t>
            </w:r>
          </w:p>
        </w:tc>
        <w:tc>
          <w:tcPr>
            <w:tcW w:type="dxa" w:w="3960"/>
          </w:tcPr>
          <w:p>
            <w:pPr>
              <w:spacing w:after="20"/>
            </w:pPr>
            <w:r>
              <w:rPr>
                <w:color w:val="1C3A36"/>
                <w:sz w:val="16"/>
              </w:rPr>
              <w:t>the base case glides to the mid-cycle anchor over four years; a faster reversion compresses the explicit years and the terminal return on capital together</w:t>
            </w:r>
          </w:p>
        </w:tc>
        <w:tc>
          <w:tcPr>
            <w:tcW w:type="dxa" w:w="3528"/>
          </w:tcPr>
          <w:p>
            <w:pPr>
              <w:spacing w:after="20"/>
            </w:pPr>
            <w:r>
              <w:rPr>
                <w:color w:val="1C3A36"/>
                <w:sz w:val="16"/>
              </w:rPr>
              <w:t>the rate-anchor row spans AED 1.81 a share</w:t>
            </w:r>
          </w:p>
        </w:tc>
      </w:tr>
      <w:tr>
        <w:trPr>
          <w:cantSplit/>
        </w:trPr>
        <w:tc>
          <w:tcPr>
            <w:tcW w:type="dxa" w:w="2592"/>
          </w:tcPr>
          <w:p>
            <w:pPr>
              <w:spacing w:after="20"/>
            </w:pPr>
            <w:r>
              <w:rPr>
                <w:color w:val="1C3A36"/>
                <w:sz w:val="16"/>
              </w:rPr>
              <w:t>How the market is measured in the beta</w:t>
            </w:r>
          </w:p>
        </w:tc>
        <w:tc>
          <w:tcPr>
            <w:tcW w:type="dxa" w:w="3960"/>
          </w:tcPr>
          <w:p>
            <w:pPr>
              <w:spacing w:after="20"/>
            </w:pPr>
            <w:r>
              <w:rPr>
                <w:color w:val="1C3A36"/>
                <w:sz w:val="16"/>
              </w:rPr>
              <w:t>the published index of the share’s own exchange against an equal-weight composite of the same exchange’s names</w:t>
            </w:r>
          </w:p>
        </w:tc>
        <w:tc>
          <w:tcPr>
            <w:tcW w:type="dxa" w:w="3528"/>
          </w:tcPr>
          <w:p>
            <w:pPr>
              <w:spacing w:after="20"/>
            </w:pPr>
            <w:r>
              <w:rPr>
                <w:color w:val="1C3A36"/>
                <w:sz w:val="16"/>
              </w:rPr>
              <w:t>AED 2.56 a share between the two published constructions, and AED 3.89 across the beta range tested in section 1.9 — the widest single sensitivity in the study</w:t>
            </w:r>
          </w:p>
        </w:tc>
      </w:tr>
      <w:tr>
        <w:trPr>
          <w:cantSplit/>
        </w:trPr>
        <w:tc>
          <w:tcPr>
            <w:tcW w:type="dxa" w:w="2592"/>
          </w:tcPr>
          <w:p>
            <w:pPr>
              <w:spacing w:after="20"/>
            </w:pPr>
            <w:r>
              <w:rPr>
                <w:color w:val="1C3A36"/>
                <w:sz w:val="16"/>
              </w:rPr>
              <w:t>Customer and shareholder concentration</w:t>
            </w:r>
          </w:p>
        </w:tc>
        <w:tc>
          <w:tcPr>
            <w:tcW w:type="dxa" w:w="3960"/>
          </w:tcPr>
          <w:p>
            <w:pPr>
              <w:spacing w:after="20"/>
            </w:pPr>
            <w:r>
              <w:rPr>
                <w:color w:val="1C3A36"/>
                <w:sz w:val="16"/>
              </w:rPr>
              <w:t>the parent is both the controlling shareholder and the principal customer; about 53% of 2026E revenue is contracted with it</w:t>
            </w:r>
          </w:p>
        </w:tc>
        <w:tc>
          <w:tcPr>
            <w:tcW w:type="dxa" w:w="3528"/>
          </w:tcPr>
          <w:p>
            <w:pPr>
              <w:spacing w:after="20"/>
            </w:pPr>
            <w:r>
              <w:rPr>
                <w:color w:val="1C3A36"/>
                <w:sz w:val="16"/>
              </w:rPr>
              <w:t>not priced as a separate line. It cuts both ways: it is why the contracted multiple is defensible and why a renegotiation would be severe</w:t>
            </w:r>
          </w:p>
        </w:tc>
      </w:tr>
      <w:tr>
        <w:trPr>
          <w:cantSplit/>
        </w:trPr>
        <w:tc>
          <w:tcPr>
            <w:tcW w:type="dxa" w:w="2592"/>
          </w:tcPr>
          <w:p>
            <w:pPr>
              <w:spacing w:after="20"/>
            </w:pPr>
            <w:r>
              <w:rPr>
                <w:color w:val="1C3A36"/>
                <w:sz w:val="16"/>
              </w:rPr>
              <w:t>Capital intensity</w:t>
            </w:r>
          </w:p>
        </w:tc>
        <w:tc>
          <w:tcPr>
            <w:tcW w:type="dxa" w:w="3960"/>
          </w:tcPr>
          <w:p>
            <w:pPr>
              <w:spacing w:after="20"/>
            </w:pPr>
            <w:r>
              <w:rPr>
                <w:color w:val="1C3A36"/>
                <w:sz w:val="16"/>
              </w:rPr>
              <w:t>USD 3,865 million of capital expenditure over the first three forecast years against cumulative earnings of USD 6,056 million</w:t>
            </w:r>
          </w:p>
        </w:tc>
        <w:tc>
          <w:tcPr>
            <w:tcW w:type="dxa" w:w="3528"/>
          </w:tcPr>
          <w:p>
            <w:pPr>
              <w:spacing w:after="20"/>
            </w:pPr>
            <w:r>
              <w:rPr>
                <w:color w:val="1C3A36"/>
                <w:sz w:val="16"/>
              </w:rPr>
              <w:t>the capital-expenditure row spans AED 1.23 a share</w:t>
            </w:r>
          </w:p>
        </w:tc>
      </w:tr>
      <w:tr>
        <w:trPr>
          <w:cantSplit/>
        </w:trPr>
        <w:tc>
          <w:tcPr>
            <w:tcW w:type="dxa" w:w="2592"/>
          </w:tcPr>
          <w:p>
            <w:pPr>
              <w:spacing w:after="20"/>
            </w:pPr>
            <w:r>
              <w:rPr>
                <w:color w:val="1C3A36"/>
                <w:sz w:val="16"/>
              </w:rPr>
              <w:t>Tax policy</w:t>
            </w:r>
          </w:p>
        </w:tc>
        <w:tc>
          <w:tcPr>
            <w:tcW w:type="dxa" w:w="3960"/>
          </w:tcPr>
          <w:p>
            <w:pPr>
              <w:spacing w:after="20"/>
            </w:pPr>
            <w:r>
              <w:rPr>
                <w:color w:val="1C3A36"/>
                <w:sz w:val="16"/>
              </w:rPr>
              <w:t>international shipping relief withdrawn or narrowed under the minimum top-up rules</w:t>
            </w:r>
          </w:p>
        </w:tc>
        <w:tc>
          <w:tcPr>
            <w:tcW w:type="dxa" w:w="3528"/>
          </w:tcPr>
          <w:p>
            <w:pPr>
              <w:spacing w:after="20"/>
            </w:pPr>
            <w:r>
              <w:rPr>
                <w:color w:val="1C3A36"/>
                <w:sz w:val="16"/>
              </w:rPr>
              <w:t>AED 1.02 a share at a uniform 15%</w:t>
            </w:r>
          </w:p>
        </w:tc>
      </w:tr>
      <w:tr>
        <w:trPr>
          <w:cantSplit/>
        </w:trPr>
        <w:tc>
          <w:tcPr>
            <w:tcW w:type="dxa" w:w="2592"/>
          </w:tcPr>
          <w:p>
            <w:pPr>
              <w:spacing w:after="20"/>
            </w:pPr>
            <w:r>
              <w:rPr>
                <w:color w:val="1C3A36"/>
                <w:sz w:val="16"/>
              </w:rPr>
              <w:t>The perpetual capital securities</w:t>
            </w:r>
          </w:p>
        </w:tc>
        <w:tc>
          <w:tcPr>
            <w:tcW w:type="dxa" w:w="3960"/>
          </w:tcPr>
          <w:p>
            <w:pPr>
              <w:spacing w:after="20"/>
            </w:pPr>
            <w:r>
              <w:rPr>
                <w:color w:val="1C3A36"/>
                <w:sz w:val="16"/>
              </w:rPr>
              <w:t>they rank ahead of the ordinary shares and their treatment in the bridge is a judgement</w:t>
            </w:r>
          </w:p>
        </w:tc>
        <w:tc>
          <w:tcPr>
            <w:tcW w:type="dxa" w:w="3528"/>
          </w:tcPr>
          <w:p>
            <w:pPr>
              <w:spacing w:after="20"/>
            </w:pPr>
            <w:r>
              <w:rPr>
                <w:color w:val="1C3A36"/>
                <w:sz w:val="16"/>
              </w:rPr>
              <w:t>AED 0.36 a share between the two treatments</w:t>
            </w:r>
          </w:p>
        </w:tc>
      </w:tr>
      <w:tr>
        <w:trPr>
          <w:cantSplit/>
        </w:trPr>
        <w:tc>
          <w:tcPr>
            <w:tcW w:type="dxa" w:w="2592"/>
          </w:tcPr>
          <w:p>
            <w:pPr>
              <w:spacing w:after="20"/>
            </w:pPr>
            <w:r>
              <w:rPr>
                <w:color w:val="1C3A36"/>
                <w:sz w:val="16"/>
              </w:rPr>
              <w:t>Vessel values</w:t>
            </w:r>
          </w:p>
        </w:tc>
        <w:tc>
          <w:tcPr>
            <w:tcW w:type="dxa" w:w="3960"/>
          </w:tcPr>
          <w:p>
            <w:pPr>
              <w:spacing w:after="20"/>
            </w:pPr>
            <w:r>
              <w:rPr>
                <w:color w:val="1C3A36"/>
                <w:sz w:val="16"/>
              </w:rPr>
              <w:t>no independent broker valuation of the fleet is available, so the asset lens rests on carrying value</w:t>
            </w:r>
          </w:p>
        </w:tc>
        <w:tc>
          <w:tcPr>
            <w:tcW w:type="dxa" w:w="3528"/>
          </w:tcPr>
          <w:p>
            <w:pPr>
              <w:spacing w:after="20"/>
            </w:pPr>
            <w:r>
              <w:rPr>
                <w:color w:val="1C3A36"/>
                <w:sz w:val="16"/>
              </w:rPr>
              <w:t>one realised sale at 1.34× book suggests the bias is conservative; the size of it is unmeasured</w:t>
            </w:r>
          </w:p>
        </w:tc>
      </w:tr>
      <w:tr>
        <w:trPr>
          <w:cantSplit/>
        </w:trPr>
        <w:tc>
          <w:tcPr>
            <w:tcW w:type="dxa" w:w="2592"/>
          </w:tcPr>
          <w:p>
            <w:pPr>
              <w:spacing w:after="20"/>
            </w:pPr>
            <w:r>
              <w:rPr>
                <w:color w:val="1C3A36"/>
                <w:sz w:val="16"/>
              </w:rPr>
              <w:t>Short price history</w:t>
            </w:r>
          </w:p>
        </w:tc>
        <w:tc>
          <w:tcPr>
            <w:tcW w:type="dxa" w:w="3960"/>
          </w:tcPr>
          <w:p>
            <w:pPr>
              <w:spacing w:after="20"/>
            </w:pPr>
            <w:r>
              <w:rPr>
                <w:color w:val="1C3A36"/>
                <w:sz w:val="16"/>
              </w:rPr>
              <w:t>3.2 years of listed history constrains both the beta and the testing of the price map</w:t>
            </w:r>
          </w:p>
        </w:tc>
        <w:tc>
          <w:tcPr>
            <w:tcW w:type="dxa" w:w="3528"/>
          </w:tcPr>
          <w:p>
            <w:pPr>
              <w:spacing w:after="20"/>
            </w:pPr>
            <w:r>
              <w:rPr>
                <w:color w:val="1C3A36"/>
                <w:sz w:val="16"/>
              </w:rPr>
              <w:t>addressed by corroborating the beta three ways and by resting the price map on the wider market panel</w:t>
            </w:r>
          </w:p>
        </w:tc>
      </w:tr>
    </w:tbl>
    <w:p>
      <w:pPr>
        <w:spacing w:after="40"/>
      </w:pPr>
    </w:p>
    <w:p>
      <w:pPr>
        <w:keepNext/>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backdrop, the country, the industry and the company itself. Company figures come only from the company's own issued statements and disclosures; no data vendor, broker or press report is used as the source of any reported historical figure. The full input-by-input register, with a value, a source, a date and a research layer for each of the several hundred inputs behind this study, is published as a separate document accompanying it. The primary documents are listed below, followed by the negative results — the things that could not be obtained, which shaped what could and could not be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224"/>
        <w:gridCol w:w="5544"/>
      </w:tblGrid>
      <w:tr>
        <w:trPr>
          <w:cantSplit/>
          <w:tblHeader/>
        </w:trPr>
        <w:tc>
          <w:tcPr>
            <w:tcW w:type="dxa" w:w="3312"/>
            <w:shd w:val="clear" w:color="auto" w:fill="EAF0EE"/>
          </w:tcPr>
          <w:p>
            <w:pPr>
              <w:spacing w:after="20"/>
            </w:pPr>
            <w:r>
              <w:rPr>
                <w:b/>
                <w:color w:val="1C3A36"/>
                <w:sz w:val="16"/>
              </w:rPr>
              <w:t>Source</w:t>
            </w:r>
          </w:p>
        </w:tc>
        <w:tc>
          <w:tcPr>
            <w:tcW w:type="dxa" w:w="1224"/>
            <w:shd w:val="clear" w:color="auto" w:fill="EAF0EE"/>
          </w:tcPr>
          <w:p>
            <w:pPr>
              <w:spacing w:after="20"/>
            </w:pPr>
            <w:r>
              <w:rPr>
                <w:b/>
                <w:color w:val="1C3A36"/>
                <w:sz w:val="16"/>
              </w:rPr>
              <w:t>Layer</w:t>
            </w:r>
          </w:p>
        </w:tc>
        <w:tc>
          <w:tcPr>
            <w:tcW w:type="dxa" w:w="5544"/>
            <w:shd w:val="clear" w:color="auto" w:fill="EAF0EE"/>
          </w:tcPr>
          <w:p>
            <w:pPr>
              <w:spacing w:after="20"/>
            </w:pPr>
            <w:r>
              <w:rPr>
                <w:b/>
                <w:color w:val="1C3A36"/>
                <w:sz w:val="16"/>
              </w:rPr>
              <w:t>What it provided</w:t>
            </w:r>
          </w:p>
        </w:tc>
      </w:tr>
      <w:tr>
        <w:trPr>
          <w:cantSplit/>
        </w:trPr>
        <w:tc>
          <w:tcPr>
            <w:tcW w:type="dxa" w:w="3312"/>
          </w:tcPr>
          <w:p>
            <w:pPr>
              <w:spacing w:after="20"/>
            </w:pPr>
            <w:r>
              <w:rPr>
                <w:color w:val="1C3A36"/>
                <w:sz w:val="16"/>
              </w:rPr>
              <w:t>Audited consolidated financial statements, four fiscal years to FY2025</w:t>
            </w:r>
          </w:p>
        </w:tc>
        <w:tc>
          <w:tcPr>
            <w:tcW w:type="dxa" w:w="1224"/>
          </w:tcPr>
          <w:p>
            <w:pPr>
              <w:spacing w:after="20"/>
            </w:pPr>
            <w:r>
              <w:rPr>
                <w:color w:val="1C3A36"/>
                <w:sz w:val="16"/>
              </w:rPr>
              <w:t>Company</w:t>
            </w:r>
          </w:p>
        </w:tc>
        <w:tc>
          <w:tcPr>
            <w:tcW w:type="dxa" w:w="5544"/>
          </w:tcPr>
          <w:p>
            <w:pPr>
              <w:spacing w:after="20"/>
            </w:pPr>
            <w:r>
              <w:rPr>
                <w:color w:val="1C3A36"/>
                <w:sz w:val="16"/>
              </w:rPr>
              <w:t>the whole of the reported income statement, balance sheet and cash flow, the operating segments note, the revenue-by-product note, the cost-line note, the borrowings and interest-rate notes and the share capital note</w:t>
            </w:r>
          </w:p>
        </w:tc>
      </w:tr>
      <w:tr>
        <w:trPr>
          <w:cantSplit/>
        </w:trPr>
        <w:tc>
          <w:tcPr>
            <w:tcW w:type="dxa" w:w="3312"/>
          </w:tcPr>
          <w:p>
            <w:pPr>
              <w:spacing w:after="20"/>
            </w:pPr>
            <w:r>
              <w:rPr>
                <w:color w:val="1C3A36"/>
                <w:sz w:val="16"/>
              </w:rPr>
              <w:t>Reviewed condensed interim financial information, three months to 31 March 2026</w:t>
            </w:r>
          </w:p>
        </w:tc>
        <w:tc>
          <w:tcPr>
            <w:tcW w:type="dxa" w:w="1224"/>
          </w:tcPr>
          <w:p>
            <w:pPr>
              <w:spacing w:after="20"/>
            </w:pPr>
            <w:r>
              <w:rPr>
                <w:color w:val="1C3A36"/>
                <w:sz w:val="16"/>
              </w:rPr>
              <w:t>Company</w:t>
            </w:r>
          </w:p>
        </w:tc>
        <w:tc>
          <w:tcPr>
            <w:tcW w:type="dxa" w:w="5544"/>
          </w:tcPr>
          <w:p>
            <w:pPr>
              <w:spacing w:after="20"/>
            </w:pPr>
            <w:r>
              <w:rPr>
                <w:color w:val="1C3A36"/>
                <w:sz w:val="16"/>
              </w:rPr>
              <w:t>the balance sheet the valuation is built on, the perpetual securities note, the related-party facilities and the first-quarter segment result</w:t>
            </w:r>
          </w:p>
        </w:tc>
      </w:tr>
      <w:tr>
        <w:trPr>
          <w:cantSplit/>
        </w:trPr>
        <w:tc>
          <w:tcPr>
            <w:tcW w:type="dxa" w:w="3312"/>
          </w:tcPr>
          <w:p>
            <w:pPr>
              <w:spacing w:after="20"/>
            </w:pPr>
            <w:r>
              <w:rPr>
                <w:color w:val="1C3A36"/>
                <w:sz w:val="16"/>
              </w:rPr>
              <w:t>Management discussion and analysis, FY2024, FY2025 and the first quarter of 2026</w:t>
            </w:r>
          </w:p>
        </w:tc>
        <w:tc>
          <w:tcPr>
            <w:tcW w:type="dxa" w:w="1224"/>
          </w:tcPr>
          <w:p>
            <w:pPr>
              <w:spacing w:after="20"/>
            </w:pPr>
            <w:r>
              <w:rPr>
                <w:color w:val="1C3A36"/>
                <w:sz w:val="16"/>
              </w:rPr>
              <w:t>Company</w:t>
            </w:r>
          </w:p>
        </w:tc>
        <w:tc>
          <w:tcPr>
            <w:tcW w:type="dxa" w:w="5544"/>
          </w:tcPr>
          <w:p>
            <w:pPr>
              <w:spacing w:after="20"/>
            </w:pPr>
            <w:r>
              <w:rPr>
                <w:color w:val="1C3A36"/>
                <w:sz w:val="16"/>
              </w:rPr>
              <w:t>net debt on the company’s own definition, first-quarter free cash flow, the distribution policy and the medium-term leverage target</w:t>
            </w:r>
          </w:p>
        </w:tc>
      </w:tr>
      <w:tr>
        <w:trPr>
          <w:cantSplit/>
        </w:trPr>
        <w:tc>
          <w:tcPr>
            <w:tcW w:type="dxa" w:w="3312"/>
          </w:tcPr>
          <w:p>
            <w:pPr>
              <w:spacing w:after="20"/>
            </w:pPr>
            <w:r>
              <w:rPr>
                <w:color w:val="1C3A36"/>
                <w:sz w:val="16"/>
              </w:rPr>
              <w:t>Investor presentations, FY2025 and April 2026</w:t>
            </w:r>
          </w:p>
        </w:tc>
        <w:tc>
          <w:tcPr>
            <w:tcW w:type="dxa" w:w="1224"/>
          </w:tcPr>
          <w:p>
            <w:pPr>
              <w:spacing w:after="20"/>
            </w:pPr>
            <w:r>
              <w:rPr>
                <w:color w:val="1C3A36"/>
                <w:sz w:val="16"/>
              </w:rPr>
              <w:t>Company</w:t>
            </w:r>
          </w:p>
        </w:tc>
        <w:tc>
          <w:tcPr>
            <w:tcW w:type="dxa" w:w="5544"/>
          </w:tcPr>
          <w:p>
            <w:pPr>
              <w:spacing w:after="20"/>
            </w:pPr>
            <w:r>
              <w:rPr>
                <w:color w:val="1C3A36"/>
                <w:sz w:val="16"/>
              </w:rPr>
              <w:t>the fleet tables, time-charter equivalent by vessel class by quarter, charters out, gas contract vessel-years, contracted revenue, the spot-exposure disclosure and the earnings sensitivity to a change of USD 1,000 a day</w:t>
            </w:r>
          </w:p>
        </w:tc>
      </w:tr>
      <w:tr>
        <w:trPr>
          <w:cantSplit/>
        </w:trPr>
        <w:tc>
          <w:tcPr>
            <w:tcW w:type="dxa" w:w="3312"/>
          </w:tcPr>
          <w:p>
            <w:pPr>
              <w:spacing w:after="20"/>
            </w:pPr>
            <w:r>
              <w:rPr>
                <w:color w:val="1C3A36"/>
                <w:sz w:val="16"/>
              </w:rPr>
              <w:t>Earnings call transcripts, FY2025 and the first quarter of 2026</w:t>
            </w:r>
          </w:p>
        </w:tc>
        <w:tc>
          <w:tcPr>
            <w:tcW w:type="dxa" w:w="1224"/>
          </w:tcPr>
          <w:p>
            <w:pPr>
              <w:spacing w:after="20"/>
            </w:pPr>
            <w:r>
              <w:rPr>
                <w:color w:val="1C3A36"/>
                <w:sz w:val="16"/>
              </w:rPr>
              <w:t>Company</w:t>
            </w:r>
          </w:p>
        </w:tc>
        <w:tc>
          <w:tcPr>
            <w:tcW w:type="dxa" w:w="5544"/>
          </w:tcPr>
          <w:p>
            <w:pPr>
              <w:spacing w:after="20"/>
            </w:pPr>
            <w:r>
              <w:rPr>
                <w:color w:val="1C3A36"/>
                <w:sz w:val="16"/>
              </w:rPr>
              <w:t>the first-quarter rates achieved and the second-quarter indication that section 1.7 turns on, and the guidance basis quoted in section 1.6</w:t>
            </w:r>
          </w:p>
        </w:tc>
      </w:tr>
      <w:tr>
        <w:trPr>
          <w:cantSplit/>
        </w:trPr>
        <w:tc>
          <w:tcPr>
            <w:tcW w:type="dxa" w:w="3312"/>
          </w:tcPr>
          <w:p>
            <w:pPr>
              <w:spacing w:after="20"/>
            </w:pPr>
            <w:r>
              <w:rPr>
                <w:color w:val="1C3A36"/>
                <w:sz w:val="16"/>
              </w:rPr>
              <w:t>Related-party transactions report, FY2025</w:t>
            </w:r>
          </w:p>
        </w:tc>
        <w:tc>
          <w:tcPr>
            <w:tcW w:type="dxa" w:w="1224"/>
          </w:tcPr>
          <w:p>
            <w:pPr>
              <w:spacing w:after="20"/>
            </w:pPr>
            <w:r>
              <w:rPr>
                <w:color w:val="1C3A36"/>
                <w:sz w:val="16"/>
              </w:rPr>
              <w:t>Company</w:t>
            </w:r>
          </w:p>
        </w:tc>
        <w:tc>
          <w:tcPr>
            <w:tcW w:type="dxa" w:w="5544"/>
          </w:tcPr>
          <w:p>
            <w:pPr>
              <w:spacing w:after="20"/>
            </w:pPr>
            <w:r>
              <w:rPr>
                <w:color w:val="1C3A36"/>
                <w:sz w:val="16"/>
              </w:rPr>
              <w:t>the scale and pricing of the parent relationship</w:t>
            </w:r>
          </w:p>
        </w:tc>
      </w:tr>
      <w:tr>
        <w:trPr>
          <w:cantSplit/>
        </w:trPr>
        <w:tc>
          <w:tcPr>
            <w:tcW w:type="dxa" w:w="3312"/>
          </w:tcPr>
          <w:p>
            <w:pPr>
              <w:spacing w:after="20"/>
            </w:pPr>
            <w:r>
              <w:rPr>
                <w:color w:val="1C3A36"/>
                <w:sz w:val="16"/>
              </w:rPr>
              <w:t>Published country-risk file, January 2026</w:t>
            </w:r>
          </w:p>
        </w:tc>
        <w:tc>
          <w:tcPr>
            <w:tcW w:type="dxa" w:w="1224"/>
          </w:tcPr>
          <w:p>
            <w:pPr>
              <w:spacing w:after="20"/>
            </w:pPr>
            <w:r>
              <w:rPr>
                <w:color w:val="1C3A36"/>
                <w:sz w:val="16"/>
              </w:rPr>
              <w:t>Country</w:t>
            </w:r>
          </w:p>
        </w:tc>
        <w:tc>
          <w:tcPr>
            <w:tcW w:type="dxa" w:w="5544"/>
          </w:tcPr>
          <w:p>
            <w:pPr>
              <w:spacing w:after="20"/>
            </w:pPr>
            <w:r>
              <w:rPr>
                <w:color w:val="1C3A36"/>
                <w:sz w:val="16"/>
              </w:rPr>
              <w:t>the UAE equity risk premium, country premium and sovereign default spread</w:t>
            </w:r>
          </w:p>
        </w:tc>
      </w:tr>
      <w:tr>
        <w:trPr>
          <w:cantSplit/>
        </w:trPr>
        <w:tc>
          <w:tcPr>
            <w:tcW w:type="dxa" w:w="3312"/>
          </w:tcPr>
          <w:p>
            <w:pPr>
              <w:spacing w:after="20"/>
            </w:pPr>
            <w:r>
              <w:rPr>
                <w:color w:val="1C3A36"/>
                <w:sz w:val="16"/>
              </w:rPr>
              <w:t>Central bank policy record and government bond auction results</w:t>
            </w:r>
          </w:p>
        </w:tc>
        <w:tc>
          <w:tcPr>
            <w:tcW w:type="dxa" w:w="1224"/>
          </w:tcPr>
          <w:p>
            <w:pPr>
              <w:spacing w:after="20"/>
            </w:pPr>
            <w:r>
              <w:rPr>
                <w:color w:val="1C3A36"/>
                <w:sz w:val="16"/>
              </w:rPr>
              <w:t>Country</w:t>
            </w:r>
          </w:p>
        </w:tc>
        <w:tc>
          <w:tcPr>
            <w:tcW w:type="dxa" w:w="5544"/>
          </w:tcPr>
          <w:p>
            <w:pPr>
              <w:spacing w:after="20"/>
            </w:pPr>
            <w:r>
              <w:rPr>
                <w:color w:val="1C3A36"/>
                <w:sz w:val="16"/>
              </w:rPr>
              <w:t>the base rate, its last change, and the dirham government bond yield used as the risk-free rate</w:t>
            </w:r>
          </w:p>
        </w:tc>
      </w:tr>
      <w:tr>
        <w:trPr>
          <w:cantSplit/>
        </w:trPr>
        <w:tc>
          <w:tcPr>
            <w:tcW w:type="dxa" w:w="3312"/>
          </w:tcPr>
          <w:p>
            <w:pPr>
              <w:spacing w:after="20"/>
            </w:pPr>
            <w:r>
              <w:rPr>
                <w:color w:val="1C3A36"/>
                <w:sz w:val="16"/>
              </w:rPr>
              <w:t>Listed peer statistics pages</w:t>
            </w:r>
          </w:p>
        </w:tc>
        <w:tc>
          <w:tcPr>
            <w:tcW w:type="dxa" w:w="1224"/>
          </w:tcPr>
          <w:p>
            <w:pPr>
              <w:spacing w:after="20"/>
            </w:pPr>
            <w:r>
              <w:rPr>
                <w:color w:val="1C3A36"/>
                <w:sz w:val="16"/>
              </w:rPr>
              <w:t>Industry</w:t>
            </w:r>
          </w:p>
        </w:tc>
        <w:tc>
          <w:tcPr>
            <w:tcW w:type="dxa" w:w="5544"/>
          </w:tcPr>
          <w:p>
            <w:pPr>
              <w:spacing w:after="20"/>
            </w:pPr>
            <w:r>
              <w:rPr>
                <w:color w:val="1C3A36"/>
                <w:sz w:val="16"/>
              </w:rPr>
              <w:t>the three comparator multiples used in the relative lens, each dated</w:t>
            </w:r>
          </w:p>
        </w:tc>
      </w:tr>
      <w:tr>
        <w:trPr>
          <w:cantSplit/>
        </w:trPr>
        <w:tc>
          <w:tcPr>
            <w:tcW w:type="dxa" w:w="3312"/>
          </w:tcPr>
          <w:p>
            <w:pPr>
              <w:spacing w:after="20"/>
            </w:pPr>
            <w:r>
              <w:rPr>
                <w:color w:val="1C3A36"/>
                <w:sz w:val="16"/>
              </w:rPr>
              <w:t>Trade coverage of the tanker market</w:t>
            </w:r>
          </w:p>
        </w:tc>
        <w:tc>
          <w:tcPr>
            <w:tcW w:type="dxa" w:w="1224"/>
          </w:tcPr>
          <w:p>
            <w:pPr>
              <w:spacing w:after="20"/>
            </w:pPr>
            <w:r>
              <w:rPr>
                <w:color w:val="1C3A36"/>
                <w:sz w:val="16"/>
              </w:rPr>
              <w:t>Industry</w:t>
            </w:r>
          </w:p>
        </w:tc>
        <w:tc>
          <w:tcPr>
            <w:tcW w:type="dxa" w:w="5544"/>
          </w:tcPr>
          <w:p>
            <w:pPr>
              <w:spacing w:after="20"/>
            </w:pPr>
            <w:r>
              <w:rPr>
                <w:color w:val="1C3A36"/>
                <w:sz w:val="16"/>
              </w:rPr>
              <w:t>the one-year time-charter fixture and the order book share used as the outside evidence in section 1.7</w:t>
            </w:r>
          </w:p>
        </w:tc>
      </w:tr>
      <w:tr>
        <w:trPr>
          <w:cantSplit/>
        </w:trPr>
        <w:tc>
          <w:tcPr>
            <w:tcW w:type="dxa" w:w="3312"/>
          </w:tcPr>
          <w:p>
            <w:pPr>
              <w:spacing w:after="20"/>
            </w:pPr>
            <w:r>
              <w:rPr>
                <w:color w:val="1C3A36"/>
                <w:sz w:val="16"/>
              </w:rPr>
              <w:t>Exchange price history for the share and the Abu Dhabi panel</w:t>
            </w:r>
          </w:p>
        </w:tc>
        <w:tc>
          <w:tcPr>
            <w:tcW w:type="dxa" w:w="1224"/>
          </w:tcPr>
          <w:p>
            <w:pPr>
              <w:spacing w:after="20"/>
            </w:pPr>
            <w:r>
              <w:rPr>
                <w:color w:val="1C3A36"/>
                <w:sz w:val="16"/>
              </w:rPr>
              <w:t>Market</w:t>
            </w:r>
          </w:p>
        </w:tc>
        <w:tc>
          <w:tcPr>
            <w:tcW w:type="dxa" w:w="5544"/>
          </w:tcPr>
          <w:p>
            <w:pPr>
              <w:spacing w:after="20"/>
            </w:pPr>
            <w:r>
              <w:rPr>
                <w:color w:val="1C3A36"/>
                <w:sz w:val="16"/>
              </w:rPr>
              <w:t>the beta regression, the technical read and the price map</w:t>
            </w:r>
          </w:p>
        </w:tc>
      </w:tr>
    </w:tbl>
    <w:p>
      <w:pPr>
        <w:spacing w:after="40"/>
      </w:pPr>
    </w:p>
    <w:p>
      <w:pPr>
        <w:pStyle w:val="ListBullet"/>
        <w:spacing w:after="60"/>
      </w:pPr>
      <w:r>
        <w:rPr>
          <w:b/>
          <w:color w:val="1C3A36"/>
          <w:sz w:val="21"/>
        </w:rPr>
        <w:t xml:space="preserve">No independent vessel valuations could be obtained. </w:t>
      </w:r>
      <w:r>
        <w:rPr>
          <w:color w:val="1C3A36"/>
          <w:sz w:val="21"/>
        </w:rPr>
        <w:t>The sector-standard net-asset-value lens for a shipowner requires broker valuations of each vessel. None were reachable from this research environment. The book-value lens stands in, at the lowest weight of the four, and the single realised vessel sale disclosed by the company is the only direct evidence on the gap.</w:t>
      </w:r>
    </w:p>
    <w:p>
      <w:pPr>
        <w:pStyle w:val="ListBullet"/>
        <w:spacing w:after="60"/>
      </w:pPr>
      <w:r>
        <w:rPr>
          <w:b/>
          <w:color w:val="1C3A36"/>
          <w:sz w:val="21"/>
        </w:rPr>
        <w:t xml:space="preserve">Per-vessel charter rates are not disclosed for the gas fleet. </w:t>
      </w:r>
      <w:r>
        <w:rPr>
          <w:color w:val="1C3A36"/>
          <w:sz w:val="21"/>
        </w:rPr>
        <w:t>The company discloses vessel-years by contract but not rates. The day rate of USD 61,573 used here is solved from reported FY2025 revenue over consolidated vessel-years — the finest level the disclosure supports, and labelled as solved throughout.</w:t>
      </w:r>
    </w:p>
    <w:p>
      <w:pPr>
        <w:pStyle w:val="ListBullet"/>
        <w:spacing w:after="60"/>
      </w:pPr>
      <w:r>
        <w:rPr>
          <w:b/>
          <w:color w:val="1C3A36"/>
          <w:sz w:val="21"/>
        </w:rPr>
        <w:t xml:space="preserve">Quarterly rates are not disclosed for every class in every year. </w:t>
      </w:r>
      <w:r>
        <w:rPr>
          <w:color w:val="1C3A36"/>
          <w:sz w:val="21"/>
        </w:rPr>
        <w:t>Medium-range quarterly rates are absent for FY2024 and the handysize class is not broken out at all. The substitutions used are stated in section 1.7 and in the caveats.</w:t>
      </w:r>
    </w:p>
    <w:p>
      <w:pPr>
        <w:pStyle w:val="ListBullet"/>
        <w:spacing w:after="60"/>
      </w:pPr>
      <w:r>
        <w:rPr>
          <w:b/>
          <w:color w:val="1C3A36"/>
          <w:sz w:val="21"/>
        </w:rPr>
        <w:t xml:space="preserve">Vessel-level running costs are not disclosed. </w:t>
      </w:r>
      <w:r>
        <w:rPr>
          <w:color w:val="1C3A36"/>
          <w:sz w:val="21"/>
        </w:rPr>
        <w:t>The USD 9,355 a day used is solved so that the owned fleet's charter-equivalent revenue less running cost reproduces the reported FY2025 result for the unit.</w:t>
      </w:r>
    </w:p>
    <w:p>
      <w:pPr>
        <w:pStyle w:val="ListBullet"/>
        <w:spacing w:after="60"/>
      </w:pPr>
      <w:r>
        <w:rPr>
          <w:b/>
          <w:color w:val="1C3A36"/>
          <w:sz w:val="21"/>
        </w:rPr>
        <w:t xml:space="preserve">The UAE has no sovereign credit-default-swap entry in the country-risk file. </w:t>
      </w:r>
      <w:r>
        <w:rPr>
          <w:color w:val="1C3A36"/>
          <w:sz w:val="21"/>
        </w:rPr>
        <w:t>The alternative premium basis therefore cannot be built for this country, and the study says so rather than omitting the comparison silently. Gulf comparators that carry both bases show a gap of roughly seventy basis points between them, which is the scale of construction uncertainty a reader should attach to the single available figure.</w:t>
      </w:r>
    </w:p>
    <w:p>
      <w:pPr>
        <w:spacing w:after="160" w:before="0"/>
      </w:pPr>
      <w:r>
        <w:rPr>
          <w:b w:val="0"/>
          <w:i w:val="0"/>
          <w:color w:val="1C3A36"/>
          <w:sz w:val="21"/>
        </w:rPr>
      </w:r>
    </w:p>
    <w:p>
      <w:pPr>
        <w:keepNext/>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in advance what would prove the method wrong. They are not asked to agree and they do not. All three work from the same unit build and the same balance sheet; what differs is what each one thinks a share of this company is a claim on.</w:t>
      </w:r>
    </w:p>
    <w:p>
      <w:pPr>
        <w:keepNext/>
        <w:spacing w:after="80" w:before="200"/>
      </w:pPr>
      <w:r>
        <w:rPr>
          <w:b/>
          <w:i w:val="0"/>
          <w:color w:val="1C3A36"/>
          <w:sz w:val="24"/>
        </w:rPr>
        <w:t>C.1  Expert 1 — mid-cycle earnings power</w:t>
      </w:r>
    </w:p>
    <w:p>
      <w:pPr>
        <w:spacing w:after="120" w:before="0"/>
      </w:pPr>
      <w:r>
        <w:rPr>
          <w:b w:val="0"/>
          <w:i w:val="0"/>
          <w:color w:val="1C3A36"/>
          <w:sz w:val="21"/>
        </w:rPr>
        <w:t>Worldview: a business is worth a multiple of what it earns in a normal year. Cycles average out. Discount-rate models multiply small errors in the rate by very large terminal values and manufacture false precision — and in this particular case the discount-rate argument is unresolved, which is exactly why it should not be allowed to drive the answer. Find the mid-cycle earnings, apply a defensible multiple, stop.</w:t>
      </w:r>
    </w:p>
    <w:p>
      <w:pPr>
        <w:spacing w:after="120" w:before="0"/>
      </w:pPr>
      <w:r>
        <w:rPr>
          <w:b w:val="0"/>
          <w:i w:val="0"/>
          <w:color w:val="1C3A36"/>
          <w:sz w:val="21"/>
        </w:rPr>
        <w:t>When it works: for a business with a long enough record that a mid-cycle can be identified, and where the capital structure is stable. When it fails: when the multiple is imported from a market or a business model with a different cost of capital, and when the mid-cycle is guessed rather than measured. Here the second risk is real — this share has only 3.2 years of listed history and the fleet is in the strongest market in a decade, so the mid-cycle has to come from the forecast rather than from the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Mid-cycle earnings before interest, tax, depreciation and amortisation (USD mn) — the five-year average of the unit build</w:t>
            </w:r>
          </w:p>
        </w:tc>
        <w:tc>
          <w:tcPr>
            <w:tcW w:type="dxa" w:w="3168"/>
          </w:tcPr>
          <w:p>
            <w:pPr>
              <w:spacing w:after="20"/>
              <w:jc w:val="right"/>
            </w:pPr>
            <w:r>
              <w:rPr>
                <w:color w:val="1C3A36"/>
                <w:sz w:val="16"/>
              </w:rPr>
              <w:t>1,989</w:t>
            </w:r>
          </w:p>
        </w:tc>
      </w:tr>
      <w:tr>
        <w:trPr>
          <w:cantSplit/>
        </w:trPr>
        <w:tc>
          <w:tcPr>
            <w:tcW w:type="dxa" w:w="6912"/>
          </w:tcPr>
          <w:p>
            <w:pPr>
              <w:spacing w:after="20"/>
            </w:pPr>
            <w:r>
              <w:rPr>
                <w:color w:val="1C3A36"/>
                <w:sz w:val="16"/>
              </w:rPr>
              <w:t>Less average depreciation and amortisation (USD mn)</w:t>
            </w:r>
          </w:p>
        </w:tc>
        <w:tc>
          <w:tcPr>
            <w:tcW w:type="dxa" w:w="3168"/>
          </w:tcPr>
          <w:p>
            <w:pPr>
              <w:spacing w:after="20"/>
              <w:jc w:val="right"/>
            </w:pPr>
            <w:r>
              <w:rPr>
                <w:color w:val="1C3A36"/>
                <w:sz w:val="16"/>
              </w:rPr>
              <w:t>(620)</w:t>
            </w:r>
          </w:p>
        </w:tc>
      </w:tr>
      <w:tr>
        <w:trPr>
          <w:cantSplit/>
        </w:trPr>
        <w:tc>
          <w:tcPr>
            <w:tcW w:type="dxa" w:w="6912"/>
          </w:tcPr>
          <w:p>
            <w:pPr>
              <w:spacing w:after="20"/>
            </w:pPr>
            <w:r>
              <w:rPr>
                <w:color w:val="1C3A36"/>
                <w:sz w:val="16"/>
              </w:rPr>
              <w:t>Mid-cycle earnings before interest and tax (USD mn)</w:t>
            </w:r>
          </w:p>
        </w:tc>
        <w:tc>
          <w:tcPr>
            <w:tcW w:type="dxa" w:w="3168"/>
          </w:tcPr>
          <w:p>
            <w:pPr>
              <w:spacing w:after="20"/>
              <w:jc w:val="right"/>
            </w:pPr>
            <w:r>
              <w:rPr>
                <w:color w:val="1C3A36"/>
                <w:sz w:val="16"/>
              </w:rPr>
              <w:t>1,368</w:t>
            </w:r>
          </w:p>
        </w:tc>
      </w:tr>
      <w:tr>
        <w:trPr>
          <w:cantSplit/>
        </w:trPr>
        <w:tc>
          <w:tcPr>
            <w:tcW w:type="dxa" w:w="6912"/>
          </w:tcPr>
          <w:p>
            <w:pPr>
              <w:spacing w:after="20"/>
            </w:pPr>
            <w:r>
              <w:rPr>
                <w:color w:val="1C3A36"/>
                <w:sz w:val="16"/>
              </w:rPr>
              <w:t>Less tax at the average unit rate (USD mn)</w:t>
            </w:r>
          </w:p>
        </w:tc>
        <w:tc>
          <w:tcPr>
            <w:tcW w:type="dxa" w:w="3168"/>
          </w:tcPr>
          <w:p>
            <w:pPr>
              <w:spacing w:after="20"/>
              <w:jc w:val="right"/>
            </w:pPr>
            <w:r>
              <w:rPr>
                <w:color w:val="1C3A36"/>
                <w:sz w:val="16"/>
              </w:rPr>
              <w:t>(57)</w:t>
            </w:r>
          </w:p>
        </w:tc>
      </w:tr>
      <w:tr>
        <w:trPr>
          <w:cantSplit/>
        </w:trPr>
        <w:tc>
          <w:tcPr>
            <w:tcW w:type="dxa" w:w="6912"/>
          </w:tcPr>
          <w:p>
            <w:pPr>
              <w:spacing w:after="20"/>
            </w:pPr>
            <w:r>
              <w:rPr>
                <w:color w:val="1C3A36"/>
                <w:sz w:val="16"/>
              </w:rPr>
              <w:t>Less interest on the average gross debt (USD mn)</w:t>
            </w:r>
          </w:p>
        </w:tc>
        <w:tc>
          <w:tcPr>
            <w:tcW w:type="dxa" w:w="3168"/>
          </w:tcPr>
          <w:p>
            <w:pPr>
              <w:spacing w:after="20"/>
              <w:jc w:val="right"/>
            </w:pPr>
            <w:r>
              <w:rPr>
                <w:color w:val="1C3A36"/>
                <w:sz w:val="16"/>
              </w:rPr>
              <w:t>(68)</w:t>
            </w:r>
          </w:p>
        </w:tc>
      </w:tr>
      <w:tr>
        <w:trPr>
          <w:cantSplit/>
        </w:trPr>
        <w:tc>
          <w:tcPr>
            <w:tcW w:type="dxa" w:w="6912"/>
          </w:tcPr>
          <w:p>
            <w:pPr>
              <w:spacing w:after="20"/>
            </w:pPr>
            <w:r>
              <w:rPr>
                <w:color w:val="1C3A36"/>
                <w:sz w:val="16"/>
              </w:rPr>
              <w:t>Plus finance income on the cash balance (USD mn)</w:t>
            </w:r>
          </w:p>
        </w:tc>
        <w:tc>
          <w:tcPr>
            <w:tcW w:type="dxa" w:w="3168"/>
          </w:tcPr>
          <w:p>
            <w:pPr>
              <w:spacing w:after="20"/>
              <w:jc w:val="right"/>
            </w:pPr>
            <w:r>
              <w:rPr>
                <w:color w:val="1C3A36"/>
                <w:sz w:val="16"/>
              </w:rPr>
              <w:t>25</w:t>
            </w:r>
          </w:p>
        </w:tc>
      </w:tr>
      <w:tr>
        <w:trPr>
          <w:cantSplit/>
        </w:trPr>
        <w:tc>
          <w:tcPr>
            <w:tcW w:type="dxa" w:w="6912"/>
          </w:tcPr>
          <w:p>
            <w:pPr>
              <w:spacing w:after="20"/>
            </w:pPr>
            <w:r>
              <w:rPr>
                <w:color w:val="1C3A36"/>
                <w:sz w:val="16"/>
              </w:rPr>
              <w:t>Mid-cycle profit for the year (USD mn)</w:t>
            </w:r>
          </w:p>
        </w:tc>
        <w:tc>
          <w:tcPr>
            <w:tcW w:type="dxa" w:w="3168"/>
          </w:tcPr>
          <w:p>
            <w:pPr>
              <w:spacing w:after="20"/>
              <w:jc w:val="right"/>
            </w:pPr>
            <w:r>
              <w:rPr>
                <w:color w:val="1C3A36"/>
                <w:sz w:val="16"/>
              </w:rPr>
              <w:t>1,268</w:t>
            </w:r>
          </w:p>
        </w:tc>
      </w:tr>
      <w:tr>
        <w:trPr>
          <w:cantSplit/>
        </w:trPr>
        <w:tc>
          <w:tcPr>
            <w:tcW w:type="dxa" w:w="6912"/>
          </w:tcPr>
          <w:p>
            <w:pPr>
              <w:spacing w:after="20"/>
            </w:pPr>
            <w:r>
              <w:rPr>
                <w:color w:val="1C3A36"/>
                <w:sz w:val="16"/>
              </w:rPr>
              <w:t>Less non-controlling interests at 8.8% (USD mn)</w:t>
            </w:r>
          </w:p>
        </w:tc>
        <w:tc>
          <w:tcPr>
            <w:tcW w:type="dxa" w:w="3168"/>
          </w:tcPr>
          <w:p>
            <w:pPr>
              <w:spacing w:after="20"/>
              <w:jc w:val="right"/>
            </w:pPr>
            <w:r>
              <w:rPr>
                <w:color w:val="1C3A36"/>
                <w:sz w:val="16"/>
              </w:rPr>
              <w:t>(112)</w:t>
            </w:r>
          </w:p>
        </w:tc>
      </w:tr>
      <w:tr>
        <w:trPr>
          <w:cantSplit/>
        </w:trPr>
        <w:tc>
          <w:tcPr>
            <w:tcW w:type="dxa" w:w="6912"/>
          </w:tcPr>
          <w:p>
            <w:pPr>
              <w:spacing w:after="20"/>
            </w:pPr>
            <w:r>
              <w:rPr>
                <w:color w:val="1C3A36"/>
                <w:sz w:val="16"/>
              </w:rPr>
              <w:t>Less the perpetual securities coupon (USD mn)</w:t>
            </w:r>
          </w:p>
        </w:tc>
        <w:tc>
          <w:tcPr>
            <w:tcW w:type="dxa" w:w="3168"/>
          </w:tcPr>
          <w:p>
            <w:pPr>
              <w:spacing w:after="20"/>
              <w:jc w:val="right"/>
            </w:pPr>
            <w:r>
              <w:rPr>
                <w:color w:val="1C3A36"/>
                <w:sz w:val="16"/>
              </w:rPr>
              <w:t>(97)</w:t>
            </w:r>
          </w:p>
        </w:tc>
      </w:tr>
      <w:tr>
        <w:trPr>
          <w:cantSplit/>
        </w:trPr>
        <w:tc>
          <w:tcPr>
            <w:tcW w:type="dxa" w:w="6912"/>
          </w:tcPr>
          <w:p>
            <w:pPr>
              <w:spacing w:after="20"/>
            </w:pPr>
            <w:r>
              <w:rPr>
                <w:color w:val="1C3A36"/>
                <w:sz w:val="16"/>
              </w:rPr>
              <w:t>Earnings to ordinary shareholders (USD mn)</w:t>
            </w:r>
          </w:p>
        </w:tc>
        <w:tc>
          <w:tcPr>
            <w:tcW w:type="dxa" w:w="3168"/>
          </w:tcPr>
          <w:p>
            <w:pPr>
              <w:spacing w:after="20"/>
              <w:jc w:val="right"/>
            </w:pPr>
            <w:r>
              <w:rPr>
                <w:color w:val="1C3A36"/>
                <w:sz w:val="16"/>
              </w:rPr>
              <w:t>1,059</w:t>
            </w:r>
          </w:p>
        </w:tc>
      </w:tr>
      <w:tr>
        <w:trPr>
          <w:cantSplit/>
        </w:trPr>
        <w:tc>
          <w:tcPr>
            <w:tcW w:type="dxa" w:w="6912"/>
          </w:tcPr>
          <w:p>
            <w:pPr>
              <w:spacing w:after="20"/>
            </w:pPr>
            <w:r>
              <w:rPr>
                <w:color w:val="1C3A36"/>
                <w:sz w:val="16"/>
              </w:rPr>
              <w:t>Mid-cycle earnings per share (USD)</w:t>
            </w:r>
          </w:p>
        </w:tc>
        <w:tc>
          <w:tcPr>
            <w:tcW w:type="dxa" w:w="3168"/>
          </w:tcPr>
          <w:p>
            <w:pPr>
              <w:spacing w:after="20"/>
              <w:jc w:val="right"/>
            </w:pPr>
            <w:r>
              <w:rPr>
                <w:color w:val="1C3A36"/>
                <w:sz w:val="16"/>
              </w:rPr>
              <w:t>0.1432</w:t>
            </w:r>
          </w:p>
        </w:tc>
      </w:tr>
      <w:tr>
        <w:trPr>
          <w:cantSplit/>
        </w:trPr>
        <w:tc>
          <w:tcPr>
            <w:tcW w:type="dxa" w:w="6912"/>
          </w:tcPr>
          <w:p>
            <w:pPr>
              <w:spacing w:after="20"/>
            </w:pPr>
            <w:r>
              <w:rPr>
                <w:color w:val="1C3A36"/>
                <w:sz w:val="16"/>
              </w:rPr>
              <w:t>Justified price-to-earnings multiple</w:t>
            </w:r>
          </w:p>
        </w:tc>
        <w:tc>
          <w:tcPr>
            <w:tcW w:type="dxa" w:w="3168"/>
          </w:tcPr>
          <w:p>
            <w:pPr>
              <w:spacing w:after="20"/>
              <w:jc w:val="right"/>
            </w:pPr>
            <w:r>
              <w:rPr>
                <w:color w:val="1C3A36"/>
                <w:sz w:val="16"/>
              </w:rPr>
              <w:t>12.0×</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6.31</w:t>
            </w:r>
          </w:p>
        </w:tc>
      </w:tr>
      <w:tr>
        <w:trPr>
          <w:cantSplit/>
        </w:trPr>
        <w:tc>
          <w:tcPr>
            <w:tcW w:type="dxa" w:w="6912"/>
          </w:tcPr>
          <w:p>
            <w:pPr>
              <w:spacing w:after="20"/>
            </w:pPr>
            <w:r>
              <w:rPr>
                <w:color w:val="1C3A36"/>
                <w:sz w:val="16"/>
              </w:rPr>
              <w:t>Range (9.0× to 15.0×)</w:t>
            </w:r>
          </w:p>
        </w:tc>
        <w:tc>
          <w:tcPr>
            <w:tcW w:type="dxa" w:w="3168"/>
          </w:tcPr>
          <w:p>
            <w:pPr>
              <w:spacing w:after="20"/>
              <w:jc w:val="right"/>
            </w:pPr>
            <w:r>
              <w:rPr>
                <w:color w:val="1C3A36"/>
                <w:sz w:val="16"/>
              </w:rPr>
              <w:t>4.73 – 7.89</w:t>
            </w:r>
          </w:p>
        </w:tc>
      </w:tr>
    </w:tbl>
    <w:p>
      <w:pPr>
        <w:spacing w:after="40"/>
      </w:pPr>
    </w:p>
    <w:p>
      <w:pPr>
        <w:spacing w:after="120" w:before="0"/>
      </w:pPr>
      <w:r>
        <w:rPr>
          <w:b w:val="0"/>
          <w:i w:val="0"/>
          <w:color w:val="1C3A36"/>
          <w:sz w:val="21"/>
        </w:rPr>
        <w:t>Named sensitivity: each single turn of the multiple is worth AED 0.53 a share, so the 9×-to-15× range above spans AED 3.16. And every USD 100 million of mid-cycle earnings before interest, tax, depreciation and amortisation — about 5.0% of the base — is worth roughly AED 0.54 a share at this multiple. Note what this method cannot see: it never asks what discount rate the multiple implies, so the beta argument that dominates the rest of this study is simply absent from it. That is the method's honest position, not an oversight.</w:t>
      </w:r>
    </w:p>
    <w:p>
      <w:pPr>
        <w:spacing w:after="160" w:before="0"/>
      </w:pPr>
      <w:r>
        <w:rPr>
          <w:b w:val="0"/>
          <w:i w:val="0"/>
          <w:color w:val="1C3A36"/>
          <w:sz w:val="21"/>
        </w:rPr>
        <w:t>Falsifier, stated in advance: Two consecutive years in which group earnings before interest, tax, depreciation and amortisation fall below USD 1.4 billion would show the mid-cycle level used here is set too high.</w:t>
      </w:r>
    </w:p>
    <w:p>
      <w:pPr>
        <w:keepNext/>
        <w:spacing w:after="80" w:before="200"/>
      </w:pPr>
      <w:r>
        <w:rPr>
          <w:b/>
          <w:i w:val="0"/>
          <w:color w:val="1C3A36"/>
          <w:sz w:val="24"/>
        </w:rPr>
        <w:t>C.2  Expert 2 — owner cash earnings</w:t>
      </w:r>
    </w:p>
    <w:p>
      <w:pPr>
        <w:spacing w:after="120" w:before="0"/>
      </w:pPr>
      <w:r>
        <w:rPr>
          <w:b w:val="0"/>
          <w:i w:val="0"/>
          <w:color w:val="1C3A36"/>
          <w:sz w:val="21"/>
        </w:rPr>
        <w:t>Worldview: earnings are an opinion, cash is a fact. The only number that matters is what an owner could actually take out of the business each year after everything the business needs to keep running — including the capital expenditure that a fleet consumes and the coupon on securities that rank ahead of the owner. Capitalise that stream at the cost of equity and nothing else.</w:t>
      </w:r>
    </w:p>
    <w:p>
      <w:pPr>
        <w:spacing w:after="120" w:before="0"/>
      </w:pPr>
      <w:r>
        <w:rPr>
          <w:b w:val="0"/>
          <w:i w:val="0"/>
          <w:color w:val="1C3A36"/>
          <w:sz w:val="21"/>
        </w:rPr>
        <w:t>When it works: it is the right discipline for a capital-intensive business where reported profit and distributable cash diverge, which describes a shipowner precisely. When it fails: it undercharges nothing and overcharges growth — a company investing heavily ahead of contracted demand looks poor on this measure right up until the assets deliver, and this company is in exactly that phase.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Average free cash flow to the firm over the five forecast years (USD mn)</w:t>
            </w:r>
          </w:p>
        </w:tc>
        <w:tc>
          <w:tcPr>
            <w:tcW w:type="dxa" w:w="3168"/>
          </w:tcPr>
          <w:p>
            <w:pPr>
              <w:spacing w:after="20"/>
              <w:jc w:val="right"/>
            </w:pPr>
            <w:r>
              <w:rPr>
                <w:color w:val="1C3A36"/>
                <w:sz w:val="16"/>
              </w:rPr>
              <w:t>863</w:t>
            </w:r>
          </w:p>
        </w:tc>
      </w:tr>
      <w:tr>
        <w:trPr>
          <w:cantSplit/>
        </w:trPr>
        <w:tc>
          <w:tcPr>
            <w:tcW w:type="dxa" w:w="6912"/>
          </w:tcPr>
          <w:p>
            <w:pPr>
              <w:spacing w:after="20"/>
            </w:pPr>
            <w:r>
              <w:rPr>
                <w:color w:val="1C3A36"/>
                <w:sz w:val="16"/>
              </w:rPr>
              <w:t>Less interest after tax (USD mn)</w:t>
            </w:r>
          </w:p>
        </w:tc>
        <w:tc>
          <w:tcPr>
            <w:tcW w:type="dxa" w:w="3168"/>
          </w:tcPr>
          <w:p>
            <w:pPr>
              <w:spacing w:after="20"/>
              <w:jc w:val="right"/>
            </w:pPr>
            <w:r>
              <w:rPr>
                <w:color w:val="1C3A36"/>
                <w:sz w:val="16"/>
              </w:rPr>
              <w:t>(62)</w:t>
            </w:r>
          </w:p>
        </w:tc>
      </w:tr>
      <w:tr>
        <w:trPr>
          <w:cantSplit/>
        </w:trPr>
        <w:tc>
          <w:tcPr>
            <w:tcW w:type="dxa" w:w="6912"/>
          </w:tcPr>
          <w:p>
            <w:pPr>
              <w:spacing w:after="20"/>
            </w:pPr>
            <w:r>
              <w:rPr>
                <w:color w:val="1C3A36"/>
                <w:sz w:val="16"/>
              </w:rPr>
              <w:t>Plus finance income after tax (USD mn)</w:t>
            </w:r>
          </w:p>
        </w:tc>
        <w:tc>
          <w:tcPr>
            <w:tcW w:type="dxa" w:w="3168"/>
          </w:tcPr>
          <w:p>
            <w:pPr>
              <w:spacing w:after="20"/>
              <w:jc w:val="right"/>
            </w:pPr>
            <w:r>
              <w:rPr>
                <w:color w:val="1C3A36"/>
                <w:sz w:val="16"/>
              </w:rPr>
              <w:t>23</w:t>
            </w:r>
          </w:p>
        </w:tc>
      </w:tr>
      <w:tr>
        <w:trPr>
          <w:cantSplit/>
        </w:trPr>
        <w:tc>
          <w:tcPr>
            <w:tcW w:type="dxa" w:w="6912"/>
          </w:tcPr>
          <w:p>
            <w:pPr>
              <w:spacing w:after="20"/>
            </w:pPr>
            <w:r>
              <w:rPr>
                <w:color w:val="1C3A36"/>
                <w:sz w:val="16"/>
              </w:rPr>
              <w:t>Less the perpetual securities coupon (USD mn)</w:t>
            </w:r>
          </w:p>
        </w:tc>
        <w:tc>
          <w:tcPr>
            <w:tcW w:type="dxa" w:w="3168"/>
          </w:tcPr>
          <w:p>
            <w:pPr>
              <w:spacing w:after="20"/>
              <w:jc w:val="right"/>
            </w:pPr>
            <w:r>
              <w:rPr>
                <w:color w:val="1C3A36"/>
                <w:sz w:val="16"/>
              </w:rPr>
              <w:t>(97)</w:t>
            </w:r>
          </w:p>
        </w:tc>
      </w:tr>
      <w:tr>
        <w:trPr>
          <w:cantSplit/>
        </w:trPr>
        <w:tc>
          <w:tcPr>
            <w:tcW w:type="dxa" w:w="6912"/>
          </w:tcPr>
          <w:p>
            <w:pPr>
              <w:spacing w:after="20"/>
            </w:pPr>
            <w:r>
              <w:rPr>
                <w:color w:val="1C3A36"/>
                <w:sz w:val="16"/>
              </w:rPr>
              <w:t>Owner cash earnings (USD mn)</w:t>
            </w:r>
          </w:p>
        </w:tc>
        <w:tc>
          <w:tcPr>
            <w:tcW w:type="dxa" w:w="3168"/>
          </w:tcPr>
          <w:p>
            <w:pPr>
              <w:spacing w:after="20"/>
              <w:jc w:val="right"/>
            </w:pPr>
            <w:r>
              <w:rPr>
                <w:color w:val="1C3A36"/>
                <w:sz w:val="16"/>
              </w:rPr>
              <w:t>727</w:t>
            </w:r>
          </w:p>
        </w:tc>
      </w:tr>
      <w:tr>
        <w:trPr>
          <w:cantSplit/>
        </w:trPr>
        <w:tc>
          <w:tcPr>
            <w:tcW w:type="dxa" w:w="6912"/>
          </w:tcPr>
          <w:p>
            <w:pPr>
              <w:spacing w:after="20"/>
            </w:pPr>
            <w:r>
              <w:rPr>
                <w:color w:val="1C3A36"/>
                <w:sz w:val="16"/>
              </w:rPr>
              <w:t>Grown one year and capitalised at the cost of equity less growth</w:t>
            </w:r>
          </w:p>
        </w:tc>
        <w:tc>
          <w:tcPr>
            <w:tcW w:type="dxa" w:w="3168"/>
          </w:tcPr>
          <w:p>
            <w:pPr>
              <w:spacing w:after="20"/>
              <w:jc w:val="right"/>
            </w:pPr>
            <w:r>
              <w:rPr>
                <w:color w:val="1C3A36"/>
                <w:sz w:val="16"/>
              </w:rPr>
              <w:t>× 1.02 ÷ (9.34% − 2%)</w:t>
            </w:r>
          </w:p>
        </w:tc>
      </w:tr>
      <w:tr>
        <w:trPr>
          <w:cantSplit/>
        </w:trPr>
        <w:tc>
          <w:tcPr>
            <w:tcW w:type="dxa" w:w="6912"/>
          </w:tcPr>
          <w:p>
            <w:pPr>
              <w:spacing w:after="20"/>
            </w:pPr>
            <w:r>
              <w:rPr>
                <w:color w:val="1C3A36"/>
                <w:sz w:val="16"/>
              </w:rPr>
              <w:t>Equity value (USD mn)</w:t>
            </w:r>
          </w:p>
        </w:tc>
        <w:tc>
          <w:tcPr>
            <w:tcW w:type="dxa" w:w="3168"/>
          </w:tcPr>
          <w:p>
            <w:pPr>
              <w:spacing w:after="20"/>
              <w:jc w:val="right"/>
            </w:pPr>
            <w:r>
              <w:rPr>
                <w:color w:val="1C3A36"/>
                <w:sz w:val="16"/>
              </w:rPr>
              <w:t>10,092</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5.01</w:t>
            </w:r>
          </w:p>
        </w:tc>
      </w:tr>
      <w:tr>
        <w:trPr>
          <w:cantSplit/>
        </w:trPr>
        <w:tc>
          <w:tcPr>
            <w:tcW w:type="dxa" w:w="6912"/>
          </w:tcPr>
          <w:p>
            <w:pPr>
              <w:spacing w:after="20"/>
            </w:pPr>
            <w:r>
              <w:rPr>
                <w:color w:val="1C3A36"/>
                <w:sz w:val="16"/>
              </w:rPr>
              <w:t>Range — the low end at a cost of equity of 10.94%, built on the top of the beta's 90% interval (1.412), with lower growth; the high end at 7.75% on the bottom of it (0.758) with higher growth</w:t>
            </w:r>
          </w:p>
        </w:tc>
        <w:tc>
          <w:tcPr>
            <w:tcW w:type="dxa" w:w="3168"/>
          </w:tcPr>
          <w:p>
            <w:pPr>
              <w:spacing w:after="20"/>
              <w:jc w:val="right"/>
            </w:pPr>
            <w:r>
              <w:rPr>
                <w:color w:val="1C3A36"/>
                <w:sz w:val="16"/>
              </w:rPr>
              <w:t>3.67 – 7.04</w:t>
            </w:r>
          </w:p>
        </w:tc>
      </w:tr>
    </w:tbl>
    <w:p>
      <w:pPr>
        <w:spacing w:after="40"/>
      </w:pPr>
    </w:p>
    <w:p>
      <w:pPr>
        <w:spacing w:after="120" w:before="0"/>
      </w:pPr>
      <w:r>
        <w:rPr>
          <w:b w:val="0"/>
          <w:i w:val="0"/>
          <w:color w:val="1C3A36"/>
          <w:sz w:val="21"/>
        </w:rPr>
        <w:t>This expert lands at AED 5.01, below the study's own weighted central of AED 6.58, and the reason is specific: the five-year average free cash flow of USD 863 million is dragged down by the investment years. Free cash flow to the firm is USD 329 million in 2026E and USD 1,292 million in 2029E; averaging a business across a period when it is building the assets that produce the later number is a real charge against it. That is the method doing what it says it does, and it is why the range extends as high as AED 7.04.</w:t>
      </w:r>
    </w:p>
    <w:p>
      <w:pPr>
        <w:spacing w:after="120" w:before="0"/>
      </w:pPr>
      <w:r>
        <w:rPr>
          <w:b w:val="0"/>
          <w:i w:val="0"/>
          <w:color w:val="1C3A36"/>
          <w:sz w:val="21"/>
        </w:rPr>
        <w:t>Named sensitivity: this method is a single-stage capitalisation, so it is more sensitive to the cost of equity than anything else in the study. Capitalise the same owner cash earnings at the cost of equity the equal-weight composite produces — 7.49% instead of 9.34% — and the answer is roughly AED 6.70 a share, a rise of about 34%. The direction is worth being explicit about: a lower discount rate raises a perpetuity, so the construction this study does not adopt is the generous one. Within the adopted construction, the two ends of the beta's own 90% interval are what set this expert's published range, and they span AED 3.37. This expert is therefore the one most exposed to the discount rate, and says so.</w:t>
      </w:r>
    </w:p>
    <w:p>
      <w:pPr>
        <w:spacing w:after="160" w:before="0"/>
      </w:pPr>
      <w:r>
        <w:rPr>
          <w:b w:val="0"/>
          <w:i w:val="0"/>
          <w:color w:val="1C3A36"/>
          <w:sz w:val="21"/>
        </w:rPr>
        <w:t>Falsifier, stated in advance: A year in which free cash flow to the firm falls below the ordinary distribution plus the perpetual coupon, without a matching fall in capital expenditure, would break the annuity this rests on.</w:t>
      </w:r>
    </w:p>
    <w:p>
      <w:pPr>
        <w:keepNext/>
        <w:spacing w:after="80" w:before="200"/>
      </w:pPr>
      <w:r>
        <w:rPr>
          <w:b/>
          <w:i w:val="0"/>
          <w:color w:val="1C3A36"/>
          <w:sz w:val="24"/>
        </w:rPr>
        <w:t>C.3  Expert 3 — cash returns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 — which forces the question of whether a very large newbuild programme is worth funding, rather than assuming it is.</w:t>
      </w:r>
    </w:p>
    <w:p>
      <w:pPr>
        <w:spacing w:after="120" w:before="0"/>
      </w:pPr>
      <w:r>
        <w:rPr>
          <w:b w:val="0"/>
          <w:i w:val="0"/>
          <w:color w:val="1C3A36"/>
          <w:sz w:val="21"/>
        </w:rPr>
        <w:t>When it works: it is the sharpest available test of a capital programme, and it makes the discount-rate question unavoidable instead of burying it in a terminal value. When it fails: it is acutely sensitive to how invested capital is measured, and a fleet carried at historical cost after a large acquisition is exactly the case where that measurement is least reliable.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Invested capital at the valuation date (USD mn) — the fleet, working capital, intangibles and goodwill</w:t>
            </w:r>
          </w:p>
        </w:tc>
        <w:tc>
          <w:tcPr>
            <w:tcW w:type="dxa" w:w="3168"/>
          </w:tcPr>
          <w:p>
            <w:pPr>
              <w:spacing w:after="20"/>
              <w:jc w:val="right"/>
            </w:pPr>
            <w:r>
              <w:rPr>
                <w:color w:val="1C3A36"/>
                <w:sz w:val="16"/>
              </w:rPr>
              <w:t>7,432</w:t>
            </w:r>
          </w:p>
        </w:tc>
      </w:tr>
      <w:tr>
        <w:trPr>
          <w:cantSplit/>
        </w:trPr>
        <w:tc>
          <w:tcPr>
            <w:tcW w:type="dxa" w:w="6912"/>
          </w:tcPr>
          <w:p>
            <w:pPr>
              <w:spacing w:after="20"/>
            </w:pPr>
            <w:r>
              <w:rPr>
                <w:color w:val="1C3A36"/>
                <w:sz w:val="16"/>
              </w:rPr>
              <w:t>Present value of economic profit, the five explicit years (USD mn)</w:t>
            </w:r>
          </w:p>
        </w:tc>
        <w:tc>
          <w:tcPr>
            <w:tcW w:type="dxa" w:w="3168"/>
          </w:tcPr>
          <w:p>
            <w:pPr>
              <w:spacing w:after="20"/>
              <w:jc w:val="right"/>
            </w:pPr>
            <w:r>
              <w:rPr>
                <w:color w:val="1C3A36"/>
                <w:sz w:val="16"/>
              </w:rPr>
              <w:t>2,083</w:t>
            </w:r>
          </w:p>
        </w:tc>
      </w:tr>
      <w:tr>
        <w:trPr>
          <w:cantSplit/>
        </w:trPr>
        <w:tc>
          <w:tcPr>
            <w:tcW w:type="dxa" w:w="6912"/>
          </w:tcPr>
          <w:p>
            <w:pPr>
              <w:spacing w:after="20"/>
            </w:pPr>
            <w:r>
              <w:rPr>
                <w:color w:val="1C3A36"/>
                <w:sz w:val="16"/>
              </w:rPr>
              <w:t>Present value of terminal economic profit (USD mn)</w:t>
            </w:r>
          </w:p>
        </w:tc>
        <w:tc>
          <w:tcPr>
            <w:tcW w:type="dxa" w:w="3168"/>
          </w:tcPr>
          <w:p>
            <w:pPr>
              <w:spacing w:after="20"/>
              <w:jc w:val="right"/>
            </w:pPr>
            <w:r>
              <w:rPr>
                <w:color w:val="1C3A36"/>
                <w:sz w:val="16"/>
              </w:rPr>
              <w:t>3,351</w:t>
            </w:r>
          </w:p>
        </w:tc>
      </w:tr>
      <w:tr>
        <w:trPr>
          <w:cantSplit/>
        </w:trPr>
        <w:tc>
          <w:tcPr>
            <w:tcW w:type="dxa" w:w="6912"/>
          </w:tcPr>
          <w:p>
            <w:pPr>
              <w:spacing w:after="20"/>
            </w:pPr>
            <w:r>
              <w:rPr>
                <w:color w:val="1C3A36"/>
                <w:sz w:val="16"/>
              </w:rPr>
              <w:t>Enterprise value (USD mn)</w:t>
            </w:r>
          </w:p>
        </w:tc>
        <w:tc>
          <w:tcPr>
            <w:tcW w:type="dxa" w:w="3168"/>
          </w:tcPr>
          <w:p>
            <w:pPr>
              <w:spacing w:after="20"/>
              <w:jc w:val="right"/>
            </w:pPr>
            <w:r>
              <w:rPr>
                <w:color w:val="1C3A36"/>
                <w:sz w:val="16"/>
              </w:rPr>
              <w:t>12,867</w:t>
            </w:r>
          </w:p>
        </w:tc>
      </w:tr>
      <w:tr>
        <w:trPr>
          <w:cantSplit/>
        </w:trPr>
        <w:tc>
          <w:tcPr>
            <w:tcW w:type="dxa" w:w="6912"/>
          </w:tcPr>
          <w:p>
            <w:pPr>
              <w:spacing w:after="20"/>
            </w:pPr>
            <w:r>
              <w:rPr>
                <w:color w:val="1C3A36"/>
                <w:sz w:val="16"/>
              </w:rPr>
              <w:t>Less net debt, the perpetual securities and minorities, plus joint ventures (USD mn)</w:t>
            </w:r>
          </w:p>
        </w:tc>
        <w:tc>
          <w:tcPr>
            <w:tcW w:type="dxa" w:w="3168"/>
          </w:tcPr>
          <w:p>
            <w:pPr>
              <w:spacing w:after="20"/>
              <w:jc w:val="right"/>
            </w:pPr>
            <w:r>
              <w:rPr>
                <w:color w:val="1C3A36"/>
                <w:sz w:val="16"/>
              </w:rPr>
              <w:t>(2,479)</w:t>
            </w:r>
          </w:p>
        </w:tc>
      </w:tr>
      <w:tr>
        <w:trPr>
          <w:cantSplit/>
        </w:trPr>
        <w:tc>
          <w:tcPr>
            <w:tcW w:type="dxa" w:w="6912"/>
          </w:tcPr>
          <w:p>
            <w:pPr>
              <w:spacing w:after="20"/>
            </w:pPr>
            <w:r>
              <w:rPr>
                <w:color w:val="1C3A36"/>
                <w:sz w:val="16"/>
              </w:rPr>
              <w:t>Equity value (USD mn)</w:t>
            </w:r>
          </w:p>
        </w:tc>
        <w:tc>
          <w:tcPr>
            <w:tcW w:type="dxa" w:w="3168"/>
          </w:tcPr>
          <w:p>
            <w:pPr>
              <w:spacing w:after="20"/>
              <w:jc w:val="right"/>
            </w:pPr>
            <w:r>
              <w:rPr>
                <w:color w:val="1C3A36"/>
                <w:sz w:val="16"/>
              </w:rPr>
              <w:t>10,388</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5.16</w:t>
            </w:r>
          </w:p>
        </w:tc>
      </w:tr>
      <w:tr>
        <w:trPr>
          <w:cantSplit/>
        </w:trPr>
        <w:tc>
          <w:tcPr>
            <w:tcW w:type="dxa" w:w="6912"/>
          </w:tcPr>
          <w:p>
            <w:pPr>
              <w:spacing w:after="20"/>
            </w:pPr>
            <w:r>
              <w:rPr>
                <w:color w:val="1C3A36"/>
                <w:sz w:val="16"/>
              </w:rPr>
              <w:t>Range — the low end fades the economic profit hard, the high end lets it persist</w:t>
            </w:r>
          </w:p>
        </w:tc>
        <w:tc>
          <w:tcPr>
            <w:tcW w:type="dxa" w:w="3168"/>
          </w:tcPr>
          <w:p>
            <w:pPr>
              <w:spacing w:after="20"/>
              <w:jc w:val="right"/>
            </w:pPr>
            <w:r>
              <w:rPr>
                <w:color w:val="1C3A36"/>
                <w:sz w:val="16"/>
              </w:rPr>
              <w:t>3.91 – 6.13</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Year</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Return on invested capital</w:t>
            </w:r>
          </w:p>
        </w:tc>
        <w:tc>
          <w:tcPr>
            <w:tcW w:type="dxa" w:w="1382"/>
          </w:tcPr>
          <w:p>
            <w:pPr>
              <w:spacing w:after="20"/>
              <w:jc w:val="right"/>
            </w:pPr>
            <w:r>
              <w:rPr>
                <w:color w:val="1C3A36"/>
                <w:sz w:val="16"/>
              </w:rPr>
              <w:t>15.6%</w:t>
            </w:r>
          </w:p>
        </w:tc>
        <w:tc>
          <w:tcPr>
            <w:tcW w:type="dxa" w:w="1382"/>
          </w:tcPr>
          <w:p>
            <w:pPr>
              <w:spacing w:after="20"/>
              <w:jc w:val="right"/>
            </w:pPr>
            <w:r>
              <w:rPr>
                <w:color w:val="1C3A36"/>
                <w:sz w:val="16"/>
              </w:rPr>
              <w:t>15.1%</w:t>
            </w:r>
          </w:p>
        </w:tc>
        <w:tc>
          <w:tcPr>
            <w:tcW w:type="dxa" w:w="1382"/>
          </w:tcPr>
          <w:p>
            <w:pPr>
              <w:spacing w:after="20"/>
              <w:jc w:val="right"/>
            </w:pPr>
            <w:r>
              <w:rPr>
                <w:color w:val="1C3A36"/>
                <w:sz w:val="16"/>
              </w:rPr>
              <w:t>14.3%</w:t>
            </w:r>
          </w:p>
        </w:tc>
        <w:tc>
          <w:tcPr>
            <w:tcW w:type="dxa" w:w="1382"/>
          </w:tcPr>
          <w:p>
            <w:pPr>
              <w:spacing w:after="20"/>
              <w:jc w:val="right"/>
            </w:pPr>
            <w:r>
              <w:rPr>
                <w:color w:val="1C3A36"/>
                <w:sz w:val="16"/>
              </w:rPr>
              <w:t>12.9%</w:t>
            </w:r>
          </w:p>
        </w:tc>
        <w:tc>
          <w:tcPr>
            <w:tcW w:type="dxa" w:w="1382"/>
          </w:tcPr>
          <w:p>
            <w:pPr>
              <w:spacing w:after="20"/>
              <w:jc w:val="right"/>
            </w:pPr>
            <w:r>
              <w:rPr>
                <w:color w:val="1C3A36"/>
                <w:sz w:val="16"/>
              </w:rPr>
              <w:t>11.2%</w:t>
            </w:r>
          </w:p>
        </w:tc>
      </w:tr>
      <w:tr>
        <w:trPr>
          <w:cantSplit/>
        </w:trPr>
        <w:tc>
          <w:tcPr>
            <w:tcW w:type="dxa" w:w="3168"/>
          </w:tcPr>
          <w:p>
            <w:pPr>
              <w:spacing w:after="20"/>
            </w:pPr>
            <w:r>
              <w:rPr>
                <w:color w:val="1C3A36"/>
                <w:sz w:val="16"/>
              </w:rPr>
              <w:t>Cost of capital charged — the explicit-window rate, held flat</w:t>
            </w:r>
          </w:p>
        </w:tc>
        <w:tc>
          <w:tcPr>
            <w:tcW w:type="dxa" w:w="1382"/>
          </w:tcPr>
          <w:p>
            <w:pPr>
              <w:spacing w:after="20"/>
              <w:jc w:val="right"/>
            </w:pPr>
            <w:r>
              <w:rPr>
                <w:color w:val="1C3A36"/>
                <w:sz w:val="16"/>
              </w:rPr>
              <w:t>8.49%</w:t>
            </w:r>
          </w:p>
        </w:tc>
        <w:tc>
          <w:tcPr>
            <w:tcW w:type="dxa" w:w="1382"/>
          </w:tcPr>
          <w:p>
            <w:pPr>
              <w:spacing w:after="20"/>
              <w:jc w:val="right"/>
            </w:pPr>
            <w:r>
              <w:rPr>
                <w:color w:val="1C3A36"/>
                <w:sz w:val="16"/>
              </w:rPr>
              <w:t>8.49%</w:t>
            </w:r>
          </w:p>
        </w:tc>
        <w:tc>
          <w:tcPr>
            <w:tcW w:type="dxa" w:w="1382"/>
          </w:tcPr>
          <w:p>
            <w:pPr>
              <w:spacing w:after="20"/>
              <w:jc w:val="right"/>
            </w:pPr>
            <w:r>
              <w:rPr>
                <w:color w:val="1C3A36"/>
                <w:sz w:val="16"/>
              </w:rPr>
              <w:t>8.49%</w:t>
            </w:r>
          </w:p>
        </w:tc>
        <w:tc>
          <w:tcPr>
            <w:tcW w:type="dxa" w:w="1382"/>
          </w:tcPr>
          <w:p>
            <w:pPr>
              <w:spacing w:after="20"/>
              <w:jc w:val="right"/>
            </w:pPr>
            <w:r>
              <w:rPr>
                <w:color w:val="1C3A36"/>
                <w:sz w:val="16"/>
              </w:rPr>
              <w:t>8.49%</w:t>
            </w:r>
          </w:p>
        </w:tc>
        <w:tc>
          <w:tcPr>
            <w:tcW w:type="dxa" w:w="1382"/>
          </w:tcPr>
          <w:p>
            <w:pPr>
              <w:spacing w:after="20"/>
              <w:jc w:val="right"/>
            </w:pPr>
            <w:r>
              <w:rPr>
                <w:color w:val="1C3A36"/>
                <w:sz w:val="16"/>
              </w:rPr>
              <w:t>8.49%</w:t>
            </w:r>
          </w:p>
        </w:tc>
      </w:tr>
      <w:tr>
        <w:trPr>
          <w:cantSplit/>
        </w:trPr>
        <w:tc>
          <w:tcPr>
            <w:tcW w:type="dxa" w:w="3168"/>
            <w:shd w:val="clear" w:color="auto" w:fill="F6F1E6"/>
          </w:tcPr>
          <w:p>
            <w:pPr>
              <w:spacing w:after="20"/>
            </w:pPr>
            <w:r>
              <w:rPr>
                <w:b/>
                <w:color w:val="1C3A36"/>
                <w:sz w:val="16"/>
              </w:rPr>
              <w:t>Spread</w:t>
            </w:r>
          </w:p>
        </w:tc>
        <w:tc>
          <w:tcPr>
            <w:tcW w:type="dxa" w:w="1382"/>
            <w:shd w:val="clear" w:color="auto" w:fill="F6F1E6"/>
          </w:tcPr>
          <w:p>
            <w:pPr>
              <w:spacing w:after="20"/>
              <w:jc w:val="right"/>
            </w:pPr>
            <w:r>
              <w:rPr>
                <w:b/>
                <w:color w:val="1C3A36"/>
                <w:sz w:val="16"/>
              </w:rPr>
              <w:t>+7.1pp</w:t>
            </w:r>
          </w:p>
        </w:tc>
        <w:tc>
          <w:tcPr>
            <w:tcW w:type="dxa" w:w="1382"/>
            <w:shd w:val="clear" w:color="auto" w:fill="F6F1E6"/>
          </w:tcPr>
          <w:p>
            <w:pPr>
              <w:spacing w:after="20"/>
              <w:jc w:val="right"/>
            </w:pPr>
            <w:r>
              <w:rPr>
                <w:b/>
                <w:color w:val="1C3A36"/>
                <w:sz w:val="16"/>
              </w:rPr>
              <w:t>+6.6pp</w:t>
            </w:r>
          </w:p>
        </w:tc>
        <w:tc>
          <w:tcPr>
            <w:tcW w:type="dxa" w:w="1382"/>
            <w:shd w:val="clear" w:color="auto" w:fill="F6F1E6"/>
          </w:tcPr>
          <w:p>
            <w:pPr>
              <w:spacing w:after="20"/>
              <w:jc w:val="right"/>
            </w:pPr>
            <w:r>
              <w:rPr>
                <w:b/>
                <w:color w:val="1C3A36"/>
                <w:sz w:val="16"/>
              </w:rPr>
              <w:t>+5.8pp</w:t>
            </w:r>
          </w:p>
        </w:tc>
        <w:tc>
          <w:tcPr>
            <w:tcW w:type="dxa" w:w="1382"/>
            <w:shd w:val="clear" w:color="auto" w:fill="F6F1E6"/>
          </w:tcPr>
          <w:p>
            <w:pPr>
              <w:spacing w:after="20"/>
              <w:jc w:val="right"/>
            </w:pPr>
            <w:r>
              <w:rPr>
                <w:b/>
                <w:color w:val="1C3A36"/>
                <w:sz w:val="16"/>
              </w:rPr>
              <w:t>+4.4pp</w:t>
            </w:r>
          </w:p>
        </w:tc>
        <w:tc>
          <w:tcPr>
            <w:tcW w:type="dxa" w:w="1382"/>
            <w:shd w:val="clear" w:color="auto" w:fill="F6F1E6"/>
          </w:tcPr>
          <w:p>
            <w:pPr>
              <w:spacing w:after="20"/>
              <w:jc w:val="right"/>
            </w:pPr>
            <w:r>
              <w:rPr>
                <w:b/>
                <w:color w:val="1C3A36"/>
                <w:sz w:val="16"/>
              </w:rPr>
              <w:t>+2.7pp</w:t>
            </w:r>
          </w:p>
        </w:tc>
      </w:tr>
      <w:tr>
        <w:trPr>
          <w:cantSplit/>
        </w:trPr>
        <w:tc>
          <w:tcPr>
            <w:tcW w:type="dxa" w:w="3168"/>
          </w:tcPr>
          <w:p>
            <w:pPr>
              <w:spacing w:after="20"/>
            </w:pPr>
            <w:r>
              <w:rPr>
                <w:color w:val="1C3A36"/>
                <w:sz w:val="16"/>
              </w:rPr>
              <w:t>Economic profit — net operating profit after tax less the capital charge (USD mn)</w:t>
            </w:r>
          </w:p>
        </w:tc>
        <w:tc>
          <w:tcPr>
            <w:tcW w:type="dxa" w:w="1382"/>
          </w:tcPr>
          <w:p>
            <w:pPr>
              <w:spacing w:after="20"/>
              <w:jc w:val="right"/>
            </w:pPr>
            <w:r>
              <w:rPr>
                <w:color w:val="1C3A36"/>
                <w:sz w:val="16"/>
              </w:rPr>
              <w:t>600</w:t>
            </w:r>
          </w:p>
        </w:tc>
        <w:tc>
          <w:tcPr>
            <w:tcW w:type="dxa" w:w="1382"/>
          </w:tcPr>
          <w:p>
            <w:pPr>
              <w:spacing w:after="20"/>
              <w:jc w:val="right"/>
            </w:pPr>
            <w:r>
              <w:rPr>
                <w:color w:val="1C3A36"/>
                <w:sz w:val="16"/>
              </w:rPr>
              <w:t>609</w:t>
            </w:r>
          </w:p>
        </w:tc>
        <w:tc>
          <w:tcPr>
            <w:tcW w:type="dxa" w:w="1382"/>
          </w:tcPr>
          <w:p>
            <w:pPr>
              <w:spacing w:after="20"/>
              <w:jc w:val="right"/>
            </w:pPr>
            <w:r>
              <w:rPr>
                <w:color w:val="1C3A36"/>
                <w:sz w:val="16"/>
              </w:rPr>
              <w:t>580</w:t>
            </w:r>
          </w:p>
        </w:tc>
        <w:tc>
          <w:tcPr>
            <w:tcW w:type="dxa" w:w="1382"/>
          </w:tcPr>
          <w:p>
            <w:pPr>
              <w:spacing w:after="20"/>
              <w:jc w:val="right"/>
            </w:pPr>
            <w:r>
              <w:rPr>
                <w:color w:val="1C3A36"/>
                <w:sz w:val="16"/>
              </w:rPr>
              <w:t>444</w:t>
            </w:r>
          </w:p>
        </w:tc>
        <w:tc>
          <w:tcPr>
            <w:tcW w:type="dxa" w:w="1382"/>
          </w:tcPr>
          <w:p>
            <w:pPr>
              <w:spacing w:after="20"/>
              <w:jc w:val="right"/>
            </w:pPr>
            <w:r>
              <w:rPr>
                <w:color w:val="1C3A36"/>
                <w:sz w:val="16"/>
              </w:rPr>
              <w:t>272</w:t>
            </w:r>
          </w:p>
        </w:tc>
      </w:tr>
    </w:tbl>
    <w:p>
      <w:pPr>
        <w:spacing w:after="40"/>
      </w:pPr>
    </w:p>
    <w:p>
      <w:pPr>
        <w:spacing w:after="200" w:before="0"/>
      </w:pPr>
      <w:r>
        <w:rPr>
          <w:b w:val="0"/>
          <w:i/>
          <w:color w:val="6E7B77"/>
          <w:sz w:val="17"/>
        </w:rPr>
        <w:t>This is the most revealing exhibit in the study. The spread is positive in every forecast year — the business earns 16% on capital in 2026E against a cost of 8% — and it narrows steadily as the rate cycle normalises and the capital base grows. That is a company creating value throughout, but creating less of it each year, which is a very different picture from either a compounder or a value destroyer. Two conventions in this table are named so they cannot be confused with the ones used elsewhere. The return divides by closing invested capital, matching Appendix A.3; and the capital charge is the explicit-window cost of capital of 8.49% held flat across all five years rather than the declining schedule the cash-flow model discounts at, so the spread row is exactly the return row less 8.49% and the economic-profit row is exactly that spread on the same closing capital. Appendix A.3 shows the spread on the declining schedule instead, which is why the two tables give different spreads from the same returns. Note also that this leg's enterprise value of USD 12,867 million differs from the cash-flow model's USD 15,178 million: economic-profit and cash-flow valuations are algebraically identical on identical assumptions, and the gap here is entirely the different terminal treatment — a fading economic-profit perpetuity against a reinvestment-funded terminal value. Expert 3 is therefore a restatement of the cash-flow model under a different terminal discipline, not independent confirmation of it, and is read as such.</w:t>
      </w:r>
    </w:p>
    <w:p>
      <w:pPr>
        <w:spacing w:after="120" w:before="0"/>
      </w:pPr>
      <w:r>
        <w:rPr>
          <w:b w:val="0"/>
          <w:i w:val="0"/>
          <w:color w:val="1C3A36"/>
          <w:sz w:val="21"/>
        </w:rPr>
        <w:t>Named sensitivity: a one-percentage-point parallel reduction in the cost-of-capital schedule widens the spread in every year and lifts this valuation by roughly a fifth; the same move in the opposite direction removes about the same amount from a base of AED 5.16 that already sits 16% below the market price, and takes the fifth-year spread of +2.7 percentage points close to zero. Nothing in the operating build has a comparable effect on this method, which is the point it is making.</w:t>
      </w:r>
    </w:p>
    <w:p>
      <w:pPr>
        <w:spacing w:after="160" w:before="0"/>
      </w:pPr>
      <w:r>
        <w:rPr>
          <w:b w:val="0"/>
          <w:i w:val="0"/>
          <w:color w:val="1C3A36"/>
          <w:sz w:val="21"/>
        </w:rPr>
        <w:t>Falsifier, stated in advance: A return on invested capital that settles below the cost of capital for two consecutive years would remove the premium to invested capital this method rests on entirely.</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rPr>
          <w:cantSplit/>
          <w:tblHeader/>
        </w:trP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Conceded or rejected</w:t>
            </w:r>
          </w:p>
        </w:tc>
      </w:tr>
      <w:tr>
        <w:trPr>
          <w:cantSplit/>
        </w:trPr>
        <w:tc>
          <w:tcPr>
            <w:tcW w:type="dxa" w:w="3528"/>
          </w:tcPr>
          <w:p>
            <w:pPr>
              <w:spacing w:after="20"/>
            </w:pPr>
            <w:r>
              <w:rPr>
                <w:color w:val="1C3A36"/>
                <w:sz w:val="16"/>
              </w:rPr>
              <w:t>"Your multiple is a discount rate you have not written down. On mid-cycle earnings and this share count it implies a cost of equity near the low end of the range the rest of this study is arguing about — you have silently taken a side."</w:t>
            </w:r>
          </w:p>
        </w:tc>
        <w:tc>
          <w:tcPr>
            <w:tcW w:type="dxa" w:w="1728"/>
          </w:tcPr>
          <w:p>
            <w:pPr>
              <w:spacing w:after="20"/>
            </w:pPr>
            <w:r>
              <w:rPr>
                <w:color w:val="1C3A36"/>
                <w:sz w:val="16"/>
              </w:rPr>
              <w:t>Expert 3 to Expert 1</w:t>
            </w:r>
          </w:p>
        </w:tc>
        <w:tc>
          <w:tcPr>
            <w:tcW w:type="dxa" w:w="4824"/>
          </w:tcPr>
          <w:p>
            <w:pPr>
              <w:spacing w:after="20"/>
            </w:pPr>
            <w:r>
              <w:rPr>
                <w:color w:val="1C3A36"/>
                <w:sz w:val="16"/>
              </w:rPr>
              <w:t>Conceded. The multiple is a judgement and it does embed a cost of capital. The defence is only that it embeds one drawn from what comparable marine assets actually trade at rather than from a regression on three years of data. That is a weaker claim than the method usually makes, and it is the weakest joint in this leg.</w:t>
            </w:r>
          </w:p>
        </w:tc>
      </w:tr>
      <w:tr>
        <w:trPr>
          <w:cantSplit/>
        </w:trPr>
        <w:tc>
          <w:tcPr>
            <w:tcW w:type="dxa" w:w="3528"/>
          </w:tcPr>
          <w:p>
            <w:pPr>
              <w:spacing w:after="20"/>
            </w:pPr>
            <w:r>
              <w:rPr>
                <w:color w:val="1C3A36"/>
                <w:sz w:val="16"/>
              </w:rPr>
              <w:t>"Averaging free cash flow across the five years charges the owner for a newbuild programme that is contracted and will earn. You are treating investment as if it were consumption."</w:t>
            </w:r>
          </w:p>
        </w:tc>
        <w:tc>
          <w:tcPr>
            <w:tcW w:type="dxa" w:w="1728"/>
          </w:tcPr>
          <w:p>
            <w:pPr>
              <w:spacing w:after="20"/>
            </w:pPr>
            <w:r>
              <w:rPr>
                <w:color w:val="1C3A36"/>
                <w:sz w:val="16"/>
              </w:rPr>
              <w:t>Expert 1 to Expert 2</w:t>
            </w:r>
          </w:p>
        </w:tc>
        <w:tc>
          <w:tcPr>
            <w:tcW w:type="dxa" w:w="4824"/>
          </w:tcPr>
          <w:p>
            <w:pPr>
              <w:spacing w:after="20"/>
            </w:pPr>
            <w:r>
              <w:rPr>
                <w:color w:val="1C3A36"/>
                <w:sz w:val="16"/>
              </w:rPr>
              <w:t>Partly conceded. Free cash flow rises from USD 329 million to USD 1,292 million as the programme delivers, so the average does understate the steady state. Rejected in part, though: the fleet is not a one-off build. Maintenance capital and fleet renewal recur, and every previous cycle in this industry has been ended by exactly the kind of ordering this programme is part of.</w:t>
            </w:r>
          </w:p>
        </w:tc>
      </w:tr>
      <w:tr>
        <w:trPr>
          <w:cantSplit/>
        </w:trPr>
        <w:tc>
          <w:tcPr>
            <w:tcW w:type="dxa" w:w="3528"/>
          </w:tcPr>
          <w:p>
            <w:pPr>
              <w:spacing w:after="20"/>
            </w:pPr>
            <w:r>
              <w:rPr>
                <w:color w:val="1C3A36"/>
                <w:sz w:val="16"/>
              </w:rPr>
              <w:t>"Invested capital carries a fleet acquired at the top of a cycle at historical cost. If it is understated your spread is flattered; if it is overstated your whole method collapses toward book."</w:t>
            </w:r>
          </w:p>
        </w:tc>
        <w:tc>
          <w:tcPr>
            <w:tcW w:type="dxa" w:w="1728"/>
          </w:tcPr>
          <w:p>
            <w:pPr>
              <w:spacing w:after="20"/>
            </w:pPr>
            <w:r>
              <w:rPr>
                <w:color w:val="1C3A36"/>
                <w:sz w:val="16"/>
              </w:rPr>
              <w:t>Expert 2 to Expert 3</w:t>
            </w:r>
          </w:p>
        </w:tc>
        <w:tc>
          <w:tcPr>
            <w:tcW w:type="dxa" w:w="4824"/>
          </w:tcPr>
          <w:p>
            <w:pPr>
              <w:spacing w:after="20"/>
            </w:pPr>
            <w:r>
              <w:rPr>
                <w:color w:val="1C3A36"/>
                <w:sz w:val="16"/>
              </w:rPr>
              <w:t>Conceded, and the direction is disclosed. The one piece of evidence available points the other way — a vessel sold at 1.34× carrying value — which means invested capital is more likely understated and the measured return correspondingly flattered. That makes this leg's spread optimistic, not conservative, and it is stated here rather than left for a reader to find.</w:t>
            </w:r>
          </w:p>
        </w:tc>
      </w:tr>
      <w:tr>
        <w:trPr>
          <w:cantSplit/>
        </w:trPr>
        <w:tc>
          <w:tcPr>
            <w:tcW w:type="dxa" w:w="3528"/>
          </w:tcPr>
          <w:p>
            <w:pPr>
              <w:spacing w:after="20"/>
            </w:pPr>
            <w:r>
              <w:rPr>
                <w:color w:val="1C3A36"/>
                <w:sz w:val="16"/>
              </w:rPr>
              <w:t>"All three of you are arguing about the numerator. The number that actually decides this valuation is the beta, and only one of you prices it."</w:t>
            </w:r>
          </w:p>
        </w:tc>
        <w:tc>
          <w:tcPr>
            <w:tcW w:type="dxa" w:w="1728"/>
          </w:tcPr>
          <w:p>
            <w:pPr>
              <w:spacing w:after="20"/>
            </w:pPr>
            <w:r>
              <w:rPr>
                <w:color w:val="1C3A36"/>
                <w:sz w:val="16"/>
              </w:rPr>
              <w:t>The panel to itself</w:t>
            </w:r>
          </w:p>
        </w:tc>
        <w:tc>
          <w:tcPr>
            <w:tcW w:type="dxa" w:w="4824"/>
          </w:tcPr>
          <w:p>
            <w:pPr>
              <w:spacing w:after="20"/>
            </w:pPr>
            <w:r>
              <w:rPr>
                <w:color w:val="1C3A36"/>
                <w:sz w:val="16"/>
              </w:rPr>
              <w:t>Accepted, and it is why the panel divides the way it does. Expert 1 never touches it. Expert 2 is fully exposed to it, which is why its range spans AED 3.37, struck at the two ends of the beta's own 90% interval. Expert 3 prices it year by year and finds the spread stays positive on either measurement of the market, which is the one useful thing the panel can say about it: the business creates value at both costs of capital — the argument is only about how much, and it is now an argument about statistical width rather than about which yardstick to use.</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06663"/>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309360" cy="2406663"/>
                    </a:xfrm>
                    <a:prstGeom prst="rect"/>
                  </pic:spPr>
                </pic:pic>
              </a:graphicData>
            </a:graphic>
          </wp:inline>
        </w:drawing>
      </w:r>
    </w:p>
    <w:p>
      <w:pPr>
        <w:spacing w:after="200" w:before="0"/>
      </w:pPr>
      <w:r>
        <w:rPr>
          <w:b w:val="0"/>
          <w:i/>
          <w:color w:val="6E7B77"/>
          <w:sz w:val="17"/>
        </w:rPr>
        <w:t>Figure 9 — the three experts' ranges. The brass tick is each base case, the gold band the panel centre of AED 5.49, the vertical line the market price of AED 6.16.</w:t>
      </w:r>
    </w:p>
    <w:p>
      <w:pPr>
        <w:spacing w:after="120" w:before="0"/>
      </w:pPr>
      <w:r>
        <w:rPr>
          <w:b w:val="0"/>
          <w:i w:val="0"/>
          <w:color w:val="1C3A36"/>
          <w:sz w:val="21"/>
        </w:rPr>
        <w:t>The panel spans AED 5.01 to 6.31 — a factor of 1.26 between the most and least generous base case, which is a narrow disagreement by the standards of this series. That narrowness is itself informative: three methods that share almost nothing methodologically land within AED 1.30 of one another. All three land at or below the market price, and all three below this study's own weighted central of AED 6.58.</w:t>
      </w:r>
    </w:p>
    <w:p>
      <w:pPr>
        <w:spacing w:after="120" w:before="0"/>
      </w:pPr>
      <w:r>
        <w:rPr>
          <w:b w:val="0"/>
          <w:i w:val="0"/>
          <w:color w:val="1C3A36"/>
          <w:sz w:val="21"/>
        </w:rPr>
        <w:t>The panel centre of AED 5.49 sits 11% below the market price and -16% against this study's weighted central. That gap is real and it has a single explanation: every one of the three experts works from mid-cycle or five-year-average earnings, and none of them capitalises a terminal value the way the cash-flow model does. The cash-flow model puts 78% of its enterprise value beyond the fifth year; the panel puts effectively none there. A reader who distrusts long terminal values should weight the panel; a reader who believes a contracted marine infrastructure business has a long life beyond a five-year window should weight the model. Both positions are defensible and the gap between them is stated at full size rather than smoothed.</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2045"/>
        <w:gridCol w:w="2045"/>
        <w:gridCol w:w="2045"/>
        <w:gridCol w:w="2074"/>
      </w:tblGrid>
      <w:tr>
        <w:trPr>
          <w:cantSplit/>
          <w:tblHeader/>
        </w:trPr>
        <w:tc>
          <w:tcPr>
            <w:tcW w:type="dxa" w:w="1872"/>
            <w:shd w:val="clear" w:color="auto" w:fill="EAF0EE"/>
          </w:tcPr>
          <w:p>
            <w:pPr>
              <w:spacing w:after="20"/>
            </w:pPr>
            <w:r>
              <w:rPr>
                <w:b/>
                <w:color w:val="1C3A36"/>
                <w:sz w:val="15"/>
              </w:rPr>
              <w:t>Assumption</w:t>
            </w:r>
          </w:p>
        </w:tc>
        <w:tc>
          <w:tcPr>
            <w:tcW w:type="dxa" w:w="2045"/>
            <w:shd w:val="clear" w:color="auto" w:fill="EAF0EE"/>
          </w:tcPr>
          <w:p>
            <w:pPr>
              <w:spacing w:after="20"/>
            </w:pPr>
            <w:r>
              <w:rPr>
                <w:b/>
                <w:color w:val="1C3A36"/>
                <w:sz w:val="15"/>
              </w:rPr>
              <w:t>Expert 1</w:t>
            </w:r>
          </w:p>
        </w:tc>
        <w:tc>
          <w:tcPr>
            <w:tcW w:type="dxa" w:w="2045"/>
            <w:shd w:val="clear" w:color="auto" w:fill="EAF0EE"/>
          </w:tcPr>
          <w:p>
            <w:pPr>
              <w:spacing w:after="20"/>
            </w:pPr>
            <w:r>
              <w:rPr>
                <w:b/>
                <w:color w:val="1C3A36"/>
                <w:sz w:val="15"/>
              </w:rPr>
              <w:t>Expert 2</w:t>
            </w:r>
          </w:p>
        </w:tc>
        <w:tc>
          <w:tcPr>
            <w:tcW w:type="dxa" w:w="2045"/>
            <w:shd w:val="clear" w:color="auto" w:fill="EAF0EE"/>
          </w:tcPr>
          <w:p>
            <w:pPr>
              <w:spacing w:after="20"/>
            </w:pPr>
            <w:r>
              <w:rPr>
                <w:b/>
                <w:color w:val="1C3A36"/>
                <w:sz w:val="15"/>
              </w:rPr>
              <w:t>Expert 3</w:t>
            </w:r>
          </w:p>
        </w:tc>
        <w:tc>
          <w:tcPr>
            <w:tcW w:type="dxa" w:w="2074"/>
            <w:shd w:val="clear" w:color="auto" w:fill="EAF0EE"/>
          </w:tcPr>
          <w:p>
            <w:pPr>
              <w:spacing w:after="20"/>
            </w:pPr>
            <w:r>
              <w:rPr>
                <w:b/>
                <w:color w:val="1C3A36"/>
                <w:sz w:val="15"/>
              </w:rPr>
              <w:t>Why it swings the answer</w:t>
            </w:r>
          </w:p>
        </w:tc>
      </w:tr>
      <w:tr>
        <w:trPr>
          <w:cantSplit/>
        </w:trPr>
        <w:tc>
          <w:tcPr>
            <w:tcW w:type="dxa" w:w="1872"/>
          </w:tcPr>
          <w:p>
            <w:pPr>
              <w:spacing w:after="20"/>
            </w:pPr>
            <w:r>
              <w:rPr>
                <w:color w:val="1C3A36"/>
                <w:sz w:val="15"/>
              </w:rPr>
              <w:t>Capital expenditure</w:t>
            </w:r>
          </w:p>
        </w:tc>
        <w:tc>
          <w:tcPr>
            <w:tcW w:type="dxa" w:w="2045"/>
          </w:tcPr>
          <w:p>
            <w:pPr>
              <w:spacing w:after="20"/>
            </w:pPr>
            <w:r>
              <w:rPr>
                <w:color w:val="1C3A36"/>
                <w:sz w:val="15"/>
              </w:rPr>
              <w:t>ignored — an earnings measure</w:t>
            </w:r>
          </w:p>
        </w:tc>
        <w:tc>
          <w:tcPr>
            <w:tcW w:type="dxa" w:w="2045"/>
          </w:tcPr>
          <w:p>
            <w:pPr>
              <w:spacing w:after="20"/>
            </w:pPr>
            <w:r>
              <w:rPr>
                <w:color w:val="1C3A36"/>
                <w:sz w:val="15"/>
              </w:rPr>
              <w:t>charged in full, averaged across the build years</w:t>
            </w:r>
          </w:p>
        </w:tc>
        <w:tc>
          <w:tcPr>
            <w:tcW w:type="dxa" w:w="2045"/>
          </w:tcPr>
          <w:p>
            <w:pPr>
              <w:spacing w:after="20"/>
            </w:pPr>
            <w:r>
              <w:rPr>
                <w:color w:val="1C3A36"/>
                <w:sz w:val="15"/>
              </w:rPr>
              <w:t>charged through invested capital and the return on it</w:t>
            </w:r>
          </w:p>
        </w:tc>
        <w:tc>
          <w:tcPr>
            <w:tcW w:type="dxa" w:w="2074"/>
          </w:tcPr>
          <w:p>
            <w:pPr>
              <w:spacing w:after="20"/>
            </w:pPr>
            <w:r>
              <w:rPr>
                <w:color w:val="1C3A36"/>
                <w:sz w:val="15"/>
              </w:rPr>
              <w:t>the largest single source of the gap between Experts 1 and 2</w:t>
            </w:r>
          </w:p>
        </w:tc>
      </w:tr>
      <w:tr>
        <w:trPr>
          <w:cantSplit/>
        </w:trPr>
        <w:tc>
          <w:tcPr>
            <w:tcW w:type="dxa" w:w="1872"/>
          </w:tcPr>
          <w:p>
            <w:pPr>
              <w:spacing w:after="20"/>
            </w:pPr>
            <w:r>
              <w:rPr>
                <w:color w:val="1C3A36"/>
                <w:sz w:val="15"/>
              </w:rPr>
              <w:t>The cost of equity</w:t>
            </w:r>
          </w:p>
        </w:tc>
        <w:tc>
          <w:tcPr>
            <w:tcW w:type="dxa" w:w="2045"/>
          </w:tcPr>
          <w:p>
            <w:pPr>
              <w:spacing w:after="20"/>
            </w:pPr>
            <w:r>
              <w:rPr>
                <w:color w:val="1C3A36"/>
                <w:sz w:val="15"/>
              </w:rPr>
              <w:t>implicit inside the multiple, never stated</w:t>
            </w:r>
          </w:p>
        </w:tc>
        <w:tc>
          <w:tcPr>
            <w:tcW w:type="dxa" w:w="2045"/>
          </w:tcPr>
          <w:p>
            <w:pPr>
              <w:spacing w:after="20"/>
            </w:pPr>
            <w:r>
              <w:rPr>
                <w:color w:val="1C3A36"/>
                <w:sz w:val="15"/>
              </w:rPr>
              <w:t>9.34% explicit, and the whole answer moves with it</w:t>
            </w:r>
          </w:p>
        </w:tc>
        <w:tc>
          <w:tcPr>
            <w:tcW w:type="dxa" w:w="2045"/>
          </w:tcPr>
          <w:p>
            <w:pPr>
              <w:spacing w:after="20"/>
            </w:pPr>
            <w:r>
              <w:rPr>
                <w:color w:val="1C3A36"/>
                <w:sz w:val="15"/>
              </w:rPr>
              <w:t>the full glide, year by year, on both sides of the spread</w:t>
            </w:r>
          </w:p>
        </w:tc>
        <w:tc>
          <w:tcPr>
            <w:tcW w:type="dxa" w:w="2074"/>
          </w:tcPr>
          <w:p>
            <w:pPr>
              <w:spacing w:after="20"/>
            </w:pPr>
            <w:r>
              <w:rPr>
                <w:color w:val="1C3A36"/>
                <w:sz w:val="15"/>
              </w:rPr>
              <w:t>Expert 2 is fully exposed, Expert 1 not at all — which is why Expert 1 lands AED 1.30 above Expert 2 without ever taking a position on the question</w:t>
            </w:r>
          </w:p>
        </w:tc>
      </w:tr>
      <w:tr>
        <w:trPr>
          <w:cantSplit/>
        </w:trPr>
        <w:tc>
          <w:tcPr>
            <w:tcW w:type="dxa" w:w="1872"/>
          </w:tcPr>
          <w:p>
            <w:pPr>
              <w:spacing w:after="20"/>
            </w:pPr>
            <w:r>
              <w:rPr>
                <w:color w:val="1C3A36"/>
                <w:sz w:val="15"/>
              </w:rPr>
              <w:t>Terminal value</w:t>
            </w:r>
          </w:p>
        </w:tc>
        <w:tc>
          <w:tcPr>
            <w:tcW w:type="dxa" w:w="2045"/>
          </w:tcPr>
          <w:p>
            <w:pPr>
              <w:spacing w:after="20"/>
            </w:pPr>
            <w:r>
              <w:rPr>
                <w:color w:val="1C3A36"/>
                <w:sz w:val="15"/>
              </w:rPr>
              <w:t>none — no perpetuity at all</w:t>
            </w:r>
          </w:p>
        </w:tc>
        <w:tc>
          <w:tcPr>
            <w:tcW w:type="dxa" w:w="2045"/>
          </w:tcPr>
          <w:p>
            <w:pPr>
              <w:spacing w:after="20"/>
            </w:pPr>
            <w:r>
              <w:rPr>
                <w:color w:val="1C3A36"/>
                <w:sz w:val="15"/>
              </w:rPr>
              <w:t>a single perpetuity of owner cash earnings</w:t>
            </w:r>
          </w:p>
        </w:tc>
        <w:tc>
          <w:tcPr>
            <w:tcW w:type="dxa" w:w="2045"/>
          </w:tcPr>
          <w:p>
            <w:pPr>
              <w:spacing w:after="20"/>
            </w:pPr>
            <w:r>
              <w:rPr>
                <w:color w:val="1C3A36"/>
                <w:sz w:val="15"/>
              </w:rPr>
              <w:t>a fading economic-profit perpetuity</w:t>
            </w:r>
          </w:p>
        </w:tc>
        <w:tc>
          <w:tcPr>
            <w:tcW w:type="dxa" w:w="2074"/>
          </w:tcPr>
          <w:p>
            <w:pPr>
              <w:spacing w:after="20"/>
            </w:pPr>
            <w:r>
              <w:rPr>
                <w:color w:val="1C3A36"/>
                <w:sz w:val="15"/>
              </w:rPr>
              <w:t>the cash-flow model puts 78% of its value beyond year five; none of the three does, which is most of why the panel sits below the study's central</w:t>
            </w:r>
          </w:p>
        </w:tc>
      </w:tr>
      <w:tr>
        <w:trPr>
          <w:cantSplit/>
        </w:trPr>
        <w:tc>
          <w:tcPr>
            <w:tcW w:type="dxa" w:w="1872"/>
          </w:tcPr>
          <w:p>
            <w:pPr>
              <w:spacing w:after="20"/>
            </w:pPr>
            <w:r>
              <w:rPr>
                <w:color w:val="1C3A36"/>
                <w:sz w:val="15"/>
              </w:rPr>
              <w:t>The rate cycle</w:t>
            </w:r>
          </w:p>
        </w:tc>
        <w:tc>
          <w:tcPr>
            <w:tcW w:type="dxa" w:w="2045"/>
          </w:tcPr>
          <w:p>
            <w:pPr>
              <w:spacing w:after="20"/>
            </w:pPr>
            <w:r>
              <w:rPr>
                <w:color w:val="1C3A36"/>
                <w:sz w:val="15"/>
              </w:rPr>
              <w:t>averaged into the mid-cycle earnings</w:t>
            </w:r>
          </w:p>
        </w:tc>
        <w:tc>
          <w:tcPr>
            <w:tcW w:type="dxa" w:w="2045"/>
          </w:tcPr>
          <w:p>
            <w:pPr>
              <w:spacing w:after="20"/>
            </w:pPr>
            <w:r>
              <w:rPr>
                <w:color w:val="1C3A36"/>
                <w:sz w:val="15"/>
              </w:rPr>
              <w:t>averaged into the five-year cash flow</w:t>
            </w:r>
          </w:p>
        </w:tc>
        <w:tc>
          <w:tcPr>
            <w:tcW w:type="dxa" w:w="2045"/>
          </w:tcPr>
          <w:p>
            <w:pPr>
              <w:spacing w:after="20"/>
            </w:pPr>
            <w:r>
              <w:rPr>
                <w:color w:val="1C3A36"/>
                <w:sz w:val="15"/>
              </w:rPr>
              <w:t>visible year by year in the narrowing spread</w:t>
            </w:r>
          </w:p>
        </w:tc>
        <w:tc>
          <w:tcPr>
            <w:tcW w:type="dxa" w:w="2074"/>
          </w:tcPr>
          <w:p>
            <w:pPr>
              <w:spacing w:after="20"/>
            </w:pPr>
            <w:r>
              <w:rPr>
                <w:color w:val="1C3A36"/>
                <w:sz w:val="15"/>
              </w:rPr>
              <w:t>only Expert 3 lets the reader see the cycle turning rather than absorbing it into an average</w:t>
            </w:r>
          </w:p>
        </w:tc>
      </w:tr>
      <w:tr>
        <w:trPr>
          <w:cantSplit/>
        </w:trPr>
        <w:tc>
          <w:tcPr>
            <w:tcW w:type="dxa" w:w="1872"/>
          </w:tcPr>
          <w:p>
            <w:pPr>
              <w:spacing w:after="20"/>
            </w:pPr>
            <w:r>
              <w:rPr>
                <w:color w:val="1C3A36"/>
                <w:sz w:val="15"/>
              </w:rPr>
              <w:t>The perpetual securities</w:t>
            </w:r>
          </w:p>
        </w:tc>
        <w:tc>
          <w:tcPr>
            <w:tcW w:type="dxa" w:w="2045"/>
          </w:tcPr>
          <w:p>
            <w:pPr>
              <w:spacing w:after="20"/>
            </w:pPr>
            <w:r>
              <w:rPr>
                <w:color w:val="1C3A36"/>
                <w:sz w:val="15"/>
              </w:rPr>
              <w:t>charged as a coupon against earnings</w:t>
            </w:r>
          </w:p>
        </w:tc>
        <w:tc>
          <w:tcPr>
            <w:tcW w:type="dxa" w:w="2045"/>
          </w:tcPr>
          <w:p>
            <w:pPr>
              <w:spacing w:after="20"/>
            </w:pPr>
            <w:r>
              <w:rPr>
                <w:color w:val="1C3A36"/>
                <w:sz w:val="15"/>
              </w:rPr>
              <w:t>charged as a coupon against cash</w:t>
            </w:r>
          </w:p>
        </w:tc>
        <w:tc>
          <w:tcPr>
            <w:tcW w:type="dxa" w:w="2045"/>
          </w:tcPr>
          <w:p>
            <w:pPr>
              <w:spacing w:after="20"/>
            </w:pPr>
            <w:r>
              <w:rPr>
                <w:color w:val="1C3A36"/>
                <w:sz w:val="15"/>
              </w:rPr>
              <w:t>deducted at carrying value in the bridge and weighted in the cost of capital at their own coupon</w:t>
            </w:r>
          </w:p>
        </w:tc>
        <w:tc>
          <w:tcPr>
            <w:tcW w:type="dxa" w:w="2074"/>
          </w:tcPr>
          <w:p>
            <w:pPr>
              <w:spacing w:after="20"/>
            </w:pPr>
            <w:r>
              <w:rPr>
                <w:color w:val="1C3A36"/>
                <w:sz w:val="15"/>
              </w:rPr>
              <w:t>the two bridge treatments differ by AED 0.36 a share in the main model</w:t>
            </w:r>
          </w:p>
        </w:tc>
      </w:tr>
    </w:tbl>
    <w:p>
      <w:pPr>
        <w:spacing w:after="40"/>
      </w:pPr>
    </w:p>
    <w:p>
      <w:pPr>
        <w:spacing w:after="200" w:before="0"/>
      </w:pPr>
      <w:r>
        <w:rPr>
          <w:b w:val="0"/>
          <w:i w:val="0"/>
          <w:color w:val="1C3A36"/>
          <w:sz w:val="21"/>
        </w:rPr>
        <w:t>The instruction to the reader is not to average these three. It is to decide which premise is true — whether a fleet's investment years should be charged against its owner, whether a marine business has value beyond a five-year window, and which cost of equity applies — and then to use the corresponding number. The disagreement is a map of what you need to have a view on.</w:t>
      </w:r>
    </w:p>
    <w:p>
      <w:pPr>
        <w:keepNext/>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the company's own disclosed financial statements and named market data, states its assumptions explicitly, computes every figure in an auditable model rather than in prose, and publishes the ranges those assumptions produce. Studies never carry a recommendation or a forecast of the share price. Where a figure is estimated or solved rather than disclosed, it is labelled. Where a source could not be reached, the gap is recorded rather than filled.</w:t>
      </w:r>
    </w:p>
    <w:p>
      <w:pPr>
        <w:spacing w:after="120" w:before="0"/>
      </w:pPr>
      <w:r>
        <w:rPr>
          <w:b w:val="0"/>
          <w:i w:val="0"/>
          <w:color w:val="1C3A36"/>
          <w:sz w:val="21"/>
        </w:rPr>
        <w:t>Where a judgement has two legitimate constructions, both are computed and both are published side by side. This study does that twice: for the series the beta is measured against, which is the widest single sensitivity in it, and for the treatment of the perpetual capital securities. Neither pair is averaged, because an average of two constructions is a number that neither construction supports. Where a construction has been changed since an earlier version of a study, the superseded one is published alongside the new one at full size rather than quietly replaced — that is why the equal-weight composite reading of AED 7.60 appears throughout this document beside the adopted AED 6.58.</w:t>
      </w:r>
    </w:p>
    <w:p>
      <w:pPr>
        <w:spacing w:after="120" w:before="0"/>
      </w:pPr>
      <w:r>
        <w:rPr>
          <w:b w:val="0"/>
          <w:i w:val="0"/>
          <w:color w:val="1C3A36"/>
          <w:sz w:val="21"/>
        </w:rPr>
        <w:t>The probabilistic price map in section 3 is produced by a volatility model that is tested before it is allowed to publish a range: the model is re-run at successive past dates using only the data available on each of those dates, and every forecast it made is scored against what the price actually did, alongside a random-walk benchmark. It describes price dispersion and carries no view on value. It is never combined with the fair-value work.</w:t>
      </w:r>
    </w:p>
    <w:p>
      <w:pPr>
        <w:keepNext/>
        <w:spacing w:after="120" w:before="280"/>
      </w:pPr>
      <w:r>
        <w:rPr>
          <w:b/>
          <w:i w:val="0"/>
          <w:color w:val="1C3A36"/>
          <w:sz w:val="30"/>
        </w:rPr>
        <w:t>Disclosure and disclaimer</w:t>
      </w:r>
    </w:p>
    <w:p>
      <w:pPr>
        <w:spacing w:after="120" w:before="0"/>
      </w:pPr>
      <w:r>
        <w:rPr>
          <w:b w:val="0"/>
          <w:i w:val="0"/>
          <w:color w:val="6E7B77"/>
          <w:sz w:val="18"/>
        </w:rPr>
        <w:t>This document is educational analysis and is not investment advice, an offer, or a solicitation to buy or sell any security. It contains no recommendation and no forecast of the share price. The author holds no position in the security discussed and has no business relationship with the company. Figures are drawn from public sources believed reliable but not independently verified; where figures are derived, solved or estimated this is stated in the text. Valuation is inherently uncertain and depends on assumptions that reasonable analysts will dispute — several such disputes are set out explicitly in this document rather than resolved silently. Simulated distributions are not guides to future returns, and past price behaviour does not determine future price behaviour.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