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10 September 2026</w:t>
      </w:r>
    </w:p>
    <w:p>
      <w:pPr>
        <w:pStyle w:val="Heading2"/>
      </w:pPr>
      <w:r>
        <w:t>READ FIRST</w:t>
      </w:r>
    </w:p>
    <w:p>
      <w:r>
        <w:rPr>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 September 2026 and it changes ONE thing in it: the rate at which the perpetuity is discounted. That rate was built inside this study, from a long-run real interest rate of 5.5% typed into its own file. It now reads the house Egyptian macro path, where the convention is 3.5%. The retired figure was a description of a restrictive policy stance — the real rate the central bank was running in order to break an inflation — and a company does not live inside a policy stance for ever. Carrying it into perpetuity charged this developer, permanently, for a monetary condition that is by construction temporary. The terminal cost of capital falls from 16.15% to 14.97% and the central figure moves from EGP 17.86 to EGP 21.09 a share.</w:t>
      </w:r>
    </w:p>
    <w:p>
      <w:pPr>
        <w:spacing w:after="140"/>
      </w:pPr>
      <w:r>
        <w:rPr>
          <w:b w:val="0"/>
          <w:i w:val="0"/>
          <w:color w:val="1A1D21"/>
          <w:sz w:val="20"/>
        </w:rPr>
        <w:t>Nothing else in the study moves. The forecast, the three cash-conversion cases, the bridge from enterprise value to equity and the weights across the lenses are exactly as they were issued on 3 September 2026, and the reader can hold the two documents side by side and see that one number and its consequences are the whole of the difference. THE DIRECTION IS NOT THE REASON. This correction happens to raise the value and move it further above the traded price; it would have been made had it done the opposite, and the house rule that a fair value is never adjusted toward a quotation cuts both ways.</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as at 2 September 2026, which ends at its first-quarter 2026 results — the reviewed statements of 31 March 2026 included. No half-year 2026 figures had been released at that date.</w:t>
      </w:r>
    </w:p>
    <w:p>
      <w:pPr>
        <w:pStyle w:val="Heading1"/>
      </w:pPr>
      <w:r>
        <w:t>Headline</w:t>
      </w:r>
    </w:p>
    <w:p>
      <w:pPr>
        <w:spacing w:after="140"/>
      </w:pPr>
      <w:r>
        <w:rPr>
          <w:b/>
          <w:i w:val="0"/>
          <w:color w:val="1A1D21"/>
          <w:sz w:val="23"/>
        </w:rPr>
        <w:t>Palm Hills is worth EGP 21.09 a share on a base case built from the company's own units and prices, in a range of EGP 4.98 to EGP 55.07 across the full observed range of the one thing that decides it.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24.96% against an Egyptian ten-year government bond yield of 23.00%. It CHANGED in this edition: the equity risk premium moved from the credit-rating basis to the traded default-swap basis, which is the house default and which the other studies in this market already use, and the rate fell from 25.83% to 24.96%. Both bases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7.65; at the high end, EGP 46.85.</w:t>
      </w:r>
    </w:p>
    <w:p>
      <w:pPr>
        <w:pStyle w:val="ListBullet"/>
        <w:spacing w:after="60"/>
      </w:pPr>
      <w:r>
        <w:rPr>
          <w:color w:val="1A1D21"/>
          <w:sz w:val="20"/>
        </w:rPr>
        <w:t>At the closing price of EGP 14.40 the market is paying for a conversion rate of 6.3%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361"/>
      </w:tblGrid>
      <w:tr>
        <w:trPr>
          <w:tblHeader w:val="true"/>
        </w:trPr>
        <w:tc>
          <w:tcPr>
            <w:tcW w:type="dxa" w:w="3175"/>
          </w:tcPr>
          <w:p>
            <w:r/>
            <w:r>
              <w:rPr>
                <w:b/>
                <w:color w:val="5B6570"/>
                <w:sz w:val="17"/>
              </w:rPr>
              <w:t>Lens</w:t>
            </w:r>
          </w:p>
        </w:tc>
        <w:tc>
          <w:tcPr>
            <w:tcW w:type="dxa" w:w="1474"/>
          </w:tcPr>
          <w:p>
            <w:r/>
            <w:r>
              <w:rPr>
                <w:b/>
                <w:color w:val="5B6570"/>
                <w:sz w:val="17"/>
              </w:rPr>
              <w:t>Low</w:t>
            </w:r>
          </w:p>
        </w:tc>
        <w:tc>
          <w:tcPr>
            <w:tcW w:type="dxa" w:w="1474"/>
          </w:tcPr>
          <w:p>
            <w:r/>
            <w:r>
              <w:rPr>
                <w:b/>
                <w:color w:val="5B6570"/>
                <w:sz w:val="17"/>
              </w:rPr>
              <w:t>Central</w:t>
            </w:r>
          </w:p>
        </w:tc>
        <w:tc>
          <w:tcPr>
            <w:tcW w:type="dxa" w:w="1474"/>
          </w:tcPr>
          <w:p>
            <w:r/>
            <w:r>
              <w:rPr>
                <w:b/>
                <w:color w:val="5B6570"/>
                <w:sz w:val="17"/>
              </w:rPr>
              <w:t>High</w:t>
            </w:r>
          </w:p>
        </w:tc>
        <w:tc>
          <w:tcPr>
            <w:tcW w:type="dxa" w:w="1361"/>
          </w:tcPr>
          <w:p>
            <w:r/>
            <w:r>
              <w:rPr>
                <w:b/>
                <w:color w:val="5B6570"/>
                <w:sz w:val="17"/>
              </w:rPr>
              <w:t>Role</w:t>
            </w:r>
          </w:p>
        </w:tc>
      </w:tr>
      <w:tr>
        <w:trPr>
          <w:cantSplit/>
        </w:trPr>
        <w:tc>
          <w:tcPr>
            <w:tcW w:type="dxa" w:w="3175"/>
          </w:tcPr>
          <w:p>
            <w:r/>
            <w:r>
              <w:rPr>
                <w:color w:val="1A1D21"/>
                <w:sz w:val="17"/>
              </w:rPr>
              <w:t>Discounted cash flow</w:t>
            </w:r>
          </w:p>
        </w:tc>
        <w:tc>
          <w:tcPr>
            <w:tcW w:type="dxa" w:w="1474"/>
          </w:tcPr>
          <w:p>
            <w:pPr>
              <w:jc w:val="right"/>
            </w:pPr>
            <w:r/>
            <w:r>
              <w:rPr>
                <w:color w:val="1A1D21"/>
                <w:sz w:val="17"/>
              </w:rPr>
              <w:t>4.98</w:t>
            </w:r>
          </w:p>
        </w:tc>
        <w:tc>
          <w:tcPr>
            <w:tcW w:type="dxa" w:w="1474"/>
          </w:tcPr>
          <w:p>
            <w:pPr>
              <w:jc w:val="right"/>
            </w:pPr>
            <w:r/>
            <w:r>
              <w:rPr>
                <w:color w:val="1A1D21"/>
                <w:sz w:val="17"/>
              </w:rPr>
              <w:t>21.09</w:t>
            </w:r>
          </w:p>
        </w:tc>
        <w:tc>
          <w:tcPr>
            <w:tcW w:type="dxa" w:w="1474"/>
          </w:tcPr>
          <w:p>
            <w:pPr>
              <w:jc w:val="right"/>
            </w:pPr>
            <w:r/>
            <w:r>
              <w:rPr>
                <w:color w:val="1A1D21"/>
                <w:sz w:val="17"/>
              </w:rPr>
              <w:t>55.07</w:t>
            </w:r>
          </w:p>
        </w:tc>
        <w:tc>
          <w:tcPr>
            <w:tcW w:type="dxa" w:w="1361"/>
          </w:tcPr>
          <w:p>
            <w:r/>
            <w:r>
              <w:rPr>
                <w:color w:val="1A1D21"/>
                <w:sz w:val="17"/>
              </w:rPr>
              <w:t>the central</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5.59</w:t>
            </w:r>
          </w:p>
        </w:tc>
        <w:tc>
          <w:tcPr>
            <w:tcW w:type="dxa" w:w="1474"/>
          </w:tcPr>
          <w:p>
            <w:pPr>
              <w:jc w:val="right"/>
            </w:pPr>
            <w:r/>
            <w:r>
              <w:rPr>
                <w:color w:val="1A1D21"/>
                <w:sz w:val="17"/>
              </w:rPr>
              <w:t>8.39</w:t>
            </w:r>
          </w:p>
        </w:tc>
        <w:tc>
          <w:tcPr>
            <w:tcW w:type="dxa" w:w="1474"/>
          </w:tcPr>
          <w:p>
            <w:pPr>
              <w:jc w:val="right"/>
            </w:pPr>
            <w:r/>
            <w:r>
              <w:rPr>
                <w:color w:val="1A1D21"/>
                <w:sz w:val="17"/>
              </w:rPr>
              <w:t>13.05</w:t>
            </w:r>
          </w:p>
        </w:tc>
        <w:tc>
          <w:tcPr>
            <w:tcW w:type="dxa" w:w="1361"/>
          </w:tcPr>
          <w:p>
            <w:r/>
            <w:r>
              <w:rPr>
                <w:color w:val="1A1D21"/>
                <w:sz w:val="17"/>
              </w:rPr>
              <w:t>cross-check</w:t>
            </w:r>
          </w:p>
        </w:tc>
      </w:tr>
      <w:tr>
        <w:trPr>
          <w:cantSplit/>
        </w:trPr>
        <w:tc>
          <w:tcPr>
            <w:tcW w:type="dxa" w:w="3175"/>
          </w:tcPr>
          <w:p>
            <w:r/>
            <w:r>
              <w:rPr>
                <w:color w:val="1A1D21"/>
                <w:sz w:val="17"/>
              </w:rPr>
              <w:t>Book value of equity — a disclosed floor</w:t>
            </w:r>
          </w:p>
        </w:tc>
        <w:tc>
          <w:tcPr>
            <w:tcW w:type="dxa" w:w="1474"/>
          </w:tcPr>
          <w:p>
            <w:pPr>
              <w:jc w:val="right"/>
            </w:pPr>
            <w:r/>
            <w:r>
              <w:rPr>
                <w:color w:val="1A1D21"/>
                <w:sz w:val="17"/>
              </w:rPr>
              <w:t>5.97</w:t>
            </w:r>
          </w:p>
        </w:tc>
        <w:tc>
          <w:tcPr>
            <w:tcW w:type="dxa" w:w="1474"/>
          </w:tcPr>
          <w:p>
            <w:pPr>
              <w:jc w:val="right"/>
            </w:pPr>
            <w:r/>
            <w:r>
              <w:rPr>
                <w:color w:val="1A1D21"/>
                <w:sz w:val="17"/>
              </w:rPr>
              <w:t>6.63</w:t>
            </w:r>
          </w:p>
        </w:tc>
        <w:tc>
          <w:tcPr>
            <w:tcW w:type="dxa" w:w="1474"/>
          </w:tcPr>
          <w:p>
            <w:pPr>
              <w:jc w:val="right"/>
            </w:pPr>
            <w:r/>
            <w:r>
              <w:rPr>
                <w:color w:val="1A1D21"/>
                <w:sz w:val="17"/>
              </w:rPr>
              <w:t>8.62</w:t>
            </w:r>
          </w:p>
        </w:tc>
        <w:tc>
          <w:tcPr>
            <w:tcW w:type="dxa" w:w="1361"/>
          </w:tcPr>
          <w:p>
            <w:r/>
            <w:r>
              <w:rPr>
                <w:color w:val="1A1D21"/>
                <w:sz w:val="17"/>
              </w:rPr>
              <w:t>cross-check</w:t>
            </w:r>
          </w:p>
        </w:tc>
      </w:tr>
      <w:tr>
        <w:trPr>
          <w:cantSplit/>
        </w:trPr>
        <w:tc>
          <w:tcPr>
            <w:tcW w:type="dxa" w:w="3175"/>
          </w:tcPr>
          <w:p>
            <w:r/>
            <w:r>
              <w:rPr>
                <w:color w:val="1A1D21"/>
                <w:sz w:val="17"/>
              </w:rPr>
              <w:t>Market price, 3 September 2026</w:t>
            </w:r>
          </w:p>
        </w:tc>
        <w:tc>
          <w:tcPr>
            <w:tcW w:type="dxa" w:w="1474"/>
          </w:tcPr>
          <w:p>
            <w:r/>
            <w:r>
              <w:rPr>
                <w:color w:val="1A1D21"/>
                <w:sz w:val="17"/>
              </w:rPr>
            </w:r>
          </w:p>
        </w:tc>
        <w:tc>
          <w:tcPr>
            <w:tcW w:type="dxa" w:w="1474"/>
          </w:tcPr>
          <w:p>
            <w:pPr>
              <w:jc w:val="right"/>
            </w:pPr>
            <w:r/>
            <w:r>
              <w:rPr>
                <w:color w:val="1A1D21"/>
                <w:sz w:val="17"/>
              </w:rPr>
              <w:t>14.40</w:t>
            </w:r>
          </w:p>
        </w:tc>
        <w:tc>
          <w:tcPr>
            <w:tcW w:type="dxa" w:w="1474"/>
          </w:tcPr>
          <w:p>
            <w:r/>
            <w:r>
              <w:rPr>
                <w:color w:val="1A1D21"/>
                <w:sz w:val="17"/>
              </w:rPr>
            </w:r>
          </w:p>
        </w:tc>
        <w:tc>
          <w:tcPr>
            <w:tcW w:type="dxa" w:w="1361"/>
          </w:tcPr>
          <w:p>
            <w:r/>
            <w:r>
              <w:rPr>
                <w:color w:val="1A1D21"/>
                <w:sz w:val="17"/>
              </w:rPr>
            </w:r>
          </w:p>
        </w:tc>
      </w:tr>
      <w:tr>
        <w:trPr>
          <w:cantSplit/>
        </w:trPr>
        <w:tc>
          <w:tcPr>
            <w:tcW w:type="dxa" w:w="3175"/>
          </w:tcPr>
          <w:p>
            <w:r/>
            <w:r>
              <w:rPr>
                <w:color w:val="1A1D21"/>
                <w:sz w:val="17"/>
              </w:rPr>
              <w:t>vs the central</w:t>
            </w:r>
          </w:p>
        </w:tc>
        <w:tc>
          <w:tcPr>
            <w:tcW w:type="dxa" w:w="1474"/>
          </w:tcPr>
          <w:p>
            <w:r/>
            <w:r>
              <w:rPr>
                <w:color w:val="1A1D21"/>
                <w:sz w:val="17"/>
              </w:rPr>
            </w:r>
          </w:p>
        </w:tc>
        <w:tc>
          <w:tcPr>
            <w:tcW w:type="dxa" w:w="1474"/>
          </w:tcPr>
          <w:p>
            <w:pPr>
              <w:jc w:val="right"/>
            </w:pPr>
            <w:r/>
            <w:r>
              <w:rPr>
                <w:color w:val="1A1D21"/>
                <w:sz w:val="17"/>
              </w:rPr>
              <w:t>-32%</w:t>
            </w:r>
          </w:p>
        </w:tc>
        <w:tc>
          <w:tcPr>
            <w:tcW w:type="dxa" w:w="1474"/>
          </w:tcPr>
          <w:p>
            <w:r/>
            <w:r>
              <w:rPr>
                <w:color w:val="1A1D21"/>
                <w:sz w:val="17"/>
              </w:rPr>
            </w:r>
          </w:p>
        </w:tc>
        <w:tc>
          <w:tcPr>
            <w:tcW w:type="dxa" w:w="1361"/>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EGP mn unless stated</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Units sold</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r>
      <w:tr>
        <w:trPr>
          <w:cantSplit/>
        </w:trPr>
        <w:tc>
          <w:tcPr>
            <w:tcW w:type="dxa" w:w="1984"/>
          </w:tcPr>
          <w:p>
            <w:r/>
            <w:r>
              <w:rPr>
                <w:color w:val="1A1D21"/>
                <w:sz w:val="17"/>
              </w:rPr>
              <w:t>New sales (EGP mn)</w:t>
            </w:r>
          </w:p>
        </w:tc>
        <w:tc>
          <w:tcPr>
            <w:tcW w:type="dxa" w:w="1026"/>
          </w:tcPr>
          <w:p>
            <w:pPr>
              <w:jc w:val="right"/>
            </w:pPr>
            <w:r/>
            <w:r>
              <w:rPr>
                <w:color w:val="1A1D21"/>
                <w:sz w:val="17"/>
              </w:rPr>
              <w:t>129,712</w:t>
            </w:r>
          </w:p>
        </w:tc>
        <w:tc>
          <w:tcPr>
            <w:tcW w:type="dxa" w:w="1026"/>
          </w:tcPr>
          <w:p>
            <w:pPr>
              <w:jc w:val="right"/>
            </w:pPr>
            <w:r/>
            <w:r>
              <w:rPr>
                <w:color w:val="1A1D21"/>
                <w:sz w:val="17"/>
              </w:rPr>
              <w:t>145,277</w:t>
            </w:r>
          </w:p>
        </w:tc>
        <w:tc>
          <w:tcPr>
            <w:tcW w:type="dxa" w:w="1026"/>
          </w:tcPr>
          <w:p>
            <w:pPr>
              <w:jc w:val="right"/>
            </w:pPr>
            <w:r/>
            <w:r>
              <w:rPr>
                <w:color w:val="1A1D21"/>
                <w:sz w:val="17"/>
              </w:rPr>
              <w:t>158,352</w:t>
            </w:r>
          </w:p>
        </w:tc>
        <w:tc>
          <w:tcPr>
            <w:tcW w:type="dxa" w:w="1026"/>
          </w:tcPr>
          <w:p>
            <w:pPr>
              <w:jc w:val="right"/>
            </w:pPr>
            <w:r/>
            <w:r>
              <w:rPr>
                <w:color w:val="1A1D21"/>
                <w:sz w:val="17"/>
              </w:rPr>
              <w:t>170,229</w:t>
            </w:r>
          </w:p>
        </w:tc>
        <w:tc>
          <w:tcPr>
            <w:tcW w:type="dxa" w:w="1026"/>
          </w:tcPr>
          <w:p>
            <w:pPr>
              <w:jc w:val="right"/>
            </w:pPr>
            <w:r/>
            <w:r>
              <w:rPr>
                <w:color w:val="1A1D21"/>
                <w:sz w:val="17"/>
              </w:rPr>
              <w:t>182,145</w:t>
            </w:r>
          </w:p>
        </w:tc>
        <w:tc>
          <w:tcPr>
            <w:tcW w:type="dxa" w:w="1026"/>
          </w:tcPr>
          <w:p>
            <w:pPr>
              <w:jc w:val="right"/>
            </w:pPr>
            <w:r/>
            <w:r>
              <w:rPr>
                <w:color w:val="1A1D21"/>
                <w:sz w:val="17"/>
              </w:rPr>
              <w:t>255,468</w:t>
            </w:r>
          </w:p>
        </w:tc>
        <w:tc>
          <w:tcPr>
            <w:tcW w:type="dxa" w:w="1026"/>
          </w:tcPr>
          <w:p>
            <w:pPr>
              <w:jc w:val="right"/>
            </w:pPr>
            <w:r/>
            <w:r>
              <w:rPr>
                <w:color w:val="1A1D21"/>
                <w:sz w:val="17"/>
              </w:rPr>
              <w:t>358,306</w:t>
            </w:r>
          </w:p>
        </w:tc>
      </w:tr>
      <w:tr>
        <w:trPr>
          <w:cantSplit/>
        </w:trPr>
        <w:tc>
          <w:tcPr>
            <w:tcW w:type="dxa" w:w="1984"/>
          </w:tcPr>
          <w:p>
            <w:r/>
            <w:r>
              <w:rPr>
                <w:color w:val="1A1D21"/>
                <w:sz w:val="17"/>
              </w:rPr>
              <w:t>Units delivered</w:t>
            </w:r>
          </w:p>
        </w:tc>
        <w:tc>
          <w:tcPr>
            <w:tcW w:type="dxa" w:w="1026"/>
          </w:tcPr>
          <w:p>
            <w:pPr>
              <w:jc w:val="right"/>
            </w:pPr>
            <w:r/>
            <w:r>
              <w:rPr>
                <w:color w:val="1A1D21"/>
                <w:sz w:val="17"/>
              </w:rPr>
              <w:t>2,035</w:t>
            </w:r>
          </w:p>
        </w:tc>
        <w:tc>
          <w:tcPr>
            <w:tcW w:type="dxa" w:w="1026"/>
          </w:tcPr>
          <w:p>
            <w:pPr>
              <w:jc w:val="right"/>
            </w:pPr>
            <w:r/>
            <w:r>
              <w:rPr>
                <w:color w:val="1A1D21"/>
                <w:sz w:val="17"/>
              </w:rPr>
              <w:t>2,340</w:t>
            </w:r>
          </w:p>
        </w:tc>
        <w:tc>
          <w:tcPr>
            <w:tcW w:type="dxa" w:w="1026"/>
          </w:tcPr>
          <w:p>
            <w:pPr>
              <w:jc w:val="right"/>
            </w:pPr>
            <w:r/>
            <w:r>
              <w:rPr>
                <w:color w:val="1A1D21"/>
                <w:sz w:val="17"/>
              </w:rPr>
              <w:t>2,656</w:t>
            </w:r>
          </w:p>
        </w:tc>
        <w:tc>
          <w:tcPr>
            <w:tcW w:type="dxa" w:w="1026"/>
          </w:tcPr>
          <w:p>
            <w:pPr>
              <w:jc w:val="right"/>
            </w:pPr>
            <w:r/>
            <w:r>
              <w:rPr>
                <w:color w:val="1A1D21"/>
                <w:sz w:val="17"/>
              </w:rPr>
              <w:t>2,975</w:t>
            </w:r>
          </w:p>
        </w:tc>
        <w:tc>
          <w:tcPr>
            <w:tcW w:type="dxa" w:w="1026"/>
          </w:tcPr>
          <w:p>
            <w:pPr>
              <w:jc w:val="right"/>
            </w:pPr>
            <w:r/>
            <w:r>
              <w:rPr>
                <w:color w:val="1A1D21"/>
                <w:sz w:val="17"/>
              </w:rPr>
              <w:t>3,287</w:t>
            </w:r>
          </w:p>
        </w:tc>
        <w:tc>
          <w:tcPr>
            <w:tcW w:type="dxa" w:w="1026"/>
          </w:tcPr>
          <w:p>
            <w:pPr>
              <w:jc w:val="right"/>
            </w:pPr>
            <w:r/>
            <w:r>
              <w:rPr>
                <w:color w:val="1A1D21"/>
                <w:sz w:val="17"/>
              </w:rPr>
              <w:t>4,395</w:t>
            </w:r>
          </w:p>
        </w:tc>
        <w:tc>
          <w:tcPr>
            <w:tcW w:type="dxa" w:w="1026"/>
          </w:tcPr>
          <w:p>
            <w:pPr>
              <w:jc w:val="right"/>
            </w:pPr>
            <w:r/>
            <w:r>
              <w:rPr>
                <w:color w:val="1A1D21"/>
                <w:sz w:val="17"/>
              </w:rPr>
              <w:t>4,461</w:t>
            </w:r>
          </w:p>
        </w:tc>
      </w:tr>
      <w:tr>
        <w:trPr>
          <w:cantSplit/>
        </w:trPr>
        <w:tc>
          <w:tcPr>
            <w:tcW w:type="dxa" w:w="1984"/>
          </w:tcPr>
          <w:p>
            <w:r/>
            <w:r>
              <w:rPr>
                <w:color w:val="1A1D21"/>
                <w:sz w:val="17"/>
              </w:rPr>
              <w:t>Revenue per delivered unit (EGP mn)</w:t>
            </w:r>
          </w:p>
        </w:tc>
        <w:tc>
          <w:tcPr>
            <w:tcW w:type="dxa" w:w="1026"/>
          </w:tcPr>
          <w:p>
            <w:pPr>
              <w:jc w:val="right"/>
            </w:pPr>
            <w:r/>
            <w:r>
              <w:rPr>
                <w:color w:val="1A1D21"/>
                <w:sz w:val="17"/>
              </w:rPr>
              <w:t>19.73</w:t>
            </w:r>
          </w:p>
        </w:tc>
        <w:tc>
          <w:tcPr>
            <w:tcW w:type="dxa" w:w="1026"/>
          </w:tcPr>
          <w:p>
            <w:pPr>
              <w:jc w:val="right"/>
            </w:pPr>
            <w:r/>
            <w:r>
              <w:rPr>
                <w:color w:val="1A1D21"/>
                <w:sz w:val="17"/>
              </w:rPr>
              <w:t>22.10</w:t>
            </w:r>
          </w:p>
        </w:tc>
        <w:tc>
          <w:tcPr>
            <w:tcW w:type="dxa" w:w="1026"/>
          </w:tcPr>
          <w:p>
            <w:pPr>
              <w:jc w:val="right"/>
            </w:pPr>
            <w:r/>
            <w:r>
              <w:rPr>
                <w:color w:val="1A1D21"/>
                <w:sz w:val="17"/>
              </w:rPr>
              <w:t>24.08</w:t>
            </w:r>
          </w:p>
        </w:tc>
        <w:tc>
          <w:tcPr>
            <w:tcW w:type="dxa" w:w="1026"/>
          </w:tcPr>
          <w:p>
            <w:pPr>
              <w:jc w:val="right"/>
            </w:pPr>
            <w:r/>
            <w:r>
              <w:rPr>
                <w:color w:val="1A1D21"/>
                <w:sz w:val="17"/>
              </w:rPr>
              <w:t>25.89</w:t>
            </w:r>
          </w:p>
        </w:tc>
        <w:tc>
          <w:tcPr>
            <w:tcW w:type="dxa" w:w="1026"/>
          </w:tcPr>
          <w:p>
            <w:pPr>
              <w:jc w:val="right"/>
            </w:pPr>
            <w:r/>
            <w:r>
              <w:rPr>
                <w:color w:val="1A1D21"/>
                <w:sz w:val="17"/>
              </w:rPr>
              <w:t>27.70</w:t>
            </w:r>
          </w:p>
        </w:tc>
        <w:tc>
          <w:tcPr>
            <w:tcW w:type="dxa" w:w="1026"/>
          </w:tcPr>
          <w:p>
            <w:pPr>
              <w:jc w:val="right"/>
            </w:pPr>
            <w:r/>
            <w:r>
              <w:rPr>
                <w:color w:val="1A1D21"/>
                <w:sz w:val="17"/>
              </w:rPr>
              <w:t>38.85</w:t>
            </w:r>
          </w:p>
        </w:tc>
        <w:tc>
          <w:tcPr>
            <w:tcW w:type="dxa" w:w="1026"/>
          </w:tcPr>
          <w:p>
            <w:pPr>
              <w:jc w:val="right"/>
            </w:pPr>
            <w:r/>
            <w:r>
              <w:rPr>
                <w:color w:val="1A1D21"/>
                <w:sz w:val="17"/>
              </w:rPr>
              <w:t>54.49</w:t>
            </w:r>
          </w:p>
        </w:tc>
      </w:tr>
      <w:tr>
        <w:trPr>
          <w:cantSplit/>
        </w:trPr>
        <w:tc>
          <w:tcPr>
            <w:tcW w:type="dxa" w:w="1984"/>
          </w:tcPr>
          <w:p>
            <w:r/>
            <w:r>
              <w:rPr>
                <w:color w:val="1A1D21"/>
                <w:sz w:val="17"/>
              </w:rPr>
              <w:t>Revenue</w:t>
            </w:r>
          </w:p>
        </w:tc>
        <w:tc>
          <w:tcPr>
            <w:tcW w:type="dxa" w:w="1026"/>
          </w:tcPr>
          <w:p>
            <w:pPr>
              <w:jc w:val="right"/>
            </w:pPr>
            <w:r/>
            <w:r>
              <w:rPr>
                <w:color w:val="1A1D21"/>
                <w:sz w:val="17"/>
              </w:rPr>
              <w:t>40,148</w:t>
            </w:r>
          </w:p>
        </w:tc>
        <w:tc>
          <w:tcPr>
            <w:tcW w:type="dxa" w:w="1026"/>
          </w:tcPr>
          <w:p>
            <w:pPr>
              <w:jc w:val="right"/>
            </w:pPr>
            <w:r/>
            <w:r>
              <w:rPr>
                <w:color w:val="1A1D21"/>
                <w:sz w:val="17"/>
              </w:rPr>
              <w:t>51,711</w:t>
            </w:r>
          </w:p>
        </w:tc>
        <w:tc>
          <w:tcPr>
            <w:tcW w:type="dxa" w:w="1026"/>
          </w:tcPr>
          <w:p>
            <w:pPr>
              <w:jc w:val="right"/>
            </w:pPr>
            <w:r/>
            <w:r>
              <w:rPr>
                <w:color w:val="1A1D21"/>
                <w:sz w:val="17"/>
              </w:rPr>
              <w:t>63,974</w:t>
            </w:r>
          </w:p>
        </w:tc>
        <w:tc>
          <w:tcPr>
            <w:tcW w:type="dxa" w:w="1026"/>
          </w:tcPr>
          <w:p>
            <w:pPr>
              <w:jc w:val="right"/>
            </w:pPr>
            <w:r/>
            <w:r>
              <w:rPr>
                <w:color w:val="1A1D21"/>
                <w:sz w:val="17"/>
              </w:rPr>
              <w:t>77,024</w:t>
            </w:r>
          </w:p>
        </w:tc>
        <w:tc>
          <w:tcPr>
            <w:tcW w:type="dxa" w:w="1026"/>
          </w:tcPr>
          <w:p>
            <w:pPr>
              <w:jc w:val="right"/>
            </w:pPr>
            <w:r/>
            <w:r>
              <w:rPr>
                <w:color w:val="1A1D21"/>
                <w:sz w:val="17"/>
              </w:rPr>
              <w:t>91,070</w:t>
            </w:r>
          </w:p>
        </w:tc>
        <w:tc>
          <w:tcPr>
            <w:tcW w:type="dxa" w:w="1026"/>
          </w:tcPr>
          <w:p>
            <w:pPr>
              <w:jc w:val="right"/>
            </w:pPr>
            <w:r/>
            <w:r>
              <w:rPr>
                <w:color w:val="1A1D21"/>
                <w:sz w:val="17"/>
              </w:rPr>
              <w:t>170,760</w:t>
            </w:r>
          </w:p>
        </w:tc>
        <w:tc>
          <w:tcPr>
            <w:tcW w:type="dxa" w:w="1026"/>
          </w:tcPr>
          <w:p>
            <w:pPr>
              <w:jc w:val="right"/>
            </w:pPr>
            <w:r/>
            <w:r>
              <w:rPr>
                <w:color w:val="1A1D21"/>
                <w:sz w:val="17"/>
              </w:rPr>
              <w:t>243,093</w:t>
            </w:r>
          </w:p>
        </w:tc>
      </w:tr>
      <w:tr>
        <w:trPr>
          <w:cantSplit/>
        </w:trPr>
        <w:tc>
          <w:tcPr>
            <w:tcW w:type="dxa" w:w="1984"/>
          </w:tcPr>
          <w:p>
            <w:r/>
            <w:r>
              <w:rPr>
                <w:color w:val="1A1D21"/>
                <w:sz w:val="17"/>
              </w:rPr>
              <w:t>Cost per delivered unit (EGP mn)</w:t>
            </w:r>
          </w:p>
        </w:tc>
        <w:tc>
          <w:tcPr>
            <w:tcW w:type="dxa" w:w="1026"/>
          </w:tcPr>
          <w:p>
            <w:pPr>
              <w:jc w:val="right"/>
            </w:pPr>
            <w:r/>
            <w:r>
              <w:rPr>
                <w:color w:val="1A1D21"/>
                <w:sz w:val="17"/>
              </w:rPr>
              <w:t>12.73</w:t>
            </w:r>
          </w:p>
        </w:tc>
        <w:tc>
          <w:tcPr>
            <w:tcW w:type="dxa" w:w="1026"/>
          </w:tcPr>
          <w:p>
            <w:pPr>
              <w:jc w:val="right"/>
            </w:pPr>
            <w:r/>
            <w:r>
              <w:rPr>
                <w:color w:val="1A1D21"/>
                <w:sz w:val="17"/>
              </w:rPr>
              <w:t>14.25</w:t>
            </w:r>
          </w:p>
        </w:tc>
        <w:tc>
          <w:tcPr>
            <w:tcW w:type="dxa" w:w="1026"/>
          </w:tcPr>
          <w:p>
            <w:pPr>
              <w:jc w:val="right"/>
            </w:pPr>
            <w:r/>
            <w:r>
              <w:rPr>
                <w:color w:val="1A1D21"/>
                <w:sz w:val="17"/>
              </w:rPr>
              <w:t>15.54</w:t>
            </w:r>
          </w:p>
        </w:tc>
        <w:tc>
          <w:tcPr>
            <w:tcW w:type="dxa" w:w="1026"/>
          </w:tcPr>
          <w:p>
            <w:pPr>
              <w:jc w:val="right"/>
            </w:pPr>
            <w:r/>
            <w:r>
              <w:rPr>
                <w:color w:val="1A1D21"/>
                <w:sz w:val="17"/>
              </w:rPr>
              <w:t>16.70</w:t>
            </w:r>
          </w:p>
        </w:tc>
        <w:tc>
          <w:tcPr>
            <w:tcW w:type="dxa" w:w="1026"/>
          </w:tcPr>
          <w:p>
            <w:pPr>
              <w:jc w:val="right"/>
            </w:pPr>
            <w:r/>
            <w:r>
              <w:rPr>
                <w:color w:val="1A1D21"/>
                <w:sz w:val="17"/>
              </w:rPr>
              <w:t>17.87</w:t>
            </w:r>
          </w:p>
        </w:tc>
        <w:tc>
          <w:tcPr>
            <w:tcW w:type="dxa" w:w="1026"/>
          </w:tcPr>
          <w:p>
            <w:pPr>
              <w:jc w:val="right"/>
            </w:pPr>
            <w:r/>
            <w:r>
              <w:rPr>
                <w:color w:val="1A1D21"/>
                <w:sz w:val="17"/>
              </w:rPr>
              <w:t>25.07</w:t>
            </w:r>
          </w:p>
        </w:tc>
        <w:tc>
          <w:tcPr>
            <w:tcW w:type="dxa" w:w="1026"/>
          </w:tcPr>
          <w:p>
            <w:pPr>
              <w:jc w:val="right"/>
            </w:pPr>
            <w:r/>
            <w:r>
              <w:rPr>
                <w:color w:val="1A1D21"/>
                <w:sz w:val="17"/>
              </w:rPr>
              <w:t>35.16</w:t>
            </w:r>
          </w:p>
        </w:tc>
      </w:tr>
      <w:tr>
        <w:trPr>
          <w:cantSplit/>
        </w:trPr>
        <w:tc>
          <w:tcPr>
            <w:tcW w:type="dxa" w:w="1984"/>
          </w:tcPr>
          <w:p>
            <w:r/>
            <w:r>
              <w:rPr>
                <w:color w:val="1A1D21"/>
                <w:sz w:val="17"/>
              </w:rPr>
              <w:t>Cost of revenue</w:t>
            </w:r>
          </w:p>
        </w:tc>
        <w:tc>
          <w:tcPr>
            <w:tcW w:type="dxa" w:w="1026"/>
          </w:tcPr>
          <w:p>
            <w:pPr>
              <w:jc w:val="right"/>
            </w:pPr>
            <w:r/>
            <w:r>
              <w:rPr>
                <w:color w:val="1A1D21"/>
                <w:sz w:val="17"/>
              </w:rPr>
              <w:t>25,902</w:t>
            </w:r>
          </w:p>
        </w:tc>
        <w:tc>
          <w:tcPr>
            <w:tcW w:type="dxa" w:w="1026"/>
          </w:tcPr>
          <w:p>
            <w:pPr>
              <w:jc w:val="right"/>
            </w:pPr>
            <w:r/>
            <w:r>
              <w:rPr>
                <w:color w:val="1A1D21"/>
                <w:sz w:val="17"/>
              </w:rPr>
              <w:t>33,362</w:t>
            </w:r>
          </w:p>
        </w:tc>
        <w:tc>
          <w:tcPr>
            <w:tcW w:type="dxa" w:w="1026"/>
          </w:tcPr>
          <w:p>
            <w:pPr>
              <w:jc w:val="right"/>
            </w:pPr>
            <w:r/>
            <w:r>
              <w:rPr>
                <w:color w:val="1A1D21"/>
                <w:sz w:val="17"/>
              </w:rPr>
              <w:t>41,273</w:t>
            </w:r>
          </w:p>
        </w:tc>
        <w:tc>
          <w:tcPr>
            <w:tcW w:type="dxa" w:w="1026"/>
          </w:tcPr>
          <w:p>
            <w:pPr>
              <w:jc w:val="right"/>
            </w:pPr>
            <w:r/>
            <w:r>
              <w:rPr>
                <w:color w:val="1A1D21"/>
                <w:sz w:val="17"/>
              </w:rPr>
              <w:t>49,693</w:t>
            </w:r>
          </w:p>
        </w:tc>
        <w:tc>
          <w:tcPr>
            <w:tcW w:type="dxa" w:w="1026"/>
          </w:tcPr>
          <w:p>
            <w:pPr>
              <w:jc w:val="right"/>
            </w:pPr>
            <w:r/>
            <w:r>
              <w:rPr>
                <w:color w:val="1A1D21"/>
                <w:sz w:val="17"/>
              </w:rPr>
              <w:t>58,755</w:t>
            </w:r>
          </w:p>
        </w:tc>
        <w:tc>
          <w:tcPr>
            <w:tcW w:type="dxa" w:w="1026"/>
          </w:tcPr>
          <w:p>
            <w:pPr>
              <w:jc w:val="right"/>
            </w:pPr>
            <w:r/>
            <w:r>
              <w:rPr>
                <w:color w:val="1A1D21"/>
                <w:sz w:val="17"/>
              </w:rPr>
              <w:t>110,168</w:t>
            </w:r>
          </w:p>
        </w:tc>
        <w:tc>
          <w:tcPr>
            <w:tcW w:type="dxa" w:w="1026"/>
          </w:tcPr>
          <w:p>
            <w:pPr>
              <w:jc w:val="right"/>
            </w:pPr>
            <w:r/>
            <w:r>
              <w:rPr>
                <w:color w:val="1A1D21"/>
                <w:sz w:val="17"/>
              </w:rPr>
              <w:t>156,834</w:t>
            </w:r>
          </w:p>
        </w:tc>
      </w:tr>
      <w:tr>
        <w:trPr>
          <w:cantSplit/>
        </w:trPr>
        <w:tc>
          <w:tcPr>
            <w:tcW w:type="dxa" w:w="1984"/>
          </w:tcPr>
          <w:p>
            <w:r/>
            <w:r>
              <w:rPr>
                <w:color w:val="1A1D21"/>
                <w:sz w:val="17"/>
              </w:rPr>
              <w:t>Gross profit</w:t>
            </w:r>
          </w:p>
        </w:tc>
        <w:tc>
          <w:tcPr>
            <w:tcW w:type="dxa" w:w="1026"/>
          </w:tcPr>
          <w:p>
            <w:pPr>
              <w:jc w:val="right"/>
            </w:pPr>
            <w:r/>
            <w:r>
              <w:rPr>
                <w:color w:val="1A1D21"/>
                <w:sz w:val="17"/>
              </w:rPr>
              <w:t>14,246</w:t>
            </w:r>
          </w:p>
        </w:tc>
        <w:tc>
          <w:tcPr>
            <w:tcW w:type="dxa" w:w="1026"/>
          </w:tcPr>
          <w:p>
            <w:pPr>
              <w:jc w:val="right"/>
            </w:pPr>
            <w:r/>
            <w:r>
              <w:rPr>
                <w:color w:val="1A1D21"/>
                <w:sz w:val="17"/>
              </w:rPr>
              <w:t>18,349</w:t>
            </w:r>
          </w:p>
        </w:tc>
        <w:tc>
          <w:tcPr>
            <w:tcW w:type="dxa" w:w="1026"/>
          </w:tcPr>
          <w:p>
            <w:pPr>
              <w:jc w:val="right"/>
            </w:pPr>
            <w:r/>
            <w:r>
              <w:rPr>
                <w:color w:val="1A1D21"/>
                <w:sz w:val="17"/>
              </w:rPr>
              <w:t>22,700</w:t>
            </w:r>
          </w:p>
        </w:tc>
        <w:tc>
          <w:tcPr>
            <w:tcW w:type="dxa" w:w="1026"/>
          </w:tcPr>
          <w:p>
            <w:pPr>
              <w:jc w:val="right"/>
            </w:pPr>
            <w:r/>
            <w:r>
              <w:rPr>
                <w:color w:val="1A1D21"/>
                <w:sz w:val="17"/>
              </w:rPr>
              <w:t>27,331</w:t>
            </w:r>
          </w:p>
        </w:tc>
        <w:tc>
          <w:tcPr>
            <w:tcW w:type="dxa" w:w="1026"/>
          </w:tcPr>
          <w:p>
            <w:pPr>
              <w:jc w:val="right"/>
            </w:pPr>
            <w:r/>
            <w:r>
              <w:rPr>
                <w:color w:val="1A1D21"/>
                <w:sz w:val="17"/>
              </w:rPr>
              <w:t>32,315</w:t>
            </w:r>
          </w:p>
        </w:tc>
        <w:tc>
          <w:tcPr>
            <w:tcW w:type="dxa" w:w="1026"/>
          </w:tcPr>
          <w:p>
            <w:pPr>
              <w:jc w:val="right"/>
            </w:pPr>
            <w:r/>
            <w:r>
              <w:rPr>
                <w:color w:val="1A1D21"/>
                <w:sz w:val="17"/>
              </w:rPr>
              <w:t>60,592</w:t>
            </w:r>
          </w:p>
        </w:tc>
        <w:tc>
          <w:tcPr>
            <w:tcW w:type="dxa" w:w="1026"/>
          </w:tcPr>
          <w:p>
            <w:pPr>
              <w:jc w:val="right"/>
            </w:pPr>
            <w:r/>
            <w:r>
              <w:rPr>
                <w:color w:val="1A1D21"/>
                <w:sz w:val="17"/>
              </w:rPr>
              <w:t>86,259</w:t>
            </w:r>
          </w:p>
        </w:tc>
      </w:tr>
      <w:tr>
        <w:trPr>
          <w:cantSplit/>
        </w:trPr>
        <w:tc>
          <w:tcPr>
            <w:tcW w:type="dxa" w:w="1984"/>
          </w:tcPr>
          <w:p>
            <w:r/>
            <w:r>
              <w:rPr>
                <w:color w:val="1A1D21"/>
                <w:sz w:val="17"/>
              </w:rPr>
              <w:t>Gross margin (output)</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r>
      <w:tr>
        <w:trPr>
          <w:cantSplit/>
        </w:trPr>
        <w:tc>
          <w:tcPr>
            <w:tcW w:type="dxa" w:w="1984"/>
          </w:tcPr>
          <w:p>
            <w:r/>
            <w:r>
              <w:rPr>
                <w:color w:val="1A1D21"/>
                <w:sz w:val="17"/>
              </w:rPr>
              <w:t>Overheads</w:t>
            </w:r>
          </w:p>
        </w:tc>
        <w:tc>
          <w:tcPr>
            <w:tcW w:type="dxa" w:w="1026"/>
          </w:tcPr>
          <w:p>
            <w:pPr>
              <w:jc w:val="right"/>
            </w:pPr>
            <w:r/>
            <w:r>
              <w:rPr>
                <w:color w:val="1A1D21"/>
                <w:sz w:val="17"/>
              </w:rPr>
              <w:t>7,066</w:t>
            </w:r>
          </w:p>
        </w:tc>
        <w:tc>
          <w:tcPr>
            <w:tcW w:type="dxa" w:w="1026"/>
          </w:tcPr>
          <w:p>
            <w:pPr>
              <w:jc w:val="right"/>
            </w:pPr>
            <w:r/>
            <w:r>
              <w:rPr>
                <w:color w:val="1A1D21"/>
                <w:sz w:val="17"/>
              </w:rPr>
              <w:t>9,101</w:t>
            </w:r>
          </w:p>
        </w:tc>
        <w:tc>
          <w:tcPr>
            <w:tcW w:type="dxa" w:w="1026"/>
          </w:tcPr>
          <w:p>
            <w:pPr>
              <w:jc w:val="right"/>
            </w:pPr>
            <w:r/>
            <w:r>
              <w:rPr>
                <w:color w:val="1A1D21"/>
                <w:sz w:val="17"/>
              </w:rPr>
              <w:t>11,259</w:t>
            </w:r>
          </w:p>
        </w:tc>
        <w:tc>
          <w:tcPr>
            <w:tcW w:type="dxa" w:w="1026"/>
          </w:tcPr>
          <w:p>
            <w:pPr>
              <w:jc w:val="right"/>
            </w:pPr>
            <w:r/>
            <w:r>
              <w:rPr>
                <w:color w:val="1A1D21"/>
                <w:sz w:val="17"/>
              </w:rPr>
              <w:t>13,556</w:t>
            </w:r>
          </w:p>
        </w:tc>
        <w:tc>
          <w:tcPr>
            <w:tcW w:type="dxa" w:w="1026"/>
          </w:tcPr>
          <w:p>
            <w:pPr>
              <w:jc w:val="right"/>
            </w:pPr>
            <w:r/>
            <w:r>
              <w:rPr>
                <w:color w:val="1A1D21"/>
                <w:sz w:val="17"/>
              </w:rPr>
              <w:t>16,028</w:t>
            </w:r>
          </w:p>
        </w:tc>
        <w:tc>
          <w:tcPr>
            <w:tcW w:type="dxa" w:w="1026"/>
          </w:tcPr>
          <w:p>
            <w:pPr>
              <w:jc w:val="right"/>
            </w:pPr>
            <w:r/>
            <w:r>
              <w:rPr>
                <w:color w:val="1A1D21"/>
                <w:sz w:val="17"/>
              </w:rPr>
              <w:t>30,053</w:t>
            </w:r>
          </w:p>
        </w:tc>
        <w:tc>
          <w:tcPr>
            <w:tcW w:type="dxa" w:w="1026"/>
          </w:tcPr>
          <w:p>
            <w:pPr>
              <w:jc w:val="right"/>
            </w:pPr>
            <w:r/>
            <w:r>
              <w:rPr>
                <w:color w:val="1A1D21"/>
                <w:sz w:val="17"/>
              </w:rPr>
              <w:t>42,783</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Finance cost</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r>
      <w:tr>
        <w:trPr>
          <w:cantSplit/>
        </w:trPr>
        <w:tc>
          <w:tcPr>
            <w:tcW w:type="dxa" w:w="1984"/>
          </w:tcPr>
          <w:p>
            <w:r/>
            <w:r>
              <w:rPr>
                <w:color w:val="1A1D21"/>
                <w:sz w:val="17"/>
              </w:rPr>
              <w:t>Profit before tax</w:t>
            </w:r>
          </w:p>
        </w:tc>
        <w:tc>
          <w:tcPr>
            <w:tcW w:type="dxa" w:w="1026"/>
          </w:tcPr>
          <w:p>
            <w:pPr>
              <w:jc w:val="right"/>
            </w:pPr>
            <w:r/>
            <w:r>
              <w:rPr>
                <w:color w:val="1A1D21"/>
                <w:sz w:val="17"/>
              </w:rPr>
              <w:t>3,440</w:t>
            </w:r>
          </w:p>
        </w:tc>
        <w:tc>
          <w:tcPr>
            <w:tcW w:type="dxa" w:w="1026"/>
          </w:tcPr>
          <w:p>
            <w:pPr>
              <w:jc w:val="right"/>
            </w:pPr>
            <w:r/>
            <w:r>
              <w:rPr>
                <w:color w:val="1A1D21"/>
                <w:sz w:val="17"/>
              </w:rPr>
              <w:t>5,395</w:t>
            </w:r>
          </w:p>
        </w:tc>
        <w:tc>
          <w:tcPr>
            <w:tcW w:type="dxa" w:w="1026"/>
          </w:tcPr>
          <w:p>
            <w:pPr>
              <w:jc w:val="right"/>
            </w:pPr>
            <w:r/>
            <w:r>
              <w:rPr>
                <w:color w:val="1A1D21"/>
                <w:sz w:val="17"/>
              </w:rPr>
              <w:t>7,468</w:t>
            </w:r>
          </w:p>
        </w:tc>
        <w:tc>
          <w:tcPr>
            <w:tcW w:type="dxa" w:w="1026"/>
          </w:tcPr>
          <w:p>
            <w:pPr>
              <w:jc w:val="right"/>
            </w:pPr>
            <w:r/>
            <w:r>
              <w:rPr>
                <w:color w:val="1A1D21"/>
                <w:sz w:val="17"/>
              </w:rPr>
              <w:t>9,675</w:t>
            </w:r>
          </w:p>
        </w:tc>
        <w:tc>
          <w:tcPr>
            <w:tcW w:type="dxa" w:w="1026"/>
          </w:tcPr>
          <w:p>
            <w:pPr>
              <w:jc w:val="right"/>
            </w:pPr>
            <w:r/>
            <w:r>
              <w:rPr>
                <w:color w:val="1A1D21"/>
                <w:sz w:val="17"/>
              </w:rPr>
              <w:t>12,049</w:t>
            </w:r>
          </w:p>
        </w:tc>
        <w:tc>
          <w:tcPr>
            <w:tcW w:type="dxa" w:w="1026"/>
          </w:tcPr>
          <w:p>
            <w:pPr>
              <w:jc w:val="right"/>
            </w:pPr>
            <w:r/>
            <w:r>
              <w:rPr>
                <w:color w:val="1A1D21"/>
                <w:sz w:val="17"/>
              </w:rPr>
              <w:t>25,522</w:t>
            </w:r>
          </w:p>
        </w:tc>
        <w:tc>
          <w:tcPr>
            <w:tcW w:type="dxa" w:w="1026"/>
          </w:tcPr>
          <w:p>
            <w:pPr>
              <w:jc w:val="right"/>
            </w:pPr>
            <w:r/>
            <w:r>
              <w:rPr>
                <w:color w:val="1A1D21"/>
                <w:sz w:val="17"/>
              </w:rPr>
              <w:t>37,751</w:t>
            </w:r>
          </w:p>
        </w:tc>
      </w:tr>
      <w:tr>
        <w:trPr>
          <w:cantSplit/>
        </w:trPr>
        <w:tc>
          <w:tcPr>
            <w:tcW w:type="dxa" w:w="1984"/>
          </w:tcPr>
          <w:p>
            <w:r/>
            <w:r>
              <w:rPr>
                <w:color w:val="1A1D21"/>
                <w:sz w:val="17"/>
              </w:rPr>
              <w:t>Tax rate</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Earnings per share (EGP)</w:t>
            </w:r>
          </w:p>
        </w:tc>
        <w:tc>
          <w:tcPr>
            <w:tcW w:type="dxa" w:w="1026"/>
          </w:tcPr>
          <w:p>
            <w:pPr>
              <w:jc w:val="right"/>
            </w:pPr>
            <w:r/>
            <w:r>
              <w:rPr>
                <w:color w:val="1A1D21"/>
                <w:sz w:val="17"/>
              </w:rPr>
              <w:t>0.93</w:t>
            </w:r>
          </w:p>
        </w:tc>
        <w:tc>
          <w:tcPr>
            <w:tcW w:type="dxa" w:w="1026"/>
          </w:tcPr>
          <w:p>
            <w:pPr>
              <w:jc w:val="right"/>
            </w:pPr>
            <w:r/>
            <w:r>
              <w:rPr>
                <w:color w:val="1A1D21"/>
                <w:sz w:val="17"/>
              </w:rPr>
              <w:t>1.46</w:t>
            </w:r>
          </w:p>
        </w:tc>
        <w:tc>
          <w:tcPr>
            <w:tcW w:type="dxa" w:w="1026"/>
          </w:tcPr>
          <w:p>
            <w:pPr>
              <w:jc w:val="right"/>
            </w:pPr>
            <w:r/>
            <w:r>
              <w:rPr>
                <w:color w:val="1A1D21"/>
                <w:sz w:val="17"/>
              </w:rPr>
              <w:t>2.02</w:t>
            </w:r>
          </w:p>
        </w:tc>
        <w:tc>
          <w:tcPr>
            <w:tcW w:type="dxa" w:w="1026"/>
          </w:tcPr>
          <w:p>
            <w:pPr>
              <w:jc w:val="right"/>
            </w:pPr>
            <w:r/>
            <w:r>
              <w:rPr>
                <w:color w:val="1A1D21"/>
                <w:sz w:val="17"/>
              </w:rPr>
              <w:t>2.62</w:t>
            </w:r>
          </w:p>
        </w:tc>
        <w:tc>
          <w:tcPr>
            <w:tcW w:type="dxa" w:w="1026"/>
          </w:tcPr>
          <w:p>
            <w:pPr>
              <w:jc w:val="right"/>
            </w:pPr>
            <w:r/>
            <w:r>
              <w:rPr>
                <w:color w:val="1A1D21"/>
                <w:sz w:val="17"/>
              </w:rPr>
              <w:t>3.27</w:t>
            </w:r>
          </w:p>
        </w:tc>
        <w:tc>
          <w:tcPr>
            <w:tcW w:type="dxa" w:w="1026"/>
          </w:tcPr>
          <w:p>
            <w:pPr>
              <w:jc w:val="right"/>
            </w:pPr>
            <w:r/>
            <w:r>
              <w:rPr>
                <w:color w:val="1A1D21"/>
                <w:sz w:val="17"/>
              </w:rPr>
              <w:t>6.92</w:t>
            </w:r>
          </w:p>
        </w:tc>
        <w:tc>
          <w:tcPr>
            <w:tcW w:type="dxa" w:w="1026"/>
          </w:tcPr>
          <w:p>
            <w:pPr>
              <w:jc w:val="right"/>
            </w:pPr>
            <w:r/>
            <w:r>
              <w:rPr>
                <w:color w:val="1A1D21"/>
                <w:sz w:val="17"/>
              </w:rPr>
              <w:t>10.23</w:t>
            </w:r>
          </w:p>
        </w:tc>
      </w:tr>
      <w:tr>
        <w:trPr>
          <w:cantSplit/>
        </w:trPr>
        <w:tc>
          <w:tcPr>
            <w:tcW w:type="dxa" w:w="1984"/>
          </w:tcPr>
          <w:p>
            <w:r/>
            <w:r>
              <w:rPr>
                <w:color w:val="1A1D21"/>
                <w:sz w:val="17"/>
              </w:rPr>
              <w:t>Order book, closing</w:t>
            </w:r>
          </w:p>
        </w:tc>
        <w:tc>
          <w:tcPr>
            <w:tcW w:type="dxa" w:w="1026"/>
          </w:tcPr>
          <w:p>
            <w:pPr>
              <w:jc w:val="right"/>
            </w:pPr>
            <w:r/>
            <w:r>
              <w:rPr>
                <w:color w:val="1A1D21"/>
                <w:sz w:val="17"/>
              </w:rPr>
              <w:t>352,564</w:t>
            </w:r>
          </w:p>
        </w:tc>
        <w:tc>
          <w:tcPr>
            <w:tcW w:type="dxa" w:w="1026"/>
          </w:tcPr>
          <w:p>
            <w:pPr>
              <w:jc w:val="right"/>
            </w:pPr>
            <w:r/>
            <w:r>
              <w:rPr>
                <w:color w:val="1A1D21"/>
                <w:sz w:val="17"/>
              </w:rPr>
              <w:t>446,131</w:t>
            </w:r>
          </w:p>
        </w:tc>
        <w:tc>
          <w:tcPr>
            <w:tcW w:type="dxa" w:w="1026"/>
          </w:tcPr>
          <w:p>
            <w:pPr>
              <w:jc w:val="right"/>
            </w:pPr>
            <w:r/>
            <w:r>
              <w:rPr>
                <w:color w:val="1A1D21"/>
                <w:sz w:val="17"/>
              </w:rPr>
              <w:t>540,510</w:t>
            </w:r>
          </w:p>
        </w:tc>
        <w:tc>
          <w:tcPr>
            <w:tcW w:type="dxa" w:w="1026"/>
          </w:tcPr>
          <w:p>
            <w:pPr>
              <w:jc w:val="right"/>
            </w:pPr>
            <w:r/>
            <w:r>
              <w:rPr>
                <w:color w:val="1A1D21"/>
                <w:sz w:val="17"/>
              </w:rPr>
              <w:t>633,714</w:t>
            </w:r>
          </w:p>
        </w:tc>
        <w:tc>
          <w:tcPr>
            <w:tcW w:type="dxa" w:w="1026"/>
          </w:tcPr>
          <w:p>
            <w:pPr>
              <w:jc w:val="right"/>
            </w:pPr>
            <w:r/>
            <w:r>
              <w:rPr>
                <w:color w:val="1A1D21"/>
                <w:sz w:val="17"/>
              </w:rPr>
              <w:t>724,789</w:t>
            </w:r>
          </w:p>
        </w:tc>
        <w:tc>
          <w:tcPr>
            <w:tcW w:type="dxa" w:w="1026"/>
          </w:tcPr>
          <w:p>
            <w:pPr>
              <w:jc w:val="right"/>
            </w:pPr>
            <w:r/>
            <w:r>
              <w:rPr>
                <w:color w:val="1A1D21"/>
                <w:sz w:val="17"/>
              </w:rPr>
              <w:t>1,152,921</w:t>
            </w:r>
          </w:p>
        </w:tc>
        <w:tc>
          <w:tcPr>
            <w:tcW w:type="dxa" w:w="1026"/>
          </w:tcPr>
          <w:p>
            <w:pPr>
              <w:jc w:val="right"/>
            </w:pPr>
            <w:r/>
            <w:r>
              <w:rPr>
                <w:color w:val="1A1D21"/>
                <w:sz w:val="17"/>
              </w:rPr>
              <w:t>1,658,388</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28,876</w:t>
            </w:r>
          </w:p>
        </w:tc>
        <w:tc>
          <w:tcPr>
            <w:tcW w:type="dxa" w:w="1928"/>
          </w:tcPr>
          <w:p>
            <w:pPr>
              <w:jc w:val="right"/>
            </w:pPr>
            <w:r/>
            <w:r>
              <w:rPr>
                <w:color w:val="1A1D21"/>
                <w:sz w:val="17"/>
              </w:rPr>
              <w:t>63,974</w:t>
            </w:r>
          </w:p>
        </w:tc>
        <w:tc>
          <w:tcPr>
            <w:tcW w:type="dxa" w:w="1928"/>
          </w:tcPr>
          <w:p>
            <w:pPr>
              <w:jc w:val="right"/>
            </w:pPr>
            <w:r/>
            <w:r>
              <w:rPr>
                <w:color w:val="1A1D21"/>
                <w:sz w:val="17"/>
              </w:rPr>
              <w:t>121,224</w:t>
            </w:r>
          </w:p>
        </w:tc>
      </w:tr>
      <w:tr>
        <w:trPr>
          <w:cantSplit/>
        </w:trPr>
        <w:tc>
          <w:tcPr>
            <w:tcW w:type="dxa" w:w="3402"/>
          </w:tcPr>
          <w:p>
            <w:r/>
            <w:r>
              <w:rPr>
                <w:color w:val="1A1D21"/>
                <w:sz w:val="17"/>
              </w:rPr>
              <w:t>2029</w:t>
            </w:r>
          </w:p>
        </w:tc>
        <w:tc>
          <w:tcPr>
            <w:tcW w:type="dxa" w:w="1928"/>
          </w:tcPr>
          <w:p>
            <w:pPr>
              <w:jc w:val="right"/>
            </w:pPr>
            <w:r/>
            <w:r>
              <w:rPr>
                <w:color w:val="1A1D21"/>
                <w:sz w:val="17"/>
              </w:rPr>
              <w:t>37,188</w:t>
            </w:r>
          </w:p>
        </w:tc>
        <w:tc>
          <w:tcPr>
            <w:tcW w:type="dxa" w:w="1928"/>
          </w:tcPr>
          <w:p>
            <w:pPr>
              <w:jc w:val="right"/>
            </w:pPr>
            <w:r/>
            <w:r>
              <w:rPr>
                <w:color w:val="1A1D21"/>
                <w:sz w:val="17"/>
              </w:rPr>
              <w:t>77,024</w:t>
            </w:r>
          </w:p>
        </w:tc>
        <w:tc>
          <w:tcPr>
            <w:tcW w:type="dxa" w:w="1928"/>
          </w:tcPr>
          <w:p>
            <w:pPr>
              <w:jc w:val="right"/>
            </w:pPr>
            <w:r/>
            <w:r>
              <w:rPr>
                <w:color w:val="1A1D21"/>
                <w:sz w:val="17"/>
              </w:rPr>
              <w:t>163,342</w:t>
            </w:r>
          </w:p>
        </w:tc>
      </w:tr>
      <w:tr>
        <w:trPr>
          <w:cantSplit/>
        </w:trPr>
        <w:tc>
          <w:tcPr>
            <w:tcW w:type="dxa" w:w="3402"/>
          </w:tcPr>
          <w:p>
            <w:r/>
            <w:r>
              <w:rPr>
                <w:color w:val="1A1D21"/>
                <w:sz w:val="17"/>
              </w:rPr>
              <w:t>2030</w:t>
            </w:r>
          </w:p>
        </w:tc>
        <w:tc>
          <w:tcPr>
            <w:tcW w:type="dxa" w:w="1928"/>
          </w:tcPr>
          <w:p>
            <w:pPr>
              <w:jc w:val="right"/>
            </w:pPr>
            <w:r/>
            <w:r>
              <w:rPr>
                <w:color w:val="1A1D21"/>
                <w:sz w:val="17"/>
              </w:rPr>
              <w:t>59,447</w:t>
            </w:r>
          </w:p>
        </w:tc>
        <w:tc>
          <w:tcPr>
            <w:tcW w:type="dxa" w:w="1928"/>
          </w:tcPr>
          <w:p>
            <w:pPr>
              <w:jc w:val="right"/>
            </w:pPr>
            <w:r/>
            <w:r>
              <w:rPr>
                <w:color w:val="1A1D21"/>
                <w:sz w:val="17"/>
              </w:rPr>
              <w:t>91,070</w:t>
            </w:r>
          </w:p>
        </w:tc>
        <w:tc>
          <w:tcPr>
            <w:tcW w:type="dxa" w:w="1928"/>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r>
      <w:tr>
        <w:trPr>
          <w:cantSplit/>
        </w:trPr>
        <w:tc>
          <w:tcPr>
            <w:tcW w:type="dxa" w:w="1984"/>
          </w:tcPr>
          <w:p>
            <w:r/>
            <w:r>
              <w:rPr>
                <w:color w:val="1A1D21"/>
                <w:sz w:val="17"/>
              </w:rPr>
              <w:t>plus finance cost, after tax</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r>
      <w:tr>
        <w:trPr>
          <w:cantSplit/>
        </w:trPr>
        <w:tc>
          <w:tcPr>
            <w:tcW w:type="dxa" w:w="1984"/>
          </w:tcPr>
          <w:p>
            <w:r/>
            <w:r>
              <w:rPr>
                <w:color w:val="1A1D21"/>
                <w:sz w:val="17"/>
              </w:rPr>
              <w:t>less 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Free cash flow to the firm</w:t>
            </w:r>
          </w:p>
        </w:tc>
        <w:tc>
          <w:tcPr>
            <w:tcW w:type="dxa" w:w="1026"/>
          </w:tcPr>
          <w:p>
            <w:pPr>
              <w:jc w:val="right"/>
            </w:pPr>
            <w:r/>
            <w:r>
              <w:rPr>
                <w:color w:val="1A1D21"/>
                <w:sz w:val="17"/>
              </w:rPr>
              <w:t>5,691</w:t>
            </w:r>
          </w:p>
        </w:tc>
        <w:tc>
          <w:tcPr>
            <w:tcW w:type="dxa" w:w="1026"/>
          </w:tcPr>
          <w:p>
            <w:pPr>
              <w:jc w:val="right"/>
            </w:pPr>
            <w:r/>
            <w:r>
              <w:rPr>
                <w:color w:val="1A1D21"/>
                <w:sz w:val="17"/>
              </w:rPr>
              <w:t>6,583</w:t>
            </w:r>
          </w:p>
        </w:tc>
        <w:tc>
          <w:tcPr>
            <w:tcW w:type="dxa" w:w="1026"/>
          </w:tcPr>
          <w:p>
            <w:pPr>
              <w:jc w:val="right"/>
            </w:pPr>
            <w:r/>
            <w:r>
              <w:rPr>
                <w:color w:val="1A1D21"/>
                <w:sz w:val="17"/>
              </w:rPr>
              <w:t>7,529</w:t>
            </w:r>
          </w:p>
        </w:tc>
        <w:tc>
          <w:tcPr>
            <w:tcW w:type="dxa" w:w="1026"/>
          </w:tcPr>
          <w:p>
            <w:pPr>
              <w:jc w:val="right"/>
            </w:pPr>
            <w:r/>
            <w:r>
              <w:rPr>
                <w:color w:val="1A1D21"/>
                <w:sz w:val="17"/>
              </w:rPr>
              <w:t>8,536</w:t>
            </w:r>
          </w:p>
        </w:tc>
        <w:tc>
          <w:tcPr>
            <w:tcW w:type="dxa" w:w="1026"/>
          </w:tcPr>
          <w:p>
            <w:pPr>
              <w:jc w:val="right"/>
            </w:pPr>
            <w:r/>
            <w:r>
              <w:rPr>
                <w:color w:val="1A1D21"/>
                <w:sz w:val="17"/>
              </w:rPr>
              <w:t>9,619</w:t>
            </w:r>
          </w:p>
        </w:tc>
        <w:tc>
          <w:tcPr>
            <w:tcW w:type="dxa" w:w="1026"/>
          </w:tcPr>
          <w:p>
            <w:pPr>
              <w:jc w:val="right"/>
            </w:pPr>
            <w:r/>
            <w:r>
              <w:rPr>
                <w:color w:val="1A1D21"/>
                <w:sz w:val="17"/>
              </w:rPr>
              <w:t>15,766</w:t>
            </w:r>
          </w:p>
        </w:tc>
        <w:tc>
          <w:tcPr>
            <w:tcW w:type="dxa" w:w="1026"/>
          </w:tcPr>
          <w:p>
            <w:pPr>
              <w:jc w:val="right"/>
            </w:pPr>
            <w:r/>
            <w:r>
              <w:rPr>
                <w:color w:val="1A1D21"/>
                <w:sz w:val="17"/>
              </w:rPr>
              <w:t>21,346</w:t>
            </w:r>
          </w:p>
        </w:tc>
      </w:tr>
      <w:tr>
        <w:trPr>
          <w:cantSplit/>
        </w:trPr>
        <w:tc>
          <w:tcPr>
            <w:tcW w:type="dxa" w:w="1984"/>
          </w:tcPr>
          <w:p>
            <w:r/>
            <w:r>
              <w:rPr>
                <w:color w:val="1A1D21"/>
                <w:sz w:val="17"/>
              </w:rPr>
              <w:t>Cost of capital, that year</w:t>
            </w:r>
          </w:p>
        </w:tc>
        <w:tc>
          <w:tcPr>
            <w:tcW w:type="dxa" w:w="1026"/>
          </w:tcPr>
          <w:p>
            <w:pPr>
              <w:jc w:val="right"/>
            </w:pPr>
            <w:r/>
            <w:r>
              <w:rPr>
                <w:color w:val="1A1D21"/>
                <w:sz w:val="17"/>
              </w:rPr>
              <w:t>25.0%</w:t>
            </w:r>
          </w:p>
        </w:tc>
        <w:tc>
          <w:tcPr>
            <w:tcW w:type="dxa" w:w="1026"/>
          </w:tcPr>
          <w:p>
            <w:pPr>
              <w:jc w:val="right"/>
            </w:pPr>
            <w:r/>
            <w:r>
              <w:rPr>
                <w:color w:val="1A1D21"/>
                <w:sz w:val="17"/>
              </w:rPr>
              <w:t>21.4%</w:t>
            </w:r>
          </w:p>
        </w:tc>
        <w:tc>
          <w:tcPr>
            <w:tcW w:type="dxa" w:w="1026"/>
          </w:tcPr>
          <w:p>
            <w:pPr>
              <w:jc w:val="right"/>
            </w:pPr>
            <w:r/>
            <w:r>
              <w:rPr>
                <w:color w:val="1A1D21"/>
                <w:sz w:val="17"/>
              </w:rPr>
              <w:t>18.5%</w:t>
            </w:r>
          </w:p>
        </w:tc>
        <w:tc>
          <w:tcPr>
            <w:tcW w:type="dxa" w:w="1026"/>
          </w:tcPr>
          <w:p>
            <w:pPr>
              <w:jc w:val="right"/>
            </w:pPr>
            <w:r/>
            <w:r>
              <w:rPr>
                <w:color w:val="1A1D21"/>
                <w:sz w:val="17"/>
              </w:rPr>
              <w:t>16.4%</w:t>
            </w:r>
          </w:p>
        </w:tc>
        <w:tc>
          <w:tcPr>
            <w:tcW w:type="dxa" w:w="1026"/>
          </w:tcPr>
          <w:p>
            <w:pPr>
              <w:jc w:val="right"/>
            </w:pPr>
            <w:r/>
            <w:r>
              <w:rPr>
                <w:color w:val="1A1D21"/>
                <w:sz w:val="17"/>
              </w:rPr>
              <w:t>15.0%</w:t>
            </w:r>
          </w:p>
        </w:tc>
        <w:tc>
          <w:tcPr>
            <w:tcW w:type="dxa" w:w="1026"/>
          </w:tcPr>
          <w:p>
            <w:pPr>
              <w:jc w:val="right"/>
            </w:pPr>
            <w:r/>
            <w:r>
              <w:rPr>
                <w:color w:val="1A1D21"/>
                <w:sz w:val="17"/>
              </w:rPr>
              <w:t>15.0%</w:t>
            </w:r>
          </w:p>
        </w:tc>
        <w:tc>
          <w:tcPr>
            <w:tcW w:type="dxa" w:w="1026"/>
          </w:tcPr>
          <w:p>
            <w:pPr>
              <w:jc w:val="right"/>
            </w:pPr>
            <w:r/>
            <w:r>
              <w:rPr>
                <w:color w:val="1A1D21"/>
                <w:sz w:val="17"/>
              </w:rPr>
              <w:t>15.0%</w:t>
            </w:r>
          </w:p>
        </w:tc>
      </w:tr>
      <w:tr>
        <w:trPr>
          <w:cantSplit/>
        </w:trPr>
        <w:tc>
          <w:tcPr>
            <w:tcW w:type="dxa" w:w="1984"/>
          </w:tcPr>
          <w:p>
            <w:r/>
            <w:r>
              <w:rPr>
                <w:color w:val="1A1D21"/>
                <w:sz w:val="17"/>
              </w:rPr>
              <w:t>Discount factor</w:t>
            </w:r>
          </w:p>
        </w:tc>
        <w:tc>
          <w:tcPr>
            <w:tcW w:type="dxa" w:w="1026"/>
          </w:tcPr>
          <w:p>
            <w:pPr>
              <w:jc w:val="right"/>
            </w:pPr>
            <w:r/>
            <w:r>
              <w:rPr>
                <w:color w:val="1A1D21"/>
                <w:sz w:val="17"/>
              </w:rPr>
              <w:t>0.800</w:t>
            </w:r>
          </w:p>
        </w:tc>
        <w:tc>
          <w:tcPr>
            <w:tcW w:type="dxa" w:w="1026"/>
          </w:tcPr>
          <w:p>
            <w:pPr>
              <w:jc w:val="right"/>
            </w:pPr>
            <w:r/>
            <w:r>
              <w:rPr>
                <w:color w:val="1A1D21"/>
                <w:sz w:val="17"/>
              </w:rPr>
              <w:t>0.659</w:t>
            </w:r>
          </w:p>
        </w:tc>
        <w:tc>
          <w:tcPr>
            <w:tcW w:type="dxa" w:w="1026"/>
          </w:tcPr>
          <w:p>
            <w:pPr>
              <w:jc w:val="right"/>
            </w:pPr>
            <w:r/>
            <w:r>
              <w:rPr>
                <w:color w:val="1A1D21"/>
                <w:sz w:val="17"/>
              </w:rPr>
              <w:t>0.556</w:t>
            </w:r>
          </w:p>
        </w:tc>
        <w:tc>
          <w:tcPr>
            <w:tcW w:type="dxa" w:w="1026"/>
          </w:tcPr>
          <w:p>
            <w:pPr>
              <w:jc w:val="right"/>
            </w:pPr>
            <w:r/>
            <w:r>
              <w:rPr>
                <w:color w:val="1A1D21"/>
                <w:sz w:val="17"/>
              </w:rPr>
              <w:t>0.478</w:t>
            </w:r>
          </w:p>
        </w:tc>
        <w:tc>
          <w:tcPr>
            <w:tcW w:type="dxa" w:w="1026"/>
          </w:tcPr>
          <w:p>
            <w:pPr>
              <w:jc w:val="right"/>
            </w:pPr>
            <w:r/>
            <w:r>
              <w:rPr>
                <w:color w:val="1A1D21"/>
                <w:sz w:val="17"/>
              </w:rPr>
              <w:t>0.416</w:t>
            </w:r>
          </w:p>
        </w:tc>
        <w:tc>
          <w:tcPr>
            <w:tcW w:type="dxa" w:w="1026"/>
          </w:tcPr>
          <w:p>
            <w:pPr>
              <w:jc w:val="right"/>
            </w:pPr>
            <w:r/>
            <w:r>
              <w:rPr>
                <w:color w:val="1A1D21"/>
                <w:sz w:val="17"/>
              </w:rPr>
              <w:t>0.207</w:t>
            </w:r>
          </w:p>
        </w:tc>
        <w:tc>
          <w:tcPr>
            <w:tcW w:type="dxa" w:w="1026"/>
          </w:tcPr>
          <w:p>
            <w:pPr>
              <w:jc w:val="right"/>
            </w:pPr>
            <w:r/>
            <w:r>
              <w:rPr>
                <w:color w:val="1A1D21"/>
                <w:sz w:val="17"/>
              </w:rPr>
              <w:t>0.103</w:t>
            </w:r>
          </w:p>
        </w:tc>
      </w:tr>
      <w:tr>
        <w:trPr>
          <w:cantSplit/>
        </w:trPr>
        <w:tc>
          <w:tcPr>
            <w:tcW w:type="dxa" w:w="1984"/>
          </w:tcPr>
          <w:p>
            <w:r/>
            <w:r>
              <w:rPr>
                <w:color w:val="1A1D21"/>
                <w:sz w:val="17"/>
              </w:rPr>
              <w:t>Present value</w:t>
            </w:r>
          </w:p>
        </w:tc>
        <w:tc>
          <w:tcPr>
            <w:tcW w:type="dxa" w:w="1026"/>
          </w:tcPr>
          <w:p>
            <w:pPr>
              <w:jc w:val="right"/>
            </w:pPr>
            <w:r/>
            <w:r>
              <w:rPr>
                <w:color w:val="1A1D21"/>
                <w:sz w:val="17"/>
              </w:rPr>
              <w:t>4,554</w:t>
            </w:r>
          </w:p>
        </w:tc>
        <w:tc>
          <w:tcPr>
            <w:tcW w:type="dxa" w:w="1026"/>
          </w:tcPr>
          <w:p>
            <w:pPr>
              <w:jc w:val="right"/>
            </w:pPr>
            <w:r/>
            <w:r>
              <w:rPr>
                <w:color w:val="1A1D21"/>
                <w:sz w:val="17"/>
              </w:rPr>
              <w:t>4,339</w:t>
            </w:r>
          </w:p>
        </w:tc>
        <w:tc>
          <w:tcPr>
            <w:tcW w:type="dxa" w:w="1026"/>
          </w:tcPr>
          <w:p>
            <w:pPr>
              <w:jc w:val="right"/>
            </w:pPr>
            <w:r/>
            <w:r>
              <w:rPr>
                <w:color w:val="1A1D21"/>
                <w:sz w:val="17"/>
              </w:rPr>
              <w:t>4,187</w:t>
            </w:r>
          </w:p>
        </w:tc>
        <w:tc>
          <w:tcPr>
            <w:tcW w:type="dxa" w:w="1026"/>
          </w:tcPr>
          <w:p>
            <w:pPr>
              <w:jc w:val="right"/>
            </w:pPr>
            <w:r/>
            <w:r>
              <w:rPr>
                <w:color w:val="1A1D21"/>
                <w:sz w:val="17"/>
              </w:rPr>
              <w:t>4,078</w:t>
            </w:r>
          </w:p>
        </w:tc>
        <w:tc>
          <w:tcPr>
            <w:tcW w:type="dxa" w:w="1026"/>
          </w:tcPr>
          <w:p>
            <w:pPr>
              <w:jc w:val="right"/>
            </w:pPr>
            <w:r/>
            <w:r>
              <w:rPr>
                <w:color w:val="1A1D21"/>
                <w:sz w:val="17"/>
              </w:rPr>
              <w:t>3,997</w:t>
            </w:r>
          </w:p>
        </w:tc>
        <w:tc>
          <w:tcPr>
            <w:tcW w:type="dxa" w:w="1026"/>
          </w:tcPr>
          <w:p>
            <w:pPr>
              <w:jc w:val="right"/>
            </w:pPr>
            <w:r/>
            <w:r>
              <w:rPr>
                <w:color w:val="1A1D21"/>
                <w:sz w:val="17"/>
              </w:rPr>
              <w:t>3,261</w:t>
            </w:r>
          </w:p>
        </w:tc>
        <w:tc>
          <w:tcPr>
            <w:tcW w:type="dxa" w:w="1026"/>
          </w:tcPr>
          <w:p>
            <w:pPr>
              <w:jc w:val="right"/>
            </w:pPr>
            <w:r/>
            <w:r>
              <w:rPr>
                <w:color w:val="1A1D21"/>
                <w:sz w:val="17"/>
              </w:rPr>
              <w:t>2,197</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15 years</w:t>
            </w:r>
          </w:p>
        </w:tc>
        <w:tc>
          <w:tcPr>
            <w:tcW w:type="dxa" w:w="3175"/>
          </w:tcPr>
          <w:p>
            <w:pPr>
              <w:jc w:val="right"/>
            </w:pPr>
            <w:r/>
            <w:r>
              <w:rPr>
                <w:color w:val="1A1D21"/>
                <w:sz w:val="17"/>
              </w:rPr>
              <w:t>52,181.7</w:t>
            </w:r>
          </w:p>
        </w:tc>
      </w:tr>
      <w:tr>
        <w:trPr>
          <w:cantSplit/>
        </w:trPr>
        <w:tc>
          <w:tcPr>
            <w:tcW w:type="dxa" w:w="6009"/>
          </w:tcPr>
          <w:p>
            <w:r/>
            <w:r>
              <w:rPr>
                <w:color w:val="1A1D21"/>
                <w:sz w:val="17"/>
              </w:rPr>
              <w:t>Present value beyond year 15</w:t>
            </w:r>
          </w:p>
        </w:tc>
        <w:tc>
          <w:tcPr>
            <w:tcW w:type="dxa" w:w="3175"/>
          </w:tcPr>
          <w:p>
            <w:pPr>
              <w:jc w:val="right"/>
            </w:pPr>
            <w:r/>
            <w:r>
              <w:rPr>
                <w:color w:val="1A1D21"/>
                <w:sz w:val="17"/>
              </w:rPr>
              <w:t>29,482.4</w:t>
            </w:r>
          </w:p>
        </w:tc>
      </w:tr>
      <w:tr>
        <w:trPr>
          <w:cantSplit/>
        </w:trPr>
        <w:tc>
          <w:tcPr>
            <w:tcW w:type="dxa" w:w="6009"/>
          </w:tcPr>
          <w:p>
            <w:r/>
            <w:r>
              <w:rPr>
                <w:color w:val="1A1D21"/>
                <w:sz w:val="17"/>
              </w:rPr>
              <w:t>Enterprise value</w:t>
            </w:r>
          </w:p>
        </w:tc>
        <w:tc>
          <w:tcPr>
            <w:tcW w:type="dxa" w:w="3175"/>
          </w:tcPr>
          <w:p>
            <w:pPr>
              <w:jc w:val="right"/>
            </w:pPr>
            <w:r/>
            <w:r>
              <w:rPr>
                <w:color w:val="1A1D21"/>
                <w:sz w:val="17"/>
              </w:rPr>
              <w:t>81,664.1</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-23,244.7</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3,838.7</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1,020.5</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63,278.6</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-2,963.8</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60,314.7</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21.09</w:t>
            </w:r>
          </w:p>
        </w:tc>
      </w:tr>
    </w:tbl>
    <w:p>
      <w:pPr>
        <w:spacing w:after="200"/>
      </w:pPr>
      <w:r>
        <w:rPr>
          <w:b w:val="0"/>
          <w:i/>
          <w:color w:val="5B6570"/>
          <w:sz w:val="16"/>
        </w:rPr>
        <w:t>The terminal value is 36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30.8%,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30.77% less growth to about EGP 6.80 a share, and at the cost of equity alone, as an earlier edition did, to EGP 5.25.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8.39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2381"/>
        <w:gridCol w:w="1021"/>
        <w:gridCol w:w="1021"/>
        <w:gridCol w:w="1021"/>
        <w:gridCol w:w="1021"/>
        <w:gridCol w:w="2495"/>
      </w:tblGrid>
      <w:tr>
        <w:trPr>
          <w:tblHeader w:val="true"/>
        </w:trPr>
        <w:tc>
          <w:tcPr>
            <w:tcW w:type="dxa" w:w="2381"/>
          </w:tcPr>
          <w:p>
            <w:r/>
            <w:r>
              <w:rPr>
                <w:b/>
                <w:color w:val="5B6570"/>
                <w:sz w:val="17"/>
              </w:rPr>
              <w:t>Lens</w:t>
            </w:r>
          </w:p>
        </w:tc>
        <w:tc>
          <w:tcPr>
            <w:tcW w:type="dxa" w:w="1020"/>
          </w:tcPr>
          <w:p>
            <w:r/>
            <w:r>
              <w:rPr>
                <w:b/>
                <w:color w:val="5B6570"/>
                <w:sz w:val="17"/>
              </w:rPr>
              <w:t>Low</w:t>
            </w:r>
          </w:p>
        </w:tc>
        <w:tc>
          <w:tcPr>
            <w:tcW w:type="dxa" w:w="1020"/>
          </w:tcPr>
          <w:p>
            <w:r/>
            <w:r>
              <w:rPr>
                <w:b/>
                <w:color w:val="5B6570"/>
                <w:sz w:val="17"/>
              </w:rPr>
              <w:t>Central</w:t>
            </w:r>
          </w:p>
        </w:tc>
        <w:tc>
          <w:tcPr>
            <w:tcW w:type="dxa" w:w="1020"/>
          </w:tcPr>
          <w:p>
            <w:r/>
            <w:r>
              <w:rPr>
                <w:b/>
                <w:color w:val="5B6570"/>
                <w:sz w:val="17"/>
              </w:rPr>
              <w:t>High</w:t>
            </w:r>
          </w:p>
        </w:tc>
        <w:tc>
          <w:tcPr>
            <w:tcW w:type="dxa" w:w="1020"/>
          </w:tcPr>
          <w:p>
            <w:r/>
            <w:r>
              <w:rPr>
                <w:b/>
                <w:color w:val="5B6570"/>
                <w:sz w:val="17"/>
              </w:rPr>
              <w:t>Role</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020"/>
          </w:tcPr>
          <w:p>
            <w:pPr>
              <w:jc w:val="right"/>
            </w:pPr>
            <w:r/>
            <w:r>
              <w:rPr>
                <w:color w:val="1A1D21"/>
                <w:sz w:val="17"/>
              </w:rPr>
              <w:t>4.98</w:t>
            </w:r>
          </w:p>
        </w:tc>
        <w:tc>
          <w:tcPr>
            <w:tcW w:type="dxa" w:w="1020"/>
          </w:tcPr>
          <w:p>
            <w:pPr>
              <w:jc w:val="right"/>
            </w:pPr>
            <w:r/>
            <w:r>
              <w:rPr>
                <w:color w:val="1A1D21"/>
                <w:sz w:val="17"/>
              </w:rPr>
              <w:t>21.09</w:t>
            </w:r>
          </w:p>
        </w:tc>
        <w:tc>
          <w:tcPr>
            <w:tcW w:type="dxa" w:w="1020"/>
          </w:tcPr>
          <w:p>
            <w:pPr>
              <w:jc w:val="right"/>
            </w:pPr>
            <w:r/>
            <w:r>
              <w:rPr>
                <w:color w:val="1A1D21"/>
                <w:sz w:val="17"/>
              </w:rPr>
              <w:t>55.07</w:t>
            </w:r>
          </w:p>
        </w:tc>
        <w:tc>
          <w:tcPr>
            <w:tcW w:type="dxa" w:w="1020"/>
          </w:tcPr>
          <w:p>
            <w:r/>
            <w:r>
              <w:rPr>
                <w:color w:val="1A1D21"/>
                <w:sz w:val="17"/>
              </w:rPr>
              <w:t>the central</w:t>
            </w:r>
          </w:p>
        </w:tc>
        <w:tc>
          <w:tcPr>
            <w:tcW w:type="dxa" w:w="2494"/>
          </w:tcPr>
          <w:p>
            <w:r/>
            <w:r>
              <w:rPr>
                <w:color w:val="1A1D21"/>
                <w:sz w:val="17"/>
              </w:rPr>
              <w:t>cash conversion, then the cost of capital</w:t>
            </w:r>
          </w:p>
        </w:tc>
      </w:tr>
      <w:tr>
        <w:trPr>
          <w:cantSplit/>
        </w:trPr>
        <w:tc>
          <w:tcPr>
            <w:tcW w:type="dxa" w:w="2381"/>
          </w:tcPr>
          <w:p>
            <w:r/>
            <w:r>
              <w:rPr>
                <w:color w:val="1A1D21"/>
                <w:sz w:val="17"/>
              </w:rPr>
              <w:t>Earnings multiple on own history</w:t>
            </w:r>
          </w:p>
        </w:tc>
        <w:tc>
          <w:tcPr>
            <w:tcW w:type="dxa" w:w="1020"/>
          </w:tcPr>
          <w:p>
            <w:pPr>
              <w:jc w:val="right"/>
            </w:pPr>
            <w:r/>
            <w:r>
              <w:rPr>
                <w:color w:val="1A1D21"/>
                <w:sz w:val="17"/>
              </w:rPr>
              <w:t>5.59</w:t>
            </w:r>
          </w:p>
        </w:tc>
        <w:tc>
          <w:tcPr>
            <w:tcW w:type="dxa" w:w="1020"/>
          </w:tcPr>
          <w:p>
            <w:pPr>
              <w:jc w:val="right"/>
            </w:pPr>
            <w:r/>
            <w:r>
              <w:rPr>
                <w:color w:val="1A1D21"/>
                <w:sz w:val="17"/>
              </w:rPr>
              <w:t>8.39</w:t>
            </w:r>
          </w:p>
        </w:tc>
        <w:tc>
          <w:tcPr>
            <w:tcW w:type="dxa" w:w="1020"/>
          </w:tcPr>
          <w:p>
            <w:pPr>
              <w:jc w:val="right"/>
            </w:pPr>
            <w:r/>
            <w:r>
              <w:rPr>
                <w:color w:val="1A1D21"/>
                <w:sz w:val="17"/>
              </w:rPr>
              <w:t>13.05</w:t>
            </w:r>
          </w:p>
        </w:tc>
        <w:tc>
          <w:tcPr>
            <w:tcW w:type="dxa" w:w="1020"/>
          </w:tcPr>
          <w:p>
            <w:r/>
            <w:r>
              <w:rPr>
                <w:color w:val="1A1D21"/>
                <w:sz w:val="17"/>
              </w:rPr>
              <w:t>cross-check</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Book value of equity — a disclosed floor</w:t>
            </w:r>
          </w:p>
        </w:tc>
        <w:tc>
          <w:tcPr>
            <w:tcW w:type="dxa" w:w="1020"/>
          </w:tcPr>
          <w:p>
            <w:pPr>
              <w:jc w:val="right"/>
            </w:pPr>
            <w:r/>
            <w:r>
              <w:rPr>
                <w:color w:val="1A1D21"/>
                <w:sz w:val="17"/>
              </w:rPr>
              <w:t>5.97</w:t>
            </w:r>
          </w:p>
        </w:tc>
        <w:tc>
          <w:tcPr>
            <w:tcW w:type="dxa" w:w="1020"/>
          </w:tcPr>
          <w:p>
            <w:pPr>
              <w:jc w:val="right"/>
            </w:pPr>
            <w:r/>
            <w:r>
              <w:rPr>
                <w:color w:val="1A1D21"/>
                <w:sz w:val="17"/>
              </w:rPr>
              <w:t>6.63</w:t>
            </w:r>
          </w:p>
        </w:tc>
        <w:tc>
          <w:tcPr>
            <w:tcW w:type="dxa" w:w="1020"/>
          </w:tcPr>
          <w:p>
            <w:pPr>
              <w:jc w:val="right"/>
            </w:pPr>
            <w:r/>
            <w:r>
              <w:rPr>
                <w:color w:val="1A1D21"/>
                <w:sz w:val="17"/>
              </w:rPr>
              <w:t>8.62</w:t>
            </w:r>
          </w:p>
        </w:tc>
        <w:tc>
          <w:tcPr>
            <w:tcW w:type="dxa" w:w="1020"/>
          </w:tcPr>
          <w:p>
            <w:r/>
            <w:r>
              <w:rPr>
                <w:color w:val="1A1D21"/>
                <w:sz w:val="17"/>
              </w:rPr>
              <w:t>cross-check</w:t>
            </w:r>
          </w:p>
        </w:tc>
        <w:tc>
          <w:tcPr>
            <w:tcW w:type="dxa" w:w="249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1.0481</w:t>
            </w:r>
          </w:p>
        </w:tc>
        <w:tc>
          <w:tcPr>
            <w:tcW w:type="dxa" w:w="2608"/>
          </w:tcPr>
          <w:p>
            <w:pPr>
              <w:jc w:val="right"/>
            </w:pPr>
            <w:r/>
            <w:r>
              <w:rPr>
                <w:color w:val="1A1D21"/>
                <w:sz w:val="17"/>
              </w:rPr>
              <w:t>1.0481</w:t>
            </w:r>
          </w:p>
        </w:tc>
      </w:tr>
      <w:tr>
        <w:trPr>
          <w:cantSplit/>
        </w:trPr>
        <w:tc>
          <w:tcPr>
            <w:tcW w:type="dxa" w:w="3969"/>
          </w:tcPr>
          <w:p>
            <w:r/>
            <w:r>
              <w:rPr>
                <w:color w:val="1A1D21"/>
                <w:sz w:val="17"/>
              </w:rPr>
              <w:t>Cost of equity</w:t>
            </w:r>
          </w:p>
        </w:tc>
        <w:tc>
          <w:tcPr>
            <w:tcW w:type="dxa" w:w="2608"/>
          </w:tcPr>
          <w:p>
            <w:pPr>
              <w:jc w:val="right"/>
            </w:pPr>
            <w:r/>
            <w:r>
              <w:rPr>
                <w:color w:val="1A1D21"/>
                <w:sz w:val="17"/>
              </w:rPr>
              <w:t>30.77%</w:t>
            </w:r>
          </w:p>
        </w:tc>
        <w:tc>
          <w:tcPr>
            <w:tcW w:type="dxa" w:w="2608"/>
          </w:tcPr>
          <w:p>
            <w:pPr>
              <w:jc w:val="right"/>
            </w:pPr>
            <w:r/>
            <w:r>
              <w:rPr>
                <w:color w:val="1A1D21"/>
                <w:sz w:val="17"/>
              </w:rPr>
              <w:t>29.20%</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55.1%</w:t>
            </w:r>
          </w:p>
        </w:tc>
        <w:tc>
          <w:tcPr>
            <w:tcW w:type="dxa" w:w="2608"/>
          </w:tcPr>
          <w:p>
            <w:pPr>
              <w:jc w:val="right"/>
            </w:pPr>
            <w:r/>
            <w:r>
              <w:rPr>
                <w:color w:val="1A1D21"/>
                <w:sz w:val="17"/>
              </w:rPr>
              <w:t>55.1%</w:t>
            </w:r>
          </w:p>
        </w:tc>
      </w:tr>
      <w:tr>
        <w:trPr>
          <w:cantSplit/>
        </w:trPr>
        <w:tc>
          <w:tcPr>
            <w:tcW w:type="dxa" w:w="3969"/>
          </w:tcPr>
          <w:p>
            <w:r/>
            <w:r>
              <w:rPr>
                <w:color w:val="1A1D21"/>
                <w:sz w:val="17"/>
              </w:rPr>
              <w:t>Debt weight</w:t>
            </w:r>
          </w:p>
        </w:tc>
        <w:tc>
          <w:tcPr>
            <w:tcW w:type="dxa" w:w="2608"/>
          </w:tcPr>
          <w:p>
            <w:pPr>
              <w:jc w:val="right"/>
            </w:pPr>
            <w:r/>
            <w:r>
              <w:rPr>
                <w:color w:val="1A1D21"/>
                <w:sz w:val="17"/>
              </w:rPr>
              <w:t>44.9%</w:t>
            </w:r>
          </w:p>
        </w:tc>
        <w:tc>
          <w:tcPr>
            <w:tcW w:type="dxa" w:w="2608"/>
          </w:tcPr>
          <w:p>
            <w:pPr>
              <w:jc w:val="right"/>
            </w:pPr>
            <w:r/>
            <w:r>
              <w:rPr>
                <w:color w:val="1A1D21"/>
                <w:sz w:val="17"/>
              </w:rPr>
              <w:t>44.9%</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25.83%</w:t>
            </w:r>
          </w:p>
        </w:tc>
        <w:tc>
          <w:tcPr>
            <w:tcW w:type="dxa" w:w="2608"/>
          </w:tcPr>
          <w:p>
            <w:r/>
            <w:r>
              <w:rPr>
                <w:color w:val="1A1D21"/>
                <w:sz w:val="17"/>
              </w:rPr>
              <w:t>24.96%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4.94 years: 1.0481, with a standard error of 0.1808, an R-squared of 30.0% and 256 weekly observations. A cross-check adjustment toward the market gives 1.0320.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across the whole 800 basis points of the 11 June 2026 edition's error is worth EGP 38.03 a share on the three-year-mean row — MORE than either single step between observed conversion years (EGP 13.44 and EGP 25.76), and less than the full observed range of conversion itself, which is worth EGP 39.20. The crux is the conversion rate, but only across its whole observed spread; one year to the next moves value less than the discount rate does.</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20.96%</w:t>
            </w:r>
          </w:p>
        </w:tc>
        <w:tc>
          <w:tcPr>
            <w:tcW w:type="dxa" w:w="1361"/>
          </w:tcPr>
          <w:p>
            <w:r/>
            <w:r>
              <w:rPr>
                <w:b/>
                <w:color w:val="5B6570"/>
                <w:sz w:val="17"/>
              </w:rPr>
              <w:t>22.96%</w:t>
            </w:r>
          </w:p>
        </w:tc>
        <w:tc>
          <w:tcPr>
            <w:tcW w:type="dxa" w:w="1361"/>
          </w:tcPr>
          <w:p>
            <w:r/>
            <w:r>
              <w:rPr>
                <w:b/>
                <w:color w:val="5B6570"/>
                <w:sz w:val="17"/>
              </w:rPr>
              <w:t>24.96%</w:t>
            </w:r>
          </w:p>
        </w:tc>
        <w:tc>
          <w:tcPr>
            <w:tcW w:type="dxa" w:w="1361"/>
          </w:tcPr>
          <w:p>
            <w:r/>
            <w:r>
              <w:rPr>
                <w:b/>
                <w:color w:val="5B6570"/>
                <w:sz w:val="17"/>
              </w:rPr>
              <w:t>26.96%</w:t>
            </w:r>
          </w:p>
        </w:tc>
        <w:tc>
          <w:tcPr>
            <w:tcW w:type="dxa" w:w="1361"/>
          </w:tcPr>
          <w:p>
            <w:r/>
            <w:r>
              <w:rPr>
                <w:b/>
                <w:color w:val="5B6570"/>
                <w:sz w:val="17"/>
              </w:rPr>
              <w:t>28.96%</w:t>
            </w:r>
          </w:p>
        </w:tc>
      </w:tr>
      <w:tr>
        <w:trPr>
          <w:cantSplit/>
        </w:trPr>
        <w:tc>
          <w:tcPr>
            <w:tcW w:type="dxa" w:w="2494"/>
          </w:tcPr>
          <w:p>
            <w:r/>
            <w:r>
              <w:rPr>
                <w:color w:val="1A1D21"/>
                <w:sz w:val="17"/>
              </w:rPr>
              <w:t>3.9%</w:t>
            </w:r>
          </w:p>
        </w:tc>
        <w:tc>
          <w:tcPr>
            <w:tcW w:type="dxa" w:w="1361"/>
          </w:tcPr>
          <w:p>
            <w:pPr>
              <w:jc w:val="right"/>
            </w:pPr>
            <w:r/>
            <w:r>
              <w:rPr>
                <w:color w:val="1A1D21"/>
                <w:sz w:val="17"/>
              </w:rPr>
              <w:t>20.90</w:t>
            </w:r>
          </w:p>
        </w:tc>
        <w:tc>
          <w:tcPr>
            <w:tcW w:type="dxa" w:w="1361"/>
          </w:tcPr>
          <w:p>
            <w:pPr>
              <w:jc w:val="right"/>
            </w:pPr>
            <w:r/>
            <w:r>
              <w:rPr>
                <w:color w:val="1A1D21"/>
                <w:sz w:val="17"/>
              </w:rPr>
              <w:t>12.08</w:t>
            </w:r>
          </w:p>
        </w:tc>
        <w:tc>
          <w:tcPr>
            <w:tcW w:type="dxa" w:w="1361"/>
          </w:tcPr>
          <w:p>
            <w:pPr>
              <w:jc w:val="right"/>
            </w:pPr>
            <w:r/>
            <w:r>
              <w:rPr>
                <w:color w:val="1A1D21"/>
                <w:sz w:val="17"/>
              </w:rPr>
              <w:t>7.65</w:t>
            </w:r>
          </w:p>
        </w:tc>
        <w:tc>
          <w:tcPr>
            <w:tcW w:type="dxa" w:w="1361"/>
          </w:tcPr>
          <w:p>
            <w:pPr>
              <w:jc w:val="right"/>
            </w:pPr>
            <w:r/>
            <w:r>
              <w:rPr>
                <w:color w:val="1A1D21"/>
                <w:sz w:val="17"/>
              </w:rPr>
              <w:t>4.98</w:t>
            </w:r>
          </w:p>
        </w:tc>
        <w:tc>
          <w:tcPr>
            <w:tcW w:type="dxa" w:w="1361"/>
          </w:tcPr>
          <w:p>
            <w:pPr>
              <w:jc w:val="right"/>
            </w:pPr>
            <w:r/>
            <w:r>
              <w:rPr>
                <w:color w:val="1A1D21"/>
                <w:sz w:val="17"/>
              </w:rPr>
              <w:t>3.19</w:t>
            </w:r>
          </w:p>
        </w:tc>
      </w:tr>
      <w:tr>
        <w:trPr>
          <w:cantSplit/>
        </w:trPr>
        <w:tc>
          <w:tcPr>
            <w:tcW w:type="dxa" w:w="2494"/>
          </w:tcPr>
          <w:p>
            <w:r/>
            <w:r>
              <w:rPr>
                <w:color w:val="1A1D21"/>
                <w:sz w:val="17"/>
              </w:rPr>
              <w:t>6.0%</w:t>
            </w:r>
          </w:p>
        </w:tc>
        <w:tc>
          <w:tcPr>
            <w:tcW w:type="dxa" w:w="1361"/>
          </w:tcPr>
          <w:p>
            <w:pPr>
              <w:jc w:val="right"/>
            </w:pPr>
            <w:r/>
            <w:r>
              <w:rPr>
                <w:color w:val="1A1D21"/>
                <w:sz w:val="17"/>
              </w:rPr>
              <w:t>33.33</w:t>
            </w:r>
          </w:p>
        </w:tc>
        <w:tc>
          <w:tcPr>
            <w:tcW w:type="dxa" w:w="1361"/>
          </w:tcPr>
          <w:p>
            <w:pPr>
              <w:jc w:val="right"/>
            </w:pPr>
            <w:r/>
            <w:r>
              <w:rPr>
                <w:color w:val="1A1D21"/>
                <w:sz w:val="17"/>
              </w:rPr>
              <w:t>20.07</w:t>
            </w:r>
          </w:p>
        </w:tc>
        <w:tc>
          <w:tcPr>
            <w:tcW w:type="dxa" w:w="1361"/>
          </w:tcPr>
          <w:p>
            <w:pPr>
              <w:jc w:val="right"/>
            </w:pPr>
            <w:r/>
            <w:r>
              <w:rPr>
                <w:color w:val="1A1D21"/>
                <w:sz w:val="17"/>
              </w:rPr>
              <w:t>13.45</w:t>
            </w:r>
          </w:p>
        </w:tc>
        <w:tc>
          <w:tcPr>
            <w:tcW w:type="dxa" w:w="1361"/>
          </w:tcPr>
          <w:p>
            <w:pPr>
              <w:jc w:val="right"/>
            </w:pPr>
            <w:r/>
            <w:r>
              <w:rPr>
                <w:color w:val="1A1D21"/>
                <w:sz w:val="17"/>
              </w:rPr>
              <w:t>9.49</w:t>
            </w:r>
          </w:p>
        </w:tc>
        <w:tc>
          <w:tcPr>
            <w:tcW w:type="dxa" w:w="1361"/>
          </w:tcPr>
          <w:p>
            <w:pPr>
              <w:jc w:val="right"/>
            </w:pPr>
            <w:r/>
            <w:r>
              <w:rPr>
                <w:color w:val="1A1D21"/>
                <w:sz w:val="17"/>
              </w:rPr>
              <w:t>6.85</w:t>
            </w:r>
          </w:p>
        </w:tc>
      </w:tr>
      <w:tr>
        <w:trPr>
          <w:cantSplit/>
        </w:trPr>
        <w:tc>
          <w:tcPr>
            <w:tcW w:type="dxa" w:w="2494"/>
          </w:tcPr>
          <w:p>
            <w:r/>
            <w:r>
              <w:rPr>
                <w:color w:val="1A1D21"/>
                <w:sz w:val="17"/>
              </w:rPr>
              <w:t>8.7%</w:t>
            </w:r>
          </w:p>
        </w:tc>
        <w:tc>
          <w:tcPr>
            <w:tcW w:type="dxa" w:w="1361"/>
          </w:tcPr>
          <w:p>
            <w:pPr>
              <w:jc w:val="right"/>
            </w:pPr>
            <w:r/>
            <w:r>
              <w:rPr>
                <w:color w:val="1A1D21"/>
                <w:sz w:val="17"/>
              </w:rPr>
              <w:t>49.69</w:t>
            </w:r>
          </w:p>
        </w:tc>
        <w:tc>
          <w:tcPr>
            <w:tcW w:type="dxa" w:w="1361"/>
          </w:tcPr>
          <w:p>
            <w:pPr>
              <w:jc w:val="right"/>
            </w:pPr>
            <w:r/>
            <w:r>
              <w:rPr>
                <w:color w:val="1A1D21"/>
                <w:sz w:val="17"/>
              </w:rPr>
              <w:t>30.59</w:t>
            </w:r>
          </w:p>
        </w:tc>
        <w:tc>
          <w:tcPr>
            <w:tcW w:type="dxa" w:w="1361"/>
          </w:tcPr>
          <w:p>
            <w:pPr>
              <w:jc w:val="right"/>
            </w:pPr>
            <w:r/>
            <w:r>
              <w:rPr>
                <w:color w:val="1A1D21"/>
                <w:sz w:val="17"/>
              </w:rPr>
              <w:t>21.09</w:t>
            </w:r>
          </w:p>
        </w:tc>
        <w:tc>
          <w:tcPr>
            <w:tcW w:type="dxa" w:w="1361"/>
          </w:tcPr>
          <w:p>
            <w:pPr>
              <w:jc w:val="right"/>
            </w:pPr>
            <w:r/>
            <w:r>
              <w:rPr>
                <w:color w:val="1A1D21"/>
                <w:sz w:val="17"/>
              </w:rPr>
              <w:t>15.42</w:t>
            </w:r>
          </w:p>
        </w:tc>
        <w:tc>
          <w:tcPr>
            <w:tcW w:type="dxa" w:w="1361"/>
          </w:tcPr>
          <w:p>
            <w:pPr>
              <w:jc w:val="right"/>
            </w:pPr>
            <w:r/>
            <w:r>
              <w:rPr>
                <w:color w:val="1A1D21"/>
                <w:sz w:val="17"/>
              </w:rPr>
              <w:t>11.66</w:t>
            </w:r>
          </w:p>
        </w:tc>
      </w:tr>
      <w:tr>
        <w:trPr>
          <w:cantSplit/>
        </w:trPr>
        <w:tc>
          <w:tcPr>
            <w:tcW w:type="dxa" w:w="2494"/>
          </w:tcPr>
          <w:p>
            <w:r/>
            <w:r>
              <w:rPr>
                <w:color w:val="1A1D21"/>
                <w:sz w:val="17"/>
              </w:rPr>
              <w:t>12.0%</w:t>
            </w:r>
          </w:p>
        </w:tc>
        <w:tc>
          <w:tcPr>
            <w:tcW w:type="dxa" w:w="1361"/>
          </w:tcPr>
          <w:p>
            <w:pPr>
              <w:jc w:val="right"/>
            </w:pPr>
            <w:r/>
            <w:r>
              <w:rPr>
                <w:color w:val="1A1D21"/>
                <w:sz w:val="17"/>
              </w:rPr>
              <w:t>69.50</w:t>
            </w:r>
          </w:p>
        </w:tc>
        <w:tc>
          <w:tcPr>
            <w:tcW w:type="dxa" w:w="1361"/>
          </w:tcPr>
          <w:p>
            <w:pPr>
              <w:jc w:val="right"/>
            </w:pPr>
            <w:r/>
            <w:r>
              <w:rPr>
                <w:color w:val="1A1D21"/>
                <w:sz w:val="17"/>
              </w:rPr>
              <w:t>43.32</w:t>
            </w:r>
          </w:p>
        </w:tc>
        <w:tc>
          <w:tcPr>
            <w:tcW w:type="dxa" w:w="1361"/>
          </w:tcPr>
          <w:p>
            <w:pPr>
              <w:jc w:val="right"/>
            </w:pPr>
            <w:r/>
            <w:r>
              <w:rPr>
                <w:color w:val="1A1D21"/>
                <w:sz w:val="17"/>
              </w:rPr>
              <w:t>30.34</w:t>
            </w:r>
          </w:p>
        </w:tc>
        <w:tc>
          <w:tcPr>
            <w:tcW w:type="dxa" w:w="1361"/>
          </w:tcPr>
          <w:p>
            <w:pPr>
              <w:jc w:val="right"/>
            </w:pPr>
            <w:r/>
            <w:r>
              <w:rPr>
                <w:color w:val="1A1D21"/>
                <w:sz w:val="17"/>
              </w:rPr>
              <w:t>22.60</w:t>
            </w:r>
          </w:p>
        </w:tc>
        <w:tc>
          <w:tcPr>
            <w:tcW w:type="dxa" w:w="1361"/>
          </w:tcPr>
          <w:p>
            <w:pPr>
              <w:jc w:val="right"/>
            </w:pPr>
            <w:r/>
            <w:r>
              <w:rPr>
                <w:color w:val="1A1D21"/>
                <w:sz w:val="17"/>
              </w:rPr>
              <w:t>17.48</w:t>
            </w:r>
          </w:p>
        </w:tc>
      </w:tr>
      <w:tr>
        <w:trPr>
          <w:cantSplit/>
        </w:trPr>
        <w:tc>
          <w:tcPr>
            <w:tcW w:type="dxa" w:w="2494"/>
          </w:tcPr>
          <w:p>
            <w:r/>
            <w:r>
              <w:rPr>
                <w:color w:val="1A1D21"/>
                <w:sz w:val="17"/>
              </w:rPr>
              <w:t>17.9%</w:t>
            </w:r>
          </w:p>
        </w:tc>
        <w:tc>
          <w:tcPr>
            <w:tcW w:type="dxa" w:w="1361"/>
          </w:tcPr>
          <w:p>
            <w:pPr>
              <w:jc w:val="right"/>
            </w:pPr>
            <w:r/>
            <w:r>
              <w:rPr>
                <w:color w:val="1A1D21"/>
                <w:sz w:val="17"/>
              </w:rPr>
              <w:t>104.89</w:t>
            </w:r>
          </w:p>
        </w:tc>
        <w:tc>
          <w:tcPr>
            <w:tcW w:type="dxa" w:w="1361"/>
          </w:tcPr>
          <w:p>
            <w:pPr>
              <w:jc w:val="right"/>
            </w:pPr>
            <w:r/>
            <w:r>
              <w:rPr>
                <w:color w:val="1A1D21"/>
                <w:sz w:val="17"/>
              </w:rPr>
              <w:t>66.07</w:t>
            </w:r>
          </w:p>
        </w:tc>
        <w:tc>
          <w:tcPr>
            <w:tcW w:type="dxa" w:w="1361"/>
          </w:tcPr>
          <w:p>
            <w:pPr>
              <w:jc w:val="right"/>
            </w:pPr>
            <w:r/>
            <w:r>
              <w:rPr>
                <w:color w:val="1A1D21"/>
                <w:sz w:val="17"/>
              </w:rPr>
              <w:t>46.85</w:t>
            </w:r>
          </w:p>
        </w:tc>
        <w:tc>
          <w:tcPr>
            <w:tcW w:type="dxa" w:w="1361"/>
          </w:tcPr>
          <w:p>
            <w:pPr>
              <w:jc w:val="right"/>
            </w:pPr>
            <w:r/>
            <w:r>
              <w:rPr>
                <w:color w:val="1A1D21"/>
                <w:sz w:val="17"/>
              </w:rPr>
              <w:t>35.43</w:t>
            </w:r>
          </w:p>
        </w:tc>
        <w:tc>
          <w:tcPr>
            <w:tcW w:type="dxa" w:w="1361"/>
          </w:tcPr>
          <w:p>
            <w:pPr>
              <w:jc w:val="right"/>
            </w:pPr>
            <w:r/>
            <w:r>
              <w:rPr>
                <w:color w:val="1A1D21"/>
                <w:sz w:val="17"/>
              </w:rPr>
              <w:t>27.89</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339106"/>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339106"/>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6.3%.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14.40 close</w:t>
            </w:r>
          </w:p>
        </w:tc>
      </w:tr>
      <w:tr>
        <w:trPr>
          <w:cantSplit/>
        </w:trPr>
        <w:tc>
          <w:tcPr>
            <w:tcW w:type="dxa" w:w="2154"/>
          </w:tcPr>
          <w:p>
            <w:r/>
            <w:r>
              <w:rPr>
                <w:color w:val="1A1D21"/>
                <w:sz w:val="17"/>
              </w:rPr>
              <w:t>Fundamental value</w:t>
            </w:r>
          </w:p>
        </w:tc>
        <w:tc>
          <w:tcPr>
            <w:tcW w:type="dxa" w:w="3628"/>
          </w:tcPr>
          <w:p>
            <w:r/>
            <w:r>
              <w:rPr>
                <w:color w:val="1A1D21"/>
                <w:sz w:val="17"/>
              </w:rPr>
              <w:t>EGP 7.65 to EGP 46.85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Six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Other income and items the record does not hold separately (residual)</w:t>
            </w:r>
          </w:p>
        </w:tc>
        <w:tc>
          <w:tcPr>
            <w:tcW w:type="dxa" w:w="1871"/>
          </w:tcPr>
          <w:p>
            <w:pPr>
              <w:jc w:val="right"/>
            </w:pPr>
            <w:r/>
            <w:r>
              <w:rPr>
                <w:color w:val="1A1D21"/>
                <w:sz w:val="17"/>
              </w:rPr>
              <w:t>-967.8</w:t>
            </w:r>
          </w:p>
        </w:tc>
        <w:tc>
          <w:tcPr>
            <w:tcW w:type="dxa" w:w="1871"/>
          </w:tcPr>
          <w:p>
            <w:pPr>
              <w:jc w:val="right"/>
            </w:pPr>
            <w:r/>
            <w:r>
              <w:rPr>
                <w:color w:val="1A1D21"/>
                <w:sz w:val="17"/>
              </w:rPr>
              <w:t>977.6</w:t>
            </w:r>
          </w:p>
        </w:tc>
        <w:tc>
          <w:tcPr>
            <w:tcW w:type="dxa" w:w="1871"/>
          </w:tcPr>
          <w:p>
            <w:pPr>
              <w:jc w:val="right"/>
            </w:pPr>
            <w:r/>
            <w:r>
              <w:rPr>
                <w:color w:val="1A1D21"/>
                <w:sz w:val="17"/>
              </w:rPr>
              <w:t>1,430.3</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 The residual line is what the printed rows leave over against reported profit before tax: this study holds no source filings of its own, so the items inside it are not separated here and are not guessed at. It is negative in 2023 because no finance cost for that year is in the record at all, and positive in 2024 and 2025 because an income line the company reports is not held separately.</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Units delivered</w:t>
            </w:r>
          </w:p>
        </w:tc>
        <w:tc>
          <w:tcPr>
            <w:tcW w:type="dxa" w:w="1026"/>
          </w:tcPr>
          <w:p>
            <w:pPr>
              <w:jc w:val="right"/>
            </w:pPr>
            <w:r/>
            <w:r>
              <w:rPr>
                <w:color w:val="1A1D21"/>
                <w:sz w:val="17"/>
              </w:rPr>
              <w:t>2,035</w:t>
            </w:r>
          </w:p>
        </w:tc>
        <w:tc>
          <w:tcPr>
            <w:tcW w:type="dxa" w:w="1026"/>
          </w:tcPr>
          <w:p>
            <w:pPr>
              <w:jc w:val="right"/>
            </w:pPr>
            <w:r/>
            <w:r>
              <w:rPr>
                <w:color w:val="1A1D21"/>
                <w:sz w:val="17"/>
              </w:rPr>
              <w:t>2,340</w:t>
            </w:r>
          </w:p>
        </w:tc>
        <w:tc>
          <w:tcPr>
            <w:tcW w:type="dxa" w:w="1026"/>
          </w:tcPr>
          <w:p>
            <w:pPr>
              <w:jc w:val="right"/>
            </w:pPr>
            <w:r/>
            <w:r>
              <w:rPr>
                <w:color w:val="1A1D21"/>
                <w:sz w:val="17"/>
              </w:rPr>
              <w:t>2,656</w:t>
            </w:r>
          </w:p>
        </w:tc>
        <w:tc>
          <w:tcPr>
            <w:tcW w:type="dxa" w:w="1026"/>
          </w:tcPr>
          <w:p>
            <w:pPr>
              <w:jc w:val="right"/>
            </w:pPr>
            <w:r/>
            <w:r>
              <w:rPr>
                <w:color w:val="1A1D21"/>
                <w:sz w:val="17"/>
              </w:rPr>
              <w:t>2,975</w:t>
            </w:r>
          </w:p>
        </w:tc>
        <w:tc>
          <w:tcPr>
            <w:tcW w:type="dxa" w:w="1026"/>
          </w:tcPr>
          <w:p>
            <w:pPr>
              <w:jc w:val="right"/>
            </w:pPr>
            <w:r/>
            <w:r>
              <w:rPr>
                <w:color w:val="1A1D21"/>
                <w:sz w:val="17"/>
              </w:rPr>
              <w:t>3,287</w:t>
            </w:r>
          </w:p>
        </w:tc>
        <w:tc>
          <w:tcPr>
            <w:tcW w:type="dxa" w:w="1026"/>
          </w:tcPr>
          <w:p>
            <w:pPr>
              <w:jc w:val="right"/>
            </w:pPr>
            <w:r/>
            <w:r>
              <w:rPr>
                <w:color w:val="1A1D21"/>
                <w:sz w:val="17"/>
              </w:rPr>
              <w:t>4,395</w:t>
            </w:r>
          </w:p>
        </w:tc>
        <w:tc>
          <w:tcPr>
            <w:tcW w:type="dxa" w:w="1026"/>
          </w:tcPr>
          <w:p>
            <w:pPr>
              <w:jc w:val="right"/>
            </w:pPr>
            <w:r/>
            <w:r>
              <w:rPr>
                <w:color w:val="1A1D21"/>
                <w:sz w:val="17"/>
              </w:rPr>
              <w:t>4,461</w:t>
            </w:r>
          </w:p>
        </w:tc>
      </w:tr>
      <w:tr>
        <w:trPr>
          <w:cantSplit/>
        </w:trPr>
        <w:tc>
          <w:tcPr>
            <w:tcW w:type="dxa" w:w="1984"/>
          </w:tcPr>
          <w:p>
            <w:r/>
            <w:r>
              <w:rPr>
                <w:color w:val="1A1D21"/>
                <w:sz w:val="17"/>
              </w:rPr>
              <w:t>Revenue per delivered unit</w:t>
            </w:r>
          </w:p>
        </w:tc>
        <w:tc>
          <w:tcPr>
            <w:tcW w:type="dxa" w:w="1026"/>
          </w:tcPr>
          <w:p>
            <w:pPr>
              <w:jc w:val="right"/>
            </w:pPr>
            <w:r/>
            <w:r>
              <w:rPr>
                <w:color w:val="1A1D21"/>
                <w:sz w:val="17"/>
              </w:rPr>
              <w:t>19.73</w:t>
            </w:r>
          </w:p>
        </w:tc>
        <w:tc>
          <w:tcPr>
            <w:tcW w:type="dxa" w:w="1026"/>
          </w:tcPr>
          <w:p>
            <w:pPr>
              <w:jc w:val="right"/>
            </w:pPr>
            <w:r/>
            <w:r>
              <w:rPr>
                <w:color w:val="1A1D21"/>
                <w:sz w:val="17"/>
              </w:rPr>
              <w:t>22.10</w:t>
            </w:r>
          </w:p>
        </w:tc>
        <w:tc>
          <w:tcPr>
            <w:tcW w:type="dxa" w:w="1026"/>
          </w:tcPr>
          <w:p>
            <w:pPr>
              <w:jc w:val="right"/>
            </w:pPr>
            <w:r/>
            <w:r>
              <w:rPr>
                <w:color w:val="1A1D21"/>
                <w:sz w:val="17"/>
              </w:rPr>
              <w:t>24.08</w:t>
            </w:r>
          </w:p>
        </w:tc>
        <w:tc>
          <w:tcPr>
            <w:tcW w:type="dxa" w:w="1026"/>
          </w:tcPr>
          <w:p>
            <w:pPr>
              <w:jc w:val="right"/>
            </w:pPr>
            <w:r/>
            <w:r>
              <w:rPr>
                <w:color w:val="1A1D21"/>
                <w:sz w:val="17"/>
              </w:rPr>
              <w:t>25.89</w:t>
            </w:r>
          </w:p>
        </w:tc>
        <w:tc>
          <w:tcPr>
            <w:tcW w:type="dxa" w:w="1026"/>
          </w:tcPr>
          <w:p>
            <w:pPr>
              <w:jc w:val="right"/>
            </w:pPr>
            <w:r/>
            <w:r>
              <w:rPr>
                <w:color w:val="1A1D21"/>
                <w:sz w:val="17"/>
              </w:rPr>
              <w:t>27.70</w:t>
            </w:r>
          </w:p>
        </w:tc>
        <w:tc>
          <w:tcPr>
            <w:tcW w:type="dxa" w:w="1026"/>
          </w:tcPr>
          <w:p>
            <w:pPr>
              <w:jc w:val="right"/>
            </w:pPr>
            <w:r/>
            <w:r>
              <w:rPr>
                <w:color w:val="1A1D21"/>
                <w:sz w:val="17"/>
              </w:rPr>
              <w:t>38.85</w:t>
            </w:r>
          </w:p>
        </w:tc>
        <w:tc>
          <w:tcPr>
            <w:tcW w:type="dxa" w:w="1026"/>
          </w:tcPr>
          <w:p>
            <w:pPr>
              <w:jc w:val="right"/>
            </w:pPr>
            <w:r/>
            <w:r>
              <w:rPr>
                <w:color w:val="1A1D21"/>
                <w:sz w:val="17"/>
              </w:rPr>
              <w:t>54.49</w:t>
            </w:r>
          </w:p>
        </w:tc>
      </w:tr>
      <w:tr>
        <w:trPr>
          <w:cantSplit/>
        </w:trPr>
        <w:tc>
          <w:tcPr>
            <w:tcW w:type="dxa" w:w="1984"/>
          </w:tcPr>
          <w:p>
            <w:r/>
            <w:r>
              <w:rPr>
                <w:color w:val="1A1D21"/>
                <w:sz w:val="17"/>
              </w:rPr>
              <w:t>Revenue</w:t>
            </w:r>
          </w:p>
        </w:tc>
        <w:tc>
          <w:tcPr>
            <w:tcW w:type="dxa" w:w="1026"/>
          </w:tcPr>
          <w:p>
            <w:pPr>
              <w:jc w:val="right"/>
            </w:pPr>
            <w:r/>
            <w:r>
              <w:rPr>
                <w:color w:val="1A1D21"/>
                <w:sz w:val="17"/>
              </w:rPr>
              <w:t>40,148</w:t>
            </w:r>
          </w:p>
        </w:tc>
        <w:tc>
          <w:tcPr>
            <w:tcW w:type="dxa" w:w="1026"/>
          </w:tcPr>
          <w:p>
            <w:pPr>
              <w:jc w:val="right"/>
            </w:pPr>
            <w:r/>
            <w:r>
              <w:rPr>
                <w:color w:val="1A1D21"/>
                <w:sz w:val="17"/>
              </w:rPr>
              <w:t>51,711</w:t>
            </w:r>
          </w:p>
        </w:tc>
        <w:tc>
          <w:tcPr>
            <w:tcW w:type="dxa" w:w="1026"/>
          </w:tcPr>
          <w:p>
            <w:pPr>
              <w:jc w:val="right"/>
            </w:pPr>
            <w:r/>
            <w:r>
              <w:rPr>
                <w:color w:val="1A1D21"/>
                <w:sz w:val="17"/>
              </w:rPr>
              <w:t>63,974</w:t>
            </w:r>
          </w:p>
        </w:tc>
        <w:tc>
          <w:tcPr>
            <w:tcW w:type="dxa" w:w="1026"/>
          </w:tcPr>
          <w:p>
            <w:pPr>
              <w:jc w:val="right"/>
            </w:pPr>
            <w:r/>
            <w:r>
              <w:rPr>
                <w:color w:val="1A1D21"/>
                <w:sz w:val="17"/>
              </w:rPr>
              <w:t>77,024</w:t>
            </w:r>
          </w:p>
        </w:tc>
        <w:tc>
          <w:tcPr>
            <w:tcW w:type="dxa" w:w="1026"/>
          </w:tcPr>
          <w:p>
            <w:pPr>
              <w:jc w:val="right"/>
            </w:pPr>
            <w:r/>
            <w:r>
              <w:rPr>
                <w:color w:val="1A1D21"/>
                <w:sz w:val="17"/>
              </w:rPr>
              <w:t>91,070</w:t>
            </w:r>
          </w:p>
        </w:tc>
        <w:tc>
          <w:tcPr>
            <w:tcW w:type="dxa" w:w="1026"/>
          </w:tcPr>
          <w:p>
            <w:pPr>
              <w:jc w:val="right"/>
            </w:pPr>
            <w:r/>
            <w:r>
              <w:rPr>
                <w:color w:val="1A1D21"/>
                <w:sz w:val="17"/>
              </w:rPr>
              <w:t>170,760</w:t>
            </w:r>
          </w:p>
        </w:tc>
        <w:tc>
          <w:tcPr>
            <w:tcW w:type="dxa" w:w="1026"/>
          </w:tcPr>
          <w:p>
            <w:pPr>
              <w:jc w:val="right"/>
            </w:pPr>
            <w:r/>
            <w:r>
              <w:rPr>
                <w:color w:val="1A1D21"/>
                <w:sz w:val="17"/>
              </w:rPr>
              <w:t>243,093</w:t>
            </w:r>
          </w:p>
        </w:tc>
      </w:tr>
      <w:tr>
        <w:trPr>
          <w:cantSplit/>
        </w:trPr>
        <w:tc>
          <w:tcPr>
            <w:tcW w:type="dxa" w:w="1984"/>
          </w:tcPr>
          <w:p>
            <w:r/>
            <w:r>
              <w:rPr>
                <w:color w:val="1A1D21"/>
                <w:sz w:val="17"/>
              </w:rPr>
              <w:t>Cost per delivered unit</w:t>
            </w:r>
          </w:p>
        </w:tc>
        <w:tc>
          <w:tcPr>
            <w:tcW w:type="dxa" w:w="1026"/>
          </w:tcPr>
          <w:p>
            <w:pPr>
              <w:jc w:val="right"/>
            </w:pPr>
            <w:r/>
            <w:r>
              <w:rPr>
                <w:color w:val="1A1D21"/>
                <w:sz w:val="17"/>
              </w:rPr>
              <w:t>12.73</w:t>
            </w:r>
          </w:p>
        </w:tc>
        <w:tc>
          <w:tcPr>
            <w:tcW w:type="dxa" w:w="1026"/>
          </w:tcPr>
          <w:p>
            <w:pPr>
              <w:jc w:val="right"/>
            </w:pPr>
            <w:r/>
            <w:r>
              <w:rPr>
                <w:color w:val="1A1D21"/>
                <w:sz w:val="17"/>
              </w:rPr>
              <w:t>14.25</w:t>
            </w:r>
          </w:p>
        </w:tc>
        <w:tc>
          <w:tcPr>
            <w:tcW w:type="dxa" w:w="1026"/>
          </w:tcPr>
          <w:p>
            <w:pPr>
              <w:jc w:val="right"/>
            </w:pPr>
            <w:r/>
            <w:r>
              <w:rPr>
                <w:color w:val="1A1D21"/>
                <w:sz w:val="17"/>
              </w:rPr>
              <w:t>15.54</w:t>
            </w:r>
          </w:p>
        </w:tc>
        <w:tc>
          <w:tcPr>
            <w:tcW w:type="dxa" w:w="1026"/>
          </w:tcPr>
          <w:p>
            <w:pPr>
              <w:jc w:val="right"/>
            </w:pPr>
            <w:r/>
            <w:r>
              <w:rPr>
                <w:color w:val="1A1D21"/>
                <w:sz w:val="17"/>
              </w:rPr>
              <w:t>16.70</w:t>
            </w:r>
          </w:p>
        </w:tc>
        <w:tc>
          <w:tcPr>
            <w:tcW w:type="dxa" w:w="1026"/>
          </w:tcPr>
          <w:p>
            <w:pPr>
              <w:jc w:val="right"/>
            </w:pPr>
            <w:r/>
            <w:r>
              <w:rPr>
                <w:color w:val="1A1D21"/>
                <w:sz w:val="17"/>
              </w:rPr>
              <w:t>17.87</w:t>
            </w:r>
          </w:p>
        </w:tc>
        <w:tc>
          <w:tcPr>
            <w:tcW w:type="dxa" w:w="1026"/>
          </w:tcPr>
          <w:p>
            <w:pPr>
              <w:jc w:val="right"/>
            </w:pPr>
            <w:r/>
            <w:r>
              <w:rPr>
                <w:color w:val="1A1D21"/>
                <w:sz w:val="17"/>
              </w:rPr>
              <w:t>25.07</w:t>
            </w:r>
          </w:p>
        </w:tc>
        <w:tc>
          <w:tcPr>
            <w:tcW w:type="dxa" w:w="1026"/>
          </w:tcPr>
          <w:p>
            <w:pPr>
              <w:jc w:val="right"/>
            </w:pPr>
            <w:r/>
            <w:r>
              <w:rPr>
                <w:color w:val="1A1D21"/>
                <w:sz w:val="17"/>
              </w:rPr>
              <w:t>35.16</w:t>
            </w:r>
          </w:p>
        </w:tc>
      </w:tr>
      <w:tr>
        <w:trPr>
          <w:cantSplit/>
        </w:trPr>
        <w:tc>
          <w:tcPr>
            <w:tcW w:type="dxa" w:w="1984"/>
          </w:tcPr>
          <w:p>
            <w:r/>
            <w:r>
              <w:rPr>
                <w:color w:val="1A1D21"/>
                <w:sz w:val="17"/>
              </w:rPr>
              <w:t>Cost of revenue</w:t>
            </w:r>
          </w:p>
        </w:tc>
        <w:tc>
          <w:tcPr>
            <w:tcW w:type="dxa" w:w="1026"/>
          </w:tcPr>
          <w:p>
            <w:pPr>
              <w:jc w:val="right"/>
            </w:pPr>
            <w:r/>
            <w:r>
              <w:rPr>
                <w:color w:val="1A1D21"/>
                <w:sz w:val="17"/>
              </w:rPr>
              <w:t>-25,902</w:t>
            </w:r>
          </w:p>
        </w:tc>
        <w:tc>
          <w:tcPr>
            <w:tcW w:type="dxa" w:w="1026"/>
          </w:tcPr>
          <w:p>
            <w:pPr>
              <w:jc w:val="right"/>
            </w:pPr>
            <w:r/>
            <w:r>
              <w:rPr>
                <w:color w:val="1A1D21"/>
                <w:sz w:val="17"/>
              </w:rPr>
              <w:t>-33,362</w:t>
            </w:r>
          </w:p>
        </w:tc>
        <w:tc>
          <w:tcPr>
            <w:tcW w:type="dxa" w:w="1026"/>
          </w:tcPr>
          <w:p>
            <w:pPr>
              <w:jc w:val="right"/>
            </w:pPr>
            <w:r/>
            <w:r>
              <w:rPr>
                <w:color w:val="1A1D21"/>
                <w:sz w:val="17"/>
              </w:rPr>
              <w:t>-41,273</w:t>
            </w:r>
          </w:p>
        </w:tc>
        <w:tc>
          <w:tcPr>
            <w:tcW w:type="dxa" w:w="1026"/>
          </w:tcPr>
          <w:p>
            <w:pPr>
              <w:jc w:val="right"/>
            </w:pPr>
            <w:r/>
            <w:r>
              <w:rPr>
                <w:color w:val="1A1D21"/>
                <w:sz w:val="17"/>
              </w:rPr>
              <w:t>-49,693</w:t>
            </w:r>
          </w:p>
        </w:tc>
        <w:tc>
          <w:tcPr>
            <w:tcW w:type="dxa" w:w="1026"/>
          </w:tcPr>
          <w:p>
            <w:pPr>
              <w:jc w:val="right"/>
            </w:pPr>
            <w:r/>
            <w:r>
              <w:rPr>
                <w:color w:val="1A1D21"/>
                <w:sz w:val="17"/>
              </w:rPr>
              <w:t>-58,755</w:t>
            </w:r>
          </w:p>
        </w:tc>
        <w:tc>
          <w:tcPr>
            <w:tcW w:type="dxa" w:w="1026"/>
          </w:tcPr>
          <w:p>
            <w:pPr>
              <w:jc w:val="right"/>
            </w:pPr>
            <w:r/>
            <w:r>
              <w:rPr>
                <w:color w:val="1A1D21"/>
                <w:sz w:val="17"/>
              </w:rPr>
              <w:t>-110,168</w:t>
            </w:r>
          </w:p>
        </w:tc>
        <w:tc>
          <w:tcPr>
            <w:tcW w:type="dxa" w:w="1026"/>
          </w:tcPr>
          <w:p>
            <w:pPr>
              <w:jc w:val="right"/>
            </w:pPr>
            <w:r/>
            <w:r>
              <w:rPr>
                <w:color w:val="1A1D21"/>
                <w:sz w:val="17"/>
              </w:rPr>
              <w:t>-156,834</w:t>
            </w:r>
          </w:p>
        </w:tc>
      </w:tr>
      <w:tr>
        <w:trPr>
          <w:cantSplit/>
        </w:trPr>
        <w:tc>
          <w:tcPr>
            <w:tcW w:type="dxa" w:w="1984"/>
          </w:tcPr>
          <w:p>
            <w:r/>
            <w:r>
              <w:rPr>
                <w:color w:val="1A1D21"/>
                <w:sz w:val="17"/>
              </w:rPr>
              <w:t>Gross profit</w:t>
            </w:r>
          </w:p>
        </w:tc>
        <w:tc>
          <w:tcPr>
            <w:tcW w:type="dxa" w:w="1026"/>
          </w:tcPr>
          <w:p>
            <w:pPr>
              <w:jc w:val="right"/>
            </w:pPr>
            <w:r/>
            <w:r>
              <w:rPr>
                <w:color w:val="1A1D21"/>
                <w:sz w:val="17"/>
              </w:rPr>
              <w:t>14,246</w:t>
            </w:r>
          </w:p>
        </w:tc>
        <w:tc>
          <w:tcPr>
            <w:tcW w:type="dxa" w:w="1026"/>
          </w:tcPr>
          <w:p>
            <w:pPr>
              <w:jc w:val="right"/>
            </w:pPr>
            <w:r/>
            <w:r>
              <w:rPr>
                <w:color w:val="1A1D21"/>
                <w:sz w:val="17"/>
              </w:rPr>
              <w:t>18,349</w:t>
            </w:r>
          </w:p>
        </w:tc>
        <w:tc>
          <w:tcPr>
            <w:tcW w:type="dxa" w:w="1026"/>
          </w:tcPr>
          <w:p>
            <w:pPr>
              <w:jc w:val="right"/>
            </w:pPr>
            <w:r/>
            <w:r>
              <w:rPr>
                <w:color w:val="1A1D21"/>
                <w:sz w:val="17"/>
              </w:rPr>
              <w:t>22,700</w:t>
            </w:r>
          </w:p>
        </w:tc>
        <w:tc>
          <w:tcPr>
            <w:tcW w:type="dxa" w:w="1026"/>
          </w:tcPr>
          <w:p>
            <w:pPr>
              <w:jc w:val="right"/>
            </w:pPr>
            <w:r/>
            <w:r>
              <w:rPr>
                <w:color w:val="1A1D21"/>
                <w:sz w:val="17"/>
              </w:rPr>
              <w:t>27,331</w:t>
            </w:r>
          </w:p>
        </w:tc>
        <w:tc>
          <w:tcPr>
            <w:tcW w:type="dxa" w:w="1026"/>
          </w:tcPr>
          <w:p>
            <w:pPr>
              <w:jc w:val="right"/>
            </w:pPr>
            <w:r/>
            <w:r>
              <w:rPr>
                <w:color w:val="1A1D21"/>
                <w:sz w:val="17"/>
              </w:rPr>
              <w:t>32,315</w:t>
            </w:r>
          </w:p>
        </w:tc>
        <w:tc>
          <w:tcPr>
            <w:tcW w:type="dxa" w:w="1026"/>
          </w:tcPr>
          <w:p>
            <w:pPr>
              <w:jc w:val="right"/>
            </w:pPr>
            <w:r/>
            <w:r>
              <w:rPr>
                <w:color w:val="1A1D21"/>
                <w:sz w:val="17"/>
              </w:rPr>
              <w:t>60,592</w:t>
            </w:r>
          </w:p>
        </w:tc>
        <w:tc>
          <w:tcPr>
            <w:tcW w:type="dxa" w:w="1026"/>
          </w:tcPr>
          <w:p>
            <w:pPr>
              <w:jc w:val="right"/>
            </w:pPr>
            <w:r/>
            <w:r>
              <w:rPr>
                <w:color w:val="1A1D21"/>
                <w:sz w:val="17"/>
              </w:rPr>
              <w:t>86,259</w:t>
            </w:r>
          </w:p>
        </w:tc>
      </w:tr>
      <w:tr>
        <w:trPr>
          <w:cantSplit/>
        </w:trPr>
        <w:tc>
          <w:tcPr>
            <w:tcW w:type="dxa" w:w="1984"/>
          </w:tcPr>
          <w:p>
            <w:r/>
            <w:r>
              <w:rPr>
                <w:color w:val="1A1D21"/>
                <w:sz w:val="17"/>
              </w:rPr>
              <w:t>Gross margin</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r>
      <w:tr>
        <w:trPr>
          <w:cantSplit/>
        </w:trPr>
        <w:tc>
          <w:tcPr>
            <w:tcW w:type="dxa" w:w="1984"/>
          </w:tcPr>
          <w:p>
            <w:r/>
            <w:r>
              <w:rPr>
                <w:color w:val="1A1D21"/>
                <w:sz w:val="17"/>
              </w:rPr>
              <w:t>Overheads</w:t>
            </w:r>
          </w:p>
        </w:tc>
        <w:tc>
          <w:tcPr>
            <w:tcW w:type="dxa" w:w="1026"/>
          </w:tcPr>
          <w:p>
            <w:pPr>
              <w:jc w:val="right"/>
            </w:pPr>
            <w:r/>
            <w:r>
              <w:rPr>
                <w:color w:val="1A1D21"/>
                <w:sz w:val="17"/>
              </w:rPr>
              <w:t>-7,066</w:t>
            </w:r>
          </w:p>
        </w:tc>
        <w:tc>
          <w:tcPr>
            <w:tcW w:type="dxa" w:w="1026"/>
          </w:tcPr>
          <w:p>
            <w:pPr>
              <w:jc w:val="right"/>
            </w:pPr>
            <w:r/>
            <w:r>
              <w:rPr>
                <w:color w:val="1A1D21"/>
                <w:sz w:val="17"/>
              </w:rPr>
              <w:t>-9,101</w:t>
            </w:r>
          </w:p>
        </w:tc>
        <w:tc>
          <w:tcPr>
            <w:tcW w:type="dxa" w:w="1026"/>
          </w:tcPr>
          <w:p>
            <w:pPr>
              <w:jc w:val="right"/>
            </w:pPr>
            <w:r/>
            <w:r>
              <w:rPr>
                <w:color w:val="1A1D21"/>
                <w:sz w:val="17"/>
              </w:rPr>
              <w:t>-11,259</w:t>
            </w:r>
          </w:p>
        </w:tc>
        <w:tc>
          <w:tcPr>
            <w:tcW w:type="dxa" w:w="1026"/>
          </w:tcPr>
          <w:p>
            <w:pPr>
              <w:jc w:val="right"/>
            </w:pPr>
            <w:r/>
            <w:r>
              <w:rPr>
                <w:color w:val="1A1D21"/>
                <w:sz w:val="17"/>
              </w:rPr>
              <w:t>-13,556</w:t>
            </w:r>
          </w:p>
        </w:tc>
        <w:tc>
          <w:tcPr>
            <w:tcW w:type="dxa" w:w="1026"/>
          </w:tcPr>
          <w:p>
            <w:pPr>
              <w:jc w:val="right"/>
            </w:pPr>
            <w:r/>
            <w:r>
              <w:rPr>
                <w:color w:val="1A1D21"/>
                <w:sz w:val="17"/>
              </w:rPr>
              <w:t>-16,028</w:t>
            </w:r>
          </w:p>
        </w:tc>
        <w:tc>
          <w:tcPr>
            <w:tcW w:type="dxa" w:w="1026"/>
          </w:tcPr>
          <w:p>
            <w:pPr>
              <w:jc w:val="right"/>
            </w:pPr>
            <w:r/>
            <w:r>
              <w:rPr>
                <w:color w:val="1A1D21"/>
                <w:sz w:val="17"/>
              </w:rPr>
              <w:t>-30,053</w:t>
            </w:r>
          </w:p>
        </w:tc>
        <w:tc>
          <w:tcPr>
            <w:tcW w:type="dxa" w:w="1026"/>
          </w:tcPr>
          <w:p>
            <w:pPr>
              <w:jc w:val="right"/>
            </w:pPr>
            <w:r/>
            <w:r>
              <w:rPr>
                <w:color w:val="1A1D21"/>
                <w:sz w:val="17"/>
              </w:rPr>
              <w:t>-42,783</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Finance cost</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r>
      <w:tr>
        <w:trPr>
          <w:cantSplit/>
        </w:trPr>
        <w:tc>
          <w:tcPr>
            <w:tcW w:type="dxa" w:w="1984"/>
          </w:tcPr>
          <w:p>
            <w:r/>
            <w:r>
              <w:rPr>
                <w:color w:val="1A1D21"/>
                <w:sz w:val="17"/>
              </w:rPr>
              <w:t>Profit before tax</w:t>
            </w:r>
          </w:p>
        </w:tc>
        <w:tc>
          <w:tcPr>
            <w:tcW w:type="dxa" w:w="1026"/>
          </w:tcPr>
          <w:p>
            <w:pPr>
              <w:jc w:val="right"/>
            </w:pPr>
            <w:r/>
            <w:r>
              <w:rPr>
                <w:color w:val="1A1D21"/>
                <w:sz w:val="17"/>
              </w:rPr>
              <w:t>3,440</w:t>
            </w:r>
          </w:p>
        </w:tc>
        <w:tc>
          <w:tcPr>
            <w:tcW w:type="dxa" w:w="1026"/>
          </w:tcPr>
          <w:p>
            <w:pPr>
              <w:jc w:val="right"/>
            </w:pPr>
            <w:r/>
            <w:r>
              <w:rPr>
                <w:color w:val="1A1D21"/>
                <w:sz w:val="17"/>
              </w:rPr>
              <w:t>5,395</w:t>
            </w:r>
          </w:p>
        </w:tc>
        <w:tc>
          <w:tcPr>
            <w:tcW w:type="dxa" w:w="1026"/>
          </w:tcPr>
          <w:p>
            <w:pPr>
              <w:jc w:val="right"/>
            </w:pPr>
            <w:r/>
            <w:r>
              <w:rPr>
                <w:color w:val="1A1D21"/>
                <w:sz w:val="17"/>
              </w:rPr>
              <w:t>7,468</w:t>
            </w:r>
          </w:p>
        </w:tc>
        <w:tc>
          <w:tcPr>
            <w:tcW w:type="dxa" w:w="1026"/>
          </w:tcPr>
          <w:p>
            <w:pPr>
              <w:jc w:val="right"/>
            </w:pPr>
            <w:r/>
            <w:r>
              <w:rPr>
                <w:color w:val="1A1D21"/>
                <w:sz w:val="17"/>
              </w:rPr>
              <w:t>9,675</w:t>
            </w:r>
          </w:p>
        </w:tc>
        <w:tc>
          <w:tcPr>
            <w:tcW w:type="dxa" w:w="1026"/>
          </w:tcPr>
          <w:p>
            <w:pPr>
              <w:jc w:val="right"/>
            </w:pPr>
            <w:r/>
            <w:r>
              <w:rPr>
                <w:color w:val="1A1D21"/>
                <w:sz w:val="17"/>
              </w:rPr>
              <w:t>12,049</w:t>
            </w:r>
          </w:p>
        </w:tc>
        <w:tc>
          <w:tcPr>
            <w:tcW w:type="dxa" w:w="1026"/>
          </w:tcPr>
          <w:p>
            <w:pPr>
              <w:jc w:val="right"/>
            </w:pPr>
            <w:r/>
            <w:r>
              <w:rPr>
                <w:color w:val="1A1D21"/>
                <w:sz w:val="17"/>
              </w:rPr>
              <w:t>25,522</w:t>
            </w:r>
          </w:p>
        </w:tc>
        <w:tc>
          <w:tcPr>
            <w:tcW w:type="dxa" w:w="1026"/>
          </w:tcPr>
          <w:p>
            <w:pPr>
              <w:jc w:val="right"/>
            </w:pPr>
            <w:r/>
            <w:r>
              <w:rPr>
                <w:color w:val="1A1D21"/>
                <w:sz w:val="17"/>
              </w:rPr>
              <w:t>37,751</w:t>
            </w:r>
          </w:p>
        </w:tc>
      </w:tr>
      <w:tr>
        <w:trPr>
          <w:cantSplit/>
        </w:trPr>
        <w:tc>
          <w:tcPr>
            <w:tcW w:type="dxa" w:w="1984"/>
          </w:tcPr>
          <w:p>
            <w:r/>
            <w:r>
              <w:rPr>
                <w:color w:val="1A1D21"/>
                <w:sz w:val="17"/>
              </w:rPr>
              <w:t>Tax</w:t>
            </w:r>
          </w:p>
        </w:tc>
        <w:tc>
          <w:tcPr>
            <w:tcW w:type="dxa" w:w="1026"/>
          </w:tcPr>
          <w:p>
            <w:pPr>
              <w:jc w:val="right"/>
            </w:pPr>
            <w:r/>
            <w:r>
              <w:rPr>
                <w:color w:val="1A1D21"/>
                <w:sz w:val="17"/>
              </w:rPr>
              <w:t>-774</w:t>
            </w:r>
          </w:p>
        </w:tc>
        <w:tc>
          <w:tcPr>
            <w:tcW w:type="dxa" w:w="1026"/>
          </w:tcPr>
          <w:p>
            <w:pPr>
              <w:jc w:val="right"/>
            </w:pPr>
            <w:r/>
            <w:r>
              <w:rPr>
                <w:color w:val="1A1D21"/>
                <w:sz w:val="17"/>
              </w:rPr>
              <w:t>-1,214</w:t>
            </w:r>
          </w:p>
        </w:tc>
        <w:tc>
          <w:tcPr>
            <w:tcW w:type="dxa" w:w="1026"/>
          </w:tcPr>
          <w:p>
            <w:pPr>
              <w:jc w:val="right"/>
            </w:pPr>
            <w:r/>
            <w:r>
              <w:rPr>
                <w:color w:val="1A1D21"/>
                <w:sz w:val="17"/>
              </w:rPr>
              <w:t>-1,680</w:t>
            </w:r>
          </w:p>
        </w:tc>
        <w:tc>
          <w:tcPr>
            <w:tcW w:type="dxa" w:w="1026"/>
          </w:tcPr>
          <w:p>
            <w:pPr>
              <w:jc w:val="right"/>
            </w:pPr>
            <w:r/>
            <w:r>
              <w:rPr>
                <w:color w:val="1A1D21"/>
                <w:sz w:val="17"/>
              </w:rPr>
              <w:t>-2,177</w:t>
            </w:r>
          </w:p>
        </w:tc>
        <w:tc>
          <w:tcPr>
            <w:tcW w:type="dxa" w:w="1026"/>
          </w:tcPr>
          <w:p>
            <w:pPr>
              <w:jc w:val="right"/>
            </w:pPr>
            <w:r/>
            <w:r>
              <w:rPr>
                <w:color w:val="1A1D21"/>
                <w:sz w:val="17"/>
              </w:rPr>
              <w:t>-2,711</w:t>
            </w:r>
          </w:p>
        </w:tc>
        <w:tc>
          <w:tcPr>
            <w:tcW w:type="dxa" w:w="1026"/>
          </w:tcPr>
          <w:p>
            <w:pPr>
              <w:jc w:val="right"/>
            </w:pPr>
            <w:r/>
            <w:r>
              <w:rPr>
                <w:color w:val="1A1D21"/>
                <w:sz w:val="17"/>
              </w:rPr>
              <w:t>-5,742</w:t>
            </w:r>
          </w:p>
        </w:tc>
        <w:tc>
          <w:tcPr>
            <w:tcW w:type="dxa" w:w="1026"/>
          </w:tcPr>
          <w:p>
            <w:pPr>
              <w:jc w:val="right"/>
            </w:pPr>
            <w:r/>
            <w:r>
              <w:rPr>
                <w:color w:val="1A1D21"/>
                <w:sz w:val="17"/>
              </w:rPr>
              <w:t>-8,494</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Earnings per share (EGP)</w:t>
            </w:r>
          </w:p>
        </w:tc>
        <w:tc>
          <w:tcPr>
            <w:tcW w:type="dxa" w:w="1026"/>
          </w:tcPr>
          <w:p>
            <w:pPr>
              <w:jc w:val="right"/>
            </w:pPr>
            <w:r/>
            <w:r>
              <w:rPr>
                <w:color w:val="1A1D21"/>
                <w:sz w:val="17"/>
              </w:rPr>
              <w:t>0.93</w:t>
            </w:r>
          </w:p>
        </w:tc>
        <w:tc>
          <w:tcPr>
            <w:tcW w:type="dxa" w:w="1026"/>
          </w:tcPr>
          <w:p>
            <w:pPr>
              <w:jc w:val="right"/>
            </w:pPr>
            <w:r/>
            <w:r>
              <w:rPr>
                <w:color w:val="1A1D21"/>
                <w:sz w:val="17"/>
              </w:rPr>
              <w:t>1.46</w:t>
            </w:r>
          </w:p>
        </w:tc>
        <w:tc>
          <w:tcPr>
            <w:tcW w:type="dxa" w:w="1026"/>
          </w:tcPr>
          <w:p>
            <w:pPr>
              <w:jc w:val="right"/>
            </w:pPr>
            <w:r/>
            <w:r>
              <w:rPr>
                <w:color w:val="1A1D21"/>
                <w:sz w:val="17"/>
              </w:rPr>
              <w:t>2.02</w:t>
            </w:r>
          </w:p>
        </w:tc>
        <w:tc>
          <w:tcPr>
            <w:tcW w:type="dxa" w:w="1026"/>
          </w:tcPr>
          <w:p>
            <w:pPr>
              <w:jc w:val="right"/>
            </w:pPr>
            <w:r/>
            <w:r>
              <w:rPr>
                <w:color w:val="1A1D21"/>
                <w:sz w:val="17"/>
              </w:rPr>
              <w:t>2.62</w:t>
            </w:r>
          </w:p>
        </w:tc>
        <w:tc>
          <w:tcPr>
            <w:tcW w:type="dxa" w:w="1026"/>
          </w:tcPr>
          <w:p>
            <w:pPr>
              <w:jc w:val="right"/>
            </w:pPr>
            <w:r/>
            <w:r>
              <w:rPr>
                <w:color w:val="1A1D21"/>
                <w:sz w:val="17"/>
              </w:rPr>
              <w:t>3.27</w:t>
            </w:r>
          </w:p>
        </w:tc>
        <w:tc>
          <w:tcPr>
            <w:tcW w:type="dxa" w:w="1026"/>
          </w:tcPr>
          <w:p>
            <w:pPr>
              <w:jc w:val="right"/>
            </w:pPr>
            <w:r/>
            <w:r>
              <w:rPr>
                <w:color w:val="1A1D21"/>
                <w:sz w:val="17"/>
              </w:rPr>
              <w:t>6.92</w:t>
            </w:r>
          </w:p>
        </w:tc>
        <w:tc>
          <w:tcPr>
            <w:tcW w:type="dxa" w:w="1026"/>
          </w:tcPr>
          <w:p>
            <w:pPr>
              <w:jc w:val="right"/>
            </w:pPr>
            <w:r/>
            <w:r>
              <w:rPr>
                <w:color w:val="1A1D21"/>
                <w:sz w:val="17"/>
              </w:rPr>
              <w:t>10.23</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63,115.1</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53,187.9</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114,863.9</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21,337.8</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30,481.0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17,788.2</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9,125.1</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108,093.2</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72,867.8</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5,340.1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49,497.4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157,590.6</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20,388.4</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18,955.7</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1,432.7</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balance sheet,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Trade and notes receivable</w:t>
            </w:r>
          </w:p>
        </w:tc>
        <w:tc>
          <w:tcPr>
            <w:tcW w:type="dxa" w:w="1026"/>
          </w:tcPr>
          <w:p>
            <w:pPr>
              <w:jc w:val="right"/>
            </w:pPr>
            <w:r/>
            <w:r>
              <w:rPr>
                <w:color w:val="1A1D21"/>
                <w:sz w:val="17"/>
              </w:rPr>
              <w:t>102,781</w:t>
            </w:r>
          </w:p>
        </w:tc>
        <w:tc>
          <w:tcPr>
            <w:tcW w:type="dxa" w:w="1026"/>
          </w:tcPr>
          <w:p>
            <w:pPr>
              <w:jc w:val="right"/>
            </w:pPr>
            <w:r/>
            <w:r>
              <w:rPr>
                <w:color w:val="1A1D21"/>
                <w:sz w:val="17"/>
              </w:rPr>
              <w:t>103,081</w:t>
            </w:r>
          </w:p>
        </w:tc>
        <w:tc>
          <w:tcPr>
            <w:tcW w:type="dxa" w:w="1026"/>
          </w:tcPr>
          <w:p>
            <w:pPr>
              <w:jc w:val="right"/>
            </w:pPr>
            <w:r/>
            <w:r>
              <w:rPr>
                <w:color w:val="1A1D21"/>
                <w:sz w:val="17"/>
              </w:rPr>
              <w:t>104,475</w:t>
            </w:r>
          </w:p>
        </w:tc>
        <w:tc>
          <w:tcPr>
            <w:tcW w:type="dxa" w:w="1026"/>
          </w:tcPr>
          <w:p>
            <w:pPr>
              <w:jc w:val="right"/>
            </w:pPr>
            <w:r/>
            <w:r>
              <w:rPr>
                <w:color w:val="1A1D21"/>
                <w:sz w:val="17"/>
              </w:rPr>
              <w:t>107,031</w:t>
            </w:r>
          </w:p>
        </w:tc>
        <w:tc>
          <w:tcPr>
            <w:tcW w:type="dxa" w:w="1026"/>
          </w:tcPr>
          <w:p>
            <w:pPr>
              <w:jc w:val="right"/>
            </w:pPr>
            <w:r/>
            <w:r>
              <w:rPr>
                <w:color w:val="1A1D21"/>
                <w:sz w:val="17"/>
              </w:rPr>
              <w:t>110,840</w:t>
            </w:r>
          </w:p>
        </w:tc>
        <w:tc>
          <w:tcPr>
            <w:tcW w:type="dxa" w:w="1026"/>
          </w:tcPr>
          <w:p>
            <w:pPr>
              <w:jc w:val="right"/>
            </w:pPr>
            <w:r/>
            <w:r>
              <w:rPr>
                <w:color w:val="1A1D21"/>
                <w:sz w:val="17"/>
              </w:rPr>
              <w:t>151,036</w:t>
            </w:r>
          </w:p>
        </w:tc>
        <w:tc>
          <w:tcPr>
            <w:tcW w:type="dxa" w:w="1026"/>
          </w:tcPr>
          <w:p>
            <w:pPr>
              <w:jc w:val="right"/>
            </w:pPr>
            <w:r/>
            <w:r>
              <w:rPr>
                <w:color w:val="1A1D21"/>
                <w:sz w:val="17"/>
              </w:rPr>
              <w:t>224,555</w:t>
            </w:r>
          </w:p>
        </w:tc>
      </w:tr>
      <w:tr>
        <w:trPr>
          <w:cantSplit/>
        </w:trPr>
        <w:tc>
          <w:tcPr>
            <w:tcW w:type="dxa" w:w="1984"/>
          </w:tcPr>
          <w:p>
            <w:r/>
            <w:r>
              <w:rPr>
                <w:color w:val="1A1D21"/>
                <w:sz w:val="17"/>
              </w:rPr>
              <w:t>Work in progress</w:t>
            </w:r>
          </w:p>
        </w:tc>
        <w:tc>
          <w:tcPr>
            <w:tcW w:type="dxa" w:w="1026"/>
          </w:tcPr>
          <w:p>
            <w:pPr>
              <w:jc w:val="right"/>
            </w:pPr>
            <w:r/>
            <w:r>
              <w:rPr>
                <w:color w:val="1A1D21"/>
                <w:sz w:val="17"/>
              </w:rPr>
              <w:t>17,447</w:t>
            </w:r>
          </w:p>
        </w:tc>
        <w:tc>
          <w:tcPr>
            <w:tcW w:type="dxa" w:w="1026"/>
          </w:tcPr>
          <w:p>
            <w:pPr>
              <w:jc w:val="right"/>
            </w:pPr>
            <w:r/>
            <w:r>
              <w:rPr>
                <w:color w:val="1A1D21"/>
                <w:sz w:val="17"/>
              </w:rPr>
              <w:t>17,498</w:t>
            </w:r>
          </w:p>
        </w:tc>
        <w:tc>
          <w:tcPr>
            <w:tcW w:type="dxa" w:w="1026"/>
          </w:tcPr>
          <w:p>
            <w:pPr>
              <w:jc w:val="right"/>
            </w:pPr>
            <w:r/>
            <w:r>
              <w:rPr>
                <w:color w:val="1A1D21"/>
                <w:sz w:val="17"/>
              </w:rPr>
              <w:t>17,734</w:t>
            </w:r>
          </w:p>
        </w:tc>
        <w:tc>
          <w:tcPr>
            <w:tcW w:type="dxa" w:w="1026"/>
          </w:tcPr>
          <w:p>
            <w:pPr>
              <w:jc w:val="right"/>
            </w:pPr>
            <w:r/>
            <w:r>
              <w:rPr>
                <w:color w:val="1A1D21"/>
                <w:sz w:val="17"/>
              </w:rPr>
              <w:t>18,168</w:t>
            </w:r>
          </w:p>
        </w:tc>
        <w:tc>
          <w:tcPr>
            <w:tcW w:type="dxa" w:w="1026"/>
          </w:tcPr>
          <w:p>
            <w:pPr>
              <w:jc w:val="right"/>
            </w:pPr>
            <w:r/>
            <w:r>
              <w:rPr>
                <w:color w:val="1A1D21"/>
                <w:sz w:val="17"/>
              </w:rPr>
              <w:t>18,815</w:t>
            </w:r>
          </w:p>
        </w:tc>
        <w:tc>
          <w:tcPr>
            <w:tcW w:type="dxa" w:w="1026"/>
          </w:tcPr>
          <w:p>
            <w:pPr>
              <w:jc w:val="right"/>
            </w:pPr>
            <w:r/>
            <w:r>
              <w:rPr>
                <w:color w:val="1A1D21"/>
                <w:sz w:val="17"/>
              </w:rPr>
              <w:t>25,638</w:t>
            </w:r>
          </w:p>
        </w:tc>
        <w:tc>
          <w:tcPr>
            <w:tcW w:type="dxa" w:w="1026"/>
          </w:tcPr>
          <w:p>
            <w:pPr>
              <w:jc w:val="right"/>
            </w:pPr>
            <w:r/>
            <w:r>
              <w:rPr>
                <w:color w:val="1A1D21"/>
                <w:sz w:val="17"/>
              </w:rPr>
              <w:t>38,118</w:t>
            </w:r>
          </w:p>
        </w:tc>
      </w:tr>
      <w:tr>
        <w:trPr>
          <w:cantSplit/>
        </w:trPr>
        <w:tc>
          <w:tcPr>
            <w:tcW w:type="dxa" w:w="1984"/>
          </w:tcPr>
          <w:p>
            <w:r/>
            <w:r>
              <w:rPr>
                <w:color w:val="1A1D21"/>
                <w:sz w:val="17"/>
              </w:rPr>
              <w:t>Other receivables and prepayments</w:t>
            </w:r>
          </w:p>
        </w:tc>
        <w:tc>
          <w:tcPr>
            <w:tcW w:type="dxa" w:w="1026"/>
          </w:tcPr>
          <w:p>
            <w:pPr>
              <w:jc w:val="right"/>
            </w:pPr>
            <w:r/>
            <w:r>
              <w:rPr>
                <w:color w:val="1A1D21"/>
                <w:sz w:val="17"/>
              </w:rPr>
              <w:t>12,831</w:t>
            </w:r>
          </w:p>
        </w:tc>
        <w:tc>
          <w:tcPr>
            <w:tcW w:type="dxa" w:w="1026"/>
          </w:tcPr>
          <w:p>
            <w:pPr>
              <w:jc w:val="right"/>
            </w:pPr>
            <w:r/>
            <w:r>
              <w:rPr>
                <w:color w:val="1A1D21"/>
                <w:sz w:val="17"/>
              </w:rPr>
              <w:t>12,868</w:t>
            </w:r>
          </w:p>
        </w:tc>
        <w:tc>
          <w:tcPr>
            <w:tcW w:type="dxa" w:w="1026"/>
          </w:tcPr>
          <w:p>
            <w:pPr>
              <w:jc w:val="right"/>
            </w:pPr>
            <w:r/>
            <w:r>
              <w:rPr>
                <w:color w:val="1A1D21"/>
                <w:sz w:val="17"/>
              </w:rPr>
              <w:t>13,042</w:t>
            </w:r>
          </w:p>
        </w:tc>
        <w:tc>
          <w:tcPr>
            <w:tcW w:type="dxa" w:w="1026"/>
          </w:tcPr>
          <w:p>
            <w:pPr>
              <w:jc w:val="right"/>
            </w:pPr>
            <w:r/>
            <w:r>
              <w:rPr>
                <w:color w:val="1A1D21"/>
                <w:sz w:val="17"/>
              </w:rPr>
              <w:t>13,361</w:t>
            </w:r>
          </w:p>
        </w:tc>
        <w:tc>
          <w:tcPr>
            <w:tcW w:type="dxa" w:w="1026"/>
          </w:tcPr>
          <w:p>
            <w:pPr>
              <w:jc w:val="right"/>
            </w:pPr>
            <w:r/>
            <w:r>
              <w:rPr>
                <w:color w:val="1A1D21"/>
                <w:sz w:val="17"/>
              </w:rPr>
              <w:t>13,837</w:t>
            </w:r>
          </w:p>
        </w:tc>
        <w:tc>
          <w:tcPr>
            <w:tcW w:type="dxa" w:w="1026"/>
          </w:tcPr>
          <w:p>
            <w:pPr>
              <w:jc w:val="right"/>
            </w:pPr>
            <w:r/>
            <w:r>
              <w:rPr>
                <w:color w:val="1A1D21"/>
                <w:sz w:val="17"/>
              </w:rPr>
              <w:t>18,855</w:t>
            </w:r>
          </w:p>
        </w:tc>
        <w:tc>
          <w:tcPr>
            <w:tcW w:type="dxa" w:w="1026"/>
          </w:tcPr>
          <w:p>
            <w:pPr>
              <w:jc w:val="right"/>
            </w:pPr>
            <w:r/>
            <w:r>
              <w:rPr>
                <w:color w:val="1A1D21"/>
                <w:sz w:val="17"/>
              </w:rPr>
              <w:t>28,033</w:t>
            </w:r>
          </w:p>
        </w:tc>
      </w:tr>
      <w:tr>
        <w:trPr>
          <w:cantSplit/>
        </w:trPr>
        <w:tc>
          <w:tcPr>
            <w:tcW w:type="dxa" w:w="1984"/>
          </w:tcPr>
          <w:p>
            <w:r/>
            <w:r>
              <w:rPr>
                <w:color w:val="1A1D21"/>
                <w:sz w:val="17"/>
              </w:rPr>
              <w:t>Advances to suppliers</w:t>
            </w:r>
          </w:p>
        </w:tc>
        <w:tc>
          <w:tcPr>
            <w:tcW w:type="dxa" w:w="1026"/>
          </w:tcPr>
          <w:p>
            <w:pPr>
              <w:jc w:val="right"/>
            </w:pPr>
            <w:r/>
            <w:r>
              <w:rPr>
                <w:color w:val="1A1D21"/>
                <w:sz w:val="17"/>
              </w:rPr>
              <w:t>8,992</w:t>
            </w:r>
          </w:p>
        </w:tc>
        <w:tc>
          <w:tcPr>
            <w:tcW w:type="dxa" w:w="1026"/>
          </w:tcPr>
          <w:p>
            <w:pPr>
              <w:jc w:val="right"/>
            </w:pPr>
            <w:r/>
            <w:r>
              <w:rPr>
                <w:color w:val="1A1D21"/>
                <w:sz w:val="17"/>
              </w:rPr>
              <w:t>9,019</w:t>
            </w:r>
          </w:p>
        </w:tc>
        <w:tc>
          <w:tcPr>
            <w:tcW w:type="dxa" w:w="1026"/>
          </w:tcPr>
          <w:p>
            <w:pPr>
              <w:jc w:val="right"/>
            </w:pPr>
            <w:r/>
            <w:r>
              <w:rPr>
                <w:color w:val="1A1D21"/>
                <w:sz w:val="17"/>
              </w:rPr>
              <w:t>9,141</w:t>
            </w:r>
          </w:p>
        </w:tc>
        <w:tc>
          <w:tcPr>
            <w:tcW w:type="dxa" w:w="1026"/>
          </w:tcPr>
          <w:p>
            <w:pPr>
              <w:jc w:val="right"/>
            </w:pPr>
            <w:r/>
            <w:r>
              <w:rPr>
                <w:color w:val="1A1D21"/>
                <w:sz w:val="17"/>
              </w:rPr>
              <w:t>9,364</w:t>
            </w:r>
          </w:p>
        </w:tc>
        <w:tc>
          <w:tcPr>
            <w:tcW w:type="dxa" w:w="1026"/>
          </w:tcPr>
          <w:p>
            <w:pPr>
              <w:jc w:val="right"/>
            </w:pPr>
            <w:r/>
            <w:r>
              <w:rPr>
                <w:color w:val="1A1D21"/>
                <w:sz w:val="17"/>
              </w:rPr>
              <w:t>9,697</w:t>
            </w:r>
          </w:p>
        </w:tc>
        <w:tc>
          <w:tcPr>
            <w:tcW w:type="dxa" w:w="1026"/>
          </w:tcPr>
          <w:p>
            <w:pPr>
              <w:jc w:val="right"/>
            </w:pPr>
            <w:r/>
            <w:r>
              <w:rPr>
                <w:color w:val="1A1D21"/>
                <w:sz w:val="17"/>
              </w:rPr>
              <w:t>13,214</w:t>
            </w:r>
          </w:p>
        </w:tc>
        <w:tc>
          <w:tcPr>
            <w:tcW w:type="dxa" w:w="1026"/>
          </w:tcPr>
          <w:p>
            <w:pPr>
              <w:jc w:val="right"/>
            </w:pPr>
            <w:r/>
            <w:r>
              <w:rPr>
                <w:color w:val="1A1D21"/>
                <w:sz w:val="17"/>
              </w:rPr>
              <w:t>19,646</w:t>
            </w:r>
          </w:p>
        </w:tc>
      </w:tr>
      <w:tr>
        <w:trPr>
          <w:cantSplit/>
        </w:trPr>
        <w:tc>
          <w:tcPr>
            <w:tcW w:type="dxa" w:w="1984"/>
          </w:tcPr>
          <w:p>
            <w:r/>
            <w:r>
              <w:rPr>
                <w:color w:val="1A1D21"/>
                <w:sz w:val="17"/>
              </w:rPr>
              <w:t>Cash and equivalents</w:t>
            </w:r>
          </w:p>
        </w:tc>
        <w:tc>
          <w:tcPr>
            <w:tcW w:type="dxa" w:w="1026"/>
          </w:tcPr>
          <w:p>
            <w:pPr>
              <w:jc w:val="right"/>
            </w:pPr>
            <w:r/>
            <w:r>
              <w:rPr>
                <w:color w:val="1A1D21"/>
                <w:sz w:val="17"/>
              </w:rPr>
              <w:t>12,516</w:t>
            </w:r>
          </w:p>
        </w:tc>
        <w:tc>
          <w:tcPr>
            <w:tcW w:type="dxa" w:w="1026"/>
          </w:tcPr>
          <w:p>
            <w:pPr>
              <w:jc w:val="right"/>
            </w:pPr>
            <w:r/>
            <w:r>
              <w:rPr>
                <w:color w:val="1A1D21"/>
                <w:sz w:val="17"/>
              </w:rPr>
              <w:t>16,505</w:t>
            </w:r>
          </w:p>
        </w:tc>
        <w:tc>
          <w:tcPr>
            <w:tcW w:type="dxa" w:w="1026"/>
          </w:tcPr>
          <w:p>
            <w:pPr>
              <w:jc w:val="right"/>
            </w:pPr>
            <w:r/>
            <w:r>
              <w:rPr>
                <w:color w:val="1A1D21"/>
                <w:sz w:val="17"/>
              </w:rPr>
              <w:t>21,440</w:t>
            </w:r>
          </w:p>
        </w:tc>
        <w:tc>
          <w:tcPr>
            <w:tcW w:type="dxa" w:w="1026"/>
          </w:tcPr>
          <w:p>
            <w:pPr>
              <w:jc w:val="right"/>
            </w:pPr>
            <w:r/>
            <w:r>
              <w:rPr>
                <w:color w:val="1A1D21"/>
                <w:sz w:val="17"/>
              </w:rPr>
              <w:t>27,381</w:t>
            </w:r>
          </w:p>
        </w:tc>
        <w:tc>
          <w:tcPr>
            <w:tcW w:type="dxa" w:w="1026"/>
          </w:tcPr>
          <w:p>
            <w:pPr>
              <w:jc w:val="right"/>
            </w:pPr>
            <w:r/>
            <w:r>
              <w:rPr>
                <w:color w:val="1A1D21"/>
                <w:sz w:val="17"/>
              </w:rPr>
              <w:t>34,406</w:t>
            </w:r>
          </w:p>
        </w:tc>
        <w:tc>
          <w:tcPr>
            <w:tcW w:type="dxa" w:w="1026"/>
          </w:tcPr>
          <w:p>
            <w:pPr>
              <w:jc w:val="right"/>
            </w:pPr>
            <w:r/>
            <w:r>
              <w:rPr>
                <w:color w:val="1A1D21"/>
                <w:sz w:val="17"/>
              </w:rPr>
              <w:t>87,835</w:t>
            </w:r>
          </w:p>
        </w:tc>
        <w:tc>
          <w:tcPr>
            <w:tcW w:type="dxa" w:w="1026"/>
          </w:tcPr>
          <w:p>
            <w:pPr>
              <w:jc w:val="right"/>
            </w:pPr>
            <w:r/>
            <w:r>
              <w:rPr>
                <w:color w:val="1A1D21"/>
                <w:sz w:val="17"/>
              </w:rPr>
              <w:t>170,102</w:t>
            </w:r>
          </w:p>
        </w:tc>
      </w:tr>
      <w:tr>
        <w:trPr>
          <w:cantSplit/>
        </w:trPr>
        <w:tc>
          <w:tcPr>
            <w:tcW w:type="dxa" w:w="1984"/>
          </w:tcPr>
          <w:p>
            <w:r/>
            <w:r>
              <w:rPr>
                <w:color w:val="1A1D21"/>
                <w:sz w:val="17"/>
              </w:rPr>
              <w:t>Property and equipment</w:t>
            </w:r>
          </w:p>
        </w:tc>
        <w:tc>
          <w:tcPr>
            <w:tcW w:type="dxa" w:w="1026"/>
          </w:tcPr>
          <w:p>
            <w:pPr>
              <w:jc w:val="right"/>
            </w:pPr>
            <w:r/>
            <w:r>
              <w:rPr>
                <w:color w:val="1A1D21"/>
                <w:sz w:val="17"/>
              </w:rPr>
              <w:t>4,531</w:t>
            </w:r>
          </w:p>
        </w:tc>
        <w:tc>
          <w:tcPr>
            <w:tcW w:type="dxa" w:w="1026"/>
          </w:tcPr>
          <w:p>
            <w:pPr>
              <w:jc w:val="right"/>
            </w:pPr>
            <w:r/>
            <w:r>
              <w:rPr>
                <w:color w:val="1A1D21"/>
                <w:sz w:val="17"/>
              </w:rPr>
              <w:t>4,542</w:t>
            </w:r>
          </w:p>
        </w:tc>
        <w:tc>
          <w:tcPr>
            <w:tcW w:type="dxa" w:w="1026"/>
          </w:tcPr>
          <w:p>
            <w:pPr>
              <w:jc w:val="right"/>
            </w:pPr>
            <w:r/>
            <w:r>
              <w:rPr>
                <w:color w:val="1A1D21"/>
                <w:sz w:val="17"/>
              </w:rPr>
              <w:t>4,556</w:t>
            </w:r>
          </w:p>
        </w:tc>
        <w:tc>
          <w:tcPr>
            <w:tcW w:type="dxa" w:w="1026"/>
          </w:tcPr>
          <w:p>
            <w:pPr>
              <w:jc w:val="right"/>
            </w:pPr>
            <w:r/>
            <w:r>
              <w:rPr>
                <w:color w:val="1A1D21"/>
                <w:sz w:val="17"/>
              </w:rPr>
              <w:t>4,573</w:t>
            </w:r>
          </w:p>
        </w:tc>
        <w:tc>
          <w:tcPr>
            <w:tcW w:type="dxa" w:w="1026"/>
          </w:tcPr>
          <w:p>
            <w:pPr>
              <w:jc w:val="right"/>
            </w:pPr>
            <w:r/>
            <w:r>
              <w:rPr>
                <w:color w:val="1A1D21"/>
                <w:sz w:val="17"/>
              </w:rPr>
              <w:t>4,594</w:t>
            </w:r>
          </w:p>
        </w:tc>
        <w:tc>
          <w:tcPr>
            <w:tcW w:type="dxa" w:w="1026"/>
          </w:tcPr>
          <w:p>
            <w:pPr>
              <w:jc w:val="right"/>
            </w:pPr>
            <w:r/>
            <w:r>
              <w:rPr>
                <w:color w:val="1A1D21"/>
                <w:sz w:val="17"/>
              </w:rPr>
              <w:t>4,747</w:t>
            </w:r>
          </w:p>
        </w:tc>
        <w:tc>
          <w:tcPr>
            <w:tcW w:type="dxa" w:w="1026"/>
          </w:tcPr>
          <w:p>
            <w:pPr>
              <w:jc w:val="right"/>
            </w:pPr>
            <w:r/>
            <w:r>
              <w:rPr>
                <w:color w:val="1A1D21"/>
                <w:sz w:val="17"/>
              </w:rPr>
              <w:t>4,982</w:t>
            </w:r>
          </w:p>
        </w:tc>
      </w:tr>
      <w:tr>
        <w:trPr>
          <w:cantSplit/>
        </w:trPr>
        <w:tc>
          <w:tcPr>
            <w:tcW w:type="dxa" w:w="1984"/>
          </w:tcPr>
          <w:p>
            <w:r/>
            <w:r>
              <w:rPr>
                <w:color w:val="1A1D21"/>
                <w:sz w:val="17"/>
              </w:rPr>
              <w:t>Other assets, held at the 2025 level</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r>
      <w:tr>
        <w:trPr>
          <w:cantSplit/>
        </w:trPr>
        <w:tc>
          <w:tcPr>
            <w:tcW w:type="dxa" w:w="1984"/>
          </w:tcPr>
          <w:p>
            <w:r/>
            <w:r>
              <w:rPr>
                <w:color w:val="1A1D21"/>
                <w:sz w:val="17"/>
              </w:rPr>
              <w:t>Total assets</w:t>
            </w:r>
          </w:p>
        </w:tc>
        <w:tc>
          <w:tcPr>
            <w:tcW w:type="dxa" w:w="1026"/>
          </w:tcPr>
          <w:p>
            <w:pPr>
              <w:jc w:val="right"/>
            </w:pPr>
            <w:r/>
            <w:r>
              <w:rPr>
                <w:color w:val="1A1D21"/>
                <w:sz w:val="17"/>
              </w:rPr>
              <w:t>174,226</w:t>
            </w:r>
          </w:p>
        </w:tc>
        <w:tc>
          <w:tcPr>
            <w:tcW w:type="dxa" w:w="1026"/>
          </w:tcPr>
          <w:p>
            <w:pPr>
              <w:jc w:val="right"/>
            </w:pPr>
            <w:r/>
            <w:r>
              <w:rPr>
                <w:color w:val="1A1D21"/>
                <w:sz w:val="17"/>
              </w:rPr>
              <w:t>178,642</w:t>
            </w:r>
          </w:p>
        </w:tc>
        <w:tc>
          <w:tcPr>
            <w:tcW w:type="dxa" w:w="1026"/>
          </w:tcPr>
          <w:p>
            <w:pPr>
              <w:jc w:val="right"/>
            </w:pPr>
            <w:r/>
            <w:r>
              <w:rPr>
                <w:color w:val="1A1D21"/>
                <w:sz w:val="17"/>
              </w:rPr>
              <w:t>185,517</w:t>
            </w:r>
          </w:p>
        </w:tc>
        <w:tc>
          <w:tcPr>
            <w:tcW w:type="dxa" w:w="1026"/>
          </w:tcPr>
          <w:p>
            <w:pPr>
              <w:jc w:val="right"/>
            </w:pPr>
            <w:r/>
            <w:r>
              <w:rPr>
                <w:color w:val="1A1D21"/>
                <w:sz w:val="17"/>
              </w:rPr>
              <w:t>195,009</w:t>
            </w:r>
          </w:p>
        </w:tc>
        <w:tc>
          <w:tcPr>
            <w:tcW w:type="dxa" w:w="1026"/>
          </w:tcPr>
          <w:p>
            <w:pPr>
              <w:jc w:val="right"/>
            </w:pPr>
            <w:r/>
            <w:r>
              <w:rPr>
                <w:color w:val="1A1D21"/>
                <w:sz w:val="17"/>
              </w:rPr>
              <w:t>207,317</w:t>
            </w:r>
          </w:p>
        </w:tc>
        <w:tc>
          <w:tcPr>
            <w:tcW w:type="dxa" w:w="1026"/>
          </w:tcPr>
          <w:p>
            <w:pPr>
              <w:jc w:val="right"/>
            </w:pPr>
            <w:r/>
            <w:r>
              <w:rPr>
                <w:color w:val="1A1D21"/>
                <w:sz w:val="17"/>
              </w:rPr>
              <w:t>316,454</w:t>
            </w:r>
          </w:p>
        </w:tc>
        <w:tc>
          <w:tcPr>
            <w:tcW w:type="dxa" w:w="1026"/>
          </w:tcPr>
          <w:p>
            <w:pPr>
              <w:jc w:val="right"/>
            </w:pPr>
            <w:r/>
            <w:r>
              <w:rPr>
                <w:color w:val="1A1D21"/>
                <w:sz w:val="17"/>
              </w:rPr>
              <w:t>500,564</w:t>
            </w:r>
          </w:p>
        </w:tc>
      </w:tr>
      <w:tr>
        <w:trPr>
          <w:cantSplit/>
        </w:trPr>
        <w:tc>
          <w:tcPr>
            <w:tcW w:type="dxa" w:w="1984"/>
          </w:tcPr>
          <w:p>
            <w:r/>
            <w:r>
              <w:rPr>
                <w:color w:val="1A1D21"/>
                <w:sz w:val="17"/>
              </w:rPr>
              <w:t>Customer advances</w:t>
            </w:r>
          </w:p>
        </w:tc>
        <w:tc>
          <w:tcPr>
            <w:tcW w:type="dxa" w:w="1026"/>
          </w:tcPr>
          <w:p>
            <w:pPr>
              <w:jc w:val="right"/>
            </w:pPr>
            <w:r/>
            <w:r>
              <w:rPr>
                <w:color w:val="1A1D21"/>
                <w:sz w:val="17"/>
              </w:rPr>
              <w:t>68,865</w:t>
            </w:r>
          </w:p>
        </w:tc>
        <w:tc>
          <w:tcPr>
            <w:tcW w:type="dxa" w:w="1026"/>
          </w:tcPr>
          <w:p>
            <w:pPr>
              <w:jc w:val="right"/>
            </w:pPr>
            <w:r/>
            <w:r>
              <w:rPr>
                <w:color w:val="1A1D21"/>
                <w:sz w:val="17"/>
              </w:rPr>
              <w:t>69,066</w:t>
            </w:r>
          </w:p>
        </w:tc>
        <w:tc>
          <w:tcPr>
            <w:tcW w:type="dxa" w:w="1026"/>
          </w:tcPr>
          <w:p>
            <w:pPr>
              <w:jc w:val="right"/>
            </w:pPr>
            <w:r/>
            <w:r>
              <w:rPr>
                <w:color w:val="1A1D21"/>
                <w:sz w:val="17"/>
              </w:rPr>
              <w:t>70,000</w:t>
            </w:r>
          </w:p>
        </w:tc>
        <w:tc>
          <w:tcPr>
            <w:tcW w:type="dxa" w:w="1026"/>
          </w:tcPr>
          <w:p>
            <w:pPr>
              <w:jc w:val="right"/>
            </w:pPr>
            <w:r/>
            <w:r>
              <w:rPr>
                <w:color w:val="1A1D21"/>
                <w:sz w:val="17"/>
              </w:rPr>
              <w:t>71,713</w:t>
            </w:r>
          </w:p>
        </w:tc>
        <w:tc>
          <w:tcPr>
            <w:tcW w:type="dxa" w:w="1026"/>
          </w:tcPr>
          <w:p>
            <w:pPr>
              <w:jc w:val="right"/>
            </w:pPr>
            <w:r/>
            <w:r>
              <w:rPr>
                <w:color w:val="1A1D21"/>
                <w:sz w:val="17"/>
              </w:rPr>
              <w:t>74,265</w:t>
            </w:r>
          </w:p>
        </w:tc>
        <w:tc>
          <w:tcPr>
            <w:tcW w:type="dxa" w:w="1026"/>
          </w:tcPr>
          <w:p>
            <w:pPr>
              <w:jc w:val="right"/>
            </w:pPr>
            <w:r/>
            <w:r>
              <w:rPr>
                <w:color w:val="1A1D21"/>
                <w:sz w:val="17"/>
              </w:rPr>
              <w:t>101,197</w:t>
            </w:r>
          </w:p>
        </w:tc>
        <w:tc>
          <w:tcPr>
            <w:tcW w:type="dxa" w:w="1026"/>
          </w:tcPr>
          <w:p>
            <w:pPr>
              <w:jc w:val="right"/>
            </w:pPr>
            <w:r/>
            <w:r>
              <w:rPr>
                <w:color w:val="1A1D21"/>
                <w:sz w:val="17"/>
              </w:rPr>
              <w:t>150,455</w:t>
            </w:r>
          </w:p>
        </w:tc>
      </w:tr>
      <w:tr>
        <w:trPr>
          <w:cantSplit/>
        </w:trPr>
        <w:tc>
          <w:tcPr>
            <w:tcW w:type="dxa" w:w="1984"/>
          </w:tcPr>
          <w:p>
            <w:r/>
            <w:r>
              <w:rPr>
                <w:color w:val="1A1D21"/>
                <w:sz w:val="17"/>
              </w:rPr>
              <w:t>Suppliers</w:t>
            </w:r>
          </w:p>
        </w:tc>
        <w:tc>
          <w:tcPr>
            <w:tcW w:type="dxa" w:w="1026"/>
          </w:tcPr>
          <w:p>
            <w:pPr>
              <w:jc w:val="right"/>
            </w:pPr>
            <w:r/>
            <w:r>
              <w:rPr>
                <w:color w:val="1A1D21"/>
                <w:sz w:val="17"/>
              </w:rPr>
              <w:t>3,780</w:t>
            </w:r>
          </w:p>
        </w:tc>
        <w:tc>
          <w:tcPr>
            <w:tcW w:type="dxa" w:w="1026"/>
          </w:tcPr>
          <w:p>
            <w:pPr>
              <w:jc w:val="right"/>
            </w:pPr>
            <w:r/>
            <w:r>
              <w:rPr>
                <w:color w:val="1A1D21"/>
                <w:sz w:val="17"/>
              </w:rPr>
              <w:t>3,791</w:t>
            </w:r>
          </w:p>
        </w:tc>
        <w:tc>
          <w:tcPr>
            <w:tcW w:type="dxa" w:w="1026"/>
          </w:tcPr>
          <w:p>
            <w:pPr>
              <w:jc w:val="right"/>
            </w:pPr>
            <w:r/>
            <w:r>
              <w:rPr>
                <w:color w:val="1A1D21"/>
                <w:sz w:val="17"/>
              </w:rPr>
              <w:t>3,842</w:t>
            </w:r>
          </w:p>
        </w:tc>
        <w:tc>
          <w:tcPr>
            <w:tcW w:type="dxa" w:w="1026"/>
          </w:tcPr>
          <w:p>
            <w:pPr>
              <w:jc w:val="right"/>
            </w:pPr>
            <w:r/>
            <w:r>
              <w:rPr>
                <w:color w:val="1A1D21"/>
                <w:sz w:val="17"/>
              </w:rPr>
              <w:t>3,936</w:t>
            </w:r>
          </w:p>
        </w:tc>
        <w:tc>
          <w:tcPr>
            <w:tcW w:type="dxa" w:w="1026"/>
          </w:tcPr>
          <w:p>
            <w:pPr>
              <w:jc w:val="right"/>
            </w:pPr>
            <w:r/>
            <w:r>
              <w:rPr>
                <w:color w:val="1A1D21"/>
                <w:sz w:val="17"/>
              </w:rPr>
              <w:t>4,077</w:t>
            </w:r>
          </w:p>
        </w:tc>
        <w:tc>
          <w:tcPr>
            <w:tcW w:type="dxa" w:w="1026"/>
          </w:tcPr>
          <w:p>
            <w:pPr>
              <w:jc w:val="right"/>
            </w:pPr>
            <w:r/>
            <w:r>
              <w:rPr>
                <w:color w:val="1A1D21"/>
                <w:sz w:val="17"/>
              </w:rPr>
              <w:t>5,555</w:t>
            </w:r>
          </w:p>
        </w:tc>
        <w:tc>
          <w:tcPr>
            <w:tcW w:type="dxa" w:w="1026"/>
          </w:tcPr>
          <w:p>
            <w:pPr>
              <w:jc w:val="right"/>
            </w:pPr>
            <w:r/>
            <w:r>
              <w:rPr>
                <w:color w:val="1A1D21"/>
                <w:sz w:val="17"/>
              </w:rPr>
              <w:t>8,259</w:t>
            </w:r>
          </w:p>
        </w:tc>
      </w:tr>
      <w:tr>
        <w:trPr>
          <w:cantSplit/>
        </w:trPr>
        <w:tc>
          <w:tcPr>
            <w:tcW w:type="dxa" w:w="1984"/>
          </w:tcPr>
          <w:p>
            <w:r/>
            <w:r>
              <w:rPr>
                <w:color w:val="1A1D21"/>
                <w:sz w:val="17"/>
              </w:rPr>
              <w:t>Other creditors</w:t>
            </w:r>
          </w:p>
        </w:tc>
        <w:tc>
          <w:tcPr>
            <w:tcW w:type="dxa" w:w="1026"/>
          </w:tcPr>
          <w:p>
            <w:pPr>
              <w:jc w:val="right"/>
            </w:pPr>
            <w:r/>
            <w:r>
              <w:rPr>
                <w:color w:val="1A1D21"/>
                <w:sz w:val="17"/>
              </w:rPr>
              <w:t>5,086</w:t>
            </w:r>
          </w:p>
        </w:tc>
        <w:tc>
          <w:tcPr>
            <w:tcW w:type="dxa" w:w="1026"/>
          </w:tcPr>
          <w:p>
            <w:pPr>
              <w:jc w:val="right"/>
            </w:pPr>
            <w:r/>
            <w:r>
              <w:rPr>
                <w:color w:val="1A1D21"/>
                <w:sz w:val="17"/>
              </w:rPr>
              <w:t>5,100</w:t>
            </w:r>
          </w:p>
        </w:tc>
        <w:tc>
          <w:tcPr>
            <w:tcW w:type="dxa" w:w="1026"/>
          </w:tcPr>
          <w:p>
            <w:pPr>
              <w:jc w:val="right"/>
            </w:pPr>
            <w:r/>
            <w:r>
              <w:rPr>
                <w:color w:val="1A1D21"/>
                <w:sz w:val="17"/>
              </w:rPr>
              <w:t>5,169</w:t>
            </w:r>
          </w:p>
        </w:tc>
        <w:tc>
          <w:tcPr>
            <w:tcW w:type="dxa" w:w="1026"/>
          </w:tcPr>
          <w:p>
            <w:pPr>
              <w:jc w:val="right"/>
            </w:pPr>
            <w:r/>
            <w:r>
              <w:rPr>
                <w:color w:val="1A1D21"/>
                <w:sz w:val="17"/>
              </w:rPr>
              <w:t>5,296</w:t>
            </w:r>
          </w:p>
        </w:tc>
        <w:tc>
          <w:tcPr>
            <w:tcW w:type="dxa" w:w="1026"/>
          </w:tcPr>
          <w:p>
            <w:pPr>
              <w:jc w:val="right"/>
            </w:pPr>
            <w:r/>
            <w:r>
              <w:rPr>
                <w:color w:val="1A1D21"/>
                <w:sz w:val="17"/>
              </w:rPr>
              <w:t>5,484</w:t>
            </w:r>
          </w:p>
        </w:tc>
        <w:tc>
          <w:tcPr>
            <w:tcW w:type="dxa" w:w="1026"/>
          </w:tcPr>
          <w:p>
            <w:pPr>
              <w:jc w:val="right"/>
            </w:pPr>
            <w:r/>
            <w:r>
              <w:rPr>
                <w:color w:val="1A1D21"/>
                <w:sz w:val="17"/>
              </w:rPr>
              <w:t>7,473</w:t>
            </w:r>
          </w:p>
        </w:tc>
        <w:tc>
          <w:tcPr>
            <w:tcW w:type="dxa" w:w="1026"/>
          </w:tcPr>
          <w:p>
            <w:pPr>
              <w:jc w:val="right"/>
            </w:pPr>
            <w:r/>
            <w:r>
              <w:rPr>
                <w:color w:val="1A1D21"/>
                <w:sz w:val="17"/>
              </w:rPr>
              <w:t>11,111</w:t>
            </w:r>
          </w:p>
        </w:tc>
      </w:tr>
      <w:tr>
        <w:trPr>
          <w:cantSplit/>
        </w:trPr>
        <w:tc>
          <w:tcPr>
            <w:tcW w:type="dxa" w:w="1984"/>
          </w:tcPr>
          <w:p>
            <w:r/>
            <w:r>
              <w:rPr>
                <w:color w:val="1A1D21"/>
                <w:sz w:val="17"/>
              </w:rPr>
              <w:t>Cheques under collection</w:t>
            </w:r>
          </w:p>
        </w:tc>
        <w:tc>
          <w:tcPr>
            <w:tcW w:type="dxa" w:w="1026"/>
          </w:tcPr>
          <w:p>
            <w:pPr>
              <w:jc w:val="right"/>
            </w:pPr>
            <w:r/>
            <w:r>
              <w:rPr>
                <w:color w:val="1A1D21"/>
                <w:sz w:val="17"/>
              </w:rPr>
              <w:t>2,436</w:t>
            </w:r>
          </w:p>
        </w:tc>
        <w:tc>
          <w:tcPr>
            <w:tcW w:type="dxa" w:w="1026"/>
          </w:tcPr>
          <w:p>
            <w:pPr>
              <w:jc w:val="right"/>
            </w:pPr>
            <w:r/>
            <w:r>
              <w:rPr>
                <w:color w:val="1A1D21"/>
                <w:sz w:val="17"/>
              </w:rPr>
              <w:t>2,444</w:t>
            </w:r>
          </w:p>
        </w:tc>
        <w:tc>
          <w:tcPr>
            <w:tcW w:type="dxa" w:w="1026"/>
          </w:tcPr>
          <w:p>
            <w:pPr>
              <w:jc w:val="right"/>
            </w:pPr>
            <w:r/>
            <w:r>
              <w:rPr>
                <w:color w:val="1A1D21"/>
                <w:sz w:val="17"/>
              </w:rPr>
              <w:t>2,477</w:t>
            </w:r>
          </w:p>
        </w:tc>
        <w:tc>
          <w:tcPr>
            <w:tcW w:type="dxa" w:w="1026"/>
          </w:tcPr>
          <w:p>
            <w:pPr>
              <w:jc w:val="right"/>
            </w:pPr>
            <w:r/>
            <w:r>
              <w:rPr>
                <w:color w:val="1A1D21"/>
                <w:sz w:val="17"/>
              </w:rPr>
              <w:t>2,537</w:t>
            </w:r>
          </w:p>
        </w:tc>
        <w:tc>
          <w:tcPr>
            <w:tcW w:type="dxa" w:w="1026"/>
          </w:tcPr>
          <w:p>
            <w:pPr>
              <w:jc w:val="right"/>
            </w:pPr>
            <w:r/>
            <w:r>
              <w:rPr>
                <w:color w:val="1A1D21"/>
                <w:sz w:val="17"/>
              </w:rPr>
              <w:t>2,627</w:t>
            </w:r>
          </w:p>
        </w:tc>
        <w:tc>
          <w:tcPr>
            <w:tcW w:type="dxa" w:w="1026"/>
          </w:tcPr>
          <w:p>
            <w:pPr>
              <w:jc w:val="right"/>
            </w:pPr>
            <w:r/>
            <w:r>
              <w:rPr>
                <w:color w:val="1A1D21"/>
                <w:sz w:val="17"/>
              </w:rPr>
              <w:t>3,580</w:t>
            </w:r>
          </w:p>
        </w:tc>
        <w:tc>
          <w:tcPr>
            <w:tcW w:type="dxa" w:w="1026"/>
          </w:tcPr>
          <w:p>
            <w:pPr>
              <w:jc w:val="right"/>
            </w:pPr>
            <w:r/>
            <w:r>
              <w:rPr>
                <w:color w:val="1A1D21"/>
                <w:sz w:val="17"/>
              </w:rPr>
              <w:t>5,323</w:t>
            </w:r>
          </w:p>
        </w:tc>
      </w:tr>
      <w:tr>
        <w:trPr>
          <w:cantSplit/>
        </w:trPr>
        <w:tc>
          <w:tcPr>
            <w:tcW w:type="dxa" w:w="1984"/>
          </w:tcPr>
          <w:p>
            <w:r/>
            <w:r>
              <w:rPr>
                <w:color w:val="1A1D21"/>
                <w:sz w:val="17"/>
              </w:rPr>
              <w:t>Borrowings</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r>
      <w:tr>
        <w:trPr>
          <w:cantSplit/>
        </w:trPr>
        <w:tc>
          <w:tcPr>
            <w:tcW w:type="dxa" w:w="1984"/>
          </w:tcPr>
          <w:p>
            <w:r/>
            <w:r>
              <w:rPr>
                <w:color w:val="1A1D21"/>
                <w:sz w:val="17"/>
              </w:rPr>
              <w:t>Other liabilities, held at the 2025 level</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r>
      <w:tr>
        <w:trPr>
          <w:cantSplit/>
        </w:trPr>
        <w:tc>
          <w:tcPr>
            <w:tcW w:type="dxa" w:w="1984"/>
          </w:tcPr>
          <w:p>
            <w:r/>
            <w:r>
              <w:rPr>
                <w:color w:val="1A1D21"/>
                <w:sz w:val="17"/>
              </w:rPr>
              <w:t>Total liabilities</w:t>
            </w:r>
          </w:p>
        </w:tc>
        <w:tc>
          <w:tcPr>
            <w:tcW w:type="dxa" w:w="1026"/>
          </w:tcPr>
          <w:p>
            <w:pPr>
              <w:jc w:val="right"/>
            </w:pPr>
            <w:r/>
            <w:r>
              <w:rPr>
                <w:color w:val="1A1D21"/>
                <w:sz w:val="17"/>
              </w:rPr>
              <w:t>152,794</w:t>
            </w:r>
          </w:p>
        </w:tc>
        <w:tc>
          <w:tcPr>
            <w:tcW w:type="dxa" w:w="1026"/>
          </w:tcPr>
          <w:p>
            <w:pPr>
              <w:jc w:val="right"/>
            </w:pPr>
            <w:r/>
            <w:r>
              <w:rPr>
                <w:color w:val="1A1D21"/>
                <w:sz w:val="17"/>
              </w:rPr>
              <w:t>153,029</w:t>
            </w:r>
          </w:p>
        </w:tc>
        <w:tc>
          <w:tcPr>
            <w:tcW w:type="dxa" w:w="1026"/>
          </w:tcPr>
          <w:p>
            <w:pPr>
              <w:jc w:val="right"/>
            </w:pPr>
            <w:r/>
            <w:r>
              <w:rPr>
                <w:color w:val="1A1D21"/>
                <w:sz w:val="17"/>
              </w:rPr>
              <w:t>154,116</w:t>
            </w:r>
          </w:p>
        </w:tc>
        <w:tc>
          <w:tcPr>
            <w:tcW w:type="dxa" w:w="1026"/>
          </w:tcPr>
          <w:p>
            <w:pPr>
              <w:jc w:val="right"/>
            </w:pPr>
            <w:r/>
            <w:r>
              <w:rPr>
                <w:color w:val="1A1D21"/>
                <w:sz w:val="17"/>
              </w:rPr>
              <w:t>156,110</w:t>
            </w:r>
          </w:p>
        </w:tc>
        <w:tc>
          <w:tcPr>
            <w:tcW w:type="dxa" w:w="1026"/>
          </w:tcPr>
          <w:p>
            <w:pPr>
              <w:jc w:val="right"/>
            </w:pPr>
            <w:r/>
            <w:r>
              <w:rPr>
                <w:color w:val="1A1D21"/>
                <w:sz w:val="17"/>
              </w:rPr>
              <w:t>159,081</w:t>
            </w:r>
          </w:p>
        </w:tc>
        <w:tc>
          <w:tcPr>
            <w:tcW w:type="dxa" w:w="1026"/>
          </w:tcPr>
          <w:p>
            <w:pPr>
              <w:jc w:val="right"/>
            </w:pPr>
            <w:r/>
            <w:r>
              <w:rPr>
                <w:color w:val="1A1D21"/>
                <w:sz w:val="17"/>
              </w:rPr>
              <w:t>190,433</w:t>
            </w:r>
          </w:p>
        </w:tc>
        <w:tc>
          <w:tcPr>
            <w:tcW w:type="dxa" w:w="1026"/>
          </w:tcPr>
          <w:p>
            <w:pPr>
              <w:jc w:val="right"/>
            </w:pPr>
            <w:r/>
            <w:r>
              <w:rPr>
                <w:color w:val="1A1D21"/>
                <w:sz w:val="17"/>
              </w:rPr>
              <w:t>247,776</w:t>
            </w:r>
          </w:p>
        </w:tc>
      </w:tr>
      <w:tr>
        <w:trPr>
          <w:cantSplit/>
        </w:trPr>
        <w:tc>
          <w:tcPr>
            <w:tcW w:type="dxa" w:w="1984"/>
          </w:tcPr>
          <w:p>
            <w:r/>
            <w:r>
              <w:rPr>
                <w:color w:val="1A1D21"/>
                <w:sz w:val="17"/>
              </w:rPr>
              <w:t>Shareholders' funds</w:t>
            </w:r>
          </w:p>
        </w:tc>
        <w:tc>
          <w:tcPr>
            <w:tcW w:type="dxa" w:w="1026"/>
          </w:tcPr>
          <w:p>
            <w:pPr>
              <w:jc w:val="right"/>
            </w:pPr>
            <w:r/>
            <w:r>
              <w:rPr>
                <w:color w:val="1A1D21"/>
                <w:sz w:val="17"/>
              </w:rPr>
              <w:t>21,432</w:t>
            </w:r>
          </w:p>
        </w:tc>
        <w:tc>
          <w:tcPr>
            <w:tcW w:type="dxa" w:w="1026"/>
          </w:tcPr>
          <w:p>
            <w:pPr>
              <w:jc w:val="right"/>
            </w:pPr>
            <w:r/>
            <w:r>
              <w:rPr>
                <w:color w:val="1A1D21"/>
                <w:sz w:val="17"/>
              </w:rPr>
              <w:t>25,613</w:t>
            </w:r>
          </w:p>
        </w:tc>
        <w:tc>
          <w:tcPr>
            <w:tcW w:type="dxa" w:w="1026"/>
          </w:tcPr>
          <w:p>
            <w:pPr>
              <w:jc w:val="right"/>
            </w:pPr>
            <w:r/>
            <w:r>
              <w:rPr>
                <w:color w:val="1A1D21"/>
                <w:sz w:val="17"/>
              </w:rPr>
              <w:t>31,401</w:t>
            </w:r>
          </w:p>
        </w:tc>
        <w:tc>
          <w:tcPr>
            <w:tcW w:type="dxa" w:w="1026"/>
          </w:tcPr>
          <w:p>
            <w:pPr>
              <w:jc w:val="right"/>
            </w:pPr>
            <w:r/>
            <w:r>
              <w:rPr>
                <w:color w:val="1A1D21"/>
                <w:sz w:val="17"/>
              </w:rPr>
              <w:t>38,899</w:t>
            </w:r>
          </w:p>
        </w:tc>
        <w:tc>
          <w:tcPr>
            <w:tcW w:type="dxa" w:w="1026"/>
          </w:tcPr>
          <w:p>
            <w:pPr>
              <w:jc w:val="right"/>
            </w:pPr>
            <w:r/>
            <w:r>
              <w:rPr>
                <w:color w:val="1A1D21"/>
                <w:sz w:val="17"/>
              </w:rPr>
              <w:t>48,237</w:t>
            </w:r>
          </w:p>
        </w:tc>
        <w:tc>
          <w:tcPr>
            <w:tcW w:type="dxa" w:w="1026"/>
          </w:tcPr>
          <w:p>
            <w:pPr>
              <w:jc w:val="right"/>
            </w:pPr>
            <w:r/>
            <w:r>
              <w:rPr>
                <w:color w:val="1A1D21"/>
                <w:sz w:val="17"/>
              </w:rPr>
              <w:t>126,021</w:t>
            </w:r>
          </w:p>
        </w:tc>
        <w:tc>
          <w:tcPr>
            <w:tcW w:type="dxa" w:w="1026"/>
          </w:tcPr>
          <w:p>
            <w:pPr>
              <w:jc w:val="right"/>
            </w:pPr>
            <w:r/>
            <w:r>
              <w:rPr>
                <w:color w:val="1A1D21"/>
                <w:sz w:val="17"/>
              </w:rPr>
              <w:t>252,788</w:t>
            </w:r>
          </w:p>
        </w:tc>
      </w:tr>
      <w:tr>
        <w:trPr>
          <w:cantSplit/>
        </w:trPr>
        <w:tc>
          <w:tcPr>
            <w:tcW w:type="dxa" w:w="1984"/>
          </w:tcPr>
          <w:p>
            <w:r/>
            <w:r>
              <w:rPr>
                <w:color w:val="1A1D21"/>
                <w:sz w:val="17"/>
              </w:rPr>
              <w:t>Total liabilities and equity</w:t>
            </w:r>
          </w:p>
        </w:tc>
        <w:tc>
          <w:tcPr>
            <w:tcW w:type="dxa" w:w="1026"/>
          </w:tcPr>
          <w:p>
            <w:pPr>
              <w:jc w:val="right"/>
            </w:pPr>
            <w:r/>
            <w:r>
              <w:rPr>
                <w:color w:val="1A1D21"/>
                <w:sz w:val="17"/>
              </w:rPr>
              <w:t>174,226</w:t>
            </w:r>
          </w:p>
        </w:tc>
        <w:tc>
          <w:tcPr>
            <w:tcW w:type="dxa" w:w="1026"/>
          </w:tcPr>
          <w:p>
            <w:pPr>
              <w:jc w:val="right"/>
            </w:pPr>
            <w:r/>
            <w:r>
              <w:rPr>
                <w:color w:val="1A1D21"/>
                <w:sz w:val="17"/>
              </w:rPr>
              <w:t>178,642</w:t>
            </w:r>
          </w:p>
        </w:tc>
        <w:tc>
          <w:tcPr>
            <w:tcW w:type="dxa" w:w="1026"/>
          </w:tcPr>
          <w:p>
            <w:pPr>
              <w:jc w:val="right"/>
            </w:pPr>
            <w:r/>
            <w:r>
              <w:rPr>
                <w:color w:val="1A1D21"/>
                <w:sz w:val="17"/>
              </w:rPr>
              <w:t>185,517</w:t>
            </w:r>
          </w:p>
        </w:tc>
        <w:tc>
          <w:tcPr>
            <w:tcW w:type="dxa" w:w="1026"/>
          </w:tcPr>
          <w:p>
            <w:pPr>
              <w:jc w:val="right"/>
            </w:pPr>
            <w:r/>
            <w:r>
              <w:rPr>
                <w:color w:val="1A1D21"/>
                <w:sz w:val="17"/>
              </w:rPr>
              <w:t>195,009</w:t>
            </w:r>
          </w:p>
        </w:tc>
        <w:tc>
          <w:tcPr>
            <w:tcW w:type="dxa" w:w="1026"/>
          </w:tcPr>
          <w:p>
            <w:pPr>
              <w:jc w:val="right"/>
            </w:pPr>
            <w:r/>
            <w:r>
              <w:rPr>
                <w:color w:val="1A1D21"/>
                <w:sz w:val="17"/>
              </w:rPr>
              <w:t>207,317</w:t>
            </w:r>
          </w:p>
        </w:tc>
        <w:tc>
          <w:tcPr>
            <w:tcW w:type="dxa" w:w="1026"/>
          </w:tcPr>
          <w:p>
            <w:pPr>
              <w:jc w:val="right"/>
            </w:pPr>
            <w:r/>
            <w:r>
              <w:rPr>
                <w:color w:val="1A1D21"/>
                <w:sz w:val="17"/>
              </w:rPr>
              <w:t>316,454</w:t>
            </w:r>
          </w:p>
        </w:tc>
        <w:tc>
          <w:tcPr>
            <w:tcW w:type="dxa" w:w="1026"/>
          </w:tcPr>
          <w:p>
            <w:pPr>
              <w:jc w:val="right"/>
            </w:pPr>
            <w:r/>
            <w:r>
              <w:rPr>
                <w:color w:val="1A1D21"/>
                <w:sz w:val="17"/>
              </w:rPr>
              <w:t>500,564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cash flow,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Change in working capital, cash effect</w:t>
            </w:r>
          </w:p>
        </w:tc>
        <w:tc>
          <w:tcPr>
            <w:tcW w:type="dxa" w:w="1026"/>
          </w:tcPr>
          <w:p>
            <w:pPr>
              <w:jc w:val="right"/>
            </w:pPr>
            <w:r/>
            <w:r>
              <w:rPr>
                <w:color w:val="1A1D21"/>
                <w:sz w:val="17"/>
              </w:rPr>
              <w:t>440</w:t>
            </w:r>
          </w:p>
        </w:tc>
        <w:tc>
          <w:tcPr>
            <w:tcW w:type="dxa" w:w="1026"/>
          </w:tcPr>
          <w:p>
            <w:pPr>
              <w:jc w:val="right"/>
            </w:pPr>
            <w:r/>
            <w:r>
              <w:rPr>
                <w:color w:val="1A1D21"/>
                <w:sz w:val="17"/>
              </w:rPr>
              <w:t>-181</w:t>
            </w:r>
          </w:p>
        </w:tc>
        <w:tc>
          <w:tcPr>
            <w:tcW w:type="dxa" w:w="1026"/>
          </w:tcPr>
          <w:p>
            <w:pPr>
              <w:jc w:val="right"/>
            </w:pPr>
            <w:r/>
            <w:r>
              <w:rPr>
                <w:color w:val="1A1D21"/>
                <w:sz w:val="17"/>
              </w:rPr>
              <w:t>-839</w:t>
            </w:r>
          </w:p>
        </w:tc>
        <w:tc>
          <w:tcPr>
            <w:tcW w:type="dxa" w:w="1026"/>
          </w:tcPr>
          <w:p>
            <w:pPr>
              <w:jc w:val="right"/>
            </w:pPr>
            <w:r/>
            <w:r>
              <w:rPr>
                <w:color w:val="1A1D21"/>
                <w:sz w:val="17"/>
              </w:rPr>
              <w:t>-1,539</w:t>
            </w:r>
          </w:p>
        </w:tc>
        <w:tc>
          <w:tcPr>
            <w:tcW w:type="dxa" w:w="1026"/>
          </w:tcPr>
          <w:p>
            <w:pPr>
              <w:jc w:val="right"/>
            </w:pPr>
            <w:r/>
            <w:r>
              <w:rPr>
                <w:color w:val="1A1D21"/>
                <w:sz w:val="17"/>
              </w:rPr>
              <w:t>-2,293</w:t>
            </w:r>
          </w:p>
        </w:tc>
        <w:tc>
          <w:tcPr>
            <w:tcW w:type="dxa" w:w="1026"/>
          </w:tcPr>
          <w:p>
            <w:pPr>
              <w:jc w:val="right"/>
            </w:pPr>
            <w:r/>
            <w:r>
              <w:rPr>
                <w:color w:val="1A1D21"/>
                <w:sz w:val="17"/>
              </w:rPr>
              <w:t>-6,570</w:t>
            </w:r>
          </w:p>
        </w:tc>
        <w:tc>
          <w:tcPr>
            <w:tcW w:type="dxa" w:w="1026"/>
          </w:tcPr>
          <w:p>
            <w:pPr>
              <w:jc w:val="right"/>
            </w:pPr>
            <w:r/>
            <w:r>
              <w:rPr>
                <w:color w:val="1A1D21"/>
                <w:sz w:val="17"/>
              </w:rPr>
              <w:t>-10,452</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r>
      <w:tr>
        <w:trPr>
          <w:cantSplit/>
        </w:trPr>
        <w:tc>
          <w:tcPr>
            <w:tcW w:type="dxa" w:w="1984"/>
          </w:tcPr>
          <w:p>
            <w:r/>
            <w:r>
              <w:rPr>
                <w:color w:val="1A1D21"/>
                <w:sz w:val="17"/>
              </w:rPr>
              <w:t>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New borrowing drawn</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r>
      <w:tr>
        <w:trPr>
          <w:cantSplit/>
        </w:trPr>
        <w:tc>
          <w:tcPr>
            <w:tcW w:type="dxa" w:w="1984"/>
          </w:tcPr>
          <w:p>
            <w:r/>
            <w:r>
              <w:rPr>
                <w:color w:val="1A1D21"/>
                <w:sz w:val="17"/>
              </w:rPr>
              <w:t>Closing cash</w:t>
            </w:r>
          </w:p>
        </w:tc>
        <w:tc>
          <w:tcPr>
            <w:tcW w:type="dxa" w:w="1026"/>
          </w:tcPr>
          <w:p>
            <w:pPr>
              <w:jc w:val="right"/>
            </w:pPr>
            <w:r/>
            <w:r>
              <w:rPr>
                <w:color w:val="1A1D21"/>
                <w:sz w:val="17"/>
              </w:rPr>
              <w:t>12,516</w:t>
            </w:r>
          </w:p>
        </w:tc>
        <w:tc>
          <w:tcPr>
            <w:tcW w:type="dxa" w:w="1026"/>
          </w:tcPr>
          <w:p>
            <w:pPr>
              <w:jc w:val="right"/>
            </w:pPr>
            <w:r/>
            <w:r>
              <w:rPr>
                <w:color w:val="1A1D21"/>
                <w:sz w:val="17"/>
              </w:rPr>
              <w:t>16,505</w:t>
            </w:r>
          </w:p>
        </w:tc>
        <w:tc>
          <w:tcPr>
            <w:tcW w:type="dxa" w:w="1026"/>
          </w:tcPr>
          <w:p>
            <w:pPr>
              <w:jc w:val="right"/>
            </w:pPr>
            <w:r/>
            <w:r>
              <w:rPr>
                <w:color w:val="1A1D21"/>
                <w:sz w:val="17"/>
              </w:rPr>
              <w:t>21,440</w:t>
            </w:r>
          </w:p>
        </w:tc>
        <w:tc>
          <w:tcPr>
            <w:tcW w:type="dxa" w:w="1026"/>
          </w:tcPr>
          <w:p>
            <w:pPr>
              <w:jc w:val="right"/>
            </w:pPr>
            <w:r/>
            <w:r>
              <w:rPr>
                <w:color w:val="1A1D21"/>
                <w:sz w:val="17"/>
              </w:rPr>
              <w:t>27,381</w:t>
            </w:r>
          </w:p>
        </w:tc>
        <w:tc>
          <w:tcPr>
            <w:tcW w:type="dxa" w:w="1026"/>
          </w:tcPr>
          <w:p>
            <w:pPr>
              <w:jc w:val="right"/>
            </w:pPr>
            <w:r/>
            <w:r>
              <w:rPr>
                <w:color w:val="1A1D21"/>
                <w:sz w:val="17"/>
              </w:rPr>
              <w:t>34,406</w:t>
            </w:r>
          </w:p>
        </w:tc>
        <w:tc>
          <w:tcPr>
            <w:tcW w:type="dxa" w:w="1026"/>
          </w:tcPr>
          <w:p>
            <w:pPr>
              <w:jc w:val="right"/>
            </w:pPr>
            <w:r/>
            <w:r>
              <w:rPr>
                <w:color w:val="1A1D21"/>
                <w:sz w:val="17"/>
              </w:rPr>
              <w:t>87,835</w:t>
            </w:r>
          </w:p>
        </w:tc>
        <w:tc>
          <w:tcPr>
            <w:tcW w:type="dxa" w:w="1026"/>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The cycle this implies</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Collection period, days</w:t>
            </w:r>
          </w:p>
        </w:tc>
        <w:tc>
          <w:tcPr>
            <w:tcW w:type="dxa" w:w="1026"/>
          </w:tcPr>
          <w:p>
            <w:pPr>
              <w:jc w:val="right"/>
            </w:pPr>
            <w:r/>
            <w:r>
              <w:rPr>
                <w:color w:val="1A1D21"/>
                <w:sz w:val="17"/>
              </w:rPr>
              <w:t>934</w:t>
            </w:r>
          </w:p>
        </w:tc>
        <w:tc>
          <w:tcPr>
            <w:tcW w:type="dxa" w:w="1026"/>
          </w:tcPr>
          <w:p>
            <w:pPr>
              <w:jc w:val="right"/>
            </w:pPr>
            <w:r/>
            <w:r>
              <w:rPr>
                <w:color w:val="1A1D21"/>
                <w:sz w:val="17"/>
              </w:rPr>
              <w:t>728</w:t>
            </w:r>
          </w:p>
        </w:tc>
        <w:tc>
          <w:tcPr>
            <w:tcW w:type="dxa" w:w="1026"/>
          </w:tcPr>
          <w:p>
            <w:pPr>
              <w:jc w:val="right"/>
            </w:pPr>
            <w:r/>
            <w:r>
              <w:rPr>
                <w:color w:val="1A1D21"/>
                <w:sz w:val="17"/>
              </w:rPr>
              <w:t>596</w:t>
            </w:r>
          </w:p>
        </w:tc>
        <w:tc>
          <w:tcPr>
            <w:tcW w:type="dxa" w:w="1026"/>
          </w:tcPr>
          <w:p>
            <w:pPr>
              <w:jc w:val="right"/>
            </w:pPr>
            <w:r/>
            <w:r>
              <w:rPr>
                <w:color w:val="1A1D21"/>
                <w:sz w:val="17"/>
              </w:rPr>
              <w:t>507</w:t>
            </w:r>
          </w:p>
        </w:tc>
        <w:tc>
          <w:tcPr>
            <w:tcW w:type="dxa" w:w="1026"/>
          </w:tcPr>
          <w:p>
            <w:pPr>
              <w:jc w:val="right"/>
            </w:pPr>
            <w:r/>
            <w:r>
              <w:rPr>
                <w:color w:val="1A1D21"/>
                <w:sz w:val="17"/>
              </w:rPr>
              <w:t>444</w:t>
            </w:r>
          </w:p>
        </w:tc>
        <w:tc>
          <w:tcPr>
            <w:tcW w:type="dxa" w:w="1026"/>
          </w:tcPr>
          <w:p>
            <w:pPr>
              <w:jc w:val="right"/>
            </w:pPr>
            <w:r/>
            <w:r>
              <w:rPr>
                <w:color w:val="1A1D21"/>
                <w:sz w:val="17"/>
              </w:rPr>
              <w:t>323</w:t>
            </w:r>
          </w:p>
        </w:tc>
        <w:tc>
          <w:tcPr>
            <w:tcW w:type="dxa" w:w="1026"/>
          </w:tcPr>
          <w:p>
            <w:pPr>
              <w:jc w:val="right"/>
            </w:pPr>
            <w:r/>
            <w:r>
              <w:rPr>
                <w:color w:val="1A1D21"/>
                <w:sz w:val="17"/>
              </w:rPr>
              <w:t>337</w:t>
            </w:r>
          </w:p>
        </w:tc>
      </w:tr>
      <w:tr>
        <w:trPr>
          <w:cantSplit/>
        </w:trPr>
        <w:tc>
          <w:tcPr>
            <w:tcW w:type="dxa" w:w="1984"/>
          </w:tcPr>
          <w:p>
            <w:r/>
            <w:r>
              <w:rPr>
                <w:color w:val="1A1D21"/>
                <w:sz w:val="17"/>
              </w:rPr>
              <w:t>Work in progress, days of cost</w:t>
            </w:r>
          </w:p>
        </w:tc>
        <w:tc>
          <w:tcPr>
            <w:tcW w:type="dxa" w:w="1026"/>
          </w:tcPr>
          <w:p>
            <w:pPr>
              <w:jc w:val="right"/>
            </w:pPr>
            <w:r/>
            <w:r>
              <w:rPr>
                <w:color w:val="1A1D21"/>
                <w:sz w:val="17"/>
              </w:rPr>
              <w:t>246</w:t>
            </w:r>
          </w:p>
        </w:tc>
        <w:tc>
          <w:tcPr>
            <w:tcW w:type="dxa" w:w="1026"/>
          </w:tcPr>
          <w:p>
            <w:pPr>
              <w:jc w:val="right"/>
            </w:pPr>
            <w:r/>
            <w:r>
              <w:rPr>
                <w:color w:val="1A1D21"/>
                <w:sz w:val="17"/>
              </w:rPr>
              <w:t>191</w:t>
            </w:r>
          </w:p>
        </w:tc>
        <w:tc>
          <w:tcPr>
            <w:tcW w:type="dxa" w:w="1026"/>
          </w:tcPr>
          <w:p>
            <w:pPr>
              <w:jc w:val="right"/>
            </w:pPr>
            <w:r/>
            <w:r>
              <w:rPr>
                <w:color w:val="1A1D21"/>
                <w:sz w:val="17"/>
              </w:rPr>
              <w:t>157</w:t>
            </w:r>
          </w:p>
        </w:tc>
        <w:tc>
          <w:tcPr>
            <w:tcW w:type="dxa" w:w="1026"/>
          </w:tcPr>
          <w:p>
            <w:pPr>
              <w:jc w:val="right"/>
            </w:pPr>
            <w:r/>
            <w:r>
              <w:rPr>
                <w:color w:val="1A1D21"/>
                <w:sz w:val="17"/>
              </w:rPr>
              <w:t>133</w:t>
            </w:r>
          </w:p>
        </w:tc>
        <w:tc>
          <w:tcPr>
            <w:tcW w:type="dxa" w:w="1026"/>
          </w:tcPr>
          <w:p>
            <w:pPr>
              <w:jc w:val="right"/>
            </w:pPr>
            <w:r/>
            <w:r>
              <w:rPr>
                <w:color w:val="1A1D21"/>
                <w:sz w:val="17"/>
              </w:rPr>
              <w:t>117</w:t>
            </w:r>
          </w:p>
        </w:tc>
        <w:tc>
          <w:tcPr>
            <w:tcW w:type="dxa" w:w="1026"/>
          </w:tcPr>
          <w:p>
            <w:pPr>
              <w:jc w:val="right"/>
            </w:pPr>
            <w:r/>
            <w:r>
              <w:rPr>
                <w:color w:val="1A1D21"/>
                <w:sz w:val="17"/>
              </w:rPr>
              <w:t>85</w:t>
            </w:r>
          </w:p>
        </w:tc>
        <w:tc>
          <w:tcPr>
            <w:tcW w:type="dxa" w:w="1026"/>
          </w:tcPr>
          <w:p>
            <w:pPr>
              <w:jc w:val="right"/>
            </w:pPr>
            <w:r/>
            <w:r>
              <w:rPr>
                <w:color w:val="1A1D21"/>
                <w:sz w:val="17"/>
              </w:rPr>
              <w:t>89</w:t>
            </w:r>
          </w:p>
        </w:tc>
      </w:tr>
      <w:tr>
        <w:trPr>
          <w:cantSplit/>
        </w:trPr>
        <w:tc>
          <w:tcPr>
            <w:tcW w:type="dxa" w:w="1984"/>
          </w:tcPr>
          <w:p>
            <w:r/>
            <w:r>
              <w:rPr>
                <w:color w:val="1A1D21"/>
                <w:sz w:val="17"/>
              </w:rPr>
              <w:t>Suppliers, days of cost</w:t>
            </w:r>
          </w:p>
        </w:tc>
        <w:tc>
          <w:tcPr>
            <w:tcW w:type="dxa" w:w="1026"/>
          </w:tcPr>
          <w:p>
            <w:pPr>
              <w:jc w:val="right"/>
            </w:pPr>
            <w:r/>
            <w:r>
              <w:rPr>
                <w:color w:val="1A1D21"/>
                <w:sz w:val="17"/>
              </w:rPr>
              <w:t>53</w:t>
            </w:r>
          </w:p>
        </w:tc>
        <w:tc>
          <w:tcPr>
            <w:tcW w:type="dxa" w:w="1026"/>
          </w:tcPr>
          <w:p>
            <w:pPr>
              <w:jc w:val="right"/>
            </w:pPr>
            <w:r/>
            <w:r>
              <w:rPr>
                <w:color w:val="1A1D21"/>
                <w:sz w:val="17"/>
              </w:rPr>
              <w:t>41</w:t>
            </w:r>
          </w:p>
        </w:tc>
        <w:tc>
          <w:tcPr>
            <w:tcW w:type="dxa" w:w="1026"/>
          </w:tcPr>
          <w:p>
            <w:pPr>
              <w:jc w:val="right"/>
            </w:pPr>
            <w:r/>
            <w:r>
              <w:rPr>
                <w:color w:val="1A1D21"/>
                <w:sz w:val="17"/>
              </w:rPr>
              <w:t>34</w:t>
            </w:r>
          </w:p>
        </w:tc>
        <w:tc>
          <w:tcPr>
            <w:tcW w:type="dxa" w:w="1026"/>
          </w:tcPr>
          <w:p>
            <w:pPr>
              <w:jc w:val="right"/>
            </w:pPr>
            <w:r/>
            <w:r>
              <w:rPr>
                <w:color w:val="1A1D21"/>
                <w:sz w:val="17"/>
              </w:rPr>
              <w:t>29</w:t>
            </w:r>
          </w:p>
        </w:tc>
        <w:tc>
          <w:tcPr>
            <w:tcW w:type="dxa" w:w="1026"/>
          </w:tcPr>
          <w:p>
            <w:pPr>
              <w:jc w:val="right"/>
            </w:pPr>
            <w:r/>
            <w:r>
              <w:rPr>
                <w:color w:val="1A1D21"/>
                <w:sz w:val="17"/>
              </w:rPr>
              <w:t>25</w:t>
            </w:r>
          </w:p>
        </w:tc>
        <w:tc>
          <w:tcPr>
            <w:tcW w:type="dxa" w:w="1026"/>
          </w:tcPr>
          <w:p>
            <w:pPr>
              <w:jc w:val="right"/>
            </w:pPr>
            <w:r/>
            <w:r>
              <w:rPr>
                <w:color w:val="1A1D21"/>
                <w:sz w:val="17"/>
              </w:rPr>
              <w:t>18</w:t>
            </w:r>
          </w:p>
        </w:tc>
        <w:tc>
          <w:tcPr>
            <w:tcW w:type="dxa" w:w="1026"/>
          </w:tcPr>
          <w:p>
            <w:pPr>
              <w:jc w:val="right"/>
            </w:pPr>
            <w:r/>
            <w:r>
              <w:rPr>
                <w:color w:val="1A1D21"/>
                <w:sz w:val="17"/>
              </w:rPr>
              <w:t>19</w:t>
            </w:r>
          </w:p>
        </w:tc>
      </w:tr>
      <w:tr>
        <w:trPr>
          <w:cantSplit/>
        </w:trPr>
        <w:tc>
          <w:tcPr>
            <w:tcW w:type="dxa" w:w="1984"/>
          </w:tcPr>
          <w:p>
            <w:r/>
            <w:r>
              <w:rPr>
                <w:color w:val="1A1D21"/>
                <w:sz w:val="17"/>
              </w:rPr>
              <w:t>Customer advances, share of the order book</w:t>
            </w:r>
          </w:p>
        </w:tc>
        <w:tc>
          <w:tcPr>
            <w:tcW w:type="dxa" w:w="1026"/>
          </w:tcPr>
          <w:p>
            <w:pPr>
              <w:jc w:val="right"/>
            </w:pPr>
            <w:r/>
            <w:r>
              <w:rPr>
                <w:color w:val="1A1D21"/>
                <w:sz w:val="17"/>
              </w:rPr>
              <w:t>19.5%</w:t>
            </w:r>
          </w:p>
        </w:tc>
        <w:tc>
          <w:tcPr>
            <w:tcW w:type="dxa" w:w="1026"/>
          </w:tcPr>
          <w:p>
            <w:pPr>
              <w:jc w:val="right"/>
            </w:pPr>
            <w:r/>
            <w:r>
              <w:rPr>
                <w:color w:val="1A1D21"/>
                <w:sz w:val="17"/>
              </w:rPr>
              <w:t>15.5%</w:t>
            </w:r>
          </w:p>
        </w:tc>
        <w:tc>
          <w:tcPr>
            <w:tcW w:type="dxa" w:w="1026"/>
          </w:tcPr>
          <w:p>
            <w:pPr>
              <w:jc w:val="right"/>
            </w:pPr>
            <w:r/>
            <w:r>
              <w:rPr>
                <w:color w:val="1A1D21"/>
                <w:sz w:val="17"/>
              </w:rPr>
              <w:t>13.0%</w:t>
            </w:r>
          </w:p>
        </w:tc>
        <w:tc>
          <w:tcPr>
            <w:tcW w:type="dxa" w:w="1026"/>
          </w:tcPr>
          <w:p>
            <w:pPr>
              <w:jc w:val="right"/>
            </w:pPr>
            <w:r/>
            <w:r>
              <w:rPr>
                <w:color w:val="1A1D21"/>
                <w:sz w:val="17"/>
              </w:rPr>
              <w:t>11.3%</w:t>
            </w:r>
          </w:p>
        </w:tc>
        <w:tc>
          <w:tcPr>
            <w:tcW w:type="dxa" w:w="1026"/>
          </w:tcPr>
          <w:p>
            <w:pPr>
              <w:jc w:val="right"/>
            </w:pPr>
            <w:r/>
            <w:r>
              <w:rPr>
                <w:color w:val="1A1D21"/>
                <w:sz w:val="17"/>
              </w:rPr>
              <w:t>10.2%</w:t>
            </w:r>
          </w:p>
        </w:tc>
        <w:tc>
          <w:tcPr>
            <w:tcW w:type="dxa" w:w="1026"/>
          </w:tcPr>
          <w:p>
            <w:pPr>
              <w:jc w:val="right"/>
            </w:pPr>
            <w:r/>
            <w:r>
              <w:rPr>
                <w:color w:val="1A1D21"/>
                <w:sz w:val="17"/>
              </w:rPr>
              <w:t>8.8%</w:t>
            </w:r>
          </w:p>
        </w:tc>
        <w:tc>
          <w:tcPr>
            <w:tcW w:type="dxa" w:w="1026"/>
          </w:tcPr>
          <w:p>
            <w:pPr>
              <w:jc w:val="right"/>
            </w:pPr>
            <w:r/>
            <w:r>
              <w:rPr>
                <w:color w:val="1A1D21"/>
                <w:sz w:val="17"/>
              </w:rPr>
              <w:t>9.1%</w:t>
            </w:r>
          </w:p>
        </w:tc>
      </w:tr>
      <w:tr>
        <w:trPr>
          <w:cantSplit/>
        </w:trPr>
        <w:tc>
          <w:tcPr>
            <w:tcW w:type="dxa" w:w="1984"/>
          </w:tcPr>
          <w:p>
            <w:r/>
            <w:r>
              <w:rPr>
                <w:color w:val="1A1D21"/>
                <w:sz w:val="17"/>
              </w:rPr>
              <w:t>Net working capital</w:t>
            </w:r>
          </w:p>
        </w:tc>
        <w:tc>
          <w:tcPr>
            <w:tcW w:type="dxa" w:w="1026"/>
          </w:tcPr>
          <w:p>
            <w:pPr>
              <w:jc w:val="right"/>
            </w:pPr>
            <w:r/>
            <w:r>
              <w:rPr>
                <w:color w:val="1A1D21"/>
                <w:sz w:val="17"/>
              </w:rPr>
              <w:t>61,884</w:t>
            </w:r>
          </w:p>
        </w:tc>
        <w:tc>
          <w:tcPr>
            <w:tcW w:type="dxa" w:w="1026"/>
          </w:tcPr>
          <w:p>
            <w:pPr>
              <w:jc w:val="right"/>
            </w:pPr>
            <w:r/>
            <w:r>
              <w:rPr>
                <w:color w:val="1A1D21"/>
                <w:sz w:val="17"/>
              </w:rPr>
              <w:t>62,065</w:t>
            </w:r>
          </w:p>
        </w:tc>
        <w:tc>
          <w:tcPr>
            <w:tcW w:type="dxa" w:w="1026"/>
          </w:tcPr>
          <w:p>
            <w:pPr>
              <w:jc w:val="right"/>
            </w:pPr>
            <w:r/>
            <w:r>
              <w:rPr>
                <w:color w:val="1A1D21"/>
                <w:sz w:val="17"/>
              </w:rPr>
              <w:t>62,904</w:t>
            </w:r>
          </w:p>
        </w:tc>
        <w:tc>
          <w:tcPr>
            <w:tcW w:type="dxa" w:w="1026"/>
          </w:tcPr>
          <w:p>
            <w:pPr>
              <w:jc w:val="right"/>
            </w:pPr>
            <w:r/>
            <w:r>
              <w:rPr>
                <w:color w:val="1A1D21"/>
                <w:sz w:val="17"/>
              </w:rPr>
              <w:t>64,443</w:t>
            </w:r>
          </w:p>
        </w:tc>
        <w:tc>
          <w:tcPr>
            <w:tcW w:type="dxa" w:w="1026"/>
          </w:tcPr>
          <w:p>
            <w:pPr>
              <w:jc w:val="right"/>
            </w:pPr>
            <w:r/>
            <w:r>
              <w:rPr>
                <w:color w:val="1A1D21"/>
                <w:sz w:val="17"/>
              </w:rPr>
              <w:t>66,736</w:t>
            </w:r>
          </w:p>
        </w:tc>
        <w:tc>
          <w:tcPr>
            <w:tcW w:type="dxa" w:w="1026"/>
          </w:tcPr>
          <w:p>
            <w:pPr>
              <w:jc w:val="right"/>
            </w:pPr>
            <w:r/>
            <w:r>
              <w:rPr>
                <w:color w:val="1A1D21"/>
                <w:sz w:val="17"/>
              </w:rPr>
              <w:t>90,938</w:t>
            </w:r>
          </w:p>
        </w:tc>
        <w:tc>
          <w:tcPr>
            <w:tcW w:type="dxa" w:w="1026"/>
          </w:tcPr>
          <w:p>
            <w:pPr>
              <w:jc w:val="right"/>
            </w:pPr>
            <w:r/>
            <w:r>
              <w:rPr>
                <w:color w:val="1A1D21"/>
                <w:sz w:val="17"/>
              </w:rPr>
              <w:t>135,203</w:t>
            </w:r>
          </w:p>
        </w:tc>
      </w:tr>
      <w:tr>
        <w:trPr>
          <w:cantSplit/>
        </w:trPr>
        <w:tc>
          <w:tcPr>
            <w:tcW w:type="dxa" w:w="1984"/>
          </w:tcPr>
          <w:p>
            <w:r/>
            <w:r>
              <w:rPr>
                <w:color w:val="1A1D21"/>
                <w:sz w:val="17"/>
              </w:rPr>
              <w:t xml:space="preserve">  as a multiple of revenue</w:t>
            </w:r>
          </w:p>
        </w:tc>
        <w:tc>
          <w:tcPr>
            <w:tcW w:type="dxa" w:w="1026"/>
          </w:tcPr>
          <w:p>
            <w:pPr>
              <w:jc w:val="right"/>
            </w:pPr>
            <w:r/>
            <w:r>
              <w:rPr>
                <w:color w:val="1A1D21"/>
                <w:sz w:val="17"/>
              </w:rPr>
              <w:t>1.54</w:t>
            </w:r>
          </w:p>
        </w:tc>
        <w:tc>
          <w:tcPr>
            <w:tcW w:type="dxa" w:w="1026"/>
          </w:tcPr>
          <w:p>
            <w:pPr>
              <w:jc w:val="right"/>
            </w:pPr>
            <w:r/>
            <w:r>
              <w:rPr>
                <w:color w:val="1A1D21"/>
                <w:sz w:val="17"/>
              </w:rPr>
              <w:t>1.20</w:t>
            </w:r>
          </w:p>
        </w:tc>
        <w:tc>
          <w:tcPr>
            <w:tcW w:type="dxa" w:w="1026"/>
          </w:tcPr>
          <w:p>
            <w:pPr>
              <w:jc w:val="right"/>
            </w:pPr>
            <w:r/>
            <w:r>
              <w:rPr>
                <w:color w:val="1A1D21"/>
                <w:sz w:val="17"/>
              </w:rPr>
              <w:t>0.98</w:t>
            </w:r>
          </w:p>
        </w:tc>
        <w:tc>
          <w:tcPr>
            <w:tcW w:type="dxa" w:w="1026"/>
          </w:tcPr>
          <w:p>
            <w:pPr>
              <w:jc w:val="right"/>
            </w:pPr>
            <w:r/>
            <w:r>
              <w:rPr>
                <w:color w:val="1A1D21"/>
                <w:sz w:val="17"/>
              </w:rPr>
              <w:t>0.84</w:t>
            </w:r>
          </w:p>
        </w:tc>
        <w:tc>
          <w:tcPr>
            <w:tcW w:type="dxa" w:w="1026"/>
          </w:tcPr>
          <w:p>
            <w:pPr>
              <w:jc w:val="right"/>
            </w:pPr>
            <w:r/>
            <w:r>
              <w:rPr>
                <w:color w:val="1A1D21"/>
                <w:sz w:val="17"/>
              </w:rPr>
              <w:t>0.73</w:t>
            </w:r>
          </w:p>
        </w:tc>
        <w:tc>
          <w:tcPr>
            <w:tcW w:type="dxa" w:w="1026"/>
          </w:tcPr>
          <w:p>
            <w:pPr>
              <w:jc w:val="right"/>
            </w:pPr>
            <w:r/>
            <w:r>
              <w:rPr>
                <w:color w:val="1A1D21"/>
                <w:sz w:val="17"/>
              </w:rPr>
              <w:t>0.53</w:t>
            </w:r>
          </w:p>
        </w:tc>
        <w:tc>
          <w:tcPr>
            <w:tcW w:type="dxa" w:w="1026"/>
          </w:tcPr>
          <w:p>
            <w:pPr>
              <w:jc w:val="right"/>
            </w:pPr>
            <w:r/>
            <w:r>
              <w:rPr>
                <w:color w:val="1A1D21"/>
                <w:sz w:val="17"/>
              </w:rPr>
              <w:t>0.56</w:t>
            </w:r>
          </w:p>
        </w:tc>
      </w:tr>
    </w:tbl>
    <w:p>
      <w:pPr>
        <w:spacing w:after="200"/>
      </w:pPr>
      <w:r>
        <w:rPr>
          <w:b w:val="0"/>
          <w:i/>
          <w:color w:val="5B6570"/>
          <w:sz w:val="16"/>
        </w:rPr>
        <w:t>The collection period falls from 934 days to 337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Free cash flow to the firm,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plus finance cost, after tax</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r>
      <w:tr>
        <w:trPr>
          <w:cantSplit/>
        </w:trPr>
        <w:tc>
          <w:tcPr>
            <w:tcW w:type="dxa" w:w="1984"/>
          </w:tcPr>
          <w:p>
            <w:r/>
            <w:r>
              <w:rPr>
                <w:color w:val="1A1D21"/>
                <w:sz w:val="17"/>
              </w:rPr>
              <w:t>less 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Free cash flow to the firm</w:t>
            </w:r>
          </w:p>
        </w:tc>
        <w:tc>
          <w:tcPr>
            <w:tcW w:type="dxa" w:w="1026"/>
          </w:tcPr>
          <w:p>
            <w:pPr>
              <w:jc w:val="right"/>
            </w:pPr>
            <w:r/>
            <w:r>
              <w:rPr>
                <w:color w:val="1A1D21"/>
                <w:sz w:val="17"/>
              </w:rPr>
              <w:t>5,691</w:t>
            </w:r>
          </w:p>
        </w:tc>
        <w:tc>
          <w:tcPr>
            <w:tcW w:type="dxa" w:w="1026"/>
          </w:tcPr>
          <w:p>
            <w:pPr>
              <w:jc w:val="right"/>
            </w:pPr>
            <w:r/>
            <w:r>
              <w:rPr>
                <w:color w:val="1A1D21"/>
                <w:sz w:val="17"/>
              </w:rPr>
              <w:t>6,583</w:t>
            </w:r>
          </w:p>
        </w:tc>
        <w:tc>
          <w:tcPr>
            <w:tcW w:type="dxa" w:w="1026"/>
          </w:tcPr>
          <w:p>
            <w:pPr>
              <w:jc w:val="right"/>
            </w:pPr>
            <w:r/>
            <w:r>
              <w:rPr>
                <w:color w:val="1A1D21"/>
                <w:sz w:val="17"/>
              </w:rPr>
              <w:t>7,529</w:t>
            </w:r>
          </w:p>
        </w:tc>
        <w:tc>
          <w:tcPr>
            <w:tcW w:type="dxa" w:w="1026"/>
          </w:tcPr>
          <w:p>
            <w:pPr>
              <w:jc w:val="right"/>
            </w:pPr>
            <w:r/>
            <w:r>
              <w:rPr>
                <w:color w:val="1A1D21"/>
                <w:sz w:val="17"/>
              </w:rPr>
              <w:t>8,536</w:t>
            </w:r>
          </w:p>
        </w:tc>
        <w:tc>
          <w:tcPr>
            <w:tcW w:type="dxa" w:w="1026"/>
          </w:tcPr>
          <w:p>
            <w:pPr>
              <w:jc w:val="right"/>
            </w:pPr>
            <w:r/>
            <w:r>
              <w:rPr>
                <w:color w:val="1A1D21"/>
                <w:sz w:val="17"/>
              </w:rPr>
              <w:t>9,619</w:t>
            </w:r>
          </w:p>
        </w:tc>
        <w:tc>
          <w:tcPr>
            <w:tcW w:type="dxa" w:w="1026"/>
          </w:tcPr>
          <w:p>
            <w:pPr>
              <w:jc w:val="right"/>
            </w:pPr>
            <w:r/>
            <w:r>
              <w:rPr>
                <w:color w:val="1A1D21"/>
                <w:sz w:val="17"/>
              </w:rPr>
              <w:t>15,766</w:t>
            </w:r>
          </w:p>
        </w:tc>
        <w:tc>
          <w:tcPr>
            <w:tcW w:type="dxa" w:w="1026"/>
          </w:tcPr>
          <w:p>
            <w:pPr>
              <w:jc w:val="right"/>
            </w:pPr>
            <w:r/>
            <w:r>
              <w:rPr>
                <w:color w:val="1A1D21"/>
                <w:sz w:val="17"/>
              </w:rPr>
              <w:t>21,346</w:t>
            </w:r>
          </w:p>
        </w:tc>
      </w:tr>
      <w:tr>
        <w:trPr>
          <w:cantSplit/>
        </w:trPr>
        <w:tc>
          <w:tcPr>
            <w:tcW w:type="dxa" w:w="1984"/>
          </w:tcPr>
          <w:p>
            <w:r/>
            <w:r>
              <w:rPr>
                <w:color w:val="1A1D21"/>
                <w:sz w:val="17"/>
              </w:rPr>
              <w:t>Present value, on the schedule</w:t>
            </w:r>
          </w:p>
        </w:tc>
        <w:tc>
          <w:tcPr>
            <w:tcW w:type="dxa" w:w="1026"/>
          </w:tcPr>
          <w:p>
            <w:pPr>
              <w:jc w:val="right"/>
            </w:pPr>
            <w:r/>
            <w:r>
              <w:rPr>
                <w:color w:val="1A1D21"/>
                <w:sz w:val="17"/>
              </w:rPr>
              <w:t>4,554</w:t>
            </w:r>
          </w:p>
        </w:tc>
        <w:tc>
          <w:tcPr>
            <w:tcW w:type="dxa" w:w="1026"/>
          </w:tcPr>
          <w:p>
            <w:pPr>
              <w:jc w:val="right"/>
            </w:pPr>
            <w:r/>
            <w:r>
              <w:rPr>
                <w:color w:val="1A1D21"/>
                <w:sz w:val="17"/>
              </w:rPr>
              <w:t>4,339</w:t>
            </w:r>
          </w:p>
        </w:tc>
        <w:tc>
          <w:tcPr>
            <w:tcW w:type="dxa" w:w="1026"/>
          </w:tcPr>
          <w:p>
            <w:pPr>
              <w:jc w:val="right"/>
            </w:pPr>
            <w:r/>
            <w:r>
              <w:rPr>
                <w:color w:val="1A1D21"/>
                <w:sz w:val="17"/>
              </w:rPr>
              <w:t>4,187</w:t>
            </w:r>
          </w:p>
        </w:tc>
        <w:tc>
          <w:tcPr>
            <w:tcW w:type="dxa" w:w="1026"/>
          </w:tcPr>
          <w:p>
            <w:pPr>
              <w:jc w:val="right"/>
            </w:pPr>
            <w:r/>
            <w:r>
              <w:rPr>
                <w:color w:val="1A1D21"/>
                <w:sz w:val="17"/>
              </w:rPr>
              <w:t>4,078</w:t>
            </w:r>
          </w:p>
        </w:tc>
        <w:tc>
          <w:tcPr>
            <w:tcW w:type="dxa" w:w="1026"/>
          </w:tcPr>
          <w:p>
            <w:pPr>
              <w:jc w:val="right"/>
            </w:pPr>
            <w:r/>
            <w:r>
              <w:rPr>
                <w:color w:val="1A1D21"/>
                <w:sz w:val="17"/>
              </w:rPr>
              <w:t>3,997</w:t>
            </w:r>
          </w:p>
        </w:tc>
        <w:tc>
          <w:tcPr>
            <w:tcW w:type="dxa" w:w="1026"/>
          </w:tcPr>
          <w:p>
            <w:pPr>
              <w:jc w:val="right"/>
            </w:pPr>
            <w:r/>
            <w:r>
              <w:rPr>
                <w:color w:val="1A1D21"/>
                <w:sz w:val="17"/>
              </w:rPr>
              <w:t>3,261</w:t>
            </w:r>
          </w:p>
        </w:tc>
        <w:tc>
          <w:tcPr>
            <w:tcW w:type="dxa" w:w="1026"/>
          </w:tcPr>
          <w:p>
            <w:pPr>
              <w:jc w:val="right"/>
            </w:pPr>
            <w:r/>
            <w:r>
              <w:rPr>
                <w:color w:val="1A1D21"/>
                <w:sz w:val="17"/>
              </w:rPr>
              <w:t>2,197</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balance sheet,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Trade and notes receivable</w:t>
            </w:r>
          </w:p>
        </w:tc>
        <w:tc>
          <w:tcPr>
            <w:tcW w:type="dxa" w:w="1026"/>
          </w:tcPr>
          <w:p>
            <w:pPr>
              <w:jc w:val="right"/>
            </w:pPr>
            <w:r/>
            <w:r>
              <w:rPr>
                <w:color w:val="1A1D21"/>
                <w:sz w:val="17"/>
              </w:rPr>
              <w:t>114,897</w:t>
            </w:r>
          </w:p>
        </w:tc>
        <w:tc>
          <w:tcPr>
            <w:tcW w:type="dxa" w:w="1026"/>
          </w:tcPr>
          <w:p>
            <w:pPr>
              <w:jc w:val="right"/>
            </w:pPr>
            <w:r/>
            <w:r>
              <w:rPr>
                <w:color w:val="1A1D21"/>
                <w:sz w:val="17"/>
              </w:rPr>
              <w:t>147,987</w:t>
            </w:r>
          </w:p>
        </w:tc>
        <w:tc>
          <w:tcPr>
            <w:tcW w:type="dxa" w:w="1026"/>
          </w:tcPr>
          <w:p>
            <w:pPr>
              <w:jc w:val="right"/>
            </w:pPr>
            <w:r/>
            <w:r>
              <w:rPr>
                <w:color w:val="1A1D21"/>
                <w:sz w:val="17"/>
              </w:rPr>
              <w:t>183,083</w:t>
            </w:r>
          </w:p>
        </w:tc>
        <w:tc>
          <w:tcPr>
            <w:tcW w:type="dxa" w:w="1026"/>
          </w:tcPr>
          <w:p>
            <w:pPr>
              <w:jc w:val="right"/>
            </w:pPr>
            <w:r/>
            <w:r>
              <w:rPr>
                <w:color w:val="1A1D21"/>
                <w:sz w:val="17"/>
              </w:rPr>
              <w:t>220,432</w:t>
            </w:r>
          </w:p>
        </w:tc>
        <w:tc>
          <w:tcPr>
            <w:tcW w:type="dxa" w:w="1026"/>
          </w:tcPr>
          <w:p>
            <w:pPr>
              <w:jc w:val="right"/>
            </w:pPr>
            <w:r/>
            <w:r>
              <w:rPr>
                <w:color w:val="1A1D21"/>
                <w:sz w:val="17"/>
              </w:rPr>
              <w:t>260,627</w:t>
            </w:r>
          </w:p>
        </w:tc>
        <w:tc>
          <w:tcPr>
            <w:tcW w:type="dxa" w:w="1026"/>
          </w:tcPr>
          <w:p>
            <w:pPr>
              <w:jc w:val="right"/>
            </w:pPr>
            <w:r/>
            <w:r>
              <w:rPr>
                <w:color w:val="1A1D21"/>
                <w:sz w:val="17"/>
              </w:rPr>
              <w:t>488,690</w:t>
            </w:r>
          </w:p>
        </w:tc>
        <w:tc>
          <w:tcPr>
            <w:tcW w:type="dxa" w:w="1026"/>
          </w:tcPr>
          <w:p>
            <w:pPr>
              <w:jc w:val="right"/>
            </w:pPr>
            <w:r/>
            <w:r>
              <w:rPr>
                <w:color w:val="1A1D21"/>
                <w:sz w:val="17"/>
              </w:rPr>
              <w:t>695,694</w:t>
            </w:r>
          </w:p>
        </w:tc>
      </w:tr>
      <w:tr>
        <w:trPr>
          <w:cantSplit/>
        </w:trPr>
        <w:tc>
          <w:tcPr>
            <w:tcW w:type="dxa" w:w="1984"/>
          </w:tcPr>
          <w:p>
            <w:r/>
            <w:r>
              <w:rPr>
                <w:color w:val="1A1D21"/>
                <w:sz w:val="17"/>
              </w:rPr>
              <w:t>Work in progress</w:t>
            </w:r>
          </w:p>
        </w:tc>
        <w:tc>
          <w:tcPr>
            <w:tcW w:type="dxa" w:w="1026"/>
          </w:tcPr>
          <w:p>
            <w:pPr>
              <w:jc w:val="right"/>
            </w:pPr>
            <w:r/>
            <w:r>
              <w:rPr>
                <w:color w:val="1A1D21"/>
                <w:sz w:val="17"/>
              </w:rPr>
              <w:t>19,504</w:t>
            </w:r>
          </w:p>
        </w:tc>
        <w:tc>
          <w:tcPr>
            <w:tcW w:type="dxa" w:w="1026"/>
          </w:tcPr>
          <w:p>
            <w:pPr>
              <w:jc w:val="right"/>
            </w:pPr>
            <w:r/>
            <w:r>
              <w:rPr>
                <w:color w:val="1A1D21"/>
                <w:sz w:val="17"/>
              </w:rPr>
              <w:t>25,121</w:t>
            </w:r>
          </w:p>
        </w:tc>
        <w:tc>
          <w:tcPr>
            <w:tcW w:type="dxa" w:w="1026"/>
          </w:tcPr>
          <w:p>
            <w:pPr>
              <w:jc w:val="right"/>
            </w:pPr>
            <w:r/>
            <w:r>
              <w:rPr>
                <w:color w:val="1A1D21"/>
                <w:sz w:val="17"/>
              </w:rPr>
              <w:t>31,078</w:t>
            </w:r>
          </w:p>
        </w:tc>
        <w:tc>
          <w:tcPr>
            <w:tcW w:type="dxa" w:w="1026"/>
          </w:tcPr>
          <w:p>
            <w:pPr>
              <w:jc w:val="right"/>
            </w:pPr>
            <w:r/>
            <w:r>
              <w:rPr>
                <w:color w:val="1A1D21"/>
                <w:sz w:val="17"/>
              </w:rPr>
              <w:t>37,418</w:t>
            </w:r>
          </w:p>
        </w:tc>
        <w:tc>
          <w:tcPr>
            <w:tcW w:type="dxa" w:w="1026"/>
          </w:tcPr>
          <w:p>
            <w:pPr>
              <w:jc w:val="right"/>
            </w:pPr>
            <w:r/>
            <w:r>
              <w:rPr>
                <w:color w:val="1A1D21"/>
                <w:sz w:val="17"/>
              </w:rPr>
              <w:t>44,241</w:t>
            </w:r>
          </w:p>
        </w:tc>
        <w:tc>
          <w:tcPr>
            <w:tcW w:type="dxa" w:w="1026"/>
          </w:tcPr>
          <w:p>
            <w:pPr>
              <w:jc w:val="right"/>
            </w:pPr>
            <w:r/>
            <w:r>
              <w:rPr>
                <w:color w:val="1A1D21"/>
                <w:sz w:val="17"/>
              </w:rPr>
              <w:t>82,955</w:t>
            </w:r>
          </w:p>
        </w:tc>
        <w:tc>
          <w:tcPr>
            <w:tcW w:type="dxa" w:w="1026"/>
          </w:tcPr>
          <w:p>
            <w:pPr>
              <w:jc w:val="right"/>
            </w:pPr>
            <w:r/>
            <w:r>
              <w:rPr>
                <w:color w:val="1A1D21"/>
                <w:sz w:val="17"/>
              </w:rPr>
              <w:t>118,093</w:t>
            </w:r>
          </w:p>
        </w:tc>
      </w:tr>
      <w:tr>
        <w:trPr>
          <w:cantSplit/>
        </w:trPr>
        <w:tc>
          <w:tcPr>
            <w:tcW w:type="dxa" w:w="1984"/>
          </w:tcPr>
          <w:p>
            <w:r/>
            <w:r>
              <w:rPr>
                <w:color w:val="1A1D21"/>
                <w:sz w:val="17"/>
              </w:rPr>
              <w:t>Other receivables and prepayments</w:t>
            </w:r>
          </w:p>
        </w:tc>
        <w:tc>
          <w:tcPr>
            <w:tcW w:type="dxa" w:w="1026"/>
          </w:tcPr>
          <w:p>
            <w:pPr>
              <w:jc w:val="right"/>
            </w:pPr>
            <w:r/>
            <w:r>
              <w:rPr>
                <w:color w:val="1A1D21"/>
                <w:sz w:val="17"/>
              </w:rPr>
              <w:t>14,343</w:t>
            </w:r>
          </w:p>
        </w:tc>
        <w:tc>
          <w:tcPr>
            <w:tcW w:type="dxa" w:w="1026"/>
          </w:tcPr>
          <w:p>
            <w:pPr>
              <w:jc w:val="right"/>
            </w:pPr>
            <w:r/>
            <w:r>
              <w:rPr>
                <w:color w:val="1A1D21"/>
                <w:sz w:val="17"/>
              </w:rPr>
              <w:t>18,474</w:t>
            </w:r>
          </w:p>
        </w:tc>
        <w:tc>
          <w:tcPr>
            <w:tcW w:type="dxa" w:w="1026"/>
          </w:tcPr>
          <w:p>
            <w:pPr>
              <w:jc w:val="right"/>
            </w:pPr>
            <w:r/>
            <w:r>
              <w:rPr>
                <w:color w:val="1A1D21"/>
                <w:sz w:val="17"/>
              </w:rPr>
              <w:t>22,856</w:t>
            </w:r>
          </w:p>
        </w:tc>
        <w:tc>
          <w:tcPr>
            <w:tcW w:type="dxa" w:w="1026"/>
          </w:tcPr>
          <w:p>
            <w:pPr>
              <w:jc w:val="right"/>
            </w:pPr>
            <w:r/>
            <w:r>
              <w:rPr>
                <w:color w:val="1A1D21"/>
                <w:sz w:val="17"/>
              </w:rPr>
              <w:t>27,518</w:t>
            </w:r>
          </w:p>
        </w:tc>
        <w:tc>
          <w:tcPr>
            <w:tcW w:type="dxa" w:w="1026"/>
          </w:tcPr>
          <w:p>
            <w:pPr>
              <w:jc w:val="right"/>
            </w:pPr>
            <w:r/>
            <w:r>
              <w:rPr>
                <w:color w:val="1A1D21"/>
                <w:sz w:val="17"/>
              </w:rPr>
              <w:t>32,536</w:t>
            </w:r>
          </w:p>
        </w:tc>
        <w:tc>
          <w:tcPr>
            <w:tcW w:type="dxa" w:w="1026"/>
          </w:tcPr>
          <w:p>
            <w:pPr>
              <w:jc w:val="right"/>
            </w:pPr>
            <w:r/>
            <w:r>
              <w:rPr>
                <w:color w:val="1A1D21"/>
                <w:sz w:val="17"/>
              </w:rPr>
              <w:t>61,007</w:t>
            </w:r>
          </w:p>
        </w:tc>
        <w:tc>
          <w:tcPr>
            <w:tcW w:type="dxa" w:w="1026"/>
          </w:tcPr>
          <w:p>
            <w:pPr>
              <w:jc w:val="right"/>
            </w:pPr>
            <w:r/>
            <w:r>
              <w:rPr>
                <w:color w:val="1A1D21"/>
                <w:sz w:val="17"/>
              </w:rPr>
              <w:t>86,848</w:t>
            </w:r>
          </w:p>
        </w:tc>
      </w:tr>
      <w:tr>
        <w:trPr>
          <w:cantSplit/>
        </w:trPr>
        <w:tc>
          <w:tcPr>
            <w:tcW w:type="dxa" w:w="1984"/>
          </w:tcPr>
          <w:p>
            <w:r/>
            <w:r>
              <w:rPr>
                <w:color w:val="1A1D21"/>
                <w:sz w:val="17"/>
              </w:rPr>
              <w:t>Advances to suppliers</w:t>
            </w:r>
          </w:p>
        </w:tc>
        <w:tc>
          <w:tcPr>
            <w:tcW w:type="dxa" w:w="1026"/>
          </w:tcPr>
          <w:p>
            <w:pPr>
              <w:jc w:val="right"/>
            </w:pPr>
            <w:r/>
            <w:r>
              <w:rPr>
                <w:color w:val="1A1D21"/>
                <w:sz w:val="17"/>
              </w:rPr>
              <w:t>10,052</w:t>
            </w:r>
          </w:p>
        </w:tc>
        <w:tc>
          <w:tcPr>
            <w:tcW w:type="dxa" w:w="1026"/>
          </w:tcPr>
          <w:p>
            <w:pPr>
              <w:jc w:val="right"/>
            </w:pPr>
            <w:r/>
            <w:r>
              <w:rPr>
                <w:color w:val="1A1D21"/>
                <w:sz w:val="17"/>
              </w:rPr>
              <w:t>12,947</w:t>
            </w:r>
          </w:p>
        </w:tc>
        <w:tc>
          <w:tcPr>
            <w:tcW w:type="dxa" w:w="1026"/>
          </w:tcPr>
          <w:p>
            <w:pPr>
              <w:jc w:val="right"/>
            </w:pPr>
            <w:r/>
            <w:r>
              <w:rPr>
                <w:color w:val="1A1D21"/>
                <w:sz w:val="17"/>
              </w:rPr>
              <w:t>16,018</w:t>
            </w:r>
          </w:p>
        </w:tc>
        <w:tc>
          <w:tcPr>
            <w:tcW w:type="dxa" w:w="1026"/>
          </w:tcPr>
          <w:p>
            <w:pPr>
              <w:jc w:val="right"/>
            </w:pPr>
            <w:r/>
            <w:r>
              <w:rPr>
                <w:color w:val="1A1D21"/>
                <w:sz w:val="17"/>
              </w:rPr>
              <w:t>19,286</w:t>
            </w:r>
          </w:p>
        </w:tc>
        <w:tc>
          <w:tcPr>
            <w:tcW w:type="dxa" w:w="1026"/>
          </w:tcPr>
          <w:p>
            <w:pPr>
              <w:jc w:val="right"/>
            </w:pPr>
            <w:r/>
            <w:r>
              <w:rPr>
                <w:color w:val="1A1D21"/>
                <w:sz w:val="17"/>
              </w:rPr>
              <w:t>22,802</w:t>
            </w:r>
          </w:p>
        </w:tc>
        <w:tc>
          <w:tcPr>
            <w:tcW w:type="dxa" w:w="1026"/>
          </w:tcPr>
          <w:p>
            <w:pPr>
              <w:jc w:val="right"/>
            </w:pPr>
            <w:r/>
            <w:r>
              <w:rPr>
                <w:color w:val="1A1D21"/>
                <w:sz w:val="17"/>
              </w:rPr>
              <w:t>42,756</w:t>
            </w:r>
          </w:p>
        </w:tc>
        <w:tc>
          <w:tcPr>
            <w:tcW w:type="dxa" w:w="1026"/>
          </w:tcPr>
          <w:p>
            <w:pPr>
              <w:jc w:val="right"/>
            </w:pPr>
            <w:r/>
            <w:r>
              <w:rPr>
                <w:color w:val="1A1D21"/>
                <w:sz w:val="17"/>
              </w:rPr>
              <w:t>60,866</w:t>
            </w:r>
          </w:p>
        </w:tc>
      </w:tr>
      <w:tr>
        <w:trPr>
          <w:cantSplit/>
        </w:trPr>
        <w:tc>
          <w:tcPr>
            <w:tcW w:type="dxa" w:w="1984"/>
          </w:tcPr>
          <w:p>
            <w:r/>
            <w:r>
              <w:rPr>
                <w:color w:val="1A1D21"/>
                <w:sz w:val="17"/>
              </w:rPr>
              <w:t>Cash and equivalents</w:t>
            </w:r>
          </w:p>
        </w:tc>
        <w:tc>
          <w:tcPr>
            <w:tcW w:type="dxa" w:w="1026"/>
          </w:tcPr>
          <w:p>
            <w:pPr>
              <w:jc w:val="right"/>
            </w:pPr>
            <w:r/>
            <w:r>
              <w:rPr>
                <w:color w:val="1A1D21"/>
                <w:sz w:val="17"/>
              </w:rPr>
              <w:t>5,221</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7,905</w:t>
            </w:r>
          </w:p>
        </w:tc>
      </w:tr>
      <w:tr>
        <w:trPr>
          <w:cantSplit/>
        </w:trPr>
        <w:tc>
          <w:tcPr>
            <w:tcW w:type="dxa" w:w="1984"/>
          </w:tcPr>
          <w:p>
            <w:r/>
            <w:r>
              <w:rPr>
                <w:color w:val="1A1D21"/>
                <w:sz w:val="17"/>
              </w:rPr>
              <w:t>Property and equipment</w:t>
            </w:r>
          </w:p>
        </w:tc>
        <w:tc>
          <w:tcPr>
            <w:tcW w:type="dxa" w:w="1026"/>
          </w:tcPr>
          <w:p>
            <w:pPr>
              <w:jc w:val="right"/>
            </w:pPr>
            <w:r/>
            <w:r>
              <w:rPr>
                <w:color w:val="1A1D21"/>
                <w:sz w:val="17"/>
              </w:rPr>
              <w:t>4,531</w:t>
            </w:r>
          </w:p>
        </w:tc>
        <w:tc>
          <w:tcPr>
            <w:tcW w:type="dxa" w:w="1026"/>
          </w:tcPr>
          <w:p>
            <w:pPr>
              <w:jc w:val="right"/>
            </w:pPr>
            <w:r/>
            <w:r>
              <w:rPr>
                <w:color w:val="1A1D21"/>
                <w:sz w:val="17"/>
              </w:rPr>
              <w:t>4,542</w:t>
            </w:r>
          </w:p>
        </w:tc>
        <w:tc>
          <w:tcPr>
            <w:tcW w:type="dxa" w:w="1026"/>
          </w:tcPr>
          <w:p>
            <w:pPr>
              <w:jc w:val="right"/>
            </w:pPr>
            <w:r/>
            <w:r>
              <w:rPr>
                <w:color w:val="1A1D21"/>
                <w:sz w:val="17"/>
              </w:rPr>
              <w:t>4,556</w:t>
            </w:r>
          </w:p>
        </w:tc>
        <w:tc>
          <w:tcPr>
            <w:tcW w:type="dxa" w:w="1026"/>
          </w:tcPr>
          <w:p>
            <w:pPr>
              <w:jc w:val="right"/>
            </w:pPr>
            <w:r/>
            <w:r>
              <w:rPr>
                <w:color w:val="1A1D21"/>
                <w:sz w:val="17"/>
              </w:rPr>
              <w:t>4,573</w:t>
            </w:r>
          </w:p>
        </w:tc>
        <w:tc>
          <w:tcPr>
            <w:tcW w:type="dxa" w:w="1026"/>
          </w:tcPr>
          <w:p>
            <w:pPr>
              <w:jc w:val="right"/>
            </w:pPr>
            <w:r/>
            <w:r>
              <w:rPr>
                <w:color w:val="1A1D21"/>
                <w:sz w:val="17"/>
              </w:rPr>
              <w:t>4,594</w:t>
            </w:r>
          </w:p>
        </w:tc>
        <w:tc>
          <w:tcPr>
            <w:tcW w:type="dxa" w:w="1026"/>
          </w:tcPr>
          <w:p>
            <w:pPr>
              <w:jc w:val="right"/>
            </w:pPr>
            <w:r/>
            <w:r>
              <w:rPr>
                <w:color w:val="1A1D21"/>
                <w:sz w:val="17"/>
              </w:rPr>
              <w:t>4,747</w:t>
            </w:r>
          </w:p>
        </w:tc>
        <w:tc>
          <w:tcPr>
            <w:tcW w:type="dxa" w:w="1026"/>
          </w:tcPr>
          <w:p>
            <w:pPr>
              <w:jc w:val="right"/>
            </w:pPr>
            <w:r/>
            <w:r>
              <w:rPr>
                <w:color w:val="1A1D21"/>
                <w:sz w:val="17"/>
              </w:rPr>
              <w:t>4,982</w:t>
            </w:r>
          </w:p>
        </w:tc>
      </w:tr>
      <w:tr>
        <w:trPr>
          <w:cantSplit/>
        </w:trPr>
        <w:tc>
          <w:tcPr>
            <w:tcW w:type="dxa" w:w="1984"/>
          </w:tcPr>
          <w:p>
            <w:r/>
            <w:r>
              <w:rPr>
                <w:color w:val="1A1D21"/>
                <w:sz w:val="17"/>
              </w:rPr>
              <w:t>Other assets, held at the 2025 level</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r>
      <w:tr>
        <w:trPr>
          <w:cantSplit/>
        </w:trPr>
        <w:tc>
          <w:tcPr>
            <w:tcW w:type="dxa" w:w="1984"/>
          </w:tcPr>
          <w:p>
            <w:r/>
            <w:r>
              <w:rPr>
                <w:color w:val="1A1D21"/>
                <w:sz w:val="17"/>
              </w:rPr>
              <w:t>Total assets</w:t>
            </w:r>
          </w:p>
        </w:tc>
        <w:tc>
          <w:tcPr>
            <w:tcW w:type="dxa" w:w="1026"/>
          </w:tcPr>
          <w:p>
            <w:pPr>
              <w:jc w:val="right"/>
            </w:pPr>
            <w:r/>
            <w:r>
              <w:rPr>
                <w:color w:val="1A1D21"/>
                <w:sz w:val="17"/>
              </w:rPr>
              <w:t>183,677</w:t>
            </w:r>
          </w:p>
        </w:tc>
        <w:tc>
          <w:tcPr>
            <w:tcW w:type="dxa" w:w="1026"/>
          </w:tcPr>
          <w:p>
            <w:pPr>
              <w:jc w:val="right"/>
            </w:pPr>
            <w:r/>
            <w:r>
              <w:rPr>
                <w:color w:val="1A1D21"/>
                <w:sz w:val="17"/>
              </w:rPr>
              <w:t>226,555</w:t>
            </w:r>
          </w:p>
        </w:tc>
        <w:tc>
          <w:tcPr>
            <w:tcW w:type="dxa" w:w="1026"/>
          </w:tcPr>
          <w:p>
            <w:pPr>
              <w:jc w:val="right"/>
            </w:pPr>
            <w:r/>
            <w:r>
              <w:rPr>
                <w:color w:val="1A1D21"/>
                <w:sz w:val="17"/>
              </w:rPr>
              <w:t>275,074</w:t>
            </w:r>
          </w:p>
        </w:tc>
        <w:tc>
          <w:tcPr>
            <w:tcW w:type="dxa" w:w="1026"/>
          </w:tcPr>
          <w:p>
            <w:pPr>
              <w:jc w:val="right"/>
            </w:pPr>
            <w:r/>
            <w:r>
              <w:rPr>
                <w:color w:val="1A1D21"/>
                <w:sz w:val="17"/>
              </w:rPr>
              <w:t>326,710</w:t>
            </w:r>
          </w:p>
        </w:tc>
        <w:tc>
          <w:tcPr>
            <w:tcW w:type="dxa" w:w="1026"/>
          </w:tcPr>
          <w:p>
            <w:pPr>
              <w:jc w:val="right"/>
            </w:pPr>
            <w:r/>
            <w:r>
              <w:rPr>
                <w:color w:val="1A1D21"/>
                <w:sz w:val="17"/>
              </w:rPr>
              <w:t>382,284</w:t>
            </w:r>
          </w:p>
        </w:tc>
        <w:tc>
          <w:tcPr>
            <w:tcW w:type="dxa" w:w="1026"/>
          </w:tcPr>
          <w:p>
            <w:pPr>
              <w:jc w:val="right"/>
            </w:pPr>
            <w:r/>
            <w:r>
              <w:rPr>
                <w:color w:val="1A1D21"/>
                <w:sz w:val="17"/>
              </w:rPr>
              <w:t>697,636</w:t>
            </w:r>
          </w:p>
        </w:tc>
        <w:tc>
          <w:tcPr>
            <w:tcW w:type="dxa" w:w="1026"/>
          </w:tcPr>
          <w:p>
            <w:pPr>
              <w:jc w:val="right"/>
            </w:pPr>
            <w:r/>
            <w:r>
              <w:rPr>
                <w:color w:val="1A1D21"/>
                <w:sz w:val="17"/>
              </w:rPr>
              <w:t>989,518</w:t>
            </w:r>
          </w:p>
        </w:tc>
      </w:tr>
      <w:tr>
        <w:trPr>
          <w:cantSplit/>
        </w:trPr>
        <w:tc>
          <w:tcPr>
            <w:tcW w:type="dxa" w:w="1984"/>
          </w:tcPr>
          <w:p>
            <w:r/>
            <w:r>
              <w:rPr>
                <w:color w:val="1A1D21"/>
                <w:sz w:val="17"/>
              </w:rPr>
              <w:t>Customer advances</w:t>
            </w:r>
          </w:p>
        </w:tc>
        <w:tc>
          <w:tcPr>
            <w:tcW w:type="dxa" w:w="1026"/>
          </w:tcPr>
          <w:p>
            <w:pPr>
              <w:jc w:val="right"/>
            </w:pPr>
            <w:r/>
            <w:r>
              <w:rPr>
                <w:color w:val="1A1D21"/>
                <w:sz w:val="17"/>
              </w:rPr>
              <w:t>76,983</w:t>
            </w:r>
          </w:p>
        </w:tc>
        <w:tc>
          <w:tcPr>
            <w:tcW w:type="dxa" w:w="1026"/>
          </w:tcPr>
          <w:p>
            <w:pPr>
              <w:jc w:val="right"/>
            </w:pPr>
            <w:r/>
            <w:r>
              <w:rPr>
                <w:color w:val="1A1D21"/>
                <w:sz w:val="17"/>
              </w:rPr>
              <w:t>99,154</w:t>
            </w:r>
          </w:p>
        </w:tc>
        <w:tc>
          <w:tcPr>
            <w:tcW w:type="dxa" w:w="1026"/>
          </w:tcPr>
          <w:p>
            <w:pPr>
              <w:jc w:val="right"/>
            </w:pPr>
            <w:r/>
            <w:r>
              <w:rPr>
                <w:color w:val="1A1D21"/>
                <w:sz w:val="17"/>
              </w:rPr>
              <w:t>122,669</w:t>
            </w:r>
          </w:p>
        </w:tc>
        <w:tc>
          <w:tcPr>
            <w:tcW w:type="dxa" w:w="1026"/>
          </w:tcPr>
          <w:p>
            <w:pPr>
              <w:jc w:val="right"/>
            </w:pPr>
            <w:r/>
            <w:r>
              <w:rPr>
                <w:color w:val="1A1D21"/>
                <w:sz w:val="17"/>
              </w:rPr>
              <w:t>147,693</w:t>
            </w:r>
          </w:p>
        </w:tc>
        <w:tc>
          <w:tcPr>
            <w:tcW w:type="dxa" w:w="1026"/>
          </w:tcPr>
          <w:p>
            <w:pPr>
              <w:jc w:val="right"/>
            </w:pPr>
            <w:r/>
            <w:r>
              <w:rPr>
                <w:color w:val="1A1D21"/>
                <w:sz w:val="17"/>
              </w:rPr>
              <w:t>174,625</w:t>
            </w:r>
          </w:p>
        </w:tc>
        <w:tc>
          <w:tcPr>
            <w:tcW w:type="dxa" w:w="1026"/>
          </w:tcPr>
          <w:p>
            <w:pPr>
              <w:jc w:val="right"/>
            </w:pPr>
            <w:r/>
            <w:r>
              <w:rPr>
                <w:color w:val="1A1D21"/>
                <w:sz w:val="17"/>
              </w:rPr>
              <w:t>327,430</w:t>
            </w:r>
          </w:p>
        </w:tc>
        <w:tc>
          <w:tcPr>
            <w:tcW w:type="dxa" w:w="1026"/>
          </w:tcPr>
          <w:p>
            <w:pPr>
              <w:jc w:val="right"/>
            </w:pPr>
            <w:r/>
            <w:r>
              <w:rPr>
                <w:color w:val="1A1D21"/>
                <w:sz w:val="17"/>
              </w:rPr>
              <w:t>466,127</w:t>
            </w:r>
          </w:p>
        </w:tc>
      </w:tr>
      <w:tr>
        <w:trPr>
          <w:cantSplit/>
        </w:trPr>
        <w:tc>
          <w:tcPr>
            <w:tcW w:type="dxa" w:w="1984"/>
          </w:tcPr>
          <w:p>
            <w:r/>
            <w:r>
              <w:rPr>
                <w:color w:val="1A1D21"/>
                <w:sz w:val="17"/>
              </w:rPr>
              <w:t>Suppliers</w:t>
            </w:r>
          </w:p>
        </w:tc>
        <w:tc>
          <w:tcPr>
            <w:tcW w:type="dxa" w:w="1026"/>
          </w:tcPr>
          <w:p>
            <w:pPr>
              <w:jc w:val="right"/>
            </w:pPr>
            <w:r/>
            <w:r>
              <w:rPr>
                <w:color w:val="1A1D21"/>
                <w:sz w:val="17"/>
              </w:rPr>
              <w:t>4,226</w:t>
            </w:r>
          </w:p>
        </w:tc>
        <w:tc>
          <w:tcPr>
            <w:tcW w:type="dxa" w:w="1026"/>
          </w:tcPr>
          <w:p>
            <w:pPr>
              <w:jc w:val="right"/>
            </w:pPr>
            <w:r/>
            <w:r>
              <w:rPr>
                <w:color w:val="1A1D21"/>
                <w:sz w:val="17"/>
              </w:rPr>
              <w:t>5,443</w:t>
            </w:r>
          </w:p>
        </w:tc>
        <w:tc>
          <w:tcPr>
            <w:tcW w:type="dxa" w:w="1026"/>
          </w:tcPr>
          <w:p>
            <w:pPr>
              <w:jc w:val="right"/>
            </w:pPr>
            <w:r/>
            <w:r>
              <w:rPr>
                <w:color w:val="1A1D21"/>
                <w:sz w:val="17"/>
              </w:rPr>
              <w:t>6,734</w:t>
            </w:r>
          </w:p>
        </w:tc>
        <w:tc>
          <w:tcPr>
            <w:tcW w:type="dxa" w:w="1026"/>
          </w:tcPr>
          <w:p>
            <w:pPr>
              <w:jc w:val="right"/>
            </w:pPr>
            <w:r/>
            <w:r>
              <w:rPr>
                <w:color w:val="1A1D21"/>
                <w:sz w:val="17"/>
              </w:rPr>
              <w:t>8,107</w:t>
            </w:r>
          </w:p>
        </w:tc>
        <w:tc>
          <w:tcPr>
            <w:tcW w:type="dxa" w:w="1026"/>
          </w:tcPr>
          <w:p>
            <w:pPr>
              <w:jc w:val="right"/>
            </w:pPr>
            <w:r/>
            <w:r>
              <w:rPr>
                <w:color w:val="1A1D21"/>
                <w:sz w:val="17"/>
              </w:rPr>
              <w:t>9,586</w:t>
            </w:r>
          </w:p>
        </w:tc>
        <w:tc>
          <w:tcPr>
            <w:tcW w:type="dxa" w:w="1026"/>
          </w:tcPr>
          <w:p>
            <w:pPr>
              <w:jc w:val="right"/>
            </w:pPr>
            <w:r/>
            <w:r>
              <w:rPr>
                <w:color w:val="1A1D21"/>
                <w:sz w:val="17"/>
              </w:rPr>
              <w:t>17,973</w:t>
            </w:r>
          </w:p>
        </w:tc>
        <w:tc>
          <w:tcPr>
            <w:tcW w:type="dxa" w:w="1026"/>
          </w:tcPr>
          <w:p>
            <w:pPr>
              <w:jc w:val="right"/>
            </w:pPr>
            <w:r/>
            <w:r>
              <w:rPr>
                <w:color w:val="1A1D21"/>
                <w:sz w:val="17"/>
              </w:rPr>
              <w:t>25,587</w:t>
            </w:r>
          </w:p>
        </w:tc>
      </w:tr>
      <w:tr>
        <w:trPr>
          <w:cantSplit/>
        </w:trPr>
        <w:tc>
          <w:tcPr>
            <w:tcW w:type="dxa" w:w="1984"/>
          </w:tcPr>
          <w:p>
            <w:r/>
            <w:r>
              <w:rPr>
                <w:color w:val="1A1D21"/>
                <w:sz w:val="17"/>
              </w:rPr>
              <w:t>Other creditors</w:t>
            </w:r>
          </w:p>
        </w:tc>
        <w:tc>
          <w:tcPr>
            <w:tcW w:type="dxa" w:w="1026"/>
          </w:tcPr>
          <w:p>
            <w:pPr>
              <w:jc w:val="right"/>
            </w:pPr>
            <w:r/>
            <w:r>
              <w:rPr>
                <w:color w:val="1A1D21"/>
                <w:sz w:val="17"/>
              </w:rPr>
              <w:t>5,685</w:t>
            </w:r>
          </w:p>
        </w:tc>
        <w:tc>
          <w:tcPr>
            <w:tcW w:type="dxa" w:w="1026"/>
          </w:tcPr>
          <w:p>
            <w:pPr>
              <w:jc w:val="right"/>
            </w:pPr>
            <w:r/>
            <w:r>
              <w:rPr>
                <w:color w:val="1A1D21"/>
                <w:sz w:val="17"/>
              </w:rPr>
              <w:t>7,322</w:t>
            </w:r>
          </w:p>
        </w:tc>
        <w:tc>
          <w:tcPr>
            <w:tcW w:type="dxa" w:w="1026"/>
          </w:tcPr>
          <w:p>
            <w:pPr>
              <w:jc w:val="right"/>
            </w:pPr>
            <w:r/>
            <w:r>
              <w:rPr>
                <w:color w:val="1A1D21"/>
                <w:sz w:val="17"/>
              </w:rPr>
              <w:t>9,059</w:t>
            </w:r>
          </w:p>
        </w:tc>
        <w:tc>
          <w:tcPr>
            <w:tcW w:type="dxa" w:w="1026"/>
          </w:tcPr>
          <w:p>
            <w:pPr>
              <w:jc w:val="right"/>
            </w:pPr>
            <w:r/>
            <w:r>
              <w:rPr>
                <w:color w:val="1A1D21"/>
                <w:sz w:val="17"/>
              </w:rPr>
              <w:t>10,907</w:t>
            </w:r>
          </w:p>
        </w:tc>
        <w:tc>
          <w:tcPr>
            <w:tcW w:type="dxa" w:w="1026"/>
          </w:tcPr>
          <w:p>
            <w:pPr>
              <w:jc w:val="right"/>
            </w:pPr>
            <w:r/>
            <w:r>
              <w:rPr>
                <w:color w:val="1A1D21"/>
                <w:sz w:val="17"/>
              </w:rPr>
              <w:t>12,896</w:t>
            </w:r>
          </w:p>
        </w:tc>
        <w:tc>
          <w:tcPr>
            <w:tcW w:type="dxa" w:w="1026"/>
          </w:tcPr>
          <w:p>
            <w:pPr>
              <w:jc w:val="right"/>
            </w:pPr>
            <w:r/>
            <w:r>
              <w:rPr>
                <w:color w:val="1A1D21"/>
                <w:sz w:val="17"/>
              </w:rPr>
              <w:t>24,180</w:t>
            </w:r>
          </w:p>
        </w:tc>
        <w:tc>
          <w:tcPr>
            <w:tcW w:type="dxa" w:w="1026"/>
          </w:tcPr>
          <w:p>
            <w:pPr>
              <w:jc w:val="right"/>
            </w:pPr>
            <w:r/>
            <w:r>
              <w:rPr>
                <w:color w:val="1A1D21"/>
                <w:sz w:val="17"/>
              </w:rPr>
              <w:t>34,423</w:t>
            </w:r>
          </w:p>
        </w:tc>
      </w:tr>
      <w:tr>
        <w:trPr>
          <w:cantSplit/>
        </w:trPr>
        <w:tc>
          <w:tcPr>
            <w:tcW w:type="dxa" w:w="1984"/>
          </w:tcPr>
          <w:p>
            <w:r/>
            <w:r>
              <w:rPr>
                <w:color w:val="1A1D21"/>
                <w:sz w:val="17"/>
              </w:rPr>
              <w:t>Cheques under collection</w:t>
            </w:r>
          </w:p>
        </w:tc>
        <w:tc>
          <w:tcPr>
            <w:tcW w:type="dxa" w:w="1026"/>
          </w:tcPr>
          <w:p>
            <w:pPr>
              <w:jc w:val="right"/>
            </w:pPr>
            <w:r/>
            <w:r>
              <w:rPr>
                <w:color w:val="1A1D21"/>
                <w:sz w:val="17"/>
              </w:rPr>
              <w:t>2,724</w:t>
            </w:r>
          </w:p>
        </w:tc>
        <w:tc>
          <w:tcPr>
            <w:tcW w:type="dxa" w:w="1026"/>
          </w:tcPr>
          <w:p>
            <w:pPr>
              <w:jc w:val="right"/>
            </w:pPr>
            <w:r/>
            <w:r>
              <w:rPr>
                <w:color w:val="1A1D21"/>
                <w:sz w:val="17"/>
              </w:rPr>
              <w:t>3,508</w:t>
            </w:r>
          </w:p>
        </w:tc>
        <w:tc>
          <w:tcPr>
            <w:tcW w:type="dxa" w:w="1026"/>
          </w:tcPr>
          <w:p>
            <w:pPr>
              <w:jc w:val="right"/>
            </w:pPr>
            <w:r/>
            <w:r>
              <w:rPr>
                <w:color w:val="1A1D21"/>
                <w:sz w:val="17"/>
              </w:rPr>
              <w:t>4,340</w:t>
            </w:r>
          </w:p>
        </w:tc>
        <w:tc>
          <w:tcPr>
            <w:tcW w:type="dxa" w:w="1026"/>
          </w:tcPr>
          <w:p>
            <w:pPr>
              <w:jc w:val="right"/>
            </w:pPr>
            <w:r/>
            <w:r>
              <w:rPr>
                <w:color w:val="1A1D21"/>
                <w:sz w:val="17"/>
              </w:rPr>
              <w:t>5,225</w:t>
            </w:r>
          </w:p>
        </w:tc>
        <w:tc>
          <w:tcPr>
            <w:tcW w:type="dxa" w:w="1026"/>
          </w:tcPr>
          <w:p>
            <w:pPr>
              <w:jc w:val="right"/>
            </w:pPr>
            <w:r/>
            <w:r>
              <w:rPr>
                <w:color w:val="1A1D21"/>
                <w:sz w:val="17"/>
              </w:rPr>
              <w:t>6,178</w:t>
            </w:r>
          </w:p>
        </w:tc>
        <w:tc>
          <w:tcPr>
            <w:tcW w:type="dxa" w:w="1026"/>
          </w:tcPr>
          <w:p>
            <w:pPr>
              <w:jc w:val="right"/>
            </w:pPr>
            <w:r/>
            <w:r>
              <w:rPr>
                <w:color w:val="1A1D21"/>
                <w:sz w:val="17"/>
              </w:rPr>
              <w:t>11,584</w:t>
            </w:r>
          </w:p>
        </w:tc>
        <w:tc>
          <w:tcPr>
            <w:tcW w:type="dxa" w:w="1026"/>
          </w:tcPr>
          <w:p>
            <w:pPr>
              <w:jc w:val="right"/>
            </w:pPr>
            <w:r/>
            <w:r>
              <w:rPr>
                <w:color w:val="1A1D21"/>
                <w:sz w:val="17"/>
              </w:rPr>
              <w:t>16,491</w:t>
            </w:r>
          </w:p>
        </w:tc>
      </w:tr>
      <w:tr>
        <w:trPr>
          <w:cantSplit/>
        </w:trPr>
        <w:tc>
          <w:tcPr>
            <w:tcW w:type="dxa" w:w="1984"/>
          </w:tcPr>
          <w:p>
            <w:r/>
            <w:r>
              <w:rPr>
                <w:color w:val="1A1D21"/>
                <w:sz w:val="17"/>
              </w:rPr>
              <w:t>Borrowings</w:t>
            </w:r>
          </w:p>
        </w:tc>
        <w:tc>
          <w:tcPr>
            <w:tcW w:type="dxa" w:w="1026"/>
          </w:tcPr>
          <w:p>
            <w:pPr>
              <w:jc w:val="right"/>
            </w:pPr>
            <w:r/>
            <w:r>
              <w:rPr>
                <w:color w:val="1A1D21"/>
                <w:sz w:val="17"/>
              </w:rPr>
              <w:t>33,553</w:t>
            </w:r>
          </w:p>
        </w:tc>
        <w:tc>
          <w:tcPr>
            <w:tcW w:type="dxa" w:w="1026"/>
          </w:tcPr>
          <w:p>
            <w:pPr>
              <w:jc w:val="right"/>
            </w:pPr>
            <w:r/>
            <w:r>
              <w:rPr>
                <w:color w:val="1A1D21"/>
                <w:sz w:val="17"/>
              </w:rPr>
              <w:t>46,440</w:t>
            </w:r>
          </w:p>
        </w:tc>
        <w:tc>
          <w:tcPr>
            <w:tcW w:type="dxa" w:w="1026"/>
          </w:tcPr>
          <w:p>
            <w:pPr>
              <w:jc w:val="right"/>
            </w:pPr>
            <w:r/>
            <w:r>
              <w:rPr>
                <w:color w:val="1A1D21"/>
                <w:sz w:val="17"/>
              </w:rPr>
              <w:t>61,797</w:t>
            </w:r>
          </w:p>
        </w:tc>
        <w:tc>
          <w:tcPr>
            <w:tcW w:type="dxa" w:w="1026"/>
          </w:tcPr>
          <w:p>
            <w:pPr>
              <w:jc w:val="right"/>
            </w:pPr>
            <w:r/>
            <w:r>
              <w:rPr>
                <w:color w:val="1A1D21"/>
                <w:sz w:val="17"/>
              </w:rPr>
              <w:t>76,804</w:t>
            </w:r>
          </w:p>
        </w:tc>
        <w:tc>
          <w:tcPr>
            <w:tcW w:type="dxa" w:w="1026"/>
          </w:tcPr>
          <w:p>
            <w:pPr>
              <w:jc w:val="right"/>
            </w:pPr>
            <w:r/>
            <w:r>
              <w:rPr>
                <w:color w:val="1A1D21"/>
                <w:sz w:val="17"/>
              </w:rPr>
              <w:t>91,688</w:t>
            </w:r>
          </w:p>
        </w:tc>
        <w:tc>
          <w:tcPr>
            <w:tcW w:type="dxa" w:w="1026"/>
          </w:tcPr>
          <w:p>
            <w:pPr>
              <w:jc w:val="right"/>
            </w:pPr>
            <w:r/>
            <w:r>
              <w:rPr>
                <w:color w:val="1A1D21"/>
                <w:sz w:val="17"/>
              </w:rPr>
              <w:t>151,372</w:t>
            </w:r>
          </w:p>
        </w:tc>
        <w:tc>
          <w:tcPr>
            <w:tcW w:type="dxa" w:w="1026"/>
          </w:tcPr>
          <w:p>
            <w:pPr>
              <w:jc w:val="right"/>
            </w:pPr>
            <w:r/>
            <w:r>
              <w:rPr>
                <w:color w:val="1A1D21"/>
                <w:sz w:val="17"/>
              </w:rPr>
              <w:t>155,027</w:t>
            </w:r>
          </w:p>
        </w:tc>
      </w:tr>
      <w:tr>
        <w:trPr>
          <w:cantSplit/>
        </w:trPr>
        <w:tc>
          <w:tcPr>
            <w:tcW w:type="dxa" w:w="1984"/>
          </w:tcPr>
          <w:p>
            <w:r/>
            <w:r>
              <w:rPr>
                <w:color w:val="1A1D21"/>
                <w:sz w:val="17"/>
              </w:rPr>
              <w:t>Other liabilities, held at the 2025 level</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r>
      <w:tr>
        <w:trPr>
          <w:cantSplit/>
        </w:trPr>
        <w:tc>
          <w:tcPr>
            <w:tcW w:type="dxa" w:w="1984"/>
          </w:tcPr>
          <w:p>
            <w:r/>
            <w:r>
              <w:rPr>
                <w:color w:val="1A1D21"/>
                <w:sz w:val="17"/>
              </w:rPr>
              <w:t>Total liabilities</w:t>
            </w:r>
          </w:p>
        </w:tc>
        <w:tc>
          <w:tcPr>
            <w:tcW w:type="dxa" w:w="1026"/>
          </w:tcPr>
          <w:p>
            <w:pPr>
              <w:jc w:val="right"/>
            </w:pPr>
            <w:r/>
            <w:r>
              <w:rPr>
                <w:color w:val="1A1D21"/>
                <w:sz w:val="17"/>
              </w:rPr>
              <w:t>162,245</w:t>
            </w:r>
          </w:p>
        </w:tc>
        <w:tc>
          <w:tcPr>
            <w:tcW w:type="dxa" w:w="1026"/>
          </w:tcPr>
          <w:p>
            <w:pPr>
              <w:jc w:val="right"/>
            </w:pPr>
            <w:r/>
            <w:r>
              <w:rPr>
                <w:color w:val="1A1D21"/>
                <w:sz w:val="17"/>
              </w:rPr>
              <w:t>200,943</w:t>
            </w:r>
          </w:p>
        </w:tc>
        <w:tc>
          <w:tcPr>
            <w:tcW w:type="dxa" w:w="1026"/>
          </w:tcPr>
          <w:p>
            <w:pPr>
              <w:jc w:val="right"/>
            </w:pPr>
            <w:r/>
            <w:r>
              <w:rPr>
                <w:color w:val="1A1D21"/>
                <w:sz w:val="17"/>
              </w:rPr>
              <w:t>243,673</w:t>
            </w:r>
          </w:p>
        </w:tc>
        <w:tc>
          <w:tcPr>
            <w:tcW w:type="dxa" w:w="1026"/>
          </w:tcPr>
          <w:p>
            <w:pPr>
              <w:jc w:val="right"/>
            </w:pPr>
            <w:r/>
            <w:r>
              <w:rPr>
                <w:color w:val="1A1D21"/>
                <w:sz w:val="17"/>
              </w:rPr>
              <w:t>287,811</w:t>
            </w:r>
          </w:p>
        </w:tc>
        <w:tc>
          <w:tcPr>
            <w:tcW w:type="dxa" w:w="1026"/>
          </w:tcPr>
          <w:p>
            <w:pPr>
              <w:jc w:val="right"/>
            </w:pPr>
            <w:r/>
            <w:r>
              <w:rPr>
                <w:color w:val="1A1D21"/>
                <w:sz w:val="17"/>
              </w:rPr>
              <w:t>334,047</w:t>
            </w:r>
          </w:p>
        </w:tc>
        <w:tc>
          <w:tcPr>
            <w:tcW w:type="dxa" w:w="1026"/>
          </w:tcPr>
          <w:p>
            <w:pPr>
              <w:jc w:val="right"/>
            </w:pPr>
            <w:r/>
            <w:r>
              <w:rPr>
                <w:color w:val="1A1D21"/>
                <w:sz w:val="17"/>
              </w:rPr>
              <w:t>571,615</w:t>
            </w:r>
          </w:p>
        </w:tc>
        <w:tc>
          <w:tcPr>
            <w:tcW w:type="dxa" w:w="1026"/>
          </w:tcPr>
          <w:p>
            <w:pPr>
              <w:jc w:val="right"/>
            </w:pPr>
            <w:r/>
            <w:r>
              <w:rPr>
                <w:color w:val="1A1D21"/>
                <w:sz w:val="17"/>
              </w:rPr>
              <w:t>736,730</w:t>
            </w:r>
          </w:p>
        </w:tc>
      </w:tr>
      <w:tr>
        <w:trPr>
          <w:cantSplit/>
        </w:trPr>
        <w:tc>
          <w:tcPr>
            <w:tcW w:type="dxa" w:w="1984"/>
          </w:tcPr>
          <w:p>
            <w:r/>
            <w:r>
              <w:rPr>
                <w:color w:val="1A1D21"/>
                <w:sz w:val="17"/>
              </w:rPr>
              <w:t>Shareholders' funds</w:t>
            </w:r>
          </w:p>
        </w:tc>
        <w:tc>
          <w:tcPr>
            <w:tcW w:type="dxa" w:w="1026"/>
          </w:tcPr>
          <w:p>
            <w:pPr>
              <w:jc w:val="right"/>
            </w:pPr>
            <w:r/>
            <w:r>
              <w:rPr>
                <w:color w:val="1A1D21"/>
                <w:sz w:val="17"/>
              </w:rPr>
              <w:t>21,432</w:t>
            </w:r>
          </w:p>
        </w:tc>
        <w:tc>
          <w:tcPr>
            <w:tcW w:type="dxa" w:w="1026"/>
          </w:tcPr>
          <w:p>
            <w:pPr>
              <w:jc w:val="right"/>
            </w:pPr>
            <w:r/>
            <w:r>
              <w:rPr>
                <w:color w:val="1A1D21"/>
                <w:sz w:val="17"/>
              </w:rPr>
              <w:t>25,613</w:t>
            </w:r>
          </w:p>
        </w:tc>
        <w:tc>
          <w:tcPr>
            <w:tcW w:type="dxa" w:w="1026"/>
          </w:tcPr>
          <w:p>
            <w:pPr>
              <w:jc w:val="right"/>
            </w:pPr>
            <w:r/>
            <w:r>
              <w:rPr>
                <w:color w:val="1A1D21"/>
                <w:sz w:val="17"/>
              </w:rPr>
              <w:t>31,401</w:t>
            </w:r>
          </w:p>
        </w:tc>
        <w:tc>
          <w:tcPr>
            <w:tcW w:type="dxa" w:w="1026"/>
          </w:tcPr>
          <w:p>
            <w:pPr>
              <w:jc w:val="right"/>
            </w:pPr>
            <w:r/>
            <w:r>
              <w:rPr>
                <w:color w:val="1A1D21"/>
                <w:sz w:val="17"/>
              </w:rPr>
              <w:t>38,899</w:t>
            </w:r>
          </w:p>
        </w:tc>
        <w:tc>
          <w:tcPr>
            <w:tcW w:type="dxa" w:w="1026"/>
          </w:tcPr>
          <w:p>
            <w:pPr>
              <w:jc w:val="right"/>
            </w:pPr>
            <w:r/>
            <w:r>
              <w:rPr>
                <w:color w:val="1A1D21"/>
                <w:sz w:val="17"/>
              </w:rPr>
              <w:t>48,237</w:t>
            </w:r>
          </w:p>
        </w:tc>
        <w:tc>
          <w:tcPr>
            <w:tcW w:type="dxa" w:w="1026"/>
          </w:tcPr>
          <w:p>
            <w:pPr>
              <w:jc w:val="right"/>
            </w:pPr>
            <w:r/>
            <w:r>
              <w:rPr>
                <w:color w:val="1A1D21"/>
                <w:sz w:val="17"/>
              </w:rPr>
              <w:t>126,021</w:t>
            </w:r>
          </w:p>
        </w:tc>
        <w:tc>
          <w:tcPr>
            <w:tcW w:type="dxa" w:w="1026"/>
          </w:tcPr>
          <w:p>
            <w:pPr>
              <w:jc w:val="right"/>
            </w:pPr>
            <w:r/>
            <w:r>
              <w:rPr>
                <w:color w:val="1A1D21"/>
                <w:sz w:val="17"/>
              </w:rPr>
              <w:t>252,788</w:t>
            </w:r>
          </w:p>
        </w:tc>
      </w:tr>
      <w:tr>
        <w:trPr>
          <w:cantSplit/>
        </w:trPr>
        <w:tc>
          <w:tcPr>
            <w:tcW w:type="dxa" w:w="1984"/>
          </w:tcPr>
          <w:p>
            <w:r/>
            <w:r>
              <w:rPr>
                <w:color w:val="1A1D21"/>
                <w:sz w:val="17"/>
              </w:rPr>
              <w:t>Total liabilities and equity</w:t>
            </w:r>
          </w:p>
        </w:tc>
        <w:tc>
          <w:tcPr>
            <w:tcW w:type="dxa" w:w="1026"/>
          </w:tcPr>
          <w:p>
            <w:pPr>
              <w:jc w:val="right"/>
            </w:pPr>
            <w:r/>
            <w:r>
              <w:rPr>
                <w:color w:val="1A1D21"/>
                <w:sz w:val="17"/>
              </w:rPr>
              <w:t>183,677</w:t>
            </w:r>
          </w:p>
        </w:tc>
        <w:tc>
          <w:tcPr>
            <w:tcW w:type="dxa" w:w="1026"/>
          </w:tcPr>
          <w:p>
            <w:pPr>
              <w:jc w:val="right"/>
            </w:pPr>
            <w:r/>
            <w:r>
              <w:rPr>
                <w:color w:val="1A1D21"/>
                <w:sz w:val="17"/>
              </w:rPr>
              <w:t>226,555</w:t>
            </w:r>
          </w:p>
        </w:tc>
        <w:tc>
          <w:tcPr>
            <w:tcW w:type="dxa" w:w="1026"/>
          </w:tcPr>
          <w:p>
            <w:pPr>
              <w:jc w:val="right"/>
            </w:pPr>
            <w:r/>
            <w:r>
              <w:rPr>
                <w:color w:val="1A1D21"/>
                <w:sz w:val="17"/>
              </w:rPr>
              <w:t>275,074</w:t>
            </w:r>
          </w:p>
        </w:tc>
        <w:tc>
          <w:tcPr>
            <w:tcW w:type="dxa" w:w="1026"/>
          </w:tcPr>
          <w:p>
            <w:pPr>
              <w:jc w:val="right"/>
            </w:pPr>
            <w:r/>
            <w:r>
              <w:rPr>
                <w:color w:val="1A1D21"/>
                <w:sz w:val="17"/>
              </w:rPr>
              <w:t>326,710</w:t>
            </w:r>
          </w:p>
        </w:tc>
        <w:tc>
          <w:tcPr>
            <w:tcW w:type="dxa" w:w="1026"/>
          </w:tcPr>
          <w:p>
            <w:pPr>
              <w:jc w:val="right"/>
            </w:pPr>
            <w:r/>
            <w:r>
              <w:rPr>
                <w:color w:val="1A1D21"/>
                <w:sz w:val="17"/>
              </w:rPr>
              <w:t>382,284</w:t>
            </w:r>
          </w:p>
        </w:tc>
        <w:tc>
          <w:tcPr>
            <w:tcW w:type="dxa" w:w="1026"/>
          </w:tcPr>
          <w:p>
            <w:pPr>
              <w:jc w:val="right"/>
            </w:pPr>
            <w:r/>
            <w:r>
              <w:rPr>
                <w:color w:val="1A1D21"/>
                <w:sz w:val="17"/>
              </w:rPr>
              <w:t>697,636</w:t>
            </w:r>
          </w:p>
        </w:tc>
        <w:tc>
          <w:tcPr>
            <w:tcW w:type="dxa" w:w="1026"/>
          </w:tcPr>
          <w:p>
            <w:pPr>
              <w:jc w:val="right"/>
            </w:pPr>
            <w:r/>
            <w:r>
              <w:rPr>
                <w:color w:val="1A1D21"/>
                <w:sz w:val="17"/>
              </w:rPr>
              <w:t>989,518</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cash flow,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Change in working capital, cash effect</w:t>
            </w:r>
          </w:p>
        </w:tc>
        <w:tc>
          <w:tcPr>
            <w:tcW w:type="dxa" w:w="1026"/>
          </w:tcPr>
          <w:p>
            <w:pPr>
              <w:jc w:val="right"/>
            </w:pPr>
            <w:r/>
            <w:r>
              <w:rPr>
                <w:color w:val="1A1D21"/>
                <w:sz w:val="17"/>
              </w:rPr>
              <w:t>-6,856</w:t>
            </w:r>
          </w:p>
        </w:tc>
        <w:tc>
          <w:tcPr>
            <w:tcW w:type="dxa" w:w="1026"/>
          </w:tcPr>
          <w:p>
            <w:pPr>
              <w:jc w:val="right"/>
            </w:pPr>
            <w:r/>
            <w:r>
              <w:rPr>
                <w:color w:val="1A1D21"/>
                <w:sz w:val="17"/>
              </w:rPr>
              <w:t>-19,924</w:t>
            </w:r>
          </w:p>
        </w:tc>
        <w:tc>
          <w:tcPr>
            <w:tcW w:type="dxa" w:w="1026"/>
          </w:tcPr>
          <w:p>
            <w:pPr>
              <w:jc w:val="right"/>
            </w:pPr>
            <w:r/>
            <w:r>
              <w:rPr>
                <w:color w:val="1A1D21"/>
                <w:sz w:val="17"/>
              </w:rPr>
              <w:t>-21,131</w:t>
            </w:r>
          </w:p>
        </w:tc>
        <w:tc>
          <w:tcPr>
            <w:tcW w:type="dxa" w:w="1026"/>
          </w:tcPr>
          <w:p>
            <w:pPr>
              <w:jc w:val="right"/>
            </w:pPr>
            <w:r/>
            <w:r>
              <w:rPr>
                <w:color w:val="1A1D21"/>
                <w:sz w:val="17"/>
              </w:rPr>
              <w:t>-22,488</w:t>
            </w:r>
          </w:p>
        </w:tc>
        <w:tc>
          <w:tcPr>
            <w:tcW w:type="dxa" w:w="1026"/>
          </w:tcPr>
          <w:p>
            <w:pPr>
              <w:jc w:val="right"/>
            </w:pPr>
            <w:r/>
            <w:r>
              <w:rPr>
                <w:color w:val="1A1D21"/>
                <w:sz w:val="17"/>
              </w:rPr>
              <w:t>-24,202</w:t>
            </w:r>
          </w:p>
        </w:tc>
        <w:tc>
          <w:tcPr>
            <w:tcW w:type="dxa" w:w="1026"/>
          </w:tcPr>
          <w:p>
            <w:pPr>
              <w:jc w:val="right"/>
            </w:pPr>
            <w:r/>
            <w:r>
              <w:rPr>
                <w:color w:val="1A1D21"/>
                <w:sz w:val="17"/>
              </w:rPr>
              <w:t>-27,259</w:t>
            </w:r>
          </w:p>
        </w:tc>
        <w:tc>
          <w:tcPr>
            <w:tcW w:type="dxa" w:w="1026"/>
          </w:tcPr>
          <w:p>
            <w:pPr>
              <w:jc w:val="right"/>
            </w:pPr>
            <w:r/>
            <w:r>
              <w:rPr>
                <w:color w:val="1A1D21"/>
                <w:sz w:val="17"/>
              </w:rPr>
              <w:t>-27,403</w:t>
            </w:r>
          </w:p>
        </w:tc>
      </w:tr>
      <w:tr>
        <w:trPr>
          <w:cantSplit/>
        </w:trPr>
        <w:tc>
          <w:tcPr>
            <w:tcW w:type="dxa" w:w="1984"/>
          </w:tcPr>
          <w:p>
            <w:r/>
            <w:r>
              <w:rPr>
                <w:color w:val="1A1D21"/>
                <w:sz w:val="17"/>
              </w:rPr>
              <w:t>Cash from operations</w:t>
            </w:r>
          </w:p>
        </w:tc>
        <w:tc>
          <w:tcPr>
            <w:tcW w:type="dxa" w:w="1026"/>
          </w:tcPr>
          <w:p>
            <w:pPr>
              <w:jc w:val="right"/>
            </w:pPr>
            <w:r/>
            <w:r>
              <w:rPr>
                <w:color w:val="1A1D21"/>
                <w:sz w:val="17"/>
              </w:rPr>
              <w:t>-3,797</w:t>
            </w:r>
          </w:p>
        </w:tc>
        <w:tc>
          <w:tcPr>
            <w:tcW w:type="dxa" w:w="1026"/>
          </w:tcPr>
          <w:p>
            <w:pPr>
              <w:jc w:val="right"/>
            </w:pPr>
            <w:r/>
            <w:r>
              <w:rPr>
                <w:color w:val="1A1D21"/>
                <w:sz w:val="17"/>
              </w:rPr>
              <w:t>-15,237</w:t>
            </w:r>
          </w:p>
        </w:tc>
        <w:tc>
          <w:tcPr>
            <w:tcW w:type="dxa" w:w="1026"/>
          </w:tcPr>
          <w:p>
            <w:pPr>
              <w:jc w:val="right"/>
            </w:pPr>
            <w:r/>
            <w:r>
              <w:rPr>
                <w:color w:val="1A1D21"/>
                <w:sz w:val="17"/>
              </w:rPr>
              <w:t>-14,717</w:t>
            </w:r>
          </w:p>
        </w:tc>
        <w:tc>
          <w:tcPr>
            <w:tcW w:type="dxa" w:w="1026"/>
          </w:tcPr>
          <w:p>
            <w:pPr>
              <w:jc w:val="right"/>
            </w:pPr>
            <w:r/>
            <w:r>
              <w:rPr>
                <w:color w:val="1A1D21"/>
                <w:sz w:val="17"/>
              </w:rPr>
              <w:t>-14,237</w:t>
            </w:r>
          </w:p>
        </w:tc>
        <w:tc>
          <w:tcPr>
            <w:tcW w:type="dxa" w:w="1026"/>
          </w:tcPr>
          <w:p>
            <w:pPr>
              <w:jc w:val="right"/>
            </w:pPr>
            <w:r/>
            <w:r>
              <w:rPr>
                <w:color w:val="1A1D21"/>
                <w:sz w:val="17"/>
              </w:rPr>
              <w:t>-13,973</w:t>
            </w:r>
          </w:p>
        </w:tc>
        <w:tc>
          <w:tcPr>
            <w:tcW w:type="dxa" w:w="1026"/>
          </w:tcPr>
          <w:p>
            <w:pPr>
              <w:jc w:val="right"/>
            </w:pPr>
            <w:r/>
            <w:r>
              <w:rPr>
                <w:color w:val="1A1D21"/>
                <w:sz w:val="17"/>
              </w:rPr>
              <w:t>-5,809</w:t>
            </w:r>
          </w:p>
        </w:tc>
        <w:tc>
          <w:tcPr>
            <w:tcW w:type="dxa" w:w="1026"/>
          </w:tcPr>
          <w:p>
            <w:pPr>
              <w:jc w:val="right"/>
            </w:pPr>
            <w:r/>
            <w:r>
              <w:rPr>
                <w:color w:val="1A1D21"/>
                <w:sz w:val="17"/>
              </w:rPr>
              <w:t>4,231</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-9.5%</w:t>
            </w:r>
          </w:p>
        </w:tc>
        <w:tc>
          <w:tcPr>
            <w:tcW w:type="dxa" w:w="1026"/>
          </w:tcPr>
          <w:p>
            <w:pPr>
              <w:jc w:val="right"/>
            </w:pPr>
            <w:r/>
            <w:r>
              <w:rPr>
                <w:color w:val="1A1D21"/>
                <w:sz w:val="17"/>
              </w:rPr>
              <w:t>-29.5%</w:t>
            </w:r>
          </w:p>
        </w:tc>
        <w:tc>
          <w:tcPr>
            <w:tcW w:type="dxa" w:w="1026"/>
          </w:tcPr>
          <w:p>
            <w:pPr>
              <w:jc w:val="right"/>
            </w:pPr>
            <w:r/>
            <w:r>
              <w:rPr>
                <w:color w:val="1A1D21"/>
                <w:sz w:val="17"/>
              </w:rPr>
              <w:t>-23.0%</w:t>
            </w:r>
          </w:p>
        </w:tc>
        <w:tc>
          <w:tcPr>
            <w:tcW w:type="dxa" w:w="1026"/>
          </w:tcPr>
          <w:p>
            <w:pPr>
              <w:jc w:val="right"/>
            </w:pPr>
            <w:r/>
            <w:r>
              <w:rPr>
                <w:color w:val="1A1D21"/>
                <w:sz w:val="17"/>
              </w:rPr>
              <w:t>-18.5%</w:t>
            </w:r>
          </w:p>
        </w:tc>
        <w:tc>
          <w:tcPr>
            <w:tcW w:type="dxa" w:w="1026"/>
          </w:tcPr>
          <w:p>
            <w:pPr>
              <w:jc w:val="right"/>
            </w:pPr>
            <w:r/>
            <w:r>
              <w:rPr>
                <w:color w:val="1A1D21"/>
                <w:sz w:val="17"/>
              </w:rPr>
              <w:t>-15.3%</w:t>
            </w:r>
          </w:p>
        </w:tc>
        <w:tc>
          <w:tcPr>
            <w:tcW w:type="dxa" w:w="1026"/>
          </w:tcPr>
          <w:p>
            <w:pPr>
              <w:jc w:val="right"/>
            </w:pPr>
            <w:r/>
            <w:r>
              <w:rPr>
                <w:color w:val="1A1D21"/>
                <w:sz w:val="17"/>
              </w:rPr>
              <w:t>-3.4%</w:t>
            </w:r>
          </w:p>
        </w:tc>
        <w:tc>
          <w:tcPr>
            <w:tcW w:type="dxa" w:w="1026"/>
          </w:tcPr>
          <w:p>
            <w:pPr>
              <w:jc w:val="right"/>
            </w:pPr>
            <w:r/>
            <w:r>
              <w:rPr>
                <w:color w:val="1A1D21"/>
                <w:sz w:val="17"/>
              </w:rPr>
              <w:t>1.7%</w:t>
            </w:r>
          </w:p>
        </w:tc>
      </w:tr>
      <w:tr>
        <w:trPr>
          <w:cantSplit/>
        </w:trPr>
        <w:tc>
          <w:tcPr>
            <w:tcW w:type="dxa" w:w="1984"/>
          </w:tcPr>
          <w:p>
            <w:r/>
            <w:r>
              <w:rPr>
                <w:color w:val="1A1D21"/>
                <w:sz w:val="17"/>
              </w:rPr>
              <w:t>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New borrowing drawn</w:t>
            </w:r>
          </w:p>
        </w:tc>
        <w:tc>
          <w:tcPr>
            <w:tcW w:type="dxa" w:w="1026"/>
          </w:tcPr>
          <w:p>
            <w:pPr>
              <w:jc w:val="right"/>
            </w:pPr>
            <w:r/>
            <w:r>
              <w:rPr>
                <w:color w:val="1A1D21"/>
                <w:sz w:val="17"/>
              </w:rPr>
              <w:t>0</w:t>
            </w:r>
          </w:p>
        </w:tc>
        <w:tc>
          <w:tcPr>
            <w:tcW w:type="dxa" w:w="1026"/>
          </w:tcPr>
          <w:p>
            <w:pPr>
              <w:jc w:val="right"/>
            </w:pPr>
            <w:r/>
            <w:r>
              <w:rPr>
                <w:color w:val="1A1D21"/>
                <w:sz w:val="17"/>
              </w:rPr>
              <w:t>12,888</w:t>
            </w:r>
          </w:p>
        </w:tc>
        <w:tc>
          <w:tcPr>
            <w:tcW w:type="dxa" w:w="1026"/>
          </w:tcPr>
          <w:p>
            <w:pPr>
              <w:jc w:val="right"/>
            </w:pPr>
            <w:r/>
            <w:r>
              <w:rPr>
                <w:color w:val="1A1D21"/>
                <w:sz w:val="17"/>
              </w:rPr>
              <w:t>15,357</w:t>
            </w:r>
          </w:p>
        </w:tc>
        <w:tc>
          <w:tcPr>
            <w:tcW w:type="dxa" w:w="1026"/>
          </w:tcPr>
          <w:p>
            <w:pPr>
              <w:jc w:val="right"/>
            </w:pPr>
            <w:r/>
            <w:r>
              <w:rPr>
                <w:color w:val="1A1D21"/>
                <w:sz w:val="17"/>
              </w:rPr>
              <w:t>15,007</w:t>
            </w:r>
          </w:p>
        </w:tc>
        <w:tc>
          <w:tcPr>
            <w:tcW w:type="dxa" w:w="1026"/>
          </w:tcPr>
          <w:p>
            <w:pPr>
              <w:jc w:val="right"/>
            </w:pPr>
            <w:r/>
            <w:r>
              <w:rPr>
                <w:color w:val="1A1D21"/>
                <w:sz w:val="17"/>
              </w:rPr>
              <w:t>14,884</w:t>
            </w:r>
          </w:p>
        </w:tc>
        <w:tc>
          <w:tcPr>
            <w:tcW w:type="dxa" w:w="1026"/>
          </w:tcPr>
          <w:p>
            <w:pPr>
              <w:jc w:val="right"/>
            </w:pPr>
            <w:r/>
            <w:r>
              <w:rPr>
                <w:color w:val="1A1D21"/>
                <w:sz w:val="17"/>
              </w:rPr>
              <w:t>7,517</w:t>
            </w:r>
          </w:p>
        </w:tc>
        <w:tc>
          <w:tcPr>
            <w:tcW w:type="dxa" w:w="1026"/>
          </w:tcPr>
          <w:p>
            <w:pPr>
              <w:jc w:val="right"/>
            </w:pPr>
            <w:r/>
            <w:r>
              <w:rPr>
                <w:color w:val="1A1D21"/>
                <w:sz w:val="17"/>
              </w:rPr>
              <w:t>0</w:t>
            </w:r>
          </w:p>
        </w:tc>
      </w:tr>
      <w:tr>
        <w:trPr>
          <w:cantSplit/>
        </w:trPr>
        <w:tc>
          <w:tcPr>
            <w:tcW w:type="dxa" w:w="1984"/>
          </w:tcPr>
          <w:p>
            <w:r/>
            <w:r>
              <w:rPr>
                <w:color w:val="1A1D21"/>
                <w:sz w:val="17"/>
              </w:rPr>
              <w:t>Closing cash</w:t>
            </w:r>
          </w:p>
        </w:tc>
        <w:tc>
          <w:tcPr>
            <w:tcW w:type="dxa" w:w="1026"/>
          </w:tcPr>
          <w:p>
            <w:pPr>
              <w:jc w:val="right"/>
            </w:pPr>
            <w:r/>
            <w:r>
              <w:rPr>
                <w:color w:val="1A1D21"/>
                <w:sz w:val="17"/>
              </w:rPr>
              <w:t>5,221</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7,905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The cycle this implies</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Collection period, days</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r>
      <w:tr>
        <w:trPr>
          <w:cantSplit/>
        </w:trPr>
        <w:tc>
          <w:tcPr>
            <w:tcW w:type="dxa" w:w="1984"/>
          </w:tcPr>
          <w:p>
            <w:r/>
            <w:r>
              <w:rPr>
                <w:color w:val="1A1D21"/>
                <w:sz w:val="17"/>
              </w:rPr>
              <w:t>Work in progress, days of cost</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r>
      <w:tr>
        <w:trPr>
          <w:cantSplit/>
        </w:trPr>
        <w:tc>
          <w:tcPr>
            <w:tcW w:type="dxa" w:w="1984"/>
          </w:tcPr>
          <w:p>
            <w:r/>
            <w:r>
              <w:rPr>
                <w:color w:val="1A1D21"/>
                <w:sz w:val="17"/>
              </w:rPr>
              <w:t>Suppliers, days of cost</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r>
      <w:tr>
        <w:trPr>
          <w:cantSplit/>
        </w:trPr>
        <w:tc>
          <w:tcPr>
            <w:tcW w:type="dxa" w:w="1984"/>
          </w:tcPr>
          <w:p>
            <w:r/>
            <w:r>
              <w:rPr>
                <w:color w:val="1A1D21"/>
                <w:sz w:val="17"/>
              </w:rPr>
              <w:t>Customer advances, share of the order book</w:t>
            </w:r>
          </w:p>
        </w:tc>
        <w:tc>
          <w:tcPr>
            <w:tcW w:type="dxa" w:w="1026"/>
          </w:tcPr>
          <w:p>
            <w:pPr>
              <w:jc w:val="right"/>
            </w:pPr>
            <w:r/>
            <w:r>
              <w:rPr>
                <w:color w:val="1A1D21"/>
                <w:sz w:val="17"/>
              </w:rPr>
              <w:t>21.8%</w:t>
            </w:r>
          </w:p>
        </w:tc>
        <w:tc>
          <w:tcPr>
            <w:tcW w:type="dxa" w:w="1026"/>
          </w:tcPr>
          <w:p>
            <w:pPr>
              <w:jc w:val="right"/>
            </w:pPr>
            <w:r/>
            <w:r>
              <w:rPr>
                <w:color w:val="1A1D21"/>
                <w:sz w:val="17"/>
              </w:rPr>
              <w:t>22.2%</w:t>
            </w:r>
          </w:p>
        </w:tc>
        <w:tc>
          <w:tcPr>
            <w:tcW w:type="dxa" w:w="1026"/>
          </w:tcPr>
          <w:p>
            <w:pPr>
              <w:jc w:val="right"/>
            </w:pPr>
            <w:r/>
            <w:r>
              <w:rPr>
                <w:color w:val="1A1D21"/>
                <w:sz w:val="17"/>
              </w:rPr>
              <w:t>22.7%</w:t>
            </w:r>
          </w:p>
        </w:tc>
        <w:tc>
          <w:tcPr>
            <w:tcW w:type="dxa" w:w="1026"/>
          </w:tcPr>
          <w:p>
            <w:pPr>
              <w:jc w:val="right"/>
            </w:pPr>
            <w:r/>
            <w:r>
              <w:rPr>
                <w:color w:val="1A1D21"/>
                <w:sz w:val="17"/>
              </w:rPr>
              <w:t>23.3%</w:t>
            </w:r>
          </w:p>
        </w:tc>
        <w:tc>
          <w:tcPr>
            <w:tcW w:type="dxa" w:w="1026"/>
          </w:tcPr>
          <w:p>
            <w:pPr>
              <w:jc w:val="right"/>
            </w:pPr>
            <w:r/>
            <w:r>
              <w:rPr>
                <w:color w:val="1A1D21"/>
                <w:sz w:val="17"/>
              </w:rPr>
              <w:t>24.1%</w:t>
            </w:r>
          </w:p>
        </w:tc>
        <w:tc>
          <w:tcPr>
            <w:tcW w:type="dxa" w:w="1026"/>
          </w:tcPr>
          <w:p>
            <w:pPr>
              <w:jc w:val="right"/>
            </w:pPr>
            <w:r/>
            <w:r>
              <w:rPr>
                <w:color w:val="1A1D21"/>
                <w:sz w:val="17"/>
              </w:rPr>
              <w:t>28.4%</w:t>
            </w:r>
          </w:p>
        </w:tc>
        <w:tc>
          <w:tcPr>
            <w:tcW w:type="dxa" w:w="1026"/>
          </w:tcPr>
          <w:p>
            <w:pPr>
              <w:jc w:val="right"/>
            </w:pPr>
            <w:r/>
            <w:r>
              <w:rPr>
                <w:color w:val="1A1D21"/>
                <w:sz w:val="17"/>
              </w:rPr>
              <w:t>28.1%</w:t>
            </w:r>
          </w:p>
        </w:tc>
      </w:tr>
      <w:tr>
        <w:trPr>
          <w:cantSplit/>
        </w:trPr>
        <w:tc>
          <w:tcPr>
            <w:tcW w:type="dxa" w:w="1984"/>
          </w:tcPr>
          <w:p>
            <w:r/>
            <w:r>
              <w:rPr>
                <w:color w:val="1A1D21"/>
                <w:sz w:val="17"/>
              </w:rPr>
              <w:t>Net working capital</w:t>
            </w:r>
          </w:p>
        </w:tc>
        <w:tc>
          <w:tcPr>
            <w:tcW w:type="dxa" w:w="1026"/>
          </w:tcPr>
          <w:p>
            <w:pPr>
              <w:jc w:val="right"/>
            </w:pPr>
            <w:r/>
            <w:r>
              <w:rPr>
                <w:color w:val="1A1D21"/>
                <w:sz w:val="17"/>
              </w:rPr>
              <w:t>69,179</w:t>
            </w:r>
          </w:p>
        </w:tc>
        <w:tc>
          <w:tcPr>
            <w:tcW w:type="dxa" w:w="1026"/>
          </w:tcPr>
          <w:p>
            <w:pPr>
              <w:jc w:val="right"/>
            </w:pPr>
            <w:r/>
            <w:r>
              <w:rPr>
                <w:color w:val="1A1D21"/>
                <w:sz w:val="17"/>
              </w:rPr>
              <w:t>89,103</w:t>
            </w:r>
          </w:p>
        </w:tc>
        <w:tc>
          <w:tcPr>
            <w:tcW w:type="dxa" w:w="1026"/>
          </w:tcPr>
          <w:p>
            <w:pPr>
              <w:jc w:val="right"/>
            </w:pPr>
            <w:r/>
            <w:r>
              <w:rPr>
                <w:color w:val="1A1D21"/>
                <w:sz w:val="17"/>
              </w:rPr>
              <w:t>110,233</w:t>
            </w:r>
          </w:p>
        </w:tc>
        <w:tc>
          <w:tcPr>
            <w:tcW w:type="dxa" w:w="1026"/>
          </w:tcPr>
          <w:p>
            <w:pPr>
              <w:jc w:val="right"/>
            </w:pPr>
            <w:r/>
            <w:r>
              <w:rPr>
                <w:color w:val="1A1D21"/>
                <w:sz w:val="17"/>
              </w:rPr>
              <w:t>132,721</w:t>
            </w:r>
          </w:p>
        </w:tc>
        <w:tc>
          <w:tcPr>
            <w:tcW w:type="dxa" w:w="1026"/>
          </w:tcPr>
          <w:p>
            <w:pPr>
              <w:jc w:val="right"/>
            </w:pPr>
            <w:r/>
            <w:r>
              <w:rPr>
                <w:color w:val="1A1D21"/>
                <w:sz w:val="17"/>
              </w:rPr>
              <w:t>156,923</w:t>
            </w:r>
          </w:p>
        </w:tc>
        <w:tc>
          <w:tcPr>
            <w:tcW w:type="dxa" w:w="1026"/>
          </w:tcPr>
          <w:p>
            <w:pPr>
              <w:jc w:val="right"/>
            </w:pPr>
            <w:r/>
            <w:r>
              <w:rPr>
                <w:color w:val="1A1D21"/>
                <w:sz w:val="17"/>
              </w:rPr>
              <w:t>294,238</w:t>
            </w:r>
          </w:p>
        </w:tc>
        <w:tc>
          <w:tcPr>
            <w:tcW w:type="dxa" w:w="1026"/>
          </w:tcPr>
          <w:p>
            <w:pPr>
              <w:jc w:val="right"/>
            </w:pPr>
            <w:r/>
            <w:r>
              <w:rPr>
                <w:color w:val="1A1D21"/>
                <w:sz w:val="17"/>
              </w:rPr>
              <w:t>418,874</w:t>
            </w:r>
          </w:p>
        </w:tc>
      </w:tr>
      <w:tr>
        <w:trPr>
          <w:cantSplit/>
        </w:trPr>
        <w:tc>
          <w:tcPr>
            <w:tcW w:type="dxa" w:w="1984"/>
          </w:tcPr>
          <w:p>
            <w:r/>
            <w:r>
              <w:rPr>
                <w:color w:val="1A1D21"/>
                <w:sz w:val="17"/>
              </w:rPr>
              <w:t xml:space="preserve">  as a multiple of revenue</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4,395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-39,965</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121,474</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30,976</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75%</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1.4687</w:t>
            </w:r>
          </w:p>
        </w:tc>
        <w:tc>
          <w:tcPr>
            <w:tcW w:type="dxa" w:w="1247"/>
          </w:tcPr>
          <w:p>
            <w:pPr>
              <w:jc w:val="right"/>
            </w:pPr>
            <w:r/>
            <w:r>
              <w:rPr>
                <w:color w:val="1A1D21"/>
                <w:sz w:val="17"/>
              </w:rPr>
              <w:t>32.5%</w:t>
            </w:r>
          </w:p>
        </w:tc>
        <w:tc>
          <w:tcPr>
            <w:tcW w:type="dxa" w:w="1134"/>
          </w:tcPr>
          <w:p>
            <w:pPr>
              <w:jc w:val="right"/>
            </w:pPr>
            <w:r/>
            <w:r>
              <w:rPr>
                <w:color w:val="1A1D21"/>
                <w:sz w:val="17"/>
              </w:rPr>
              <w:t>0.183</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1.0481</w:t>
            </w:r>
          </w:p>
        </w:tc>
        <w:tc>
          <w:tcPr>
            <w:tcW w:type="dxa" w:w="1247"/>
          </w:tcPr>
          <w:p>
            <w:pPr>
              <w:jc w:val="right"/>
            </w:pPr>
            <w:r/>
            <w:r>
              <w:rPr>
                <w:color w:val="1A1D21"/>
                <w:sz w:val="17"/>
              </w:rPr>
              <w:t>30.0%</w:t>
            </w:r>
          </w:p>
        </w:tc>
        <w:tc>
          <w:tcPr>
            <w:tcW w:type="dxa" w:w="1134"/>
          </w:tcPr>
          <w:p>
            <w:pPr>
              <w:jc w:val="right"/>
            </w:pPr>
            <w:r/>
            <w:r>
              <w:rPr>
                <w:color w:val="1A1D21"/>
                <w:sz w:val="17"/>
              </w:rPr>
              <w:t>0.181</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0.8817</w:t>
            </w:r>
          </w:p>
        </w:tc>
        <w:tc>
          <w:tcPr>
            <w:tcW w:type="dxa" w:w="1247"/>
          </w:tcPr>
          <w:p>
            <w:pPr>
              <w:jc w:val="right"/>
            </w:pPr>
            <w:r/>
            <w:r>
              <w:rPr>
                <w:color w:val="1A1D21"/>
                <w:sz w:val="17"/>
              </w:rPr>
              <w:t>32.5%</w:t>
            </w:r>
          </w:p>
        </w:tc>
        <w:tc>
          <w:tcPr>
            <w:tcW w:type="dxa" w:w="1134"/>
          </w:tcPr>
          <w:p>
            <w:pPr>
              <w:jc w:val="right"/>
            </w:pPr>
            <w:r/>
            <w:r>
              <w:rPr>
                <w:color w:val="1A1D21"/>
                <w:sz w:val="17"/>
              </w:rPr>
              <w:t>0.173</w:t>
            </w:r>
          </w:p>
        </w:tc>
        <w:tc>
          <w:tcPr>
            <w:tcW w:type="dxa" w:w="1134"/>
          </w:tcPr>
          <w:p>
            <w:pPr>
              <w:jc w:val="right"/>
            </w:pPr>
            <w:r/>
            <w:r>
              <w:rPr>
                <w:color w:val="1A1D21"/>
                <w:sz w:val="17"/>
              </w:rPr>
              <w:t>46.2%</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0.7648</w:t>
            </w:r>
          </w:p>
        </w:tc>
        <w:tc>
          <w:tcPr>
            <w:tcW w:type="dxa" w:w="1247"/>
          </w:tcPr>
          <w:p>
            <w:pPr>
              <w:jc w:val="right"/>
            </w:pPr>
            <w:r/>
            <w:r>
              <w:rPr>
                <w:color w:val="1A1D21"/>
                <w:sz w:val="17"/>
              </w:rPr>
              <w:t>28.7%</w:t>
            </w:r>
          </w:p>
        </w:tc>
        <w:tc>
          <w:tcPr>
            <w:tcW w:type="dxa" w:w="1134"/>
          </w:tcPr>
          <w:p>
            <w:pPr>
              <w:jc w:val="right"/>
            </w:pPr>
            <w:r/>
            <w:r>
              <w:rPr>
                <w:color w:val="1A1D21"/>
                <w:sz w:val="17"/>
              </w:rPr>
              <w:t>0.180</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0.7349</w:t>
            </w:r>
          </w:p>
        </w:tc>
        <w:tc>
          <w:tcPr>
            <w:tcW w:type="dxa" w:w="1247"/>
          </w:tcPr>
          <w:p>
            <w:pPr>
              <w:jc w:val="right"/>
            </w:pPr>
            <w:r/>
            <w:r>
              <w:rPr>
                <w:color w:val="1A1D21"/>
                <w:sz w:val="17"/>
              </w:rPr>
              <w:t>24.2%</w:t>
            </w:r>
          </w:p>
        </w:tc>
        <w:tc>
          <w:tcPr>
            <w:tcW w:type="dxa" w:w="1134"/>
          </w:tcPr>
          <w:p>
            <w:pPr>
              <w:jc w:val="right"/>
            </w:pPr>
            <w:r/>
            <w:r>
              <w:rPr>
                <w:color w:val="1A1D21"/>
                <w:sz w:val="17"/>
              </w:rPr>
              <w:t>0.169</w:t>
            </w:r>
          </w:p>
        </w:tc>
        <w:tc>
          <w:tcPr>
            <w:tcW w:type="dxa" w:w="1134"/>
          </w:tcPr>
          <w:p>
            <w:pPr>
              <w:jc w:val="right"/>
            </w:pPr>
            <w:r/>
            <w:r>
              <w:rPr>
                <w:color w:val="1A1D21"/>
                <w:sz w:val="17"/>
              </w:rPr>
              <w:t>41.2%</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0.7006</w:t>
            </w:r>
          </w:p>
        </w:tc>
        <w:tc>
          <w:tcPr>
            <w:tcW w:type="dxa" w:w="1247"/>
          </w:tcPr>
          <w:p>
            <w:pPr>
              <w:jc w:val="right"/>
            </w:pPr>
            <w:r/>
            <w:r>
              <w:rPr>
                <w:color w:val="1A1D21"/>
                <w:sz w:val="17"/>
              </w:rPr>
              <w:t>25.6%</w:t>
            </w:r>
          </w:p>
        </w:tc>
        <w:tc>
          <w:tcPr>
            <w:tcW w:type="dxa" w:w="1134"/>
          </w:tcPr>
          <w:p>
            <w:pPr>
              <w:jc w:val="right"/>
            </w:pPr>
            <w:r/>
            <w:r>
              <w:rPr>
                <w:color w:val="1A1D21"/>
                <w:sz w:val="17"/>
              </w:rPr>
              <w:t>0.185</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0.4949</w:t>
            </w:r>
          </w:p>
        </w:tc>
        <w:tc>
          <w:tcPr>
            <w:tcW w:type="dxa" w:w="1247"/>
          </w:tcPr>
          <w:p>
            <w:pPr>
              <w:jc w:val="right"/>
            </w:pPr>
            <w:r/>
            <w:r>
              <w:rPr>
                <w:color w:val="1A1D21"/>
                <w:sz w:val="17"/>
              </w:rPr>
              <w:t>10.2%</w:t>
            </w:r>
          </w:p>
        </w:tc>
        <w:tc>
          <w:tcPr>
            <w:tcW w:type="dxa" w:w="1134"/>
          </w:tcPr>
          <w:p>
            <w:pPr>
              <w:jc w:val="right"/>
            </w:pPr>
            <w:r/>
            <w:r>
              <w:rPr>
                <w:color w:val="1A1D21"/>
                <w:sz w:val="17"/>
              </w:rPr>
              <w:t>0.227</w:t>
            </w:r>
          </w:p>
        </w:tc>
        <w:tc>
          <w:tcPr>
            <w:tcW w:type="dxa" w:w="1134"/>
          </w:tcPr>
          <w:p>
            <w:pPr>
              <w:jc w:val="right"/>
            </w:pPr>
            <w:r/>
            <w:r>
              <w:rPr>
                <w:color w:val="1A1D21"/>
                <w:sz w:val="17"/>
              </w:rPr>
              <w:t>47.6%</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24.96%</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five explicit years</w:t>
            </w:r>
          </w:p>
        </w:tc>
        <w:tc>
          <w:tcPr>
            <w:tcW w:type="dxa" w:w="2835"/>
          </w:tcPr>
          <w:p>
            <w:pPr>
              <w:jc w:val="right"/>
            </w:pPr>
            <w:r/>
            <w:r>
              <w:rPr>
                <w:color w:val="1A1D21"/>
                <w:sz w:val="17"/>
              </w:rPr>
              <w:t>52,182</w:t>
            </w:r>
          </w:p>
        </w:tc>
      </w:tr>
      <w:tr>
        <w:trPr>
          <w:cantSplit/>
        </w:trPr>
        <w:tc>
          <w:tcPr>
            <w:tcW w:type="dxa" w:w="5102"/>
          </w:tcPr>
          <w:p>
            <w:r/>
            <w:r>
              <w:rPr>
                <w:color w:val="1A1D21"/>
                <w:sz w:val="17"/>
              </w:rPr>
              <w:t>Present value beyond year five</w:t>
            </w:r>
          </w:p>
        </w:tc>
        <w:tc>
          <w:tcPr>
            <w:tcW w:type="dxa" w:w="2835"/>
          </w:tcPr>
          <w:p>
            <w:pPr>
              <w:jc w:val="right"/>
            </w:pPr>
            <w:r/>
            <w:r>
              <w:rPr>
                <w:color w:val="1A1D21"/>
                <w:sz w:val="17"/>
              </w:rPr>
              <w:t>29,482</w:t>
            </w:r>
          </w:p>
        </w:tc>
      </w:tr>
      <w:tr>
        <w:trPr>
          <w:cantSplit/>
        </w:trPr>
        <w:tc>
          <w:tcPr>
            <w:tcW w:type="dxa" w:w="5102"/>
          </w:tcPr>
          <w:p>
            <w:r/>
            <w:r>
              <w:rPr>
                <w:color w:val="1A1D21"/>
                <w:sz w:val="17"/>
              </w:rPr>
              <w:t>Enterprise value</w:t>
            </w:r>
          </w:p>
        </w:tc>
        <w:tc>
          <w:tcPr>
            <w:tcW w:type="dxa" w:w="2835"/>
          </w:tcPr>
          <w:p>
            <w:pPr>
              <w:jc w:val="right"/>
            </w:pPr>
            <w:r/>
            <w:r>
              <w:rPr>
                <w:color w:val="1A1D21"/>
                <w:sz w:val="17"/>
              </w:rPr>
              <w:t>81,664</w:t>
            </w:r>
          </w:p>
        </w:tc>
      </w:tr>
      <w:tr>
        <w:trPr>
          <w:cantSplit/>
        </w:trPr>
        <w:tc>
          <w:tcPr>
            <w:tcW w:type="dxa" w:w="5102"/>
          </w:tcPr>
          <w:p>
            <w:r/>
            <w:r>
              <w:rPr>
                <w:color w:val="1A1D21"/>
                <w:sz w:val="17"/>
              </w:rPr>
              <w:t>less net debt, 31 March 2026</w:t>
            </w:r>
          </w:p>
        </w:tc>
        <w:tc>
          <w:tcPr>
            <w:tcW w:type="dxa" w:w="2835"/>
          </w:tcPr>
          <w:p>
            <w:pPr>
              <w:jc w:val="right"/>
            </w:pPr>
            <w:r/>
            <w:r>
              <w:rPr>
                <w:color w:val="1A1D21"/>
                <w:sz w:val="17"/>
              </w:rPr>
              <w:t>(23,245)</w:t>
            </w:r>
          </w:p>
        </w:tc>
      </w:tr>
      <w:tr>
        <w:trPr>
          <w:cantSplit/>
        </w:trPr>
        <w:tc>
          <w:tcPr>
            <w:tcW w:type="dxa" w:w="5102"/>
          </w:tcPr>
          <w:p>
            <w:r/>
            <w:r>
              <w:rPr>
                <w:color w:val="1A1D21"/>
                <w:sz w:val="17"/>
              </w:rPr>
              <w:t>plus associates and investment property, 31 March 2026</w:t>
            </w:r>
          </w:p>
        </w:tc>
        <w:tc>
          <w:tcPr>
            <w:tcW w:type="dxa" w:w="2835"/>
          </w:tcPr>
          <w:p>
            <w:pPr>
              <w:jc w:val="right"/>
            </w:pPr>
            <w:r/>
            <w:r>
              <w:rPr>
                <w:color w:val="1A1D21"/>
                <w:sz w:val="17"/>
              </w:rPr>
              <w:t>4,859</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63,279</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(2,964)</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60,315</w:t>
            </w:r>
          </w:p>
        </w:tc>
      </w:tr>
      <w:tr>
        <w:trPr>
          <w:cantSplit/>
        </w:trPr>
        <w:tc>
          <w:tcPr>
            <w:tcW w:type="dxa" w:w="5102"/>
          </w:tcPr>
          <w:p>
            <w:r/>
            <w:r>
              <w:rPr>
                <w:color w:val="1A1D21"/>
                <w:sz w:val="17"/>
              </w:rPr>
              <w:t>Per share (EGP)</w:t>
            </w:r>
          </w:p>
        </w:tc>
        <w:tc>
          <w:tcPr>
            <w:tcW w:type="dxa" w:w="2835"/>
          </w:tcPr>
          <w:p>
            <w:pPr>
              <w:jc w:val="right"/>
            </w:pPr>
            <w:r/>
            <w:r>
              <w:rPr>
                <w:color w:val="1A1D21"/>
                <w:sz w:val="17"/>
              </w:rPr>
              <w:t>21.09</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7.65 to EGP 46.85.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31 March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21,338</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101,457</w:t>
            </w:r>
          </w:p>
        </w:tc>
      </w:tr>
      <w:tr>
        <w:trPr>
          <w:cantSplit/>
        </w:trPr>
        <w:tc>
          <w:tcPr>
            <w:tcW w:type="dxa" w:w="5102"/>
          </w:tcPr>
          <w:p>
            <w:r/>
            <w:r>
              <w:rPr>
                <w:color w:val="1A1D21"/>
                <w:sz w:val="17"/>
              </w:rPr>
              <w:t>Cash</w:t>
            </w:r>
          </w:p>
        </w:tc>
        <w:tc>
          <w:tcPr>
            <w:tcW w:type="dxa" w:w="2835"/>
          </w:tcPr>
          <w:p>
            <w:pPr>
              <w:jc w:val="right"/>
            </w:pPr>
            <w:r/>
            <w:r>
              <w:rPr>
                <w:color w:val="1A1D21"/>
                <w:sz w:val="17"/>
              </w:rPr>
              <w:t>9,125</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4,859</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(72,868)</w:t>
            </w:r>
          </w:p>
        </w:tc>
      </w:tr>
      <w:tr>
        <w:trPr>
          <w:cantSplit/>
        </w:trPr>
        <w:tc>
          <w:tcPr>
            <w:tcW w:type="dxa" w:w="5102"/>
          </w:tcPr>
          <w:p>
            <w:r/>
            <w:r>
              <w:rPr>
                <w:color w:val="1A1D21"/>
                <w:sz w:val="17"/>
              </w:rPr>
              <w:t>less gross borrowings</w:t>
            </w:r>
          </w:p>
        </w:tc>
        <w:tc>
          <w:tcPr>
            <w:tcW w:type="dxa" w:w="2835"/>
          </w:tcPr>
          <w:p>
            <w:pPr>
              <w:jc w:val="right"/>
            </w:pPr>
            <w:r/>
            <w:r>
              <w:rPr>
                <w:color w:val="1A1D21"/>
                <w:sz w:val="17"/>
              </w:rPr>
              <w:t>(32,369.8)</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(52,352.9)</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20,388</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18,956</w:t>
            </w:r>
          </w:p>
        </w:tc>
      </w:tr>
      <w:tr>
        <w:trPr>
          <w:cantSplit/>
        </w:trPr>
        <w:tc>
          <w:tcPr>
            <w:tcW w:type="dxa" w:w="5102"/>
          </w:tcPr>
          <w:p>
            <w:r/>
            <w:r>
              <w:rPr>
                <w:color w:val="1A1D21"/>
                <w:sz w:val="17"/>
              </w:rPr>
              <w:t>Per share, parent (EGP)</w:t>
            </w:r>
          </w:p>
        </w:tc>
        <w:tc>
          <w:tcPr>
            <w:tcW w:type="dxa" w:w="2835"/>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24.96% and every other input at the audited 2025 base, the closing price of EGP 14.40 implies cash conversion of 6.3%. The company achieved 4.3% in 2023, 17.9% in 2024 and 3.9% in 2025. Named sensitivity: at a 25.83% cost of capital the implied rate would be lower still. Falsifier: if 2026 conversion prints above 6.3%, the price was too low.</w:t>
      </w:r>
    </w:p>
    <w:p>
      <w:pPr>
        <w:pStyle w:val="Heading2"/>
      </w:pPr>
      <w:r>
        <w:t>C.4  Cross-examination</w:t>
      </w:r>
    </w:p>
    <w:p>
      <w:pPr>
        <w:pStyle w:val="ListBullet"/>
        <w:spacing w:after="60"/>
      </w:pPr>
      <w:r>
        <w:rPr>
          <w:color w:val="1A1D21"/>
          <w:sz w:val="20"/>
        </w:rPr>
        <w:t>Expert 2 to Expert 1: your terminal value is 36%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24.96% cost of capital and the order book. Expert 1 needs a conversion rate to produce an answer; Expert 2 refuses to forecast one and prices the assets instead; Expert 3 asks what rate is already in the price. The room's joint position is that Palm Hills is worth between EGP 7.65 and EGP 46.85,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6.3%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24.96%</w:t>
            </w:r>
          </w:p>
        </w:tc>
        <w:tc>
          <w:tcPr>
            <w:tcW w:type="dxa" w:w="1701"/>
          </w:tcPr>
          <w:p>
            <w:r/>
            <w:r>
              <w:rPr>
                <w:color w:val="1A1D21"/>
                <w:sz w:val="17"/>
              </w:rPr>
              <w:t>not used</w:t>
            </w:r>
          </w:p>
        </w:tc>
        <w:tc>
          <w:tcPr>
            <w:tcW w:type="dxa" w:w="1814"/>
          </w:tcPr>
          <w:p>
            <w:pPr>
              <w:jc w:val="right"/>
            </w:pPr>
            <w:r/>
            <w:r>
              <w:rPr>
                <w:color w:val="1A1D21"/>
                <w:sz w:val="17"/>
              </w:rPr>
              <w:t>24.96%</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36%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10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