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the central bank's longest-horizon published target, 5% (+/-2) for Q4 2028 — the SAME figure terminal growth is set at.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0.1, 0.07, 0.06, 0.05, 0.05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(14.3%) on the central bank's own target ladder: 7% (+/-2) for Q4 2026, which falls in FY2026/27-FY2027/28, and 5% (+/-2) for Q4 2028, which falls in FY2028/29, held thereafter. RE-SET 1 September 2026 so that the explicit path lands on the terminal inflation rather than stepping down to it at the terminal boundary.</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set at the central bank's LONGEST-HORIZON published inflation target: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Weights of the four lenses in the published central: cash flow (programme carried through) 45%, relative multiples 20%, normalised earnings 20%, book value 15% — the same weights the 08-08-2026 edition published.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4.05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