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15.47 a share. It trades at EGP 13.98.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7.8%,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18.2%, terminal growth 5.0%</w:t>
            </w:r>
          </w:p>
        </w:tc>
        <w:tc>
          <w:tcPr>
            <w:tcW w:type="dxa" w:w="1512"/>
          </w:tcPr>
          <w:p>
            <w:pPr>
              <w:spacing w:after="20"/>
              <w:jc w:val="right"/>
            </w:pPr>
            <w:r>
              <w:rPr>
                <w:color w:val="1C3A36"/>
                <w:sz w:val="15"/>
              </w:rPr>
              <w:t>-2.37 to 1.84</w:t>
            </w:r>
          </w:p>
        </w:tc>
        <w:tc>
          <w:tcPr>
            <w:tcW w:type="dxa" w:w="1008"/>
          </w:tcPr>
          <w:p>
            <w:pPr>
              <w:spacing w:after="20"/>
              <w:jc w:val="right"/>
            </w:pPr>
            <w:r>
              <w:rPr>
                <w:color w:val="1C3A36"/>
                <w:sz w:val="15"/>
              </w:rPr>
              <w:t>-0.63</w:t>
            </w:r>
          </w:p>
        </w:tc>
        <w:tc>
          <w:tcPr>
            <w:tcW w:type="dxa" w:w="936"/>
          </w:tcPr>
          <w:p>
            <w:pPr>
              <w:spacing w:after="20"/>
              <w:jc w:val="right"/>
            </w:pPr>
            <w:r>
              <w:rPr>
                <w:color w:val="1C3A36"/>
                <w:sz w:val="15"/>
              </w:rPr>
              <w:t>-104%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1.54 to 3.49</w:t>
            </w:r>
          </w:p>
        </w:tc>
        <w:tc>
          <w:tcPr>
            <w:tcW w:type="dxa" w:w="1008"/>
          </w:tcPr>
          <w:p>
            <w:pPr>
              <w:spacing w:after="20"/>
              <w:jc w:val="right"/>
            </w:pPr>
            <w:r>
              <w:rPr>
                <w:color w:val="1C3A36"/>
                <w:sz w:val="15"/>
              </w:rPr>
              <w:t>3.43</w:t>
            </w:r>
          </w:p>
        </w:tc>
        <w:tc>
          <w:tcPr>
            <w:tcW w:type="dxa" w:w="936"/>
          </w:tcPr>
          <w:p>
            <w:pPr>
              <w:spacing w:after="20"/>
              <w:jc w:val="right"/>
            </w:pPr>
            <w:r>
              <w:rPr>
                <w:color w:val="1C3A36"/>
                <w:sz w:val="15"/>
              </w:rPr>
              <w:t>-75%</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31.0%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0.58</w:t>
            </w:r>
          </w:p>
        </w:tc>
        <w:tc>
          <w:tcPr>
            <w:tcW w:type="dxa" w:w="936"/>
          </w:tcPr>
          <w:p>
            <w:pPr>
              <w:spacing w:after="20"/>
              <w:jc w:val="right"/>
            </w:pPr>
            <w:r>
              <w:rPr>
                <w:color w:val="1C3A36"/>
                <w:sz w:val="15"/>
              </w:rPr>
              <w:t>-96%</w:t>
            </w:r>
          </w:p>
        </w:tc>
      </w:tr>
      <w:tr>
        <w:trPr>
          <w:cantSplit/>
        </w:trP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15.47</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0.10</w:t>
            </w:r>
          </w:p>
        </w:tc>
        <w:tc>
          <w:tcPr>
            <w:tcW w:type="dxa" w:w="936"/>
          </w:tcPr>
          <w:p>
            <w:pPr>
              <w:spacing w:after="20"/>
              <w:jc w:val="right"/>
            </w:pPr>
            <w:r>
              <w:rPr>
                <w:color w:val="1C3A36"/>
                <w:sz w:val="15"/>
              </w:rPr>
              <w:t>-99%</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-110%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11.8%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-1.06</w:t>
            </w:r>
          </w:p>
        </w:tc>
        <w:tc>
          <w:tcPr>
            <w:tcW w:type="dxa" w:w="936"/>
          </w:tcPr>
          <w:p>
            <w:pPr>
              <w:spacing w:after="20"/>
              <w:jc w:val="right"/>
            </w:pPr>
            <w:r>
              <w:rPr>
                <w:color w:val="1C3A36"/>
                <w:sz w:val="15"/>
              </w:rPr>
              <w:t>-108%</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0.17</w:t>
            </w:r>
          </w:p>
        </w:tc>
        <w:tc>
          <w:tcPr>
            <w:tcW w:type="dxa" w:w="936"/>
          </w:tcPr>
          <w:p>
            <w:pPr>
              <w:spacing w:after="20"/>
              <w:jc w:val="right"/>
            </w:pPr>
            <w:r>
              <w:rPr>
                <w:color w:val="1C3A36"/>
                <w:sz w:val="15"/>
              </w:rPr>
              <w:t>-99%</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-0.40</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-1.42</w:t>
            </w:r>
          </w:p>
        </w:tc>
        <w:tc>
          <w:tcPr>
            <w:tcW w:type="dxa" w:w="936"/>
          </w:tcPr>
          <w:p>
            <w:pPr>
              <w:spacing w:after="20"/>
              <w:jc w:val="right"/>
            </w:pPr>
            <w:r>
              <w:rPr>
                <w:color w:val="1C3A36"/>
                <w:sz w:val="15"/>
              </w:rPr>
              <w:t>-110%</w:t>
            </w:r>
          </w:p>
        </w:tc>
      </w:tr>
      <w:tr>
        <w:trPr>
          <w:cantSplit/>
        </w:trPr>
        <w:tc>
          <w:tcPr>
            <w:tcW w:type="dxa" w:w="2232"/>
          </w:tcPr>
          <w:p>
            <w:pPr>
              <w:spacing w:after="20"/>
            </w:pPr>
            <w:r>
              <w:rPr>
                <w:color w:val="1C3A36"/>
                <w:sz w:val="15"/>
              </w:rPr>
              <w:t>Terminal reinvestment of 27.8% of operating profit after tax, from growth over an 18% return on capital</w:t>
            </w:r>
          </w:p>
        </w:tc>
        <w:tc>
          <w:tcPr>
            <w:tcW w:type="dxa" w:w="3960"/>
          </w:tcPr>
          <w:p>
            <w:pPr>
              <w:spacing w:after="20"/>
            </w:pPr>
            <w:r>
              <w:rPr>
                <w:color w:val="1C3A36"/>
                <w:sz w:val="15"/>
              </w:rPr>
              <w:t>16.7%,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-0.35</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-0.86</w:t>
            </w:r>
          </w:p>
        </w:tc>
        <w:tc>
          <w:tcPr>
            <w:tcW w:type="dxa" w:w="936"/>
          </w:tcPr>
          <w:p>
            <w:pPr>
              <w:spacing w:after="20"/>
              <w:jc w:val="right"/>
            </w:pPr>
            <w:r>
              <w:rPr>
                <w:color w:val="1C3A36"/>
                <w:sz w:val="15"/>
              </w:rPr>
              <w:t>-106%</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66.9%</w:t>
            </w:r>
          </w:p>
        </w:tc>
        <w:tc>
          <w:tcPr>
            <w:tcW w:type="dxa" w:w="2736"/>
          </w:tcPr>
          <w:p>
            <w:pPr>
              <w:spacing w:after="20"/>
              <w:jc w:val="right"/>
            </w:pPr>
            <w:r>
              <w:rPr>
                <w:color w:val="1C3A36"/>
                <w:sz w:val="17"/>
              </w:rPr>
              <w:t>33.0%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1,740 million on the carried-through case, so the terminal block carries 66.9%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1.88 a share. The narrowest is terminal growth, worth EGP 0.04.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11,400</w:t>
            </w:r>
          </w:p>
        </w:tc>
        <w:tc>
          <w:tcPr>
            <w:tcW w:type="dxa" w:w="1426"/>
          </w:tcPr>
          <w:p>
            <w:pPr>
              <w:spacing w:after="20"/>
              <w:jc w:val="right"/>
            </w:pPr>
            <w:r>
              <w:rPr>
                <w:color w:val="1C3A36"/>
                <w:sz w:val="16"/>
              </w:rPr>
              <w:t>11,352</w:t>
            </w:r>
          </w:p>
        </w:tc>
        <w:tc>
          <w:tcPr>
            <w:tcW w:type="dxa" w:w="1426"/>
          </w:tcPr>
          <w:p>
            <w:pPr>
              <w:spacing w:after="20"/>
              <w:jc w:val="right"/>
            </w:pPr>
            <w:r>
              <w:rPr>
                <w:color w:val="1C3A36"/>
                <w:sz w:val="16"/>
              </w:rPr>
              <w:t>11,406</w:t>
            </w:r>
          </w:p>
        </w:tc>
        <w:tc>
          <w:tcPr>
            <w:tcW w:type="dxa" w:w="1426"/>
          </w:tcPr>
          <w:p>
            <w:pPr>
              <w:spacing w:after="20"/>
              <w:jc w:val="right"/>
            </w:pPr>
            <w:r>
              <w:rPr>
                <w:color w:val="1C3A36"/>
                <w:sz w:val="16"/>
              </w:rPr>
              <w:t>11,654</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4,394</w:t>
            </w:r>
          </w:p>
        </w:tc>
        <w:tc>
          <w:tcPr>
            <w:tcW w:type="dxa" w:w="1426"/>
            <w:shd w:val="clear" w:color="auto" w:fill="F6F1E6"/>
          </w:tcPr>
          <w:p>
            <w:pPr>
              <w:spacing w:after="20"/>
              <w:jc w:val="right"/>
            </w:pPr>
            <w:r>
              <w:rPr>
                <w:b/>
                <w:color w:val="1C3A36"/>
                <w:sz w:val="16"/>
              </w:rPr>
              <w:t>4,006</w:t>
            </w:r>
          </w:p>
        </w:tc>
        <w:tc>
          <w:tcPr>
            <w:tcW w:type="dxa" w:w="1426"/>
            <w:shd w:val="clear" w:color="auto" w:fill="F6F1E6"/>
          </w:tcPr>
          <w:p>
            <w:pPr>
              <w:spacing w:after="20"/>
              <w:jc w:val="right"/>
            </w:pPr>
            <w:r>
              <w:rPr>
                <w:b/>
                <w:color w:val="1C3A36"/>
                <w:sz w:val="16"/>
              </w:rPr>
              <w:t>3,755</w:t>
            </w:r>
          </w:p>
        </w:tc>
        <w:tc>
          <w:tcPr>
            <w:tcW w:type="dxa" w:w="1426"/>
            <w:shd w:val="clear" w:color="auto" w:fill="F6F1E6"/>
          </w:tcPr>
          <w:p>
            <w:pPr>
              <w:spacing w:after="20"/>
              <w:jc w:val="right"/>
            </w:pPr>
            <w:r>
              <w:rPr>
                <w:b/>
                <w:color w:val="1C3A36"/>
                <w:sz w:val="16"/>
              </w:rPr>
              <w:t>3,684</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3,385</w:t>
            </w:r>
          </w:p>
        </w:tc>
        <w:tc>
          <w:tcPr>
            <w:tcW w:type="dxa" w:w="1426"/>
            <w:shd w:val="clear" w:color="auto" w:fill="F6F1E6"/>
          </w:tcPr>
          <w:p>
            <w:pPr>
              <w:spacing w:after="20"/>
              <w:jc w:val="right"/>
            </w:pPr>
            <w:r>
              <w:rPr>
                <w:b/>
                <w:color w:val="1C3A36"/>
                <w:sz w:val="16"/>
              </w:rPr>
              <w:t>2,859</w:t>
            </w:r>
          </w:p>
        </w:tc>
        <w:tc>
          <w:tcPr>
            <w:tcW w:type="dxa" w:w="1426"/>
            <w:shd w:val="clear" w:color="auto" w:fill="F6F1E6"/>
          </w:tcPr>
          <w:p>
            <w:pPr>
              <w:spacing w:after="20"/>
              <w:jc w:val="right"/>
            </w:pPr>
            <w:r>
              <w:rPr>
                <w:b/>
                <w:color w:val="1C3A36"/>
                <w:sz w:val="16"/>
              </w:rPr>
              <w:t>2,463</w:t>
            </w:r>
          </w:p>
        </w:tc>
        <w:tc>
          <w:tcPr>
            <w:tcW w:type="dxa" w:w="1426"/>
            <w:shd w:val="clear" w:color="auto" w:fill="F6F1E6"/>
          </w:tcPr>
          <w:p>
            <w:pPr>
              <w:spacing w:after="20"/>
              <w:jc w:val="right"/>
            </w:pPr>
            <w:r>
              <w:rPr>
                <w:b/>
                <w:color w:val="1C3A36"/>
                <w:sz w:val="16"/>
              </w:rPr>
              <w:t>2,250</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2,623</w:t>
            </w:r>
          </w:p>
        </w:tc>
        <w:tc>
          <w:tcPr>
            <w:tcW w:type="dxa" w:w="1426"/>
          </w:tcPr>
          <w:p>
            <w:pPr>
              <w:spacing w:after="20"/>
              <w:jc w:val="right"/>
            </w:pPr>
            <w:r>
              <w:rPr>
                <w:color w:val="1C3A36"/>
                <w:sz w:val="16"/>
              </w:rPr>
              <w:t>2,216</w:t>
            </w:r>
          </w:p>
        </w:tc>
        <w:tc>
          <w:tcPr>
            <w:tcW w:type="dxa" w:w="1426"/>
          </w:tcPr>
          <w:p>
            <w:pPr>
              <w:spacing w:after="20"/>
              <w:jc w:val="right"/>
            </w:pPr>
            <w:r>
              <w:rPr>
                <w:color w:val="1C3A36"/>
                <w:sz w:val="16"/>
              </w:rPr>
              <w:t>1,909</w:t>
            </w:r>
          </w:p>
        </w:tc>
        <w:tc>
          <w:tcPr>
            <w:tcW w:type="dxa" w:w="1426"/>
          </w:tcPr>
          <w:p>
            <w:pPr>
              <w:spacing w:after="20"/>
              <w:jc w:val="right"/>
            </w:pPr>
            <w:r>
              <w:rPr>
                <w:color w:val="1C3A36"/>
                <w:sz w:val="16"/>
              </w:rPr>
              <w:t>1,743</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-3,227</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-2,619</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-108</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298</w:t>
            </w:r>
          </w:p>
        </w:tc>
        <w:tc>
          <w:tcPr>
            <w:tcW w:type="dxa" w:w="1426"/>
            <w:shd w:val="clear" w:color="auto" w:fill="F6F1E6"/>
          </w:tcPr>
          <w:p>
            <w:pPr>
              <w:spacing w:after="20"/>
              <w:jc w:val="right"/>
            </w:pPr>
            <w:r>
              <w:rPr>
                <w:b/>
                <w:color w:val="1C3A36"/>
                <w:sz w:val="16"/>
              </w:rPr>
              <w:t>-156</w:t>
            </w:r>
          </w:p>
        </w:tc>
        <w:tc>
          <w:tcPr>
            <w:tcW w:type="dxa" w:w="1426"/>
            <w:shd w:val="clear" w:color="auto" w:fill="F6F1E6"/>
          </w:tcPr>
          <w:p>
            <w:pPr>
              <w:spacing w:after="20"/>
              <w:jc w:val="right"/>
            </w:pPr>
            <w:r>
              <w:rPr>
                <w:b/>
                <w:color w:val="1C3A36"/>
                <w:sz w:val="16"/>
              </w:rPr>
              <w:t>-219</w:t>
            </w:r>
          </w:p>
        </w:tc>
        <w:tc>
          <w:tcPr>
            <w:tcW w:type="dxa" w:w="1426"/>
            <w:shd w:val="clear" w:color="auto" w:fill="F6F1E6"/>
          </w:tcPr>
          <w:p>
            <w:pPr>
              <w:spacing w:after="20"/>
              <w:jc w:val="right"/>
            </w:pPr>
            <w:r>
              <w:rPr>
                <w:b/>
                <w:color w:val="1C3A36"/>
                <w:sz w:val="16"/>
              </w:rPr>
              <w:t>450</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25.64%</w:t>
            </w:r>
          </w:p>
        </w:tc>
        <w:tc>
          <w:tcPr>
            <w:tcW w:type="dxa" w:w="1426"/>
          </w:tcPr>
          <w:p>
            <w:pPr>
              <w:spacing w:after="20"/>
              <w:jc w:val="right"/>
            </w:pPr>
            <w:r>
              <w:rPr>
                <w:color w:val="1C3A36"/>
                <w:sz w:val="16"/>
              </w:rPr>
              <w:t>23.72%</w:t>
            </w:r>
          </w:p>
        </w:tc>
        <w:tc>
          <w:tcPr>
            <w:tcW w:type="dxa" w:w="1426"/>
          </w:tcPr>
          <w:p>
            <w:pPr>
              <w:spacing w:after="20"/>
              <w:jc w:val="right"/>
            </w:pPr>
            <w:r>
              <w:rPr>
                <w:color w:val="1C3A36"/>
                <w:sz w:val="16"/>
              </w:rPr>
              <w:t>22.39%</w:t>
            </w:r>
          </w:p>
        </w:tc>
        <w:tc>
          <w:tcPr>
            <w:tcW w:type="dxa" w:w="1426"/>
          </w:tcPr>
          <w:p>
            <w:pPr>
              <w:spacing w:after="20"/>
              <w:jc w:val="right"/>
            </w:pPr>
            <w:r>
              <w:rPr>
                <w:color w:val="1C3A36"/>
                <w:sz w:val="16"/>
              </w:rPr>
              <w:t>21.06%</w:t>
            </w:r>
          </w:p>
        </w:tc>
        <w:tc>
          <w:tcPr>
            <w:tcW w:type="dxa" w:w="1426"/>
          </w:tcPr>
          <w:p>
            <w:pPr>
              <w:spacing w:after="20"/>
              <w:jc w:val="right"/>
            </w:pPr>
            <w:r>
              <w:rPr>
                <w:color w:val="1C3A36"/>
                <w:sz w:val="16"/>
              </w:rPr>
              <w:t>20.02%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0.7959</w:t>
            </w:r>
          </w:p>
        </w:tc>
        <w:tc>
          <w:tcPr>
            <w:tcW w:type="dxa" w:w="1426"/>
          </w:tcPr>
          <w:p>
            <w:pPr>
              <w:spacing w:after="20"/>
              <w:jc w:val="right"/>
            </w:pPr>
            <w:r>
              <w:rPr>
                <w:color w:val="1C3A36"/>
                <w:sz w:val="16"/>
              </w:rPr>
              <w:t>0.6433</w:t>
            </w:r>
          </w:p>
        </w:tc>
        <w:tc>
          <w:tcPr>
            <w:tcW w:type="dxa" w:w="1426"/>
          </w:tcPr>
          <w:p>
            <w:pPr>
              <w:spacing w:after="20"/>
              <w:jc w:val="right"/>
            </w:pPr>
            <w:r>
              <w:rPr>
                <w:color w:val="1C3A36"/>
                <w:sz w:val="16"/>
              </w:rPr>
              <w:t>0.5256</w:t>
            </w:r>
          </w:p>
        </w:tc>
        <w:tc>
          <w:tcPr>
            <w:tcW w:type="dxa" w:w="1426"/>
          </w:tcPr>
          <w:p>
            <w:pPr>
              <w:spacing w:after="20"/>
              <w:jc w:val="right"/>
            </w:pPr>
            <w:r>
              <w:rPr>
                <w:color w:val="1C3A36"/>
                <w:sz w:val="16"/>
              </w:rPr>
              <w:t>0.4342</w:t>
            </w:r>
          </w:p>
        </w:tc>
        <w:tc>
          <w:tcPr>
            <w:tcW w:type="dxa" w:w="1426"/>
          </w:tcPr>
          <w:p>
            <w:pPr>
              <w:spacing w:after="20"/>
              <w:jc w:val="right"/>
            </w:pPr>
            <w:r>
              <w:rPr>
                <w:color w:val="1C3A36"/>
                <w:sz w:val="16"/>
              </w:rPr>
              <w:t>0.3618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1,562</w:t>
            </w:r>
          </w:p>
        </w:tc>
        <w:tc>
          <w:tcPr>
            <w:tcW w:type="dxa" w:w="1426"/>
            <w:shd w:val="clear" w:color="auto" w:fill="F6F1E6"/>
          </w:tcPr>
          <w:p>
            <w:pPr>
              <w:spacing w:after="20"/>
              <w:jc w:val="right"/>
            </w:pPr>
            <w:r>
              <w:rPr>
                <w:b/>
                <w:color w:val="1C3A36"/>
                <w:sz w:val="16"/>
              </w:rPr>
              <w:t>192</w:t>
            </w:r>
          </w:p>
        </w:tc>
        <w:tc>
          <w:tcPr>
            <w:tcW w:type="dxa" w:w="1426"/>
            <w:shd w:val="clear" w:color="auto" w:fill="F6F1E6"/>
          </w:tcPr>
          <w:p>
            <w:pPr>
              <w:spacing w:after="20"/>
              <w:jc w:val="right"/>
            </w:pPr>
            <w:r>
              <w:rPr>
                <w:b/>
                <w:color w:val="1C3A36"/>
                <w:sz w:val="16"/>
              </w:rPr>
              <w:t>-82</w:t>
            </w:r>
          </w:p>
        </w:tc>
        <w:tc>
          <w:tcPr>
            <w:tcW w:type="dxa" w:w="1426"/>
            <w:shd w:val="clear" w:color="auto" w:fill="F6F1E6"/>
          </w:tcPr>
          <w:p>
            <w:pPr>
              <w:spacing w:after="20"/>
              <w:jc w:val="right"/>
            </w:pPr>
            <w:r>
              <w:rPr>
                <w:b/>
                <w:color w:val="1C3A36"/>
                <w:sz w:val="16"/>
              </w:rPr>
              <w:t>-95</w:t>
            </w:r>
          </w:p>
        </w:tc>
        <w:tc>
          <w:tcPr>
            <w:tcW w:type="dxa" w:w="1426"/>
            <w:shd w:val="clear" w:color="auto" w:fill="F6F1E6"/>
          </w:tcPr>
          <w:p>
            <w:pPr>
              <w:spacing w:after="20"/>
              <w:jc w:val="right"/>
            </w:pPr>
            <w:r>
              <w:rPr>
                <w:b/>
                <w:color w:val="1C3A36"/>
                <w:sz w:val="16"/>
              </w:rPr>
              <w:t>163</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1,740</w:t>
            </w:r>
          </w:p>
        </w:tc>
        <w:tc>
          <w:tcPr>
            <w:tcW w:type="dxa" w:w="2808"/>
          </w:tcPr>
          <w:p>
            <w:pPr>
              <w:spacing w:after="20"/>
              <w:jc w:val="right"/>
            </w:pPr>
            <w:r>
              <w:rPr>
                <w:color w:val="1C3A36"/>
                <w:sz w:val="17"/>
              </w:rPr>
              <w:t>8,916</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3,512</w:t>
            </w:r>
          </w:p>
        </w:tc>
        <w:tc>
          <w:tcPr>
            <w:tcW w:type="dxa" w:w="2808"/>
          </w:tcPr>
          <w:p>
            <w:pPr>
              <w:spacing w:after="20"/>
              <w:jc w:val="right"/>
            </w:pPr>
            <w:r>
              <w:rPr>
                <w:color w:val="1C3A36"/>
                <w:sz w:val="17"/>
              </w:rPr>
              <w:t>4,387</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5,252</w:t>
            </w:r>
          </w:p>
        </w:tc>
        <w:tc>
          <w:tcPr>
            <w:tcW w:type="dxa" w:w="2808"/>
            <w:shd w:val="clear" w:color="auto" w:fill="F6F1E6"/>
          </w:tcPr>
          <w:p>
            <w:pPr>
              <w:spacing w:after="20"/>
              <w:jc w:val="right"/>
            </w:pPr>
            <w:r>
              <w:rPr>
                <w:b/>
                <w:color w:val="1C3A36"/>
                <w:sz w:val="17"/>
              </w:rPr>
              <w:t>13,304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66.9%</w:t>
            </w:r>
          </w:p>
        </w:tc>
        <w:tc>
          <w:tcPr>
            <w:tcW w:type="dxa" w:w="2808"/>
            <w:shd w:val="clear" w:color="auto" w:fill="F6F1E6"/>
          </w:tcPr>
          <w:p>
            <w:pPr>
              <w:spacing w:after="20"/>
              <w:jc w:val="right"/>
            </w:pPr>
            <w:r>
              <w:rPr>
                <w:b/>
                <w:color w:val="1C3A36"/>
                <w:sz w:val="17"/>
              </w:rPr>
              <w:t>33.0%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-1,242</w:t>
            </w:r>
          </w:p>
        </w:tc>
        <w:tc>
          <w:tcPr>
            <w:tcW w:type="dxa" w:w="2808"/>
            <w:shd w:val="clear" w:color="auto" w:fill="F6F1E6"/>
          </w:tcPr>
          <w:p>
            <w:pPr>
              <w:spacing w:after="20"/>
              <w:jc w:val="right"/>
            </w:pPr>
            <w:r>
              <w:rPr>
                <w:b/>
                <w:color w:val="1C3A36"/>
                <w:sz w:val="17"/>
              </w:rPr>
              <w:t>6,809</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-0.63</w:t>
            </w:r>
          </w:p>
        </w:tc>
        <w:tc>
          <w:tcPr>
            <w:tcW w:type="dxa" w:w="2808"/>
            <w:shd w:val="clear" w:color="auto" w:fill="F6F1E6"/>
          </w:tcPr>
          <w:p>
            <w:pPr>
              <w:spacing w:after="20"/>
              <w:jc w:val="right"/>
            </w:pPr>
            <w:r>
              <w:rPr>
                <w:b/>
                <w:color w:val="1C3A36"/>
                <w:sz w:val="17"/>
              </w:rPr>
              <w:t>3.43</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2.64</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-0.63</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5,252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-1.33</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-0.62</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-0.15</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0.49</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1.45</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2.98</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7.8%</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7.8%, which is 15.2%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30.99%</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5.0%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0.072x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0.07x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0.58</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0.072 times: a sustainable return of 6.9% clears nominal maintenance growth of 5.0% by only 1.9%, against a 30.99% cost of equity, so the book of EGP 8.16 a share is worth EGP 0.58 on this lens,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8.1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13.98. That is a change from the first issue of this study, which used a lower multiple band it could not source, and it is reported rather than resisted.</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EGP 0.58 because a 6.9% sustainable return on equity barely clears nominal growth and does not approach a 30.99%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60.83</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10.05</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5.0%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33.0%</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31.6%</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11,400</w:t>
            </w:r>
          </w:p>
        </w:tc>
        <w:tc>
          <w:tcPr>
            <w:tcW w:type="dxa" w:w="1426"/>
          </w:tcPr>
          <w:p>
            <w:pPr>
              <w:spacing w:after="20"/>
              <w:jc w:val="right"/>
            </w:pPr>
            <w:r>
              <w:rPr>
                <w:color w:val="1C3A36"/>
                <w:sz w:val="16"/>
              </w:rPr>
              <w:t>11,352</w:t>
            </w:r>
          </w:p>
        </w:tc>
        <w:tc>
          <w:tcPr>
            <w:tcW w:type="dxa" w:w="1426"/>
          </w:tcPr>
          <w:p>
            <w:pPr>
              <w:spacing w:after="20"/>
              <w:jc w:val="right"/>
            </w:pPr>
            <w:r>
              <w:rPr>
                <w:color w:val="1C3A36"/>
                <w:sz w:val="16"/>
              </w:rPr>
              <w:t>11,406</w:t>
            </w:r>
          </w:p>
        </w:tc>
        <w:tc>
          <w:tcPr>
            <w:tcW w:type="dxa" w:w="1426"/>
          </w:tcPr>
          <w:p>
            <w:pPr>
              <w:spacing w:after="20"/>
              <w:jc w:val="right"/>
            </w:pPr>
            <w:r>
              <w:rPr>
                <w:color w:val="1C3A36"/>
                <w:sz w:val="16"/>
              </w:rPr>
              <w:t>11,654</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7,012</w:t>
            </w:r>
          </w:p>
        </w:tc>
        <w:tc>
          <w:tcPr>
            <w:tcW w:type="dxa" w:w="1426"/>
          </w:tcPr>
          <w:p>
            <w:pPr>
              <w:spacing w:after="20"/>
              <w:jc w:val="right"/>
            </w:pPr>
            <w:r>
              <w:rPr>
                <w:color w:val="1C3A36"/>
                <w:sz w:val="16"/>
              </w:rPr>
              <w:t>7,406</w:t>
            </w:r>
          </w:p>
        </w:tc>
        <w:tc>
          <w:tcPr>
            <w:tcW w:type="dxa" w:w="1426"/>
          </w:tcPr>
          <w:p>
            <w:pPr>
              <w:spacing w:after="20"/>
              <w:jc w:val="right"/>
            </w:pPr>
            <w:r>
              <w:rPr>
                <w:color w:val="1C3A36"/>
                <w:sz w:val="16"/>
              </w:rPr>
              <w:t>7,806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4,810</w:t>
            </w:r>
          </w:p>
        </w:tc>
        <w:tc>
          <w:tcPr>
            <w:tcW w:type="dxa" w:w="1426"/>
          </w:tcPr>
          <w:p>
            <w:pPr>
              <w:spacing w:after="20"/>
              <w:jc w:val="right"/>
            </w:pPr>
            <w:r>
              <w:rPr>
                <w:color w:val="1C3A36"/>
                <w:sz w:val="16"/>
              </w:rPr>
              <w:t>4,340</w:t>
            </w:r>
          </w:p>
        </w:tc>
        <w:tc>
          <w:tcPr>
            <w:tcW w:type="dxa" w:w="1426"/>
          </w:tcPr>
          <w:p>
            <w:pPr>
              <w:spacing w:after="20"/>
              <w:jc w:val="right"/>
            </w:pPr>
            <w:r>
              <w:rPr>
                <w:color w:val="1C3A36"/>
                <w:sz w:val="16"/>
              </w:rPr>
              <w:t>4,000</w:t>
            </w:r>
          </w:p>
        </w:tc>
        <w:tc>
          <w:tcPr>
            <w:tcW w:type="dxa" w:w="1426"/>
          </w:tcPr>
          <w:p>
            <w:pPr>
              <w:spacing w:after="20"/>
              <w:jc w:val="right"/>
            </w:pPr>
            <w:r>
              <w:rPr>
                <w:color w:val="1C3A36"/>
                <w:sz w:val="16"/>
              </w:rPr>
              <w:t>3,848</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42.2%</w:t>
            </w:r>
          </w:p>
        </w:tc>
        <w:tc>
          <w:tcPr>
            <w:tcW w:type="dxa" w:w="1426"/>
            <w:shd w:val="clear" w:color="auto" w:fill="F6F1E6"/>
          </w:tcPr>
          <w:p>
            <w:pPr>
              <w:spacing w:after="20"/>
              <w:jc w:val="right"/>
            </w:pPr>
            <w:r>
              <w:rPr>
                <w:b/>
                <w:color w:val="1C3A36"/>
                <w:sz w:val="16"/>
              </w:rPr>
              <w:t>38.2%</w:t>
            </w:r>
          </w:p>
        </w:tc>
        <w:tc>
          <w:tcPr>
            <w:tcW w:type="dxa" w:w="1426"/>
            <w:shd w:val="clear" w:color="auto" w:fill="F6F1E6"/>
          </w:tcPr>
          <w:p>
            <w:pPr>
              <w:spacing w:after="20"/>
              <w:jc w:val="right"/>
            </w:pPr>
            <w:r>
              <w:rPr>
                <w:b/>
                <w:color w:val="1C3A36"/>
                <w:sz w:val="16"/>
              </w:rPr>
              <w:t>35.1%</w:t>
            </w:r>
          </w:p>
        </w:tc>
        <w:tc>
          <w:tcPr>
            <w:tcW w:type="dxa" w:w="1426"/>
            <w:shd w:val="clear" w:color="auto" w:fill="F6F1E6"/>
          </w:tcPr>
          <w:p>
            <w:pPr>
              <w:spacing w:after="20"/>
              <w:jc w:val="right"/>
            </w:pPr>
            <w:r>
              <w:rPr>
                <w:b/>
                <w:color w:val="1C3A36"/>
                <w:sz w:val="16"/>
              </w:rPr>
              <w:t>33.0%</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4,394</w:t>
            </w:r>
          </w:p>
        </w:tc>
        <w:tc>
          <w:tcPr>
            <w:tcW w:type="dxa" w:w="1426"/>
          </w:tcPr>
          <w:p>
            <w:pPr>
              <w:spacing w:after="20"/>
              <w:jc w:val="right"/>
            </w:pPr>
            <w:r>
              <w:rPr>
                <w:color w:val="1C3A36"/>
                <w:sz w:val="16"/>
              </w:rPr>
              <w:t>4,006</w:t>
            </w:r>
          </w:p>
        </w:tc>
        <w:tc>
          <w:tcPr>
            <w:tcW w:type="dxa" w:w="1426"/>
          </w:tcPr>
          <w:p>
            <w:pPr>
              <w:spacing w:after="20"/>
              <w:jc w:val="right"/>
            </w:pPr>
            <w:r>
              <w:rPr>
                <w:color w:val="1C3A36"/>
                <w:sz w:val="16"/>
              </w:rPr>
              <w:t>3,755</w:t>
            </w:r>
          </w:p>
        </w:tc>
        <w:tc>
          <w:tcPr>
            <w:tcW w:type="dxa" w:w="1426"/>
          </w:tcPr>
          <w:p>
            <w:pPr>
              <w:spacing w:after="20"/>
              <w:jc w:val="right"/>
            </w:pPr>
            <w:r>
              <w:rPr>
                <w:color w:val="1C3A36"/>
                <w:sz w:val="16"/>
              </w:rPr>
              <w:t>3,684</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38.5%</w:t>
            </w:r>
          </w:p>
        </w:tc>
        <w:tc>
          <w:tcPr>
            <w:tcW w:type="dxa" w:w="1426"/>
            <w:shd w:val="clear" w:color="auto" w:fill="F6F1E6"/>
          </w:tcPr>
          <w:p>
            <w:pPr>
              <w:spacing w:after="20"/>
              <w:jc w:val="right"/>
            </w:pPr>
            <w:r>
              <w:rPr>
                <w:b/>
                <w:color w:val="1C3A36"/>
                <w:sz w:val="16"/>
              </w:rPr>
              <w:t>35.3%</w:t>
            </w:r>
          </w:p>
        </w:tc>
        <w:tc>
          <w:tcPr>
            <w:tcW w:type="dxa" w:w="1426"/>
            <w:shd w:val="clear" w:color="auto" w:fill="F6F1E6"/>
          </w:tcPr>
          <w:p>
            <w:pPr>
              <w:spacing w:after="20"/>
              <w:jc w:val="right"/>
            </w:pPr>
            <w:r>
              <w:rPr>
                <w:b/>
                <w:color w:val="1C3A36"/>
                <w:sz w:val="16"/>
              </w:rPr>
              <w:t>32.9%</w:t>
            </w:r>
          </w:p>
        </w:tc>
        <w:tc>
          <w:tcPr>
            <w:tcW w:type="dxa" w:w="1426"/>
            <w:shd w:val="clear" w:color="auto" w:fill="F6F1E6"/>
          </w:tcPr>
          <w:p>
            <w:pPr>
              <w:spacing w:after="20"/>
              <w:jc w:val="right"/>
            </w:pPr>
            <w:r>
              <w:rPr>
                <w:b/>
                <w:color w:val="1C3A36"/>
                <w:sz w:val="16"/>
              </w:rPr>
              <w:t>31.6%</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3,385</w:t>
            </w:r>
          </w:p>
        </w:tc>
        <w:tc>
          <w:tcPr>
            <w:tcW w:type="dxa" w:w="1426"/>
          </w:tcPr>
          <w:p>
            <w:pPr>
              <w:spacing w:after="20"/>
              <w:jc w:val="right"/>
            </w:pPr>
            <w:r>
              <w:rPr>
                <w:color w:val="1C3A36"/>
                <w:sz w:val="16"/>
              </w:rPr>
              <w:t>2,859</w:t>
            </w:r>
          </w:p>
        </w:tc>
        <w:tc>
          <w:tcPr>
            <w:tcW w:type="dxa" w:w="1426"/>
          </w:tcPr>
          <w:p>
            <w:pPr>
              <w:spacing w:after="20"/>
              <w:jc w:val="right"/>
            </w:pPr>
            <w:r>
              <w:rPr>
                <w:color w:val="1C3A36"/>
                <w:sz w:val="16"/>
              </w:rPr>
              <w:t>2,463</w:t>
            </w:r>
          </w:p>
        </w:tc>
        <w:tc>
          <w:tcPr>
            <w:tcW w:type="dxa" w:w="1426"/>
          </w:tcPr>
          <w:p>
            <w:pPr>
              <w:spacing w:after="20"/>
              <w:jc w:val="right"/>
            </w:pPr>
            <w:r>
              <w:rPr>
                <w:color w:val="1C3A36"/>
                <w:sz w:val="16"/>
              </w:rPr>
              <w:t>2,250</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29.7%</w:t>
            </w:r>
          </w:p>
        </w:tc>
        <w:tc>
          <w:tcPr>
            <w:tcW w:type="dxa" w:w="1426"/>
          </w:tcPr>
          <w:p>
            <w:pPr>
              <w:spacing w:after="20"/>
              <w:jc w:val="right"/>
            </w:pPr>
            <w:r>
              <w:rPr>
                <w:color w:val="1C3A36"/>
                <w:sz w:val="16"/>
              </w:rPr>
              <w:t>25.2%</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19.3%</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7,852</w:t>
            </w:r>
          </w:p>
        </w:tc>
        <w:tc>
          <w:tcPr>
            <w:tcW w:type="dxa" w:w="1296"/>
          </w:tcPr>
          <w:p>
            <w:pPr>
              <w:spacing w:after="20"/>
              <w:jc w:val="right"/>
            </w:pPr>
            <w:r>
              <w:rPr>
                <w:color w:val="1C3A36"/>
                <w:sz w:val="17"/>
              </w:rPr>
              <w:t>67.4%</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16.4%</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1,060</w:t>
            </w:r>
          </w:p>
        </w:tc>
        <w:tc>
          <w:tcPr>
            <w:tcW w:type="dxa" w:w="1296"/>
          </w:tcPr>
          <w:p>
            <w:pPr>
              <w:spacing w:after="20"/>
              <w:jc w:val="right"/>
            </w:pPr>
            <w:r>
              <w:rPr>
                <w:color w:val="1C3A36"/>
                <w:sz w:val="17"/>
              </w:rPr>
              <w:t>9.1%</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646</w:t>
            </w:r>
          </w:p>
        </w:tc>
        <w:tc>
          <w:tcPr>
            <w:tcW w:type="dxa" w:w="1296"/>
          </w:tcPr>
          <w:p>
            <w:pPr>
              <w:spacing w:after="20"/>
              <w:jc w:val="right"/>
            </w:pPr>
            <w:r>
              <w:rPr>
                <w:color w:val="1C3A36"/>
                <w:sz w:val="17"/>
              </w:rPr>
              <w:t>5.5%</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1.6%</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11,654</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-0.63 a share. Stopped, EGP 3.43. The difference, EGP 4.05 a share or EGP 8,051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-51m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-0.3%</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18.2%</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0.79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15.49%</w:t>
            </w:r>
          </w:p>
        </w:tc>
        <w:tc>
          <w:tcPr>
            <w:tcW w:type="dxa" w:w="1512"/>
          </w:tcPr>
          <w:p>
            <w:pPr>
              <w:spacing w:after="20"/>
              <w:jc w:val="right"/>
            </w:pPr>
            <w:r>
              <w:rPr>
                <w:color w:val="1C3A36"/>
                <w:sz w:val="17"/>
              </w:rPr>
              <w:t>15.49%</w:t>
            </w:r>
          </w:p>
        </w:tc>
        <w:tc>
          <w:tcPr>
            <w:tcW w:type="dxa" w:w="4248"/>
          </w:tcPr>
          <w:p>
            <w:pPr>
              <w:spacing w:after="20"/>
            </w:pPr>
            <w:r>
              <w:rPr>
                <w:color w:val="1C3A36"/>
                <w:sz w:val="17"/>
              </w:rPr>
              <w:t>99.7% dollar, carried at local-equivalent cost on that year's currency wedge of 7.4%</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25.64%</w:t>
            </w:r>
          </w:p>
        </w:tc>
        <w:tc>
          <w:tcPr>
            <w:tcW w:type="dxa" w:w="1512"/>
            <w:shd w:val="clear" w:color="auto" w:fill="F6F1E6"/>
          </w:tcPr>
          <w:p>
            <w:pPr>
              <w:spacing w:after="20"/>
              <w:jc w:val="right"/>
            </w:pPr>
            <w:r>
              <w:rPr>
                <w:b/>
                <w:color w:val="1C3A36"/>
                <w:sz w:val="17"/>
              </w:rPr>
              <w:t>24.52%</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7.4% in FY2026/27, giving a local-equivalent 19.99%, gliding to 2.5% in FY2030/31 and 14.54% — and to 2.5% on the long-run dollar cost of 9.0% in the terminal year, 11.79%. The wedge is the one the revenue build uses, so the debt and the currency cannot quietly disagree.</w:t>
      </w:r>
    </w:p>
    <w:p>
      <w:pPr>
        <w:spacing w:after="120" w:before="0"/>
      </w:pPr>
      <w:r>
        <w:rPr>
          <w:b w:val="0"/>
          <w:i w:val="0"/>
          <w:color w:val="1C3A36"/>
          <w:sz w:val="19"/>
        </w:rPr>
        <w:t>What the cost-of-capital builder's own consistency checks say about that construction, printed rather than suppressed: The company's own local-currency facility carries 19.40% against a 23.00% sovereign ten-year yield: a same-currency corporate borrowing below its sovereign. It is the company's disclosed rate and it is used as disclosed; the sovereign-floored construction is priced beside it. FX(local-equiv) Kd 15.63% &lt; rf* 16.63% — looks like a raw FX coupon not grossed up for expected depreciation. FX(local-equiv) Kd 14.54% &lt; rf* 16.63% — looks like a raw FX coupon not grossed up for expected depreciation. The dollar leg's local-equivalent cost sits below the 16.63% normalised risk-free rate in FY2028/29, FY2029/30, FY2030/31, because the currency wedge in those years is smaller than the gap between the coupon and the risk-free rate. The disclosed rates are what the company pays on state-bank facilities and are used as disclosed; the construction with every leg floored at the sovereign yield is priced in the table below rather than argued.</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5.0%. Capitalising one at the other is a units mismatch, and on a company whose value sits in its terminal year it would be the largest error in the study. The rate therefore glides to a terminal rate built from its own components: 5.0% inflation — the same figure terminal growth is set at, so the perpetuity neither grows nor shrinks in real terms — compounded with a 3.5% real rate gives a normalised risk-free rate of 8.67%, and the terminal cost of capital is 18.24%. Discount factors compound the glide year by year rather than raising one rate to a power. The earlier edition of this study discounted a 5.0%-growth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-0.63</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0.10</w:t>
            </w:r>
          </w:p>
        </w:tc>
        <w:tc>
          <w:tcPr>
            <w:tcW w:type="dxa" w:w="950"/>
          </w:tcPr>
          <w:p>
            <w:pPr>
              <w:spacing w:after="20"/>
              <w:jc w:val="right"/>
            </w:pPr>
            <w:r>
              <w:rPr>
                <w:color w:val="1C3A36"/>
                <w:sz w:val="15"/>
              </w:rPr>
              <w:t>+0.73</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-0.77</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-0.67</w:t>
            </w:r>
          </w:p>
        </w:tc>
        <w:tc>
          <w:tcPr>
            <w:tcW w:type="dxa" w:w="950"/>
          </w:tcPr>
          <w:p>
            <w:pPr>
              <w:spacing w:after="20"/>
              <w:jc w:val="right"/>
            </w:pPr>
            <w:r>
              <w:rPr>
                <w:color w:val="1C3A36"/>
                <w:sz w:val="15"/>
              </w:rPr>
              <w:t>-0.04</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11.8%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-1.06</w:t>
            </w:r>
          </w:p>
        </w:tc>
        <w:tc>
          <w:tcPr>
            <w:tcW w:type="dxa" w:w="950"/>
          </w:tcPr>
          <w:p>
            <w:pPr>
              <w:spacing w:after="20"/>
              <w:jc w:val="right"/>
            </w:pPr>
            <w:r>
              <w:rPr>
                <w:color w:val="1C3A36"/>
                <w:sz w:val="15"/>
              </w:rPr>
              <w:t>-0.44</w:t>
            </w:r>
          </w:p>
        </w:tc>
        <w:tc>
          <w:tcPr>
            <w:tcW w:type="dxa" w:w="3139"/>
          </w:tcPr>
          <w:p>
            <w:pPr>
              <w:spacing w:after="20"/>
            </w:pPr>
            <w:r>
              <w:rPr>
                <w:color w:val="1C3A36"/>
                <w:sz w:val="15"/>
              </w:rPr>
              <w:t>A same-currency corporate cannot normally borrow below its sovereign, and the local facility does (its dollar leg sits below the normalised risk-free rate in 3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0.17</w:t>
            </w:r>
          </w:p>
        </w:tc>
        <w:tc>
          <w:tcPr>
            <w:tcW w:type="dxa" w:w="950"/>
          </w:tcPr>
          <w:p>
            <w:pPr>
              <w:spacing w:after="20"/>
              <w:jc w:val="right"/>
            </w:pPr>
            <w:r>
              <w:rPr>
                <w:color w:val="1C3A36"/>
                <w:sz w:val="15"/>
              </w:rPr>
              <w:t>+0.80</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-1.88</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-0.40</w:t>
            </w:r>
          </w:p>
        </w:tc>
        <w:tc>
          <w:tcPr>
            <w:tcW w:type="dxa" w:w="950"/>
          </w:tcPr>
          <w:p>
            <w:pPr>
              <w:spacing w:after="20"/>
              <w:jc w:val="right"/>
            </w:pPr>
            <w:r>
              <w:rPr>
                <w:color w:val="1C3A36"/>
                <w:sz w:val="15"/>
              </w:rPr>
              <w:t>+0.23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-1.42</w:t>
            </w:r>
          </w:p>
        </w:tc>
        <w:tc>
          <w:tcPr>
            <w:tcW w:type="dxa" w:w="950"/>
          </w:tcPr>
          <w:p>
            <w:pPr>
              <w:spacing w:after="20"/>
              <w:jc w:val="right"/>
            </w:pPr>
            <w:r>
              <w:rPr>
                <w:color w:val="1C3A36"/>
                <w:sz w:val="15"/>
              </w:rPr>
              <w:t>-0.79</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27.8% of operating profit after tax, from growth over an 18% return on capital</w:t>
            </w:r>
          </w:p>
        </w:tc>
        <w:tc>
          <w:tcPr>
            <w:tcW w:type="dxa" w:w="2563"/>
          </w:tcPr>
          <w:p>
            <w:pPr>
              <w:spacing w:after="20"/>
            </w:pPr>
            <w:r>
              <w:rPr>
                <w:color w:val="1C3A36"/>
                <w:sz w:val="15"/>
              </w:rPr>
              <w:t>16.7%, from a 30% return on capital — the rate a newly completed plant earns on incremental capital while it is still filling</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+0.27</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-0.86</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(-1.88) and beta (+0.80);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-2.70</w:t>
            </w:r>
          </w:p>
        </w:tc>
        <w:tc>
          <w:tcPr>
            <w:tcW w:type="dxa" w:w="1483"/>
          </w:tcPr>
          <w:p>
            <w:pPr>
              <w:spacing w:after="20"/>
              <w:jc w:val="right"/>
            </w:pPr>
            <w:r>
              <w:rPr>
                <w:color w:val="1C3A36"/>
                <w:sz w:val="17"/>
              </w:rPr>
              <w:t>-1.19</w:t>
            </w:r>
          </w:p>
        </w:tc>
        <w:tc>
          <w:tcPr>
            <w:tcW w:type="dxa" w:w="1483"/>
          </w:tcPr>
          <w:p>
            <w:pPr>
              <w:spacing w:after="20"/>
              <w:jc w:val="right"/>
            </w:pPr>
            <w:r>
              <w:rPr>
                <w:color w:val="1C3A36"/>
                <w:sz w:val="17"/>
              </w:rPr>
              <w:t>0.31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3.31</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-2.79</w:t>
            </w:r>
          </w:p>
        </w:tc>
        <w:tc>
          <w:tcPr>
            <w:tcW w:type="dxa" w:w="1483"/>
          </w:tcPr>
          <w:p>
            <w:pPr>
              <w:spacing w:after="20"/>
              <w:jc w:val="right"/>
            </w:pPr>
            <w:r>
              <w:rPr>
                <w:color w:val="1C3A36"/>
                <w:sz w:val="17"/>
              </w:rPr>
              <w:t>-1.37</w:t>
            </w:r>
          </w:p>
        </w:tc>
        <w:tc>
          <w:tcPr>
            <w:tcW w:type="dxa" w:w="1483"/>
          </w:tcPr>
          <w:p>
            <w:pPr>
              <w:spacing w:after="20"/>
              <w:jc w:val="right"/>
            </w:pPr>
            <w:r>
              <w:rPr>
                <w:color w:val="1C3A36"/>
                <w:sz w:val="17"/>
              </w:rPr>
              <w:t>0.05</w:t>
            </w:r>
          </w:p>
        </w:tc>
        <w:tc>
          <w:tcPr>
            <w:tcW w:type="dxa" w:w="1483"/>
          </w:tcPr>
          <w:p>
            <w:pPr>
              <w:spacing w:after="20"/>
              <w:jc w:val="right"/>
            </w:pPr>
            <w:r>
              <w:rPr>
                <w:color w:val="1C3A36"/>
                <w:sz w:val="17"/>
              </w:rPr>
              <w:t>1.47</w:t>
            </w:r>
          </w:p>
        </w:tc>
        <w:tc>
          <w:tcPr>
            <w:tcW w:type="dxa" w:w="1483"/>
          </w:tcPr>
          <w:p>
            <w:pPr>
              <w:spacing w:after="20"/>
              <w:jc w:val="right"/>
            </w:pPr>
            <w:r>
              <w:rPr>
                <w:color w:val="1C3A36"/>
                <w:sz w:val="17"/>
              </w:rPr>
              <w:t>2.89</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-2.89</w:t>
            </w:r>
          </w:p>
        </w:tc>
        <w:tc>
          <w:tcPr>
            <w:tcW w:type="dxa" w:w="1483"/>
          </w:tcPr>
          <w:p>
            <w:pPr>
              <w:spacing w:after="20"/>
              <w:jc w:val="right"/>
            </w:pPr>
            <w:r>
              <w:rPr>
                <w:color w:val="1C3A36"/>
                <w:sz w:val="17"/>
              </w:rPr>
              <w:t>-1.54</w:t>
            </w:r>
          </w:p>
        </w:tc>
        <w:tc>
          <w:tcPr>
            <w:tcW w:type="dxa" w:w="1483"/>
          </w:tcPr>
          <w:p>
            <w:pPr>
              <w:spacing w:after="20"/>
              <w:jc w:val="right"/>
            </w:pPr>
            <w:r>
              <w:rPr>
                <w:color w:val="1C3A36"/>
                <w:sz w:val="17"/>
              </w:rPr>
              <w:t>-0.20</w:t>
            </w:r>
          </w:p>
        </w:tc>
        <w:tc>
          <w:tcPr>
            <w:tcW w:type="dxa" w:w="1483"/>
          </w:tcPr>
          <w:p>
            <w:pPr>
              <w:spacing w:after="20"/>
              <w:jc w:val="right"/>
            </w:pPr>
            <w:r>
              <w:rPr>
                <w:color w:val="1C3A36"/>
                <w:sz w:val="17"/>
              </w:rPr>
              <w:t>1.14</w:t>
            </w:r>
          </w:p>
        </w:tc>
        <w:tc>
          <w:tcPr>
            <w:tcW w:type="dxa" w:w="1483"/>
          </w:tcPr>
          <w:p>
            <w:pPr>
              <w:spacing w:after="20"/>
              <w:jc w:val="right"/>
            </w:pPr>
            <w:r>
              <w:rPr>
                <w:color w:val="1C3A36"/>
                <w:sz w:val="17"/>
              </w:rPr>
              <w:t>2.48</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-2.95</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-0.37</w:t>
            </w:r>
          </w:p>
        </w:tc>
        <w:tc>
          <w:tcPr>
            <w:tcW w:type="dxa" w:w="1483"/>
          </w:tcPr>
          <w:p>
            <w:pPr>
              <w:spacing w:after="20"/>
              <w:jc w:val="right"/>
            </w:pPr>
            <w:r>
              <w:rPr>
                <w:color w:val="1C3A36"/>
                <w:sz w:val="17"/>
              </w:rPr>
              <w:t>0.92</w:t>
            </w:r>
          </w:p>
        </w:tc>
        <w:tc>
          <w:tcPr>
            <w:tcW w:type="dxa" w:w="1483"/>
          </w:tcPr>
          <w:p>
            <w:pPr>
              <w:spacing w:after="20"/>
              <w:jc w:val="right"/>
            </w:pPr>
            <w:r>
              <w:rPr>
                <w:color w:val="1C3A36"/>
                <w:sz w:val="17"/>
              </w:rPr>
              <w:t>2.21</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-3.02</w:t>
            </w:r>
          </w:p>
        </w:tc>
        <w:tc>
          <w:tcPr>
            <w:tcW w:type="dxa" w:w="1483"/>
          </w:tcPr>
          <w:p>
            <w:pPr>
              <w:spacing w:after="20"/>
              <w:jc w:val="right"/>
            </w:pPr>
            <w:r>
              <w:rPr>
                <w:color w:val="1C3A36"/>
                <w:sz w:val="17"/>
              </w:rPr>
              <w:t>-1.78</w:t>
            </w:r>
          </w:p>
        </w:tc>
        <w:tc>
          <w:tcPr>
            <w:tcW w:type="dxa" w:w="1483"/>
          </w:tcPr>
          <w:p>
            <w:pPr>
              <w:spacing w:after="20"/>
              <w:jc w:val="right"/>
            </w:pPr>
            <w:r>
              <w:rPr>
                <w:color w:val="1C3A36"/>
                <w:sz w:val="17"/>
              </w:rPr>
              <w:t>-0.54</w:t>
            </w:r>
          </w:p>
        </w:tc>
        <w:tc>
          <w:tcPr>
            <w:tcW w:type="dxa" w:w="1483"/>
          </w:tcPr>
          <w:p>
            <w:pPr>
              <w:spacing w:after="20"/>
              <w:jc w:val="right"/>
            </w:pPr>
            <w:r>
              <w:rPr>
                <w:color w:val="1C3A36"/>
                <w:sz w:val="17"/>
              </w:rPr>
              <w:t>0.69</w:t>
            </w:r>
          </w:p>
        </w:tc>
        <w:tc>
          <w:tcPr>
            <w:tcW w:type="dxa" w:w="1483"/>
          </w:tcPr>
          <w:p>
            <w:pPr>
              <w:spacing w:after="20"/>
              <w:jc w:val="right"/>
            </w:pPr>
            <w:r>
              <w:rPr>
                <w:color w:val="1C3A36"/>
                <w:sz w:val="17"/>
              </w:rPr>
              <w:t>1.93</w:t>
            </w:r>
          </w:p>
        </w:tc>
      </w:tr>
    </w:tbl>
    <w:p>
      <w:pPr>
        <w:spacing w:after="40"/>
      </w:pPr>
    </w:p>
    <w:p>
      <w:pPr>
        <w:spacing w:after="200" w:before="0"/>
      </w:pPr>
      <w:r>
        <w:rPr>
          <w:b w:val="0"/>
          <w:i/>
          <w:color w:val="6E7B77"/>
          <w:sz w:val="17"/>
        </w:rPr>
        <w:t>Table 19.  The highest cell in the grid is EGP 3.31,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-2.89 to 2.48</w:t>
            </w:r>
          </w:p>
        </w:tc>
        <w:tc>
          <w:tcPr>
            <w:tcW w:type="dxa" w:w="1152"/>
            <w:shd w:val="clear" w:color="auto" w:fill="F6F1E6"/>
          </w:tcPr>
          <w:p>
            <w:pPr>
              <w:spacing w:after="20"/>
              <w:jc w:val="right"/>
            </w:pPr>
            <w:r>
              <w:rPr>
                <w:b/>
                <w:color w:val="1C3A36"/>
                <w:sz w:val="16"/>
              </w:rPr>
              <w:t>5.37</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-0.63 to 3.43</w:t>
            </w:r>
          </w:p>
        </w:tc>
        <w:tc>
          <w:tcPr>
            <w:tcW w:type="dxa" w:w="1152"/>
          </w:tcPr>
          <w:p>
            <w:pPr>
              <w:spacing w:after="20"/>
              <w:jc w:val="right"/>
            </w:pPr>
            <w:r>
              <w:rPr>
                <w:color w:val="1C3A36"/>
                <w:sz w:val="16"/>
              </w:rPr>
              <w:t>4.05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-2.51 to -0.63</w:t>
            </w:r>
          </w:p>
        </w:tc>
        <w:tc>
          <w:tcPr>
            <w:tcW w:type="dxa" w:w="1152"/>
          </w:tcPr>
          <w:p>
            <w:pPr>
              <w:spacing w:after="20"/>
              <w:jc w:val="right"/>
            </w:pPr>
            <w:r>
              <w:rPr>
                <w:color w:val="1C3A36"/>
                <w:sz w:val="16"/>
              </w:rPr>
              <w:t>1.88</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-0.54 to 0.31</w:t>
            </w:r>
          </w:p>
        </w:tc>
        <w:tc>
          <w:tcPr>
            <w:tcW w:type="dxa" w:w="1152"/>
          </w:tcPr>
          <w:p>
            <w:pPr>
              <w:spacing w:after="20"/>
              <w:jc w:val="right"/>
            </w:pPr>
            <w:r>
              <w:rPr>
                <w:color w:val="1C3A36"/>
                <w:sz w:val="16"/>
              </w:rPr>
              <w:t>0.85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-0.63 to 0.17</w:t>
            </w:r>
          </w:p>
        </w:tc>
        <w:tc>
          <w:tcPr>
            <w:tcW w:type="dxa" w:w="1152"/>
          </w:tcPr>
          <w:p>
            <w:pPr>
              <w:spacing w:after="20"/>
              <w:jc w:val="right"/>
            </w:pPr>
            <w:r>
              <w:rPr>
                <w:color w:val="1C3A36"/>
                <w:sz w:val="16"/>
              </w:rPr>
              <w:t>0.80</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-1.42 to -0.63</w:t>
            </w:r>
          </w:p>
        </w:tc>
        <w:tc>
          <w:tcPr>
            <w:tcW w:type="dxa" w:w="1152"/>
          </w:tcPr>
          <w:p>
            <w:pPr>
              <w:spacing w:after="20"/>
              <w:jc w:val="right"/>
            </w:pPr>
            <w:r>
              <w:rPr>
                <w:color w:val="1C3A36"/>
                <w:sz w:val="16"/>
              </w:rPr>
              <w:t>0.79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-0.63 to 0.10</w:t>
            </w:r>
          </w:p>
        </w:tc>
        <w:tc>
          <w:tcPr>
            <w:tcW w:type="dxa" w:w="1152"/>
          </w:tcPr>
          <w:p>
            <w:pPr>
              <w:spacing w:after="20"/>
              <w:jc w:val="right"/>
            </w:pPr>
            <w:r>
              <w:rPr>
                <w:color w:val="1C3A36"/>
                <w:sz w:val="16"/>
              </w:rPr>
              <w:t>0.73</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-1.06 to -0.63</w:t>
            </w:r>
          </w:p>
        </w:tc>
        <w:tc>
          <w:tcPr>
            <w:tcW w:type="dxa" w:w="1152"/>
          </w:tcPr>
          <w:p>
            <w:pPr>
              <w:spacing w:after="20"/>
              <w:jc w:val="right"/>
            </w:pPr>
            <w:r>
              <w:rPr>
                <w:color w:val="1C3A36"/>
                <w:sz w:val="16"/>
              </w:rPr>
              <w:t>0.44</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-0.63 to -0.40</w:t>
            </w:r>
          </w:p>
        </w:tc>
        <w:tc>
          <w:tcPr>
            <w:tcW w:type="dxa" w:w="1152"/>
          </w:tcPr>
          <w:p>
            <w:pPr>
              <w:spacing w:after="20"/>
              <w:jc w:val="right"/>
            </w:pPr>
            <w:r>
              <w:rPr>
                <w:color w:val="1C3A36"/>
                <w:sz w:val="16"/>
              </w:rPr>
              <w:t>0.23</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5.0% against 3.0%</w:t>
            </w:r>
          </w:p>
        </w:tc>
        <w:tc>
          <w:tcPr>
            <w:tcW w:type="dxa" w:w="2160"/>
          </w:tcPr>
          <w:p>
            <w:pPr>
              <w:spacing w:after="20"/>
              <w:jc w:val="right"/>
            </w:pPr>
            <w:r>
              <w:rPr>
                <w:color w:val="1C3A36"/>
                <w:sz w:val="16"/>
              </w:rPr>
              <w:t>-0.67 to -0.63</w:t>
            </w:r>
          </w:p>
        </w:tc>
        <w:tc>
          <w:tcPr>
            <w:tcW w:type="dxa" w:w="1152"/>
          </w:tcPr>
          <w:p>
            <w:pPr>
              <w:spacing w:after="20"/>
              <w:jc w:val="right"/>
            </w:pPr>
            <w:r>
              <w:rPr>
                <w:color w:val="1C3A36"/>
                <w:sz w:val="16"/>
              </w:rPr>
              <w:t>0.04</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0.17 instead of EGP -0.63.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-0.63</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3.43</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4.05</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0.58</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13.98,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7.8%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1.88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0.30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27.8% of terminal operating profit after tax back into the business every year for ever — on a plant that has just been rebuilt and needs no further building. A thirty per cent return on capital, which is what a newly completed line earns while it is still filling, is worth EGP 0.27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66.9% of enterprise value on the carried-through case and 33.0% on the stopped case. The explicit years are a construction window: free cash flow to the firm is positive in 3 of the five years and negative in the other 2, and their present value is EGP 1,740 million against a terminal block of EGP 3,512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11,400</w:t>
            </w:r>
          </w:p>
        </w:tc>
        <w:tc>
          <w:tcPr>
            <w:tcW w:type="dxa" w:w="893"/>
          </w:tcPr>
          <w:p>
            <w:pPr>
              <w:spacing w:after="20"/>
              <w:jc w:val="right"/>
            </w:pPr>
            <w:r>
              <w:rPr>
                <w:color w:val="1C3A36"/>
                <w:sz w:val="14"/>
              </w:rPr>
              <w:t>11,352</w:t>
            </w:r>
          </w:p>
        </w:tc>
        <w:tc>
          <w:tcPr>
            <w:tcW w:type="dxa" w:w="893"/>
          </w:tcPr>
          <w:p>
            <w:pPr>
              <w:spacing w:after="20"/>
              <w:jc w:val="right"/>
            </w:pPr>
            <w:r>
              <w:rPr>
                <w:color w:val="1C3A36"/>
                <w:sz w:val="14"/>
              </w:rPr>
              <w:t>11,406</w:t>
            </w:r>
          </w:p>
        </w:tc>
        <w:tc>
          <w:tcPr>
            <w:tcW w:type="dxa" w:w="893"/>
          </w:tcPr>
          <w:p>
            <w:pPr>
              <w:spacing w:after="20"/>
              <w:jc w:val="right"/>
            </w:pPr>
            <w:r>
              <w:rPr>
                <w:color w:val="1C3A36"/>
                <w:sz w:val="14"/>
              </w:rPr>
              <w:t>11,654</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6,590</w:t>
            </w:r>
          </w:p>
        </w:tc>
        <w:tc>
          <w:tcPr>
            <w:tcW w:type="dxa" w:w="893"/>
          </w:tcPr>
          <w:p>
            <w:pPr>
              <w:spacing w:after="20"/>
              <w:jc w:val="right"/>
            </w:pPr>
            <w:r>
              <w:rPr>
                <w:color w:val="1C3A36"/>
                <w:sz w:val="14"/>
              </w:rPr>
              <w:t>7,012</w:t>
            </w:r>
          </w:p>
        </w:tc>
        <w:tc>
          <w:tcPr>
            <w:tcW w:type="dxa" w:w="893"/>
          </w:tcPr>
          <w:p>
            <w:pPr>
              <w:spacing w:after="20"/>
              <w:jc w:val="right"/>
            </w:pPr>
            <w:r>
              <w:rPr>
                <w:color w:val="1C3A36"/>
                <w:sz w:val="14"/>
              </w:rPr>
              <w:t>7,406</w:t>
            </w:r>
          </w:p>
        </w:tc>
        <w:tc>
          <w:tcPr>
            <w:tcW w:type="dxa" w:w="893"/>
          </w:tcPr>
          <w:p>
            <w:pPr>
              <w:spacing w:after="20"/>
              <w:jc w:val="right"/>
            </w:pPr>
            <w:r>
              <w:rPr>
                <w:color w:val="1C3A36"/>
                <w:sz w:val="14"/>
              </w:rPr>
              <w:t>7,806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4,810</w:t>
            </w:r>
          </w:p>
        </w:tc>
        <w:tc>
          <w:tcPr>
            <w:tcW w:type="dxa" w:w="893"/>
            <w:shd w:val="clear" w:color="auto" w:fill="F6F1E6"/>
          </w:tcPr>
          <w:p>
            <w:pPr>
              <w:spacing w:after="20"/>
              <w:jc w:val="right"/>
            </w:pPr>
            <w:r>
              <w:rPr>
                <w:b/>
                <w:color w:val="1C3A36"/>
                <w:sz w:val="14"/>
              </w:rPr>
              <w:t>4,340</w:t>
            </w:r>
          </w:p>
        </w:tc>
        <w:tc>
          <w:tcPr>
            <w:tcW w:type="dxa" w:w="893"/>
            <w:shd w:val="clear" w:color="auto" w:fill="F6F1E6"/>
          </w:tcPr>
          <w:p>
            <w:pPr>
              <w:spacing w:after="20"/>
              <w:jc w:val="right"/>
            </w:pPr>
            <w:r>
              <w:rPr>
                <w:b/>
                <w:color w:val="1C3A36"/>
                <w:sz w:val="14"/>
              </w:rPr>
              <w:t>4,000</w:t>
            </w:r>
          </w:p>
        </w:tc>
        <w:tc>
          <w:tcPr>
            <w:tcW w:type="dxa" w:w="893"/>
            <w:shd w:val="clear" w:color="auto" w:fill="F6F1E6"/>
          </w:tcPr>
          <w:p>
            <w:pPr>
              <w:spacing w:after="20"/>
              <w:jc w:val="right"/>
            </w:pPr>
            <w:r>
              <w:rPr>
                <w:b/>
                <w:color w:val="1C3A36"/>
                <w:sz w:val="14"/>
              </w:rPr>
              <w:t>3,848</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882</w:t>
            </w:r>
          </w:p>
        </w:tc>
        <w:tc>
          <w:tcPr>
            <w:tcW w:type="dxa" w:w="893"/>
          </w:tcPr>
          <w:p>
            <w:pPr>
              <w:spacing w:after="20"/>
              <w:jc w:val="right"/>
            </w:pPr>
            <w:r>
              <w:rPr>
                <w:color w:val="1C3A36"/>
                <w:sz w:val="14"/>
              </w:rPr>
              <w:t>932</w:t>
            </w:r>
          </w:p>
        </w:tc>
        <w:tc>
          <w:tcPr>
            <w:tcW w:type="dxa" w:w="893"/>
          </w:tcPr>
          <w:p>
            <w:pPr>
              <w:spacing w:after="20"/>
              <w:jc w:val="right"/>
            </w:pPr>
            <w:r>
              <w:rPr>
                <w:color w:val="1C3A36"/>
                <w:sz w:val="14"/>
              </w:rPr>
              <w:t>977</w:t>
            </w:r>
          </w:p>
        </w:tc>
        <w:tc>
          <w:tcPr>
            <w:tcW w:type="dxa" w:w="893"/>
          </w:tcPr>
          <w:p>
            <w:pPr>
              <w:spacing w:after="20"/>
              <w:jc w:val="right"/>
            </w:pPr>
            <w:r>
              <w:rPr>
                <w:color w:val="1C3A36"/>
                <w:sz w:val="14"/>
              </w:rPr>
              <w:t>1,023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423</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471</w:t>
            </w:r>
          </w:p>
        </w:tc>
        <w:tc>
          <w:tcPr>
            <w:tcW w:type="dxa" w:w="893"/>
          </w:tcPr>
          <w:p>
            <w:pPr>
              <w:spacing w:after="20"/>
              <w:jc w:val="right"/>
            </w:pPr>
            <w:r>
              <w:rPr>
                <w:color w:val="1C3A36"/>
                <w:sz w:val="14"/>
              </w:rPr>
              <w:t>495</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3,385</w:t>
            </w:r>
          </w:p>
        </w:tc>
        <w:tc>
          <w:tcPr>
            <w:tcW w:type="dxa" w:w="893"/>
            <w:shd w:val="clear" w:color="auto" w:fill="F6F1E6"/>
          </w:tcPr>
          <w:p>
            <w:pPr>
              <w:spacing w:after="20"/>
              <w:jc w:val="right"/>
            </w:pPr>
            <w:r>
              <w:rPr>
                <w:b/>
                <w:color w:val="1C3A36"/>
                <w:sz w:val="14"/>
              </w:rPr>
              <w:t>2,859</w:t>
            </w:r>
          </w:p>
        </w:tc>
        <w:tc>
          <w:tcPr>
            <w:tcW w:type="dxa" w:w="893"/>
            <w:shd w:val="clear" w:color="auto" w:fill="F6F1E6"/>
          </w:tcPr>
          <w:p>
            <w:pPr>
              <w:spacing w:after="20"/>
              <w:jc w:val="right"/>
            </w:pPr>
            <w:r>
              <w:rPr>
                <w:b/>
                <w:color w:val="1C3A36"/>
                <w:sz w:val="14"/>
              </w:rPr>
              <w:t>2,463</w:t>
            </w:r>
          </w:p>
        </w:tc>
        <w:tc>
          <w:tcPr>
            <w:tcW w:type="dxa" w:w="893"/>
            <w:shd w:val="clear" w:color="auto" w:fill="F6F1E6"/>
          </w:tcPr>
          <w:p>
            <w:pPr>
              <w:spacing w:after="20"/>
              <w:jc w:val="right"/>
            </w:pPr>
            <w:r>
              <w:rPr>
                <w:b/>
                <w:color w:val="1C3A36"/>
                <w:sz w:val="14"/>
              </w:rPr>
              <w:t>2,250</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4,394</w:t>
            </w:r>
          </w:p>
        </w:tc>
        <w:tc>
          <w:tcPr>
            <w:tcW w:type="dxa" w:w="893"/>
            <w:shd w:val="clear" w:color="auto" w:fill="F6F1E6"/>
          </w:tcPr>
          <w:p>
            <w:pPr>
              <w:spacing w:after="20"/>
              <w:jc w:val="right"/>
            </w:pPr>
            <w:r>
              <w:rPr>
                <w:b/>
                <w:color w:val="1C3A36"/>
                <w:sz w:val="14"/>
              </w:rPr>
              <w:t>4,006</w:t>
            </w:r>
          </w:p>
        </w:tc>
        <w:tc>
          <w:tcPr>
            <w:tcW w:type="dxa" w:w="893"/>
            <w:shd w:val="clear" w:color="auto" w:fill="F6F1E6"/>
          </w:tcPr>
          <w:p>
            <w:pPr>
              <w:spacing w:after="20"/>
              <w:jc w:val="right"/>
            </w:pPr>
            <w:r>
              <w:rPr>
                <w:b/>
                <w:color w:val="1C3A36"/>
                <w:sz w:val="14"/>
              </w:rPr>
              <w:t>3,755</w:t>
            </w:r>
          </w:p>
        </w:tc>
        <w:tc>
          <w:tcPr>
            <w:tcW w:type="dxa" w:w="893"/>
            <w:shd w:val="clear" w:color="auto" w:fill="F6F1E6"/>
          </w:tcPr>
          <w:p>
            <w:pPr>
              <w:spacing w:after="20"/>
              <w:jc w:val="right"/>
            </w:pPr>
            <w:r>
              <w:rPr>
                <w:b/>
                <w:color w:val="1C3A36"/>
                <w:sz w:val="14"/>
              </w:rPr>
              <w:t>3,684</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42.2%</w:t>
            </w:r>
          </w:p>
        </w:tc>
        <w:tc>
          <w:tcPr>
            <w:tcW w:type="dxa" w:w="893"/>
          </w:tcPr>
          <w:p>
            <w:pPr>
              <w:spacing w:after="20"/>
              <w:jc w:val="right"/>
            </w:pPr>
            <w:r>
              <w:rPr>
                <w:color w:val="1C3A36"/>
                <w:sz w:val="14"/>
              </w:rPr>
              <w:t>38.2%</w:t>
            </w:r>
          </w:p>
        </w:tc>
        <w:tc>
          <w:tcPr>
            <w:tcW w:type="dxa" w:w="893"/>
          </w:tcPr>
          <w:p>
            <w:pPr>
              <w:spacing w:after="20"/>
              <w:jc w:val="right"/>
            </w:pPr>
            <w:r>
              <w:rPr>
                <w:color w:val="1C3A36"/>
                <w:sz w:val="14"/>
              </w:rPr>
              <w:t>35.1%</w:t>
            </w:r>
          </w:p>
        </w:tc>
        <w:tc>
          <w:tcPr>
            <w:tcW w:type="dxa" w:w="893"/>
          </w:tcPr>
          <w:p>
            <w:pPr>
              <w:spacing w:after="20"/>
              <w:jc w:val="right"/>
            </w:pPr>
            <w:r>
              <w:rPr>
                <w:color w:val="1C3A36"/>
                <w:sz w:val="14"/>
              </w:rPr>
              <w:t>33.0%</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38.5%</w:t>
            </w:r>
          </w:p>
        </w:tc>
        <w:tc>
          <w:tcPr>
            <w:tcW w:type="dxa" w:w="893"/>
          </w:tcPr>
          <w:p>
            <w:pPr>
              <w:spacing w:after="20"/>
              <w:jc w:val="right"/>
            </w:pPr>
            <w:r>
              <w:rPr>
                <w:color w:val="1C3A36"/>
                <w:sz w:val="14"/>
              </w:rPr>
              <w:t>35.3%</w:t>
            </w:r>
          </w:p>
        </w:tc>
        <w:tc>
          <w:tcPr>
            <w:tcW w:type="dxa" w:w="893"/>
          </w:tcPr>
          <w:p>
            <w:pPr>
              <w:spacing w:after="20"/>
              <w:jc w:val="right"/>
            </w:pPr>
            <w:r>
              <w:rPr>
                <w:color w:val="1C3A36"/>
                <w:sz w:val="14"/>
              </w:rPr>
              <w:t>32.9%</w:t>
            </w:r>
          </w:p>
        </w:tc>
        <w:tc>
          <w:tcPr>
            <w:tcW w:type="dxa" w:w="893"/>
          </w:tcPr>
          <w:p>
            <w:pPr>
              <w:spacing w:after="20"/>
              <w:jc w:val="right"/>
            </w:pPr>
            <w:r>
              <w:rPr>
                <w:color w:val="1C3A36"/>
                <w:sz w:val="14"/>
              </w:rPr>
              <w:t>31.6%</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3,227</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2,619</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836</w:t>
            </w:r>
          </w:p>
        </w:tc>
        <w:tc>
          <w:tcPr>
            <w:tcW w:type="dxa" w:w="1426"/>
          </w:tcPr>
          <w:p>
            <w:pPr>
              <w:spacing w:after="20"/>
              <w:jc w:val="right"/>
            </w:pPr>
            <w:r>
              <w:rPr>
                <w:color w:val="1C3A36"/>
                <w:sz w:val="16"/>
              </w:rPr>
              <w:t>833</w:t>
            </w:r>
          </w:p>
        </w:tc>
        <w:tc>
          <w:tcPr>
            <w:tcW w:type="dxa" w:w="1426"/>
          </w:tcPr>
          <w:p>
            <w:pPr>
              <w:spacing w:after="20"/>
              <w:jc w:val="right"/>
            </w:pPr>
            <w:r>
              <w:rPr>
                <w:color w:val="1C3A36"/>
                <w:sz w:val="16"/>
              </w:rPr>
              <w:t>837</w:t>
            </w:r>
          </w:p>
        </w:tc>
        <w:tc>
          <w:tcPr>
            <w:tcW w:type="dxa" w:w="1426"/>
          </w:tcPr>
          <w:p>
            <w:pPr>
              <w:spacing w:after="20"/>
              <w:jc w:val="right"/>
            </w:pPr>
            <w:r>
              <w:rPr>
                <w:color w:val="1C3A36"/>
                <w:sz w:val="16"/>
              </w:rPr>
              <w:t>855</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2,983</w:t>
            </w:r>
          </w:p>
        </w:tc>
        <w:tc>
          <w:tcPr>
            <w:tcW w:type="dxa" w:w="1426"/>
          </w:tcPr>
          <w:p>
            <w:pPr>
              <w:spacing w:after="20"/>
              <w:jc w:val="right"/>
            </w:pPr>
            <w:r>
              <w:rPr>
                <w:color w:val="1C3A36"/>
                <w:sz w:val="16"/>
              </w:rPr>
              <w:t>3,175</w:t>
            </w:r>
          </w:p>
        </w:tc>
        <w:tc>
          <w:tcPr>
            <w:tcW w:type="dxa" w:w="1426"/>
          </w:tcPr>
          <w:p>
            <w:pPr>
              <w:spacing w:after="20"/>
              <w:jc w:val="right"/>
            </w:pPr>
            <w:r>
              <w:rPr>
                <w:color w:val="1C3A36"/>
                <w:sz w:val="16"/>
              </w:rPr>
              <w:t>3,353</w:t>
            </w:r>
          </w:p>
        </w:tc>
        <w:tc>
          <w:tcPr>
            <w:tcW w:type="dxa" w:w="1426"/>
          </w:tcPr>
          <w:p>
            <w:pPr>
              <w:spacing w:after="20"/>
              <w:jc w:val="right"/>
            </w:pPr>
            <w:r>
              <w:rPr>
                <w:color w:val="1C3A36"/>
                <w:sz w:val="16"/>
              </w:rPr>
              <w:t>3,534</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1,502</w:t>
            </w:r>
          </w:p>
        </w:tc>
        <w:tc>
          <w:tcPr>
            <w:tcW w:type="dxa" w:w="1426"/>
          </w:tcPr>
          <w:p>
            <w:pPr>
              <w:spacing w:after="20"/>
              <w:jc w:val="right"/>
            </w:pPr>
            <w:r>
              <w:rPr>
                <w:color w:val="1C3A36"/>
                <w:sz w:val="16"/>
              </w:rPr>
              <w:t>1,598</w:t>
            </w:r>
          </w:p>
        </w:tc>
        <w:tc>
          <w:tcPr>
            <w:tcW w:type="dxa" w:w="1426"/>
          </w:tcPr>
          <w:p>
            <w:pPr>
              <w:spacing w:after="20"/>
              <w:jc w:val="right"/>
            </w:pPr>
            <w:r>
              <w:rPr>
                <w:color w:val="1C3A36"/>
                <w:sz w:val="16"/>
              </w:rPr>
              <w:t>1,688</w:t>
            </w:r>
          </w:p>
        </w:tc>
        <w:tc>
          <w:tcPr>
            <w:tcW w:type="dxa" w:w="1426"/>
          </w:tcPr>
          <w:p>
            <w:pPr>
              <w:spacing w:after="20"/>
              <w:jc w:val="right"/>
            </w:pPr>
            <w:r>
              <w:rPr>
                <w:color w:val="1C3A36"/>
                <w:sz w:val="16"/>
              </w:rPr>
              <w:t>1,779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2,318</w:t>
            </w:r>
          </w:p>
        </w:tc>
        <w:tc>
          <w:tcPr>
            <w:tcW w:type="dxa" w:w="1426"/>
          </w:tcPr>
          <w:p>
            <w:pPr>
              <w:spacing w:after="20"/>
              <w:jc w:val="right"/>
            </w:pPr>
            <w:r>
              <w:rPr>
                <w:color w:val="1C3A36"/>
                <w:sz w:val="16"/>
              </w:rPr>
              <w:t>2,410</w:t>
            </w:r>
          </w:p>
        </w:tc>
        <w:tc>
          <w:tcPr>
            <w:tcW w:type="dxa" w:w="1426"/>
          </w:tcPr>
          <w:p>
            <w:pPr>
              <w:spacing w:after="20"/>
              <w:jc w:val="right"/>
            </w:pPr>
            <w:r>
              <w:rPr>
                <w:color w:val="1C3A36"/>
                <w:sz w:val="16"/>
              </w:rPr>
              <w:t>2,502</w:t>
            </w:r>
          </w:p>
        </w:tc>
        <w:tc>
          <w:tcPr>
            <w:tcW w:type="dxa" w:w="1426"/>
          </w:tcPr>
          <w:p>
            <w:pPr>
              <w:spacing w:after="20"/>
              <w:jc w:val="right"/>
            </w:pPr>
            <w:r>
              <w:rPr>
                <w:color w:val="1C3A36"/>
                <w:sz w:val="16"/>
              </w:rPr>
              <w:t>2,610</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108</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298</w:t>
            </w:r>
          </w:p>
        </w:tc>
        <w:tc>
          <w:tcPr>
            <w:tcW w:type="dxa" w:w="1426"/>
            <w:shd w:val="clear" w:color="auto" w:fill="F6F1E6"/>
          </w:tcPr>
          <w:p>
            <w:pPr>
              <w:spacing w:after="20"/>
              <w:jc w:val="right"/>
            </w:pPr>
            <w:r>
              <w:rPr>
                <w:b/>
                <w:color w:val="1C3A36"/>
                <w:sz w:val="16"/>
              </w:rPr>
              <w:t>-156</w:t>
            </w:r>
          </w:p>
        </w:tc>
        <w:tc>
          <w:tcPr>
            <w:tcW w:type="dxa" w:w="1426"/>
            <w:shd w:val="clear" w:color="auto" w:fill="F6F1E6"/>
          </w:tcPr>
          <w:p>
            <w:pPr>
              <w:spacing w:after="20"/>
              <w:jc w:val="right"/>
            </w:pPr>
            <w:r>
              <w:rPr>
                <w:b/>
                <w:color w:val="1C3A36"/>
                <w:sz w:val="16"/>
              </w:rPr>
              <w:t>-219</w:t>
            </w:r>
          </w:p>
        </w:tc>
        <w:tc>
          <w:tcPr>
            <w:tcW w:type="dxa" w:w="1426"/>
            <w:shd w:val="clear" w:color="auto" w:fill="F6F1E6"/>
          </w:tcPr>
          <w:p>
            <w:pPr>
              <w:spacing w:after="20"/>
              <w:jc w:val="right"/>
            </w:pPr>
            <w:r>
              <w:rPr>
                <w:b/>
                <w:color w:val="1C3A36"/>
                <w:sz w:val="16"/>
              </w:rPr>
              <w:t>450</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11,352</w:t>
            </w:r>
          </w:p>
        </w:tc>
        <w:tc>
          <w:tcPr>
            <w:tcW w:type="dxa" w:w="2016"/>
          </w:tcPr>
          <w:p>
            <w:pPr>
              <w:spacing w:after="20"/>
              <w:jc w:val="right"/>
            </w:pPr>
            <w:r>
              <w:rPr>
                <w:color w:val="1C3A36"/>
                <w:sz w:val="16"/>
              </w:rPr>
              <w:t>11,406</w:t>
            </w:r>
          </w:p>
        </w:tc>
        <w:tc>
          <w:tcPr>
            <w:tcW w:type="dxa" w:w="2016"/>
          </w:tcPr>
          <w:p>
            <w:pPr>
              <w:spacing w:after="20"/>
              <w:jc w:val="right"/>
            </w:pPr>
            <w:r>
              <w:rPr>
                <w:color w:val="1C3A36"/>
                <w:sz w:val="16"/>
              </w:rPr>
              <w:t>11,654</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4,340</w:t>
            </w:r>
          </w:p>
        </w:tc>
        <w:tc>
          <w:tcPr>
            <w:tcW w:type="dxa" w:w="2016"/>
          </w:tcPr>
          <w:p>
            <w:pPr>
              <w:spacing w:after="20"/>
              <w:jc w:val="right"/>
            </w:pPr>
            <w:r>
              <w:rPr>
                <w:color w:val="1C3A36"/>
                <w:sz w:val="16"/>
              </w:rPr>
              <w:t>4,000</w:t>
            </w:r>
          </w:p>
        </w:tc>
        <w:tc>
          <w:tcPr>
            <w:tcW w:type="dxa" w:w="2016"/>
          </w:tcPr>
          <w:p>
            <w:pPr>
              <w:spacing w:after="20"/>
              <w:jc w:val="right"/>
            </w:pPr>
            <w:r>
              <w:rPr>
                <w:color w:val="1C3A36"/>
                <w:sz w:val="16"/>
              </w:rPr>
              <w:t>3,848</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4,006</w:t>
            </w:r>
          </w:p>
        </w:tc>
        <w:tc>
          <w:tcPr>
            <w:tcW w:type="dxa" w:w="2016"/>
            <w:shd w:val="clear" w:color="auto" w:fill="F6F1E6"/>
          </w:tcPr>
          <w:p>
            <w:pPr>
              <w:spacing w:after="20"/>
              <w:jc w:val="right"/>
            </w:pPr>
            <w:r>
              <w:rPr>
                <w:b/>
                <w:color w:val="1C3A36"/>
                <w:sz w:val="16"/>
              </w:rPr>
              <w:t>3,755</w:t>
            </w:r>
          </w:p>
        </w:tc>
        <w:tc>
          <w:tcPr>
            <w:tcW w:type="dxa" w:w="2016"/>
            <w:shd w:val="clear" w:color="auto" w:fill="F6F1E6"/>
          </w:tcPr>
          <w:p>
            <w:pPr>
              <w:spacing w:after="20"/>
              <w:jc w:val="right"/>
            </w:pPr>
            <w:r>
              <w:rPr>
                <w:b/>
                <w:color w:val="1C3A36"/>
                <w:sz w:val="16"/>
              </w:rPr>
              <w:t>3,684</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1,214</w:t>
            </w:r>
          </w:p>
        </w:tc>
        <w:tc>
          <w:tcPr>
            <w:tcW w:type="dxa" w:w="2016"/>
          </w:tcPr>
          <w:p>
            <w:pPr>
              <w:spacing w:after="20"/>
              <w:jc w:val="right"/>
            </w:pPr>
            <w:r>
              <w:rPr>
                <w:color w:val="1C3A36"/>
                <w:sz w:val="16"/>
              </w:rPr>
              <w:t>405</w:t>
            </w:r>
          </w:p>
        </w:tc>
        <w:tc>
          <w:tcPr>
            <w:tcW w:type="dxa" w:w="2016"/>
          </w:tcPr>
          <w:p>
            <w:pPr>
              <w:spacing w:after="20"/>
              <w:jc w:val="right"/>
            </w:pPr>
            <w:r>
              <w:rPr>
                <w:color w:val="1C3A36"/>
                <w:sz w:val="16"/>
              </w:rPr>
              <w:t>945</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13,343</w:t>
            </w:r>
          </w:p>
        </w:tc>
        <w:tc>
          <w:tcPr>
            <w:tcW w:type="dxa" w:w="2016"/>
          </w:tcPr>
          <w:p>
            <w:pPr>
              <w:spacing w:after="20"/>
              <w:jc w:val="right"/>
            </w:pPr>
            <w:r>
              <w:rPr>
                <w:color w:val="1C3A36"/>
                <w:sz w:val="16"/>
              </w:rPr>
              <w:t>13,692</w:t>
            </w:r>
          </w:p>
        </w:tc>
        <w:tc>
          <w:tcPr>
            <w:tcW w:type="dxa" w:w="2016"/>
          </w:tcPr>
          <w:p>
            <w:pPr>
              <w:spacing w:after="20"/>
              <w:jc w:val="right"/>
            </w:pPr>
            <w:r>
              <w:rPr>
                <w:color w:val="1C3A36"/>
                <w:sz w:val="16"/>
              </w:rPr>
              <w:t>15,490</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1,135</w:t>
            </w:r>
          </w:p>
        </w:tc>
        <w:tc>
          <w:tcPr>
            <w:tcW w:type="dxa" w:w="2016"/>
          </w:tcPr>
          <w:p>
            <w:pPr>
              <w:spacing w:after="20"/>
              <w:jc w:val="right"/>
            </w:pPr>
            <w:r>
              <w:rPr>
                <w:color w:val="1C3A36"/>
                <w:sz w:val="16"/>
              </w:rPr>
              <w:t>901</w:t>
            </w:r>
          </w:p>
        </w:tc>
        <w:tc>
          <w:tcPr>
            <w:tcW w:type="dxa" w:w="2016"/>
          </w:tcPr>
          <w:p>
            <w:pPr>
              <w:spacing w:after="20"/>
              <w:jc w:val="right"/>
            </w:pPr>
            <w:r>
              <w:rPr>
                <w:color w:val="1C3A36"/>
                <w:sz w:val="16"/>
              </w:rPr>
              <w:t>326</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8,683</w:t>
            </w:r>
          </w:p>
        </w:tc>
        <w:tc>
          <w:tcPr>
            <w:tcW w:type="dxa" w:w="2016"/>
            <w:shd w:val="clear" w:color="auto" w:fill="F6F1E6"/>
          </w:tcPr>
          <w:p>
            <w:pPr>
              <w:spacing w:after="20"/>
              <w:jc w:val="right"/>
            </w:pPr>
            <w:r>
              <w:rPr>
                <w:b/>
                <w:color w:val="1C3A36"/>
                <w:sz w:val="16"/>
              </w:rPr>
              <w:t>7,255</w:t>
            </w:r>
          </w:p>
        </w:tc>
        <w:tc>
          <w:tcPr>
            <w:tcW w:type="dxa" w:w="2016"/>
            <w:shd w:val="clear" w:color="auto" w:fill="F6F1E6"/>
          </w:tcPr>
          <w:p>
            <w:pPr>
              <w:spacing w:after="20"/>
              <w:jc w:val="right"/>
            </w:pPr>
            <w:r>
              <w:rPr>
                <w:b/>
                <w:color w:val="1C3A36"/>
                <w:sz w:val="16"/>
              </w:rPr>
              <w:t>5,182</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297</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8,790</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4,716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4,240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5,192</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3,537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1.96 a share.</w:t>
      </w:r>
    </w:p>
    <w:p>
      <w:pPr>
        <w:spacing w:after="120" w:before="0"/>
      </w:pPr>
      <w:r>
        <w:rPr>
          <w:b w:val="0"/>
          <w:i w:val="0"/>
          <w:color w:val="1C3A36"/>
          <w:sz w:val="19"/>
        </w:rPr>
        <w:t>On both sides of the contested judgement.  With the programme carried through the claim is worth EGP 1.78 a share (EGP 0.00 to 1.96 across the volatility range); with the programme stopped the enterprise value rises to EGP 16,841 million and the same claim is worth EGP 4.54 (EGP 4.41 to 4.70).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8,790m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0.80 a share, and at 60% over seven years EGP 2.47.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0.80</w:t>
            </w:r>
          </w:p>
        </w:tc>
        <w:tc>
          <w:tcPr>
            <w:tcW w:type="dxa" w:w="1541"/>
          </w:tcPr>
          <w:p>
            <w:pPr>
              <w:spacing w:after="20"/>
              <w:jc w:val="right"/>
            </w:pPr>
            <w:r>
              <w:rPr>
                <w:color w:val="1C3A36"/>
                <w:sz w:val="17"/>
              </w:rPr>
              <w:t>0.91</w:t>
            </w:r>
          </w:p>
        </w:tc>
        <w:tc>
          <w:tcPr>
            <w:tcW w:type="dxa" w:w="1541"/>
          </w:tcPr>
          <w:p>
            <w:pPr>
              <w:spacing w:after="20"/>
              <w:jc w:val="right"/>
            </w:pPr>
            <w:r>
              <w:rPr>
                <w:color w:val="1C3A36"/>
                <w:sz w:val="17"/>
              </w:rPr>
              <w:t>1.11</w:t>
            </w:r>
          </w:p>
        </w:tc>
        <w:tc>
          <w:tcPr>
            <w:tcW w:type="dxa" w:w="1541"/>
          </w:tcPr>
          <w:p>
            <w:pPr>
              <w:spacing w:after="20"/>
              <w:jc w:val="right"/>
            </w:pPr>
            <w:r>
              <w:rPr>
                <w:color w:val="1C3A36"/>
                <w:sz w:val="17"/>
              </w:rPr>
              <w:t>1.31</w:t>
            </w:r>
          </w:p>
        </w:tc>
        <w:tc>
          <w:tcPr>
            <w:tcW w:type="dxa" w:w="1541"/>
          </w:tcPr>
          <w:p>
            <w:pPr>
              <w:spacing w:after="20"/>
              <w:jc w:val="right"/>
            </w:pPr>
            <w:r>
              <w:rPr>
                <w:color w:val="1C3A36"/>
                <w:sz w:val="17"/>
              </w:rPr>
              <w:t>1.41</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1.51</w:t>
            </w:r>
          </w:p>
        </w:tc>
        <w:tc>
          <w:tcPr>
            <w:tcW w:type="dxa" w:w="1541"/>
          </w:tcPr>
          <w:p>
            <w:pPr>
              <w:spacing w:after="20"/>
              <w:jc w:val="right"/>
            </w:pPr>
            <w:r>
              <w:rPr>
                <w:color w:val="1C3A36"/>
                <w:sz w:val="17"/>
              </w:rPr>
              <w:t>1.60</w:t>
            </w:r>
          </w:p>
        </w:tc>
        <w:tc>
          <w:tcPr>
            <w:tcW w:type="dxa" w:w="1541"/>
          </w:tcPr>
          <w:p>
            <w:pPr>
              <w:spacing w:after="20"/>
              <w:jc w:val="right"/>
            </w:pPr>
            <w:r>
              <w:rPr>
                <w:color w:val="1C3A36"/>
                <w:sz w:val="17"/>
              </w:rPr>
              <w:t>1.78</w:t>
            </w:r>
          </w:p>
        </w:tc>
        <w:tc>
          <w:tcPr>
            <w:tcW w:type="dxa" w:w="1541"/>
          </w:tcPr>
          <w:p>
            <w:pPr>
              <w:spacing w:after="20"/>
              <w:jc w:val="right"/>
            </w:pPr>
            <w:r>
              <w:rPr>
                <w:color w:val="1C3A36"/>
                <w:sz w:val="17"/>
              </w:rPr>
              <w:t>1.96</w:t>
            </w:r>
          </w:p>
        </w:tc>
        <w:tc>
          <w:tcPr>
            <w:tcW w:type="dxa" w:w="1541"/>
          </w:tcPr>
          <w:p>
            <w:pPr>
              <w:spacing w:after="20"/>
              <w:jc w:val="right"/>
            </w:pPr>
            <w:r>
              <w:rPr>
                <w:color w:val="1C3A36"/>
                <w:sz w:val="17"/>
              </w:rPr>
              <w:t>2.05</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2.06</w:t>
            </w:r>
          </w:p>
        </w:tc>
        <w:tc>
          <w:tcPr>
            <w:tcW w:type="dxa" w:w="1541"/>
          </w:tcPr>
          <w:p>
            <w:pPr>
              <w:spacing w:after="20"/>
              <w:jc w:val="right"/>
            </w:pPr>
            <w:r>
              <w:rPr>
                <w:color w:val="1C3A36"/>
                <w:sz w:val="17"/>
              </w:rPr>
              <w:t>2.12</w:t>
            </w:r>
          </w:p>
        </w:tc>
        <w:tc>
          <w:tcPr>
            <w:tcW w:type="dxa" w:w="1541"/>
          </w:tcPr>
          <w:p>
            <w:pPr>
              <w:spacing w:after="20"/>
              <w:jc w:val="right"/>
            </w:pPr>
            <w:r>
              <w:rPr>
                <w:color w:val="1C3A36"/>
                <w:sz w:val="17"/>
              </w:rPr>
              <w:t>2.26</w:t>
            </w:r>
          </w:p>
        </w:tc>
        <w:tc>
          <w:tcPr>
            <w:tcW w:type="dxa" w:w="1541"/>
          </w:tcPr>
          <w:p>
            <w:pPr>
              <w:spacing w:after="20"/>
              <w:jc w:val="right"/>
            </w:pPr>
            <w:r>
              <w:rPr>
                <w:color w:val="1C3A36"/>
                <w:sz w:val="17"/>
              </w:rPr>
              <w:t>2.40</w:t>
            </w:r>
          </w:p>
        </w:tc>
        <w:tc>
          <w:tcPr>
            <w:tcW w:type="dxa" w:w="1541"/>
          </w:tcPr>
          <w:p>
            <w:pPr>
              <w:spacing w:after="20"/>
              <w:jc w:val="right"/>
            </w:pPr>
            <w:r>
              <w:rPr>
                <w:color w:val="1C3A36"/>
                <w:sz w:val="17"/>
              </w:rPr>
              <w:t>2.47</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1.60 a share, at 55% EGP 1.96.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0.82</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1.86</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0.63</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-14.61</w:t>
            </w:r>
          </w:p>
        </w:tc>
        <w:tc>
          <w:tcPr>
            <w:tcW w:type="dxa" w:w="5904"/>
          </w:tcPr>
          <w:p>
            <w:pPr>
              <w:spacing w:after="20"/>
            </w:pPr>
            <w:r>
              <w:rPr>
                <w:color w:val="1C3A36"/>
                <w:sz w:val="16"/>
              </w:rPr>
              <w:t>The discount rate, and only the discount rate. At about 7.8%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1.49</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297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