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Arabian Cement Company S.A.E. (EGX: ARCC)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What this study is built on</w:t>
      </w:r>
    </w:p>
    <w:p>
      <w:pPr>
        <w:spacing w:after="100" w:before="0"/>
      </w:pPr>
      <w:r>
        <w:rPr>
          <w:b w:val="0"/>
          <w:i w:val="0"/>
          <w:color w:val="1C3A36"/>
          <w:sz w:val="19"/>
        </w:rPr>
        <w:t>The audited consolidated financial statements. That is a change from the first edition of this work, and the change is worth stating at the top rather than buried.</w:t>
      </w:r>
    </w:p>
    <w:p>
      <w:pPr>
        <w:spacing w:after="100" w:before="0"/>
      </w:pPr>
      <w:r>
        <w:rPr>
          <w:b w:val="0"/>
          <w:i w:val="0"/>
          <w:color w:val="1C3A36"/>
          <w:sz w:val="19"/>
        </w:rPr>
        <w:t>The first edition was written without opening a source document: every outbound request was refused by the network policy in force, so every company figure reached the model as relayed in a web-search summary of reporting about the accounts — two steps from the audited print, not one. Four documents were subsequently supplied and this edition is rebuilt on them line by line:</w:t>
      </w:r>
    </w:p>
    <w:p>
      <w:pPr>
        <w:spacing w:after="100" w:before="0"/>
      </w:pPr>
      <w:r>
        <w:rPr>
          <w:b w:val="0"/>
          <w:i w:val="0"/>
          <w:color w:val="1C3A36"/>
          <w:sz w:val="19"/>
        </w:rPr>
        <w:t xml:space="preserve">   •  Consolidated financial statements for the year ended 31 December 2025, audited by Deloitte (Wafik, Ramy &amp; Partners), unqualified opinion signed in Cairo on 25 February 2026. 47 pages including 33 notes.</w:t>
      </w:r>
    </w:p>
    <w:p>
      <w:pPr>
        <w:spacing w:after="100" w:before="0"/>
      </w:pPr>
      <w:r>
        <w:rPr>
          <w:b w:val="0"/>
          <w:i w:val="0"/>
          <w:color w:val="1C3A36"/>
          <w:sz w:val="19"/>
        </w:rPr>
        <w:t xml:space="preserve">   •  Consolidated financial statements for the year ended 31 December 2024, same auditor, unqualified opinion signed 23 March 2025, carrying the FY2023 comparatives.</w:t>
      </w:r>
    </w:p>
    <w:p>
      <w:pPr>
        <w:spacing w:after="100" w:before="0"/>
      </w:pPr>
      <w:r>
        <w:rPr>
          <w:b w:val="0"/>
          <w:i w:val="0"/>
          <w:color w:val="1C3A36"/>
          <w:sz w:val="19"/>
        </w:rPr>
        <w:t xml:space="preserve">   •  Consolidated financial statements for the year ended 31 December 2023.</w:t>
      </w:r>
    </w:p>
    <w:p>
      <w:pPr>
        <w:spacing w:after="100" w:before="0"/>
      </w:pPr>
      <w:r>
        <w:rPr>
          <w:b w:val="0"/>
          <w:i w:val="0"/>
          <w:color w:val="1C3A36"/>
          <w:sz w:val="19"/>
        </w:rPr>
        <w:t xml:space="preserve">   •  Condensed consolidated interim financial statements for the three months ended 31 March 2026, limited review by the same auditor, concluded 25 May 2026.</w:t>
      </w:r>
    </w:p>
    <w:p>
      <w:pPr>
        <w:spacing w:after="100" w:before="0"/>
      </w:pPr>
      <w:r>
        <w:rPr>
          <w:b w:val="0"/>
          <w:i w:val="0"/>
          <w:color w:val="1C3A36"/>
          <w:sz w:val="19"/>
        </w:rPr>
        <w:t>Every figure in the input register below that carries a Company ring is now read from one of those four documents, with the note number given. Nothing historical is reconstructed. What remains estimated is named in section 3 and is short: two prices, a set of forecast paths, and the cost-of-capital parameters.</w:t>
      </w:r>
    </w:p>
    <w:p>
      <w:pPr>
        <w:spacing w:after="100" w:before="0"/>
      </w:pPr>
      <w:r>
        <w:rPr>
          <w:b w:val="0"/>
          <w:i w:val="0"/>
          <w:color w:val="1C3A36"/>
          <w:sz w:val="19"/>
        </w:rPr>
        <w:t>Four things the reconstructed edition got materially wrong, recorded because they show where reconstruction fails rather than to dwell on it: non-controlling interests were deducted at EGP 150mn against an audited EGP 158,005; the effective tax rate was inferred at 29.43% against a disclosed 23.82%; the cost of debt was assumed at 21.5% against a 91%-euro-denominated book contracted at about 7.5%; and kiln capacity was assumed at 3.6Mt against a disclosed 4.2Mt. Three things it got right and are now confirmed: the share count of 374,867,445, FY2025 operating income of EGP 4,595.82mn to the pound, and total liabilities of EGP 4,140.99mn — which it DERIVED as assets less equity after rejecting an aggregator print of EGP 2,894.13mn that would not close. That print turns out to be total CURRENT liabilities.</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448"/>
        <w:gridCol w:w="1325"/>
        <w:gridCol w:w="1066"/>
        <w:gridCol w:w="7171"/>
        <w:gridCol w:w="1210"/>
      </w:tblGrid>
      <w:tr>
        <w:tc>
          <w:tcPr>
            <w:tcW w:type="dxa" w:w="432"/>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171"/>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59</w:t>
            </w:r>
          </w:p>
        </w:tc>
        <w:tc>
          <w:tcPr>
            <w:tcW w:type="dxa" w:w="1066"/>
          </w:tcPr>
          <w:p>
            <w:pPr>
              <w:spacing w:after="20"/>
            </w:pPr>
            <w:r>
              <w:rPr>
                <w:color w:val="1C3A36"/>
                <w:sz w:val="14"/>
              </w:rPr>
              <w:t>Market</w:t>
            </w:r>
          </w:p>
        </w:tc>
        <w:tc>
          <w:tcPr>
            <w:tcW w:type="dxa" w:w="7171"/>
          </w:tcPr>
          <w:p>
            <w:pPr>
              <w:spacing w:after="20"/>
            </w:pPr>
            <w:r>
              <w:rPr>
                <w:color w:val="1C3A36"/>
                <w:sz w:val="14"/>
              </w:rPr>
              <w:t>Closing price 06-Aug-2026 from the supplied EGX daily series (open 58.40, high 59.90, low 58.25)</w:t>
            </w:r>
          </w:p>
        </w:tc>
        <w:tc>
          <w:tcPr>
            <w:tcW w:type="dxa" w:w="1210"/>
          </w:tcPr>
          <w:p>
            <w:pPr>
              <w:spacing w:after="20"/>
            </w:pPr>
            <w:r>
              <w:rPr>
                <w:color w:val="1C3A36"/>
                <w:sz w:val="14"/>
              </w:rPr>
              <w:t>2026-08-06</w:t>
            </w:r>
          </w:p>
        </w:tc>
      </w:tr>
      <w:tr>
        <w:tc>
          <w:tcPr>
            <w:tcW w:type="dxa" w:w="432"/>
          </w:tcPr>
          <w:p>
            <w:pPr>
              <w:spacing w:after="20"/>
            </w:pPr>
            <w:r>
              <w:rPr>
                <w:color w:val="1C3A36"/>
                <w:sz w:val="14"/>
              </w:rPr>
              <w:t>2</w:t>
            </w:r>
          </w:p>
        </w:tc>
        <w:tc>
          <w:tcPr>
            <w:tcW w:type="dxa" w:w="2448"/>
          </w:tcPr>
          <w:p>
            <w:pPr>
              <w:spacing w:after="20"/>
            </w:pPr>
            <w:r>
              <w:rPr>
                <w:color w:val="1C3A36"/>
                <w:sz w:val="14"/>
              </w:rPr>
              <w:t>auc_fy25</w:t>
            </w:r>
          </w:p>
        </w:tc>
        <w:tc>
          <w:tcPr>
            <w:tcW w:type="dxa" w:w="1325"/>
          </w:tcPr>
          <w:p>
            <w:pPr>
              <w:spacing w:after="20"/>
            </w:pPr>
            <w:r>
              <w:rPr>
                <w:color w:val="1C3A36"/>
                <w:sz w:val="14"/>
              </w:rPr>
              <w:t>391.5438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assets under construction, note 13: alternative-fuel system for production line 2 EGP 240.235mn, new steel cement silo for line 1 EGP 146.239mn</w:t>
            </w:r>
          </w:p>
        </w:tc>
        <w:tc>
          <w:tcPr>
            <w:tcW w:type="dxa" w:w="1210"/>
          </w:tcPr>
          <w:p>
            <w:pPr>
              <w:spacing w:after="20"/>
            </w:pPr>
            <w:r>
              <w:rPr>
                <w:color w:val="1C3A36"/>
                <w:sz w:val="14"/>
              </w:rPr>
              <w:t>2025-12-31</w:t>
            </w:r>
          </w:p>
        </w:tc>
      </w:tr>
      <w:tr>
        <w:tc>
          <w:tcPr>
            <w:tcW w:type="dxa" w:w="432"/>
          </w:tcPr>
          <w:p>
            <w:pPr>
              <w:spacing w:after="20"/>
            </w:pPr>
            <w:r>
              <w:rPr>
                <w:color w:val="1C3A36"/>
                <w:sz w:val="14"/>
              </w:rPr>
              <w:t>3</w:t>
            </w:r>
          </w:p>
        </w:tc>
        <w:tc>
          <w:tcPr>
            <w:tcW w:type="dxa" w:w="2448"/>
          </w:tcPr>
          <w:p>
            <w:pPr>
              <w:spacing w:after="20"/>
            </w:pPr>
            <w:r>
              <w:rPr>
                <w:color w:val="1C3A36"/>
                <w:sz w:val="14"/>
              </w:rPr>
              <w:t>cap_cement_mt</w:t>
            </w:r>
          </w:p>
        </w:tc>
        <w:tc>
          <w:tcPr>
            <w:tcW w:type="dxa" w:w="1325"/>
          </w:tcPr>
          <w:p>
            <w:pPr>
              <w:spacing w:after="20"/>
            </w:pPr>
            <w:r>
              <w:rPr>
                <w:color w:val="1C3A36"/>
                <w:sz w:val="14"/>
              </w:rPr>
              <w:t>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'...that can produce 5 million tons per annum of cement'</w:t>
            </w:r>
          </w:p>
        </w:tc>
        <w:tc>
          <w:tcPr>
            <w:tcW w:type="dxa" w:w="1210"/>
          </w:tcPr>
          <w:p>
            <w:pPr>
              <w:spacing w:after="20"/>
            </w:pPr>
            <w:r>
              <w:rPr>
                <w:color w:val="1C3A36"/>
                <w:sz w:val="14"/>
              </w:rPr>
              <w:t>2025-12-31</w:t>
            </w:r>
          </w:p>
        </w:tc>
      </w:tr>
      <w:tr>
        <w:tc>
          <w:tcPr>
            <w:tcW w:type="dxa" w:w="432"/>
          </w:tcPr>
          <w:p>
            <w:pPr>
              <w:spacing w:after="20"/>
            </w:pPr>
            <w:r>
              <w:rPr>
                <w:color w:val="1C3A36"/>
                <w:sz w:val="14"/>
              </w:rPr>
              <w:t>4</w:t>
            </w:r>
          </w:p>
        </w:tc>
        <w:tc>
          <w:tcPr>
            <w:tcW w:type="dxa" w:w="2448"/>
          </w:tcPr>
          <w:p>
            <w:pPr>
              <w:spacing w:after="20"/>
            </w:pPr>
            <w:r>
              <w:rPr>
                <w:color w:val="1C3A36"/>
                <w:sz w:val="14"/>
              </w:rPr>
              <w:t>cap_clinker_mt</w:t>
            </w:r>
          </w:p>
        </w:tc>
        <w:tc>
          <w:tcPr>
            <w:tcW w:type="dxa" w:w="1325"/>
          </w:tcPr>
          <w:p>
            <w:pPr>
              <w:spacing w:after="20"/>
            </w:pPr>
            <w:r>
              <w:rPr>
                <w:color w:val="1C3A36"/>
                <w:sz w:val="14"/>
              </w:rPr>
              <w:t>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1: 'a cement producer with a clinker capacity of 4.2 million tons per annum'</w:t>
            </w:r>
          </w:p>
        </w:tc>
        <w:tc>
          <w:tcPr>
            <w:tcW w:type="dxa" w:w="1210"/>
          </w:tcPr>
          <w:p>
            <w:pPr>
              <w:spacing w:after="20"/>
            </w:pPr>
            <w:r>
              <w:rPr>
                <w:color w:val="1C3A36"/>
                <w:sz w:val="14"/>
              </w:rPr>
              <w:t>2025-12-31</w:t>
            </w:r>
          </w:p>
        </w:tc>
      </w:tr>
      <w:tr>
        <w:tc>
          <w:tcPr>
            <w:tcW w:type="dxa" w:w="432"/>
          </w:tcPr>
          <w:p>
            <w:pPr>
              <w:spacing w:after="20"/>
            </w:pPr>
            <w:r>
              <w:rPr>
                <w:color w:val="1C3A36"/>
                <w:sz w:val="14"/>
              </w:rPr>
              <w:t>5</w:t>
            </w:r>
          </w:p>
        </w:tc>
        <w:tc>
          <w:tcPr>
            <w:tcW w:type="dxa" w:w="2448"/>
          </w:tcPr>
          <w:p>
            <w:pPr>
              <w:spacing w:after="20"/>
            </w:pPr>
            <w:r>
              <w:rPr>
                <w:color w:val="1C3A36"/>
                <w:sz w:val="14"/>
              </w:rPr>
              <w:t>capex_fy23</w:t>
            </w:r>
          </w:p>
        </w:tc>
        <w:tc>
          <w:tcPr>
            <w:tcW w:type="dxa" w:w="1325"/>
          </w:tcPr>
          <w:p>
            <w:pPr>
              <w:spacing w:after="20"/>
            </w:pPr>
            <w:r>
              <w:rPr>
                <w:color w:val="1C3A36"/>
                <w:sz w:val="14"/>
              </w:rPr>
              <w:t>58.544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comparative: purchases of property 56.808 plus assets under construction 1.736</w:t>
            </w:r>
          </w:p>
        </w:tc>
        <w:tc>
          <w:tcPr>
            <w:tcW w:type="dxa" w:w="1210"/>
          </w:tcPr>
          <w:p>
            <w:pPr>
              <w:spacing w:after="20"/>
            </w:pPr>
            <w:r>
              <w:rPr>
                <w:color w:val="1C3A36"/>
                <w:sz w:val="14"/>
              </w:rPr>
              <w:t>2023-12-31</w:t>
            </w:r>
          </w:p>
        </w:tc>
      </w:tr>
      <w:tr>
        <w:tc>
          <w:tcPr>
            <w:tcW w:type="dxa" w:w="432"/>
          </w:tcPr>
          <w:p>
            <w:pPr>
              <w:spacing w:after="20"/>
            </w:pPr>
            <w:r>
              <w:rPr>
                <w:color w:val="1C3A36"/>
                <w:sz w:val="14"/>
              </w:rPr>
              <w:t>6</w:t>
            </w:r>
          </w:p>
        </w:tc>
        <w:tc>
          <w:tcPr>
            <w:tcW w:type="dxa" w:w="2448"/>
          </w:tcPr>
          <w:p>
            <w:pPr>
              <w:spacing w:after="20"/>
            </w:pPr>
            <w:r>
              <w:rPr>
                <w:color w:val="1C3A36"/>
                <w:sz w:val="14"/>
              </w:rPr>
              <w:t>capex_fy24</w:t>
            </w:r>
          </w:p>
        </w:tc>
        <w:tc>
          <w:tcPr>
            <w:tcW w:type="dxa" w:w="1325"/>
          </w:tcPr>
          <w:p>
            <w:pPr>
              <w:spacing w:after="20"/>
            </w:pPr>
            <w:r>
              <w:rPr>
                <w:color w:val="1C3A36"/>
                <w:sz w:val="14"/>
              </w:rPr>
              <w:t>912.0154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comparative: 206.543 plus 705.473</w:t>
            </w:r>
          </w:p>
        </w:tc>
        <w:tc>
          <w:tcPr>
            <w:tcW w:type="dxa" w:w="1210"/>
          </w:tcPr>
          <w:p>
            <w:pPr>
              <w:spacing w:after="20"/>
            </w:pPr>
            <w:r>
              <w:rPr>
                <w:color w:val="1C3A36"/>
                <w:sz w:val="14"/>
              </w:rPr>
              <w:t>2024-12-31</w:t>
            </w:r>
          </w:p>
        </w:tc>
      </w:tr>
      <w:tr>
        <w:tc>
          <w:tcPr>
            <w:tcW w:type="dxa" w:w="432"/>
          </w:tcPr>
          <w:p>
            <w:pPr>
              <w:spacing w:after="20"/>
            </w:pPr>
            <w:r>
              <w:rPr>
                <w:color w:val="1C3A36"/>
                <w:sz w:val="14"/>
              </w:rPr>
              <w:t>7</w:t>
            </w:r>
          </w:p>
        </w:tc>
        <w:tc>
          <w:tcPr>
            <w:tcW w:type="dxa" w:w="2448"/>
          </w:tcPr>
          <w:p>
            <w:pPr>
              <w:spacing w:after="20"/>
            </w:pPr>
            <w:r>
              <w:rPr>
                <w:color w:val="1C3A36"/>
                <w:sz w:val="14"/>
              </w:rPr>
              <w:t>capex_fy25</w:t>
            </w:r>
          </w:p>
        </w:tc>
        <w:tc>
          <w:tcPr>
            <w:tcW w:type="dxa" w:w="1325"/>
          </w:tcPr>
          <w:p>
            <w:pPr>
              <w:spacing w:after="20"/>
            </w:pPr>
            <w:r>
              <w:rPr>
                <w:color w:val="1C3A36"/>
                <w:sz w:val="14"/>
              </w:rPr>
              <w:t>796.4708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purchases of property 329.893 plus assets under construction 466.578</w:t>
            </w:r>
          </w:p>
        </w:tc>
        <w:tc>
          <w:tcPr>
            <w:tcW w:type="dxa" w:w="1210"/>
          </w:tcPr>
          <w:p>
            <w:pPr>
              <w:spacing w:after="20"/>
            </w:pPr>
            <w:r>
              <w:rPr>
                <w:color w:val="1C3A36"/>
                <w:sz w:val="14"/>
              </w:rPr>
              <w:t>2025-12-31</w:t>
            </w:r>
          </w:p>
        </w:tc>
      </w:tr>
      <w:tr>
        <w:tc>
          <w:tcPr>
            <w:tcW w:type="dxa" w:w="432"/>
          </w:tcPr>
          <w:p>
            <w:pPr>
              <w:spacing w:after="20"/>
            </w:pPr>
            <w:r>
              <w:rPr>
                <w:color w:val="1C3A36"/>
                <w:sz w:val="14"/>
              </w:rPr>
              <w:t>8</w:t>
            </w:r>
          </w:p>
        </w:tc>
        <w:tc>
          <w:tcPr>
            <w:tcW w:type="dxa" w:w="2448"/>
          </w:tcPr>
          <w:p>
            <w:pPr>
              <w:spacing w:after="20"/>
            </w:pPr>
            <w:r>
              <w:rPr>
                <w:color w:val="1C3A36"/>
                <w:sz w:val="14"/>
              </w:rPr>
              <w:t>cash_fy23</w:t>
            </w:r>
          </w:p>
        </w:tc>
        <w:tc>
          <w:tcPr>
            <w:tcW w:type="dxa" w:w="1325"/>
          </w:tcPr>
          <w:p>
            <w:pPr>
              <w:spacing w:after="20"/>
            </w:pPr>
            <w:r>
              <w:rPr>
                <w:color w:val="1C3A36"/>
                <w:sz w:val="14"/>
              </w:rPr>
              <w:t>561.0997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and bank balances, comparative</w:t>
            </w:r>
          </w:p>
        </w:tc>
        <w:tc>
          <w:tcPr>
            <w:tcW w:type="dxa" w:w="1210"/>
          </w:tcPr>
          <w:p>
            <w:pPr>
              <w:spacing w:after="20"/>
            </w:pPr>
            <w:r>
              <w:rPr>
                <w:color w:val="1C3A36"/>
                <w:sz w:val="14"/>
              </w:rPr>
              <w:t>2023-12-31</w:t>
            </w:r>
          </w:p>
        </w:tc>
      </w:tr>
      <w:tr>
        <w:tc>
          <w:tcPr>
            <w:tcW w:type="dxa" w:w="432"/>
          </w:tcPr>
          <w:p>
            <w:pPr>
              <w:spacing w:after="20"/>
            </w:pPr>
            <w:r>
              <w:rPr>
                <w:color w:val="1C3A36"/>
                <w:sz w:val="14"/>
              </w:rPr>
              <w:t>9</w:t>
            </w:r>
          </w:p>
        </w:tc>
        <w:tc>
          <w:tcPr>
            <w:tcW w:type="dxa" w:w="2448"/>
          </w:tcPr>
          <w:p>
            <w:pPr>
              <w:spacing w:after="20"/>
            </w:pPr>
            <w:r>
              <w:rPr>
                <w:color w:val="1C3A36"/>
                <w:sz w:val="14"/>
              </w:rPr>
              <w:t>cash_fy24</w:t>
            </w:r>
          </w:p>
        </w:tc>
        <w:tc>
          <w:tcPr>
            <w:tcW w:type="dxa" w:w="1325"/>
          </w:tcPr>
          <w:p>
            <w:pPr>
              <w:spacing w:after="20"/>
            </w:pPr>
            <w:r>
              <w:rPr>
                <w:color w:val="1C3A36"/>
                <w:sz w:val="14"/>
              </w:rPr>
              <w:t>1,687.0629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10</w:t>
            </w:r>
          </w:p>
        </w:tc>
        <w:tc>
          <w:tcPr>
            <w:tcW w:type="dxa" w:w="2448"/>
          </w:tcPr>
          <w:p>
            <w:pPr>
              <w:spacing w:after="20"/>
            </w:pPr>
            <w:r>
              <w:rPr>
                <w:color w:val="1C3A36"/>
                <w:sz w:val="14"/>
              </w:rPr>
              <w:t>cash_fy25</w:t>
            </w:r>
          </w:p>
        </w:tc>
        <w:tc>
          <w:tcPr>
            <w:tcW w:type="dxa" w:w="1325"/>
          </w:tcPr>
          <w:p>
            <w:pPr>
              <w:spacing w:after="20"/>
            </w:pPr>
            <w:r>
              <w:rPr>
                <w:color w:val="1C3A36"/>
                <w:sz w:val="14"/>
              </w:rPr>
              <w:t>3,459.3912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and bank balances, note 19: local-currency current accounts 1,839.630, foreign-currency current accounts 1,599.702, deposits 8.733, cash in hand 11.325</w:t>
            </w:r>
          </w:p>
        </w:tc>
        <w:tc>
          <w:tcPr>
            <w:tcW w:type="dxa" w:w="1210"/>
          </w:tcPr>
          <w:p>
            <w:pPr>
              <w:spacing w:after="20"/>
            </w:pPr>
            <w:r>
              <w:rPr>
                <w:color w:val="1C3A36"/>
                <w:sz w:val="14"/>
              </w:rPr>
              <w:t>2025-12-31</w:t>
            </w:r>
          </w:p>
        </w:tc>
      </w:tr>
      <w:tr>
        <w:tc>
          <w:tcPr>
            <w:tcW w:type="dxa" w:w="432"/>
          </w:tcPr>
          <w:p>
            <w:pPr>
              <w:spacing w:after="20"/>
            </w:pPr>
            <w:r>
              <w:rPr>
                <w:color w:val="1C3A36"/>
                <w:sz w:val="14"/>
              </w:rPr>
              <w:t>11</w:t>
            </w:r>
          </w:p>
        </w:tc>
        <w:tc>
          <w:tcPr>
            <w:tcW w:type="dxa" w:w="2448"/>
          </w:tcPr>
          <w:p>
            <w:pPr>
              <w:spacing w:after="20"/>
            </w:pPr>
            <w:r>
              <w:rPr>
                <w:color w:val="1C3A36"/>
                <w:sz w:val="14"/>
              </w:rPr>
              <w:t>cash_q1_26</w:t>
            </w:r>
          </w:p>
        </w:tc>
        <w:tc>
          <w:tcPr>
            <w:tcW w:type="dxa" w:w="1325"/>
          </w:tcPr>
          <w:p>
            <w:pPr>
              <w:spacing w:after="20"/>
            </w:pPr>
            <w:r>
              <w:rPr>
                <w:color w:val="1C3A36"/>
                <w:sz w:val="14"/>
              </w:rPr>
              <w:t>4,379.6274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cash and bank balances</w:t>
            </w:r>
          </w:p>
        </w:tc>
        <w:tc>
          <w:tcPr>
            <w:tcW w:type="dxa" w:w="1210"/>
          </w:tcPr>
          <w:p>
            <w:pPr>
              <w:spacing w:after="20"/>
            </w:pPr>
            <w:r>
              <w:rPr>
                <w:color w:val="1C3A36"/>
                <w:sz w:val="14"/>
              </w:rPr>
              <w:t>2026-03-31</w:t>
            </w:r>
          </w:p>
        </w:tc>
      </w:tr>
      <w:tr>
        <w:tc>
          <w:tcPr>
            <w:tcW w:type="dxa" w:w="432"/>
          </w:tcPr>
          <w:p>
            <w:pPr>
              <w:spacing w:after="20"/>
            </w:pPr>
            <w:r>
              <w:rPr>
                <w:color w:val="1C3A36"/>
                <w:sz w:val="14"/>
              </w:rPr>
              <w:t>12</w:t>
            </w:r>
          </w:p>
        </w:tc>
        <w:tc>
          <w:tcPr>
            <w:tcW w:type="dxa" w:w="2448"/>
          </w:tcPr>
          <w:p>
            <w:pPr>
              <w:spacing w:after="20"/>
            </w:pPr>
            <w:r>
              <w:rPr>
                <w:color w:val="1C3A36"/>
                <w:sz w:val="14"/>
              </w:rPr>
              <w:t>cogs_fy23</w:t>
            </w:r>
          </w:p>
        </w:tc>
        <w:tc>
          <w:tcPr>
            <w:tcW w:type="dxa" w:w="1325"/>
          </w:tcPr>
          <w:p>
            <w:pPr>
              <w:spacing w:after="20"/>
            </w:pPr>
            <w:r>
              <w:rPr>
                <w:color w:val="1C3A36"/>
                <w:sz w:val="14"/>
              </w:rPr>
              <w:t>4,759.8152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cost of sales,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13</w:t>
            </w:r>
          </w:p>
        </w:tc>
        <w:tc>
          <w:tcPr>
            <w:tcW w:type="dxa" w:w="2448"/>
          </w:tcPr>
          <w:p>
            <w:pPr>
              <w:spacing w:after="20"/>
            </w:pPr>
            <w:r>
              <w:rPr>
                <w:color w:val="1C3A36"/>
                <w:sz w:val="14"/>
              </w:rPr>
              <w:t>cogs_fy24</w:t>
            </w:r>
          </w:p>
        </w:tc>
        <w:tc>
          <w:tcPr>
            <w:tcW w:type="dxa" w:w="1325"/>
          </w:tcPr>
          <w:p>
            <w:pPr>
              <w:spacing w:after="20"/>
            </w:pPr>
            <w:r>
              <w:rPr>
                <w:color w:val="1C3A36"/>
                <w:sz w:val="14"/>
              </w:rPr>
              <w:t>6,642.9725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14</w:t>
            </w:r>
          </w:p>
        </w:tc>
        <w:tc>
          <w:tcPr>
            <w:tcW w:type="dxa" w:w="2448"/>
          </w:tcPr>
          <w:p>
            <w:pPr>
              <w:spacing w:after="20"/>
            </w:pPr>
            <w:r>
              <w:rPr>
                <w:color w:val="1C3A36"/>
                <w:sz w:val="14"/>
              </w:rPr>
              <w:t>cogs_fy25</w:t>
            </w:r>
          </w:p>
        </w:tc>
        <w:tc>
          <w:tcPr>
            <w:tcW w:type="dxa" w:w="1325"/>
          </w:tcPr>
          <w:p>
            <w:pPr>
              <w:spacing w:after="20"/>
            </w:pPr>
            <w:r>
              <w:rPr>
                <w:color w:val="1C3A36"/>
                <w:sz w:val="14"/>
              </w:rPr>
              <w:t>7,389.0544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cost of sales</w:t>
            </w:r>
          </w:p>
        </w:tc>
        <w:tc>
          <w:tcPr>
            <w:tcW w:type="dxa" w:w="1210"/>
          </w:tcPr>
          <w:p>
            <w:pPr>
              <w:spacing w:after="20"/>
            </w:pPr>
            <w:r>
              <w:rPr>
                <w:color w:val="1C3A36"/>
                <w:sz w:val="14"/>
              </w:rPr>
              <w:t>2025-12-31</w:t>
            </w:r>
          </w:p>
        </w:tc>
      </w:tr>
      <w:tr>
        <w:tc>
          <w:tcPr>
            <w:tcW w:type="dxa" w:w="432"/>
          </w:tcPr>
          <w:p>
            <w:pPr>
              <w:spacing w:after="20"/>
            </w:pPr>
            <w:r>
              <w:rPr>
                <w:color w:val="1C3A36"/>
                <w:sz w:val="14"/>
              </w:rPr>
              <w:t>15</w:t>
            </w:r>
          </w:p>
        </w:tc>
        <w:tc>
          <w:tcPr>
            <w:tcW w:type="dxa" w:w="2448"/>
          </w:tcPr>
          <w:p>
            <w:pPr>
              <w:spacing w:after="20"/>
            </w:pPr>
            <w:r>
              <w:rPr>
                <w:color w:val="1C3A36"/>
                <w:sz w:val="14"/>
              </w:rPr>
              <w:t>cos_materials_fy25</w:t>
            </w:r>
          </w:p>
        </w:tc>
        <w:tc>
          <w:tcPr>
            <w:tcW w:type="dxa" w:w="1325"/>
          </w:tcPr>
          <w:p>
            <w:pPr>
              <w:spacing w:after="20"/>
            </w:pPr>
            <w:r>
              <w:rPr>
                <w:color w:val="1C3A36"/>
                <w:sz w:val="14"/>
              </w:rPr>
              <w:t>5,698.1847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raw materials; note 16 confirms this is the cost of inventories charged to cost of sales, so it carries fuel, packing and spares as well as raw meal</w:t>
            </w:r>
          </w:p>
        </w:tc>
        <w:tc>
          <w:tcPr>
            <w:tcW w:type="dxa" w:w="1210"/>
          </w:tcPr>
          <w:p>
            <w:pPr>
              <w:spacing w:after="20"/>
            </w:pPr>
            <w:r>
              <w:rPr>
                <w:color w:val="1C3A36"/>
                <w:sz w:val="14"/>
              </w:rPr>
              <w:t>2025-12-31</w:t>
            </w:r>
          </w:p>
        </w:tc>
      </w:tr>
      <w:tr>
        <w:tc>
          <w:tcPr>
            <w:tcW w:type="dxa" w:w="432"/>
          </w:tcPr>
          <w:p>
            <w:pPr>
              <w:spacing w:after="20"/>
            </w:pPr>
            <w:r>
              <w:rPr>
                <w:color w:val="1C3A36"/>
                <w:sz w:val="14"/>
              </w:rPr>
              <w:t>16</w:t>
            </w:r>
          </w:p>
        </w:tc>
        <w:tc>
          <w:tcPr>
            <w:tcW w:type="dxa" w:w="2448"/>
          </w:tcPr>
          <w:p>
            <w:pPr>
              <w:spacing w:after="20"/>
            </w:pPr>
            <w:r>
              <w:rPr>
                <w:color w:val="1C3A36"/>
                <w:sz w:val="14"/>
              </w:rPr>
              <w:t>cos_mfg_dep_fy25</w:t>
            </w:r>
          </w:p>
        </w:tc>
        <w:tc>
          <w:tcPr>
            <w:tcW w:type="dxa" w:w="1325"/>
          </w:tcPr>
          <w:p>
            <w:pPr>
              <w:spacing w:after="20"/>
            </w:pPr>
            <w:r>
              <w:rPr>
                <w:color w:val="1C3A36"/>
                <w:sz w:val="14"/>
              </w:rPr>
              <w:t>254.7655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manufacturing depreciation</w:t>
            </w:r>
          </w:p>
        </w:tc>
        <w:tc>
          <w:tcPr>
            <w:tcW w:type="dxa" w:w="1210"/>
          </w:tcPr>
          <w:p>
            <w:pPr>
              <w:spacing w:after="20"/>
            </w:pPr>
            <w:r>
              <w:rPr>
                <w:color w:val="1C3A36"/>
                <w:sz w:val="14"/>
              </w:rPr>
              <w:t>2025-12-31</w:t>
            </w:r>
          </w:p>
        </w:tc>
      </w:tr>
      <w:tr>
        <w:tc>
          <w:tcPr>
            <w:tcW w:type="dxa" w:w="432"/>
          </w:tcPr>
          <w:p>
            <w:pPr>
              <w:spacing w:after="20"/>
            </w:pPr>
            <w:r>
              <w:rPr>
                <w:color w:val="1C3A36"/>
                <w:sz w:val="14"/>
              </w:rPr>
              <w:t>17</w:t>
            </w:r>
          </w:p>
        </w:tc>
        <w:tc>
          <w:tcPr>
            <w:tcW w:type="dxa" w:w="2448"/>
          </w:tcPr>
          <w:p>
            <w:pPr>
              <w:spacing w:after="20"/>
            </w:pPr>
            <w:r>
              <w:rPr>
                <w:color w:val="1C3A36"/>
                <w:sz w:val="14"/>
              </w:rPr>
              <w:t>cos_overhead_fy25</w:t>
            </w:r>
          </w:p>
        </w:tc>
        <w:tc>
          <w:tcPr>
            <w:tcW w:type="dxa" w:w="1325"/>
          </w:tcPr>
          <w:p>
            <w:pPr>
              <w:spacing w:after="20"/>
            </w:pPr>
            <w:r>
              <w:rPr>
                <w:color w:val="1C3A36"/>
                <w:sz w:val="14"/>
              </w:rPr>
              <w:t>641.1432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overhead costs</w:t>
            </w:r>
          </w:p>
        </w:tc>
        <w:tc>
          <w:tcPr>
            <w:tcW w:type="dxa" w:w="1210"/>
          </w:tcPr>
          <w:p>
            <w:pPr>
              <w:spacing w:after="20"/>
            </w:pPr>
            <w:r>
              <w:rPr>
                <w:color w:val="1C3A36"/>
                <w:sz w:val="14"/>
              </w:rPr>
              <w:t>2025-12-31</w:t>
            </w:r>
          </w:p>
        </w:tc>
      </w:tr>
      <w:tr>
        <w:tc>
          <w:tcPr>
            <w:tcW w:type="dxa" w:w="432"/>
          </w:tcPr>
          <w:p>
            <w:pPr>
              <w:spacing w:after="20"/>
            </w:pPr>
            <w:r>
              <w:rPr>
                <w:color w:val="1C3A36"/>
                <w:sz w:val="14"/>
              </w:rPr>
              <w:t>18</w:t>
            </w:r>
          </w:p>
        </w:tc>
        <w:tc>
          <w:tcPr>
            <w:tcW w:type="dxa" w:w="2448"/>
          </w:tcPr>
          <w:p>
            <w:pPr>
              <w:spacing w:after="20"/>
            </w:pPr>
            <w:r>
              <w:rPr>
                <w:color w:val="1C3A36"/>
                <w:sz w:val="14"/>
              </w:rPr>
              <w:t>cos_transport_fy25</w:t>
            </w:r>
          </w:p>
        </w:tc>
        <w:tc>
          <w:tcPr>
            <w:tcW w:type="dxa" w:w="1325"/>
          </w:tcPr>
          <w:p>
            <w:pPr>
              <w:spacing w:after="20"/>
            </w:pPr>
            <w:r>
              <w:rPr>
                <w:color w:val="1C3A36"/>
                <w:sz w:val="14"/>
              </w:rPr>
              <w:t>764.2793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5, transportation costs</w:t>
            </w:r>
          </w:p>
        </w:tc>
        <w:tc>
          <w:tcPr>
            <w:tcW w:type="dxa" w:w="1210"/>
          </w:tcPr>
          <w:p>
            <w:pPr>
              <w:spacing w:after="20"/>
            </w:pPr>
            <w:r>
              <w:rPr>
                <w:color w:val="1C3A36"/>
                <w:sz w:val="14"/>
              </w:rPr>
              <w:t>2025-12-31</w:t>
            </w:r>
          </w:p>
        </w:tc>
      </w:tr>
      <w:tr>
        <w:tc>
          <w:tcPr>
            <w:tcW w:type="dxa" w:w="432"/>
          </w:tcPr>
          <w:p>
            <w:pPr>
              <w:spacing w:after="20"/>
            </w:pPr>
            <w:r>
              <w:rPr>
                <w:color w:val="1C3A36"/>
                <w:sz w:val="14"/>
              </w:rPr>
              <w:t>19</w:t>
            </w:r>
          </w:p>
        </w:tc>
        <w:tc>
          <w:tcPr>
            <w:tcW w:type="dxa" w:w="2448"/>
          </w:tcPr>
          <w:p>
            <w:pPr>
              <w:spacing w:after="20"/>
            </w:pPr>
            <w:r>
              <w:rPr>
                <w:color w:val="1C3A36"/>
                <w:sz w:val="14"/>
              </w:rPr>
              <w:t>debt_cib_fy25</w:t>
            </w:r>
          </w:p>
        </w:tc>
        <w:tc>
          <w:tcPr>
            <w:tcW w:type="dxa" w:w="1325"/>
          </w:tcPr>
          <w:p>
            <w:pPr>
              <w:spacing w:after="20"/>
            </w:pPr>
            <w:r>
              <w:rPr>
                <w:color w:val="1C3A36"/>
                <w:sz w:val="14"/>
              </w:rPr>
              <w:t>99.9169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Commercial International Bank credit facilities. EGP 650mn package at the Central Bank corridor offer rate plus 0.6%, EGP-denominated, for working capital</w:t>
            </w:r>
          </w:p>
        </w:tc>
        <w:tc>
          <w:tcPr>
            <w:tcW w:type="dxa" w:w="1210"/>
          </w:tcPr>
          <w:p>
            <w:pPr>
              <w:spacing w:after="20"/>
            </w:pPr>
            <w:r>
              <w:rPr>
                <w:color w:val="1C3A36"/>
                <w:sz w:val="14"/>
              </w:rPr>
              <w:t>2025-12-31</w:t>
            </w:r>
          </w:p>
        </w:tc>
      </w:tr>
      <w:tr>
        <w:tc>
          <w:tcPr>
            <w:tcW w:type="dxa" w:w="432"/>
          </w:tcPr>
          <w:p>
            <w:pPr>
              <w:spacing w:after="20"/>
            </w:pPr>
            <w:r>
              <w:rPr>
                <w:color w:val="1C3A36"/>
                <w:sz w:val="14"/>
              </w:rPr>
              <w:t>20</w:t>
            </w:r>
          </w:p>
        </w:tc>
        <w:tc>
          <w:tcPr>
            <w:tcW w:type="dxa" w:w="2448"/>
          </w:tcPr>
          <w:p>
            <w:pPr>
              <w:spacing w:after="20"/>
            </w:pPr>
            <w:r>
              <w:rPr>
                <w:color w:val="1C3A36"/>
                <w:sz w:val="14"/>
              </w:rPr>
              <w:t>debt_ebrd_fy25</w:t>
            </w:r>
          </w:p>
        </w:tc>
        <w:tc>
          <w:tcPr>
            <w:tcW w:type="dxa" w:w="1325"/>
          </w:tcPr>
          <w:p>
            <w:pPr>
              <w:spacing w:after="20"/>
            </w:pPr>
            <w:r>
              <w:rPr>
                <w:color w:val="1C3A36"/>
                <w:sz w:val="14"/>
              </w:rPr>
              <w:t>888.2742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European Bank for Reconstruction and Development facility (current 118.437 plus non-current 769.838). EUR 25mn at 3-month Euribor plus 4.35%, drawn to EUR 18.5mn, funding alternative-fuel capacity for kiln 2 and hydrogen injection on both kilns; 15 equal quarterly instalments from 18 months after signing</w:t>
            </w:r>
          </w:p>
        </w:tc>
        <w:tc>
          <w:tcPr>
            <w:tcW w:type="dxa" w:w="1210"/>
          </w:tcPr>
          <w:p>
            <w:pPr>
              <w:spacing w:after="20"/>
            </w:pPr>
            <w:r>
              <w:rPr>
                <w:color w:val="1C3A36"/>
                <w:sz w:val="14"/>
              </w:rPr>
              <w:t>2025-12-31</w:t>
            </w:r>
          </w:p>
        </w:tc>
      </w:tr>
      <w:tr>
        <w:tc>
          <w:tcPr>
            <w:tcW w:type="dxa" w:w="432"/>
          </w:tcPr>
          <w:p>
            <w:pPr>
              <w:spacing w:after="20"/>
            </w:pPr>
            <w:r>
              <w:rPr>
                <w:color w:val="1C3A36"/>
                <w:sz w:val="14"/>
              </w:rPr>
              <w:t>21</w:t>
            </w:r>
          </w:p>
        </w:tc>
        <w:tc>
          <w:tcPr>
            <w:tcW w:type="dxa" w:w="2448"/>
          </w:tcPr>
          <w:p>
            <w:pPr>
              <w:spacing w:after="20"/>
            </w:pPr>
            <w:r>
              <w:rPr>
                <w:color w:val="1C3A36"/>
                <w:sz w:val="14"/>
              </w:rPr>
              <w:t>debt_fy23</w:t>
            </w:r>
          </w:p>
        </w:tc>
        <w:tc>
          <w:tcPr>
            <w:tcW w:type="dxa" w:w="1325"/>
          </w:tcPr>
          <w:p>
            <w:pPr>
              <w:spacing w:after="20"/>
            </w:pPr>
            <w:r>
              <w:rPr>
                <w:color w:val="1C3A36"/>
                <w:sz w:val="14"/>
              </w:rPr>
              <w:t>90.0743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credit facilities, comparative; no term borrowings at that date</w:t>
            </w:r>
          </w:p>
        </w:tc>
        <w:tc>
          <w:tcPr>
            <w:tcW w:type="dxa" w:w="1210"/>
          </w:tcPr>
          <w:p>
            <w:pPr>
              <w:spacing w:after="20"/>
            </w:pPr>
            <w:r>
              <w:rPr>
                <w:color w:val="1C3A36"/>
                <w:sz w:val="14"/>
              </w:rPr>
              <w:t>2023-12-31</w:t>
            </w:r>
          </w:p>
        </w:tc>
      </w:tr>
      <w:tr>
        <w:tc>
          <w:tcPr>
            <w:tcW w:type="dxa" w:w="432"/>
          </w:tcPr>
          <w:p>
            <w:pPr>
              <w:spacing w:after="20"/>
            </w:pPr>
            <w:r>
              <w:rPr>
                <w:color w:val="1C3A36"/>
                <w:sz w:val="14"/>
              </w:rPr>
              <w:t>22</w:t>
            </w:r>
          </w:p>
        </w:tc>
        <w:tc>
          <w:tcPr>
            <w:tcW w:type="dxa" w:w="2448"/>
          </w:tcPr>
          <w:p>
            <w:pPr>
              <w:spacing w:after="20"/>
            </w:pPr>
            <w:r>
              <w:rPr>
                <w:color w:val="1C3A36"/>
                <w:sz w:val="14"/>
              </w:rPr>
              <w:t>debt_fy24</w:t>
            </w:r>
          </w:p>
        </w:tc>
        <w:tc>
          <w:tcPr>
            <w:tcW w:type="dxa" w:w="1325"/>
          </w:tcPr>
          <w:p>
            <w:pPr>
              <w:spacing w:after="20"/>
            </w:pPr>
            <w:r>
              <w:rPr>
                <w:color w:val="1C3A36"/>
                <w:sz w:val="14"/>
              </w:rPr>
              <w:t>760.9177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comparative: credit facilities 615.044 plus bank loans 145.874</w:t>
            </w:r>
          </w:p>
        </w:tc>
        <w:tc>
          <w:tcPr>
            <w:tcW w:type="dxa" w:w="1210"/>
          </w:tcPr>
          <w:p>
            <w:pPr>
              <w:spacing w:after="20"/>
            </w:pPr>
            <w:r>
              <w:rPr>
                <w:color w:val="1C3A36"/>
                <w:sz w:val="14"/>
              </w:rPr>
              <w:t>2024-12-31</w:t>
            </w:r>
          </w:p>
        </w:tc>
      </w:tr>
      <w:tr>
        <w:tc>
          <w:tcPr>
            <w:tcW w:type="dxa" w:w="432"/>
          </w:tcPr>
          <w:p>
            <w:pPr>
              <w:spacing w:after="20"/>
            </w:pPr>
            <w:r>
              <w:rPr>
                <w:color w:val="1C3A36"/>
                <w:sz w:val="14"/>
              </w:rPr>
              <w:t>23</w:t>
            </w:r>
          </w:p>
        </w:tc>
        <w:tc>
          <w:tcPr>
            <w:tcW w:type="dxa" w:w="2448"/>
          </w:tcPr>
          <w:p>
            <w:pPr>
              <w:spacing w:after="20"/>
            </w:pPr>
            <w:r>
              <w:rPr>
                <w:color w:val="1C3A36"/>
                <w:sz w:val="14"/>
              </w:rPr>
              <w:t>debt_nbe_fy25</w:t>
            </w:r>
          </w:p>
        </w:tc>
        <w:tc>
          <w:tcPr>
            <w:tcW w:type="dxa" w:w="1325"/>
          </w:tcPr>
          <w:p>
            <w:pPr>
              <w:spacing w:after="20"/>
            </w:pPr>
            <w:r>
              <w:rPr>
                <w:color w:val="1C3A36"/>
                <w:sz w:val="14"/>
              </w:rPr>
              <w:t>145.7415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National Bank of Egypt facility (current 27.057 plus non-current 118.685). EUR 3.09mn under a KfW industrial-pollution grant programme, 20 quarterly instalments at 6-month Euribor plus 3%</w:t>
            </w:r>
          </w:p>
        </w:tc>
        <w:tc>
          <w:tcPr>
            <w:tcW w:type="dxa" w:w="1210"/>
          </w:tcPr>
          <w:p>
            <w:pPr>
              <w:spacing w:after="20"/>
            </w:pPr>
            <w:r>
              <w:rPr>
                <w:color w:val="1C3A36"/>
                <w:sz w:val="14"/>
              </w:rPr>
              <w:t>2025-12-31</w:t>
            </w:r>
          </w:p>
        </w:tc>
      </w:tr>
      <w:tr>
        <w:tc>
          <w:tcPr>
            <w:tcW w:type="dxa" w:w="432"/>
          </w:tcPr>
          <w:p>
            <w:pPr>
              <w:spacing w:after="20"/>
            </w:pPr>
            <w:r>
              <w:rPr>
                <w:color w:val="1C3A36"/>
                <w:sz w:val="14"/>
              </w:rPr>
              <w:t>24</w:t>
            </w:r>
          </w:p>
        </w:tc>
        <w:tc>
          <w:tcPr>
            <w:tcW w:type="dxa" w:w="2448"/>
          </w:tcPr>
          <w:p>
            <w:pPr>
              <w:spacing w:after="20"/>
            </w:pPr>
            <w:r>
              <w:rPr>
                <w:color w:val="1C3A36"/>
                <w:sz w:val="14"/>
              </w:rPr>
              <w:t>debt_q1_26</w:t>
            </w:r>
          </w:p>
        </w:tc>
        <w:tc>
          <w:tcPr>
            <w:tcW w:type="dxa" w:w="1325"/>
          </w:tcPr>
          <w:p>
            <w:pPr>
              <w:spacing w:after="20"/>
            </w:pPr>
            <w:r>
              <w:rPr>
                <w:color w:val="1C3A36"/>
                <w:sz w:val="14"/>
              </w:rPr>
              <w:t>1,260.5091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borrowings 925.152 plus current portion 234.899 plus credit facilities 99.784 plus lease liabilities 0.675</w:t>
            </w:r>
          </w:p>
        </w:tc>
        <w:tc>
          <w:tcPr>
            <w:tcW w:type="dxa" w:w="1210"/>
          </w:tcPr>
          <w:p>
            <w:pPr>
              <w:spacing w:after="20"/>
            </w:pPr>
            <w:r>
              <w:rPr>
                <w:color w:val="1C3A36"/>
                <w:sz w:val="14"/>
              </w:rPr>
              <w:t>2026-03-31</w:t>
            </w:r>
          </w:p>
        </w:tc>
      </w:tr>
      <w:tr>
        <w:tc>
          <w:tcPr>
            <w:tcW w:type="dxa" w:w="432"/>
          </w:tcPr>
          <w:p>
            <w:pPr>
              <w:spacing w:after="20"/>
            </w:pPr>
            <w:r>
              <w:rPr>
                <w:color w:val="1C3A36"/>
                <w:sz w:val="14"/>
              </w:rPr>
              <w:t>25</w:t>
            </w:r>
          </w:p>
        </w:tc>
        <w:tc>
          <w:tcPr>
            <w:tcW w:type="dxa" w:w="2448"/>
          </w:tcPr>
          <w:p>
            <w:pPr>
              <w:spacing w:after="20"/>
            </w:pPr>
            <w:r>
              <w:rPr>
                <w:color w:val="1C3A36"/>
                <w:sz w:val="14"/>
              </w:rPr>
              <w:t>debtors_fy25</w:t>
            </w:r>
          </w:p>
        </w:tc>
        <w:tc>
          <w:tcPr>
            <w:tcW w:type="dxa" w:w="1325"/>
          </w:tcPr>
          <w:p>
            <w:pPr>
              <w:spacing w:after="20"/>
            </w:pPr>
            <w:r>
              <w:rPr>
                <w:color w:val="1C3A36"/>
                <w:sz w:val="14"/>
              </w:rPr>
              <w:t>1,004.7791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debtors and other debit balances (net), note 18, of which advances to suppliers 826.903</w:t>
            </w:r>
          </w:p>
        </w:tc>
        <w:tc>
          <w:tcPr>
            <w:tcW w:type="dxa" w:w="1210"/>
          </w:tcPr>
          <w:p>
            <w:pPr>
              <w:spacing w:after="20"/>
            </w:pPr>
            <w:r>
              <w:rPr>
                <w:color w:val="1C3A36"/>
                <w:sz w:val="14"/>
              </w:rPr>
              <w:t>2025-12-31</w:t>
            </w:r>
          </w:p>
        </w:tc>
      </w:tr>
      <w:tr>
        <w:tc>
          <w:tcPr>
            <w:tcW w:type="dxa" w:w="432"/>
          </w:tcPr>
          <w:p>
            <w:pPr>
              <w:spacing w:after="20"/>
            </w:pPr>
            <w:r>
              <w:rPr>
                <w:color w:val="1C3A36"/>
                <w:sz w:val="14"/>
              </w:rPr>
              <w:t>26</w:t>
            </w:r>
          </w:p>
        </w:tc>
        <w:tc>
          <w:tcPr>
            <w:tcW w:type="dxa" w:w="2448"/>
          </w:tcPr>
          <w:p>
            <w:pPr>
              <w:spacing w:after="20"/>
            </w:pPr>
            <w:r>
              <w:rPr>
                <w:color w:val="1C3A36"/>
                <w:sz w:val="14"/>
              </w:rPr>
              <w:t>div_fy24_paid</w:t>
            </w:r>
          </w:p>
        </w:tc>
        <w:tc>
          <w:tcPr>
            <w:tcW w:type="dxa" w:w="1325"/>
          </w:tcPr>
          <w:p>
            <w:pPr>
              <w:spacing w:after="20"/>
            </w:pPr>
            <w:r>
              <w:rPr>
                <w:color w:val="1C3A36"/>
                <w:sz w:val="14"/>
              </w:rPr>
              <w:t>1,102.1103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28: the ordinary general assembly of 2 December 2025 approved EGP 1,102,110,289 to shareholders for FY2024, plus EGP 15,045,727 to employees</w:t>
            </w:r>
          </w:p>
        </w:tc>
        <w:tc>
          <w:tcPr>
            <w:tcW w:type="dxa" w:w="1210"/>
          </w:tcPr>
          <w:p>
            <w:pPr>
              <w:spacing w:after="20"/>
            </w:pPr>
            <w:r>
              <w:rPr>
                <w:color w:val="1C3A36"/>
                <w:sz w:val="14"/>
              </w:rPr>
              <w:t>2025-12-02</w:t>
            </w:r>
          </w:p>
        </w:tc>
      </w:tr>
      <w:tr>
        <w:tc>
          <w:tcPr>
            <w:tcW w:type="dxa" w:w="432"/>
          </w:tcPr>
          <w:p>
            <w:pPr>
              <w:spacing w:after="20"/>
            </w:pPr>
            <w:r>
              <w:rPr>
                <w:color w:val="1C3A36"/>
                <w:sz w:val="14"/>
              </w:rPr>
              <w:t>27</w:t>
            </w:r>
          </w:p>
        </w:tc>
        <w:tc>
          <w:tcPr>
            <w:tcW w:type="dxa" w:w="2448"/>
          </w:tcPr>
          <w:p>
            <w:pPr>
              <w:spacing w:after="20"/>
            </w:pPr>
            <w:r>
              <w:rPr>
                <w:color w:val="1C3A36"/>
                <w:sz w:val="14"/>
              </w:rPr>
              <w:t>div_fy25_declared</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at 31 March 2026 for the FY2025 result</w:t>
            </w:r>
          </w:p>
        </w:tc>
        <w:tc>
          <w:tcPr>
            <w:tcW w:type="dxa" w:w="1210"/>
          </w:tcPr>
          <w:p>
            <w:pPr>
              <w:spacing w:after="20"/>
            </w:pPr>
            <w:r>
              <w:rPr>
                <w:color w:val="1C3A36"/>
                <w:sz w:val="14"/>
              </w:rPr>
              <w:t>2026-03-31</w:t>
            </w:r>
          </w:p>
        </w:tc>
      </w:tr>
      <w:tr>
        <w:tc>
          <w:tcPr>
            <w:tcW w:type="dxa" w:w="432"/>
          </w:tcPr>
          <w:p>
            <w:pPr>
              <w:spacing w:after="20"/>
            </w:pPr>
            <w:r>
              <w:rPr>
                <w:color w:val="1C3A36"/>
                <w:sz w:val="14"/>
              </w:rPr>
              <w:t>28</w:t>
            </w:r>
          </w:p>
        </w:tc>
        <w:tc>
          <w:tcPr>
            <w:tcW w:type="dxa" w:w="2448"/>
          </w:tcPr>
          <w:p>
            <w:pPr>
              <w:spacing w:after="20"/>
            </w:pPr>
            <w:r>
              <w:rPr>
                <w:color w:val="1C3A36"/>
                <w:sz w:val="14"/>
              </w:rPr>
              <w:t>divpay_q1_26</w:t>
            </w:r>
          </w:p>
        </w:tc>
        <w:tc>
          <w:tcPr>
            <w:tcW w:type="dxa" w:w="1325"/>
          </w:tcPr>
          <w:p>
            <w:pPr>
              <w:spacing w:after="20"/>
            </w:pPr>
            <w:r>
              <w:rPr>
                <w:color w:val="1C3A36"/>
                <w:sz w:val="14"/>
              </w:rPr>
              <w:t>2,001.7922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dividends payable. This is the FY2025 distribution declared and unpaid at 31 March 2026, and it divides to EGP 5.34 per share on the shares outstanding</w:t>
            </w:r>
          </w:p>
        </w:tc>
        <w:tc>
          <w:tcPr>
            <w:tcW w:type="dxa" w:w="1210"/>
          </w:tcPr>
          <w:p>
            <w:pPr>
              <w:spacing w:after="20"/>
            </w:pPr>
            <w:r>
              <w:rPr>
                <w:color w:val="1C3A36"/>
                <w:sz w:val="14"/>
              </w:rPr>
              <w:t>2026-03-31</w:t>
            </w:r>
          </w:p>
        </w:tc>
      </w:tr>
      <w:tr>
        <w:tc>
          <w:tcPr>
            <w:tcW w:type="dxa" w:w="432"/>
          </w:tcPr>
          <w:p>
            <w:pPr>
              <w:spacing w:after="20"/>
            </w:pPr>
            <w:r>
              <w:rPr>
                <w:color w:val="1C3A36"/>
                <w:sz w:val="14"/>
              </w:rPr>
              <w:t>29</w:t>
            </w:r>
          </w:p>
        </w:tc>
        <w:tc>
          <w:tcPr>
            <w:tcW w:type="dxa" w:w="2448"/>
          </w:tcPr>
          <w:p>
            <w:pPr>
              <w:spacing w:after="20"/>
            </w:pPr>
            <w:r>
              <w:rPr>
                <w:color w:val="1C3A36"/>
                <w:sz w:val="14"/>
              </w:rPr>
              <w:t>dna_fy23</w:t>
            </w:r>
          </w:p>
        </w:tc>
        <w:tc>
          <w:tcPr>
            <w:tcW w:type="dxa" w:w="1325"/>
          </w:tcPr>
          <w:p>
            <w:pPr>
              <w:spacing w:after="20"/>
            </w:pPr>
            <w:r>
              <w:rPr>
                <w:color w:val="1C3A36"/>
                <w:sz w:val="14"/>
              </w:rPr>
              <w:t>250.4245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cash flow statement, comparative column: property depreciation 215.377 plus intangible amortisation 28.156 plus right-of-use amortisation 6.891</w:t>
            </w:r>
          </w:p>
        </w:tc>
        <w:tc>
          <w:tcPr>
            <w:tcW w:type="dxa" w:w="1210"/>
          </w:tcPr>
          <w:p>
            <w:pPr>
              <w:spacing w:after="20"/>
            </w:pPr>
            <w:r>
              <w:rPr>
                <w:color w:val="1C3A36"/>
                <w:sz w:val="14"/>
              </w:rPr>
              <w:t>2023-12-31</w:t>
            </w:r>
          </w:p>
        </w:tc>
      </w:tr>
      <w:tr>
        <w:tc>
          <w:tcPr>
            <w:tcW w:type="dxa" w:w="432"/>
          </w:tcPr>
          <w:p>
            <w:pPr>
              <w:spacing w:after="20"/>
            </w:pPr>
            <w:r>
              <w:rPr>
                <w:color w:val="1C3A36"/>
                <w:sz w:val="14"/>
              </w:rPr>
              <w:t>30</w:t>
            </w:r>
          </w:p>
        </w:tc>
        <w:tc>
          <w:tcPr>
            <w:tcW w:type="dxa" w:w="2448"/>
          </w:tcPr>
          <w:p>
            <w:pPr>
              <w:spacing w:after="20"/>
            </w:pPr>
            <w:r>
              <w:rPr>
                <w:color w:val="1C3A36"/>
                <w:sz w:val="14"/>
              </w:rPr>
              <w:t>dna_fy24</w:t>
            </w:r>
          </w:p>
        </w:tc>
        <w:tc>
          <w:tcPr>
            <w:tcW w:type="dxa" w:w="1325"/>
          </w:tcPr>
          <w:p>
            <w:pPr>
              <w:spacing w:after="20"/>
            </w:pPr>
            <w:r>
              <w:rPr>
                <w:color w:val="1C3A36"/>
                <w:sz w:val="14"/>
              </w:rPr>
              <w:t>256.8015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comparative: 221.563 plus 28.156 plus 7.082</w:t>
            </w:r>
          </w:p>
        </w:tc>
        <w:tc>
          <w:tcPr>
            <w:tcW w:type="dxa" w:w="1210"/>
          </w:tcPr>
          <w:p>
            <w:pPr>
              <w:spacing w:after="20"/>
            </w:pPr>
            <w:r>
              <w:rPr>
                <w:color w:val="1C3A36"/>
                <w:sz w:val="14"/>
              </w:rPr>
              <w:t>2024-12-31</w:t>
            </w:r>
          </w:p>
        </w:tc>
      </w:tr>
      <w:tr>
        <w:tc>
          <w:tcPr>
            <w:tcW w:type="dxa" w:w="432"/>
          </w:tcPr>
          <w:p>
            <w:pPr>
              <w:spacing w:after="20"/>
            </w:pPr>
            <w:r>
              <w:rPr>
                <w:color w:val="1C3A36"/>
                <w:sz w:val="14"/>
              </w:rPr>
              <w:t>31</w:t>
            </w:r>
          </w:p>
        </w:tc>
        <w:tc>
          <w:tcPr>
            <w:tcW w:type="dxa" w:w="2448"/>
          </w:tcPr>
          <w:p>
            <w:pPr>
              <w:spacing w:after="20"/>
            </w:pPr>
            <w:r>
              <w:rPr>
                <w:color w:val="1C3A36"/>
                <w:sz w:val="14"/>
              </w:rPr>
              <w:t>dna_fy25</w:t>
            </w:r>
          </w:p>
        </w:tc>
        <w:tc>
          <w:tcPr>
            <w:tcW w:type="dxa" w:w="1325"/>
          </w:tcPr>
          <w:p>
            <w:pPr>
              <w:spacing w:after="20"/>
            </w:pPr>
            <w:r>
              <w:rPr>
                <w:color w:val="1C3A36"/>
                <w:sz w:val="14"/>
              </w:rPr>
              <w:t>289.7713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cash flow statement: property depreciation 259.090 plus intangible amortisation 28.156 plus right-of-use amortisation 2.525</w:t>
            </w:r>
          </w:p>
        </w:tc>
        <w:tc>
          <w:tcPr>
            <w:tcW w:type="dxa" w:w="1210"/>
          </w:tcPr>
          <w:p>
            <w:pPr>
              <w:spacing w:after="20"/>
            </w:pPr>
            <w:r>
              <w:rPr>
                <w:color w:val="1C3A36"/>
                <w:sz w:val="14"/>
              </w:rPr>
              <w:t>2025-12-31</w:t>
            </w:r>
          </w:p>
        </w:tc>
      </w:tr>
      <w:tr>
        <w:tc>
          <w:tcPr>
            <w:tcW w:type="dxa" w:w="432"/>
          </w:tcPr>
          <w:p>
            <w:pPr>
              <w:spacing w:after="20"/>
            </w:pPr>
            <w:r>
              <w:rPr>
                <w:color w:val="1C3A36"/>
                <w:sz w:val="14"/>
              </w:rPr>
              <w:t>32</w:t>
            </w:r>
          </w:p>
        </w:tc>
        <w:tc>
          <w:tcPr>
            <w:tcW w:type="dxa" w:w="2448"/>
          </w:tcPr>
          <w:p>
            <w:pPr>
              <w:spacing w:after="20"/>
            </w:pPr>
            <w:r>
              <w:rPr>
                <w:color w:val="1C3A36"/>
                <w:sz w:val="14"/>
              </w:rPr>
              <w:t>ecl_fy23</w:t>
            </w:r>
          </w:p>
        </w:tc>
        <w:tc>
          <w:tcPr>
            <w:tcW w:type="dxa" w:w="1325"/>
          </w:tcPr>
          <w:p>
            <w:pPr>
              <w:spacing w:after="20"/>
            </w:pPr>
            <w:r>
              <w:rPr>
                <w:color w:val="1C3A36"/>
                <w:sz w:val="14"/>
              </w:rPr>
              <w:t>4.7458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expected credit losses on trade receivables, comparative</w:t>
            </w:r>
          </w:p>
        </w:tc>
        <w:tc>
          <w:tcPr>
            <w:tcW w:type="dxa" w:w="1210"/>
          </w:tcPr>
          <w:p>
            <w:pPr>
              <w:spacing w:after="20"/>
            </w:pPr>
            <w:r>
              <w:rPr>
                <w:color w:val="1C3A36"/>
                <w:sz w:val="14"/>
              </w:rPr>
              <w:t>2023-12-31</w:t>
            </w:r>
          </w:p>
        </w:tc>
      </w:tr>
      <w:tr>
        <w:tc>
          <w:tcPr>
            <w:tcW w:type="dxa" w:w="432"/>
          </w:tcPr>
          <w:p>
            <w:pPr>
              <w:spacing w:after="20"/>
            </w:pPr>
            <w:r>
              <w:rPr>
                <w:color w:val="1C3A36"/>
                <w:sz w:val="14"/>
              </w:rPr>
              <w:t>33</w:t>
            </w:r>
          </w:p>
        </w:tc>
        <w:tc>
          <w:tcPr>
            <w:tcW w:type="dxa" w:w="2448"/>
          </w:tcPr>
          <w:p>
            <w:pPr>
              <w:spacing w:after="20"/>
            </w:pPr>
            <w:r>
              <w:rPr>
                <w:color w:val="1C3A36"/>
                <w:sz w:val="14"/>
              </w:rPr>
              <w:t>ecl_fy24</w:t>
            </w:r>
          </w:p>
        </w:tc>
        <w:tc>
          <w:tcPr>
            <w:tcW w:type="dxa" w:w="1325"/>
          </w:tcPr>
          <w:p>
            <w:pPr>
              <w:spacing w:after="20"/>
            </w:pPr>
            <w:r>
              <w:rPr>
                <w:color w:val="1C3A36"/>
                <w:sz w:val="14"/>
              </w:rPr>
              <w:t>-1.1065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REVERSAL of expected credit losses, comparative (negative, i.e. a credit)</w:t>
            </w:r>
          </w:p>
        </w:tc>
        <w:tc>
          <w:tcPr>
            <w:tcW w:type="dxa" w:w="1210"/>
          </w:tcPr>
          <w:p>
            <w:pPr>
              <w:spacing w:after="20"/>
            </w:pPr>
            <w:r>
              <w:rPr>
                <w:color w:val="1C3A36"/>
                <w:sz w:val="14"/>
              </w:rPr>
              <w:t>2024-12-31</w:t>
            </w:r>
          </w:p>
        </w:tc>
      </w:tr>
      <w:tr>
        <w:tc>
          <w:tcPr>
            <w:tcW w:type="dxa" w:w="432"/>
          </w:tcPr>
          <w:p>
            <w:pPr>
              <w:spacing w:after="20"/>
            </w:pPr>
            <w:r>
              <w:rPr>
                <w:color w:val="1C3A36"/>
                <w:sz w:val="14"/>
              </w:rPr>
              <w:t>34</w:t>
            </w:r>
          </w:p>
        </w:tc>
        <w:tc>
          <w:tcPr>
            <w:tcW w:type="dxa" w:w="2448"/>
          </w:tcPr>
          <w:p>
            <w:pPr>
              <w:spacing w:after="20"/>
            </w:pPr>
            <w:r>
              <w:rPr>
                <w:color w:val="1C3A36"/>
                <w:sz w:val="14"/>
              </w:rPr>
              <w:t>ecl_fy25</w:t>
            </w:r>
          </w:p>
        </w:tc>
        <w:tc>
          <w:tcPr>
            <w:tcW w:type="dxa" w:w="1325"/>
          </w:tcPr>
          <w:p>
            <w:pPr>
              <w:spacing w:after="20"/>
            </w:pPr>
            <w:r>
              <w:rPr>
                <w:color w:val="1C3A36"/>
                <w:sz w:val="14"/>
              </w:rPr>
              <w:t>3.6036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expected credit losses on trade receivables, note 17</w:t>
            </w:r>
          </w:p>
        </w:tc>
        <w:tc>
          <w:tcPr>
            <w:tcW w:type="dxa" w:w="1210"/>
          </w:tcPr>
          <w:p>
            <w:pPr>
              <w:spacing w:after="20"/>
            </w:pPr>
            <w:r>
              <w:rPr>
                <w:color w:val="1C3A36"/>
                <w:sz w:val="14"/>
              </w:rPr>
              <w:t>2025-12-31</w:t>
            </w:r>
          </w:p>
        </w:tc>
      </w:tr>
      <w:tr>
        <w:tc>
          <w:tcPr>
            <w:tcW w:type="dxa" w:w="432"/>
          </w:tcPr>
          <w:p>
            <w:pPr>
              <w:spacing w:after="20"/>
            </w:pPr>
            <w:r>
              <w:rPr>
                <w:color w:val="1C3A36"/>
                <w:sz w:val="14"/>
              </w:rPr>
              <w:t>35</w:t>
            </w:r>
          </w:p>
        </w:tc>
        <w:tc>
          <w:tcPr>
            <w:tcW w:type="dxa" w:w="2448"/>
          </w:tcPr>
          <w:p>
            <w:pPr>
              <w:spacing w:after="20"/>
            </w:pPr>
            <w:r>
              <w:rPr>
                <w:color w:val="1C3A36"/>
                <w:sz w:val="14"/>
              </w:rPr>
              <w:t>eps_fy23</w:t>
            </w:r>
          </w:p>
        </w:tc>
        <w:tc>
          <w:tcPr>
            <w:tcW w:type="dxa" w:w="1325"/>
          </w:tcPr>
          <w:p>
            <w:pPr>
              <w:spacing w:after="20"/>
            </w:pPr>
            <w:r>
              <w:rPr>
                <w:color w:val="1C3A36"/>
                <w:sz w:val="14"/>
              </w:rPr>
              <w:t>1.81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earnings per share, comparative</w:t>
            </w:r>
          </w:p>
        </w:tc>
        <w:tc>
          <w:tcPr>
            <w:tcW w:type="dxa" w:w="1210"/>
          </w:tcPr>
          <w:p>
            <w:pPr>
              <w:spacing w:after="20"/>
            </w:pPr>
            <w:r>
              <w:rPr>
                <w:color w:val="1C3A36"/>
                <w:sz w:val="14"/>
              </w:rPr>
              <w:t>2023-12-31</w:t>
            </w:r>
          </w:p>
        </w:tc>
      </w:tr>
      <w:tr>
        <w:tc>
          <w:tcPr>
            <w:tcW w:type="dxa" w:w="432"/>
          </w:tcPr>
          <w:p>
            <w:pPr>
              <w:spacing w:after="20"/>
            </w:pPr>
            <w:r>
              <w:rPr>
                <w:color w:val="1C3A36"/>
                <w:sz w:val="14"/>
              </w:rPr>
              <w:t>36</w:t>
            </w:r>
          </w:p>
        </w:tc>
        <w:tc>
          <w:tcPr>
            <w:tcW w:type="dxa" w:w="2448"/>
          </w:tcPr>
          <w:p>
            <w:pPr>
              <w:spacing w:after="20"/>
            </w:pPr>
            <w:r>
              <w:rPr>
                <w:color w:val="1C3A36"/>
                <w:sz w:val="14"/>
              </w:rPr>
              <w:t>eps_fy24</w:t>
            </w:r>
          </w:p>
        </w:tc>
        <w:tc>
          <w:tcPr>
            <w:tcW w:type="dxa" w:w="1325"/>
          </w:tcPr>
          <w:p>
            <w:pPr>
              <w:spacing w:after="20"/>
            </w:pPr>
            <w:r>
              <w:rPr>
                <w:color w:val="1C3A36"/>
                <w:sz w:val="14"/>
              </w:rPr>
              <w:t>3.02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comparative</w:t>
            </w:r>
          </w:p>
        </w:tc>
        <w:tc>
          <w:tcPr>
            <w:tcW w:type="dxa" w:w="1210"/>
          </w:tcPr>
          <w:p>
            <w:pPr>
              <w:spacing w:after="20"/>
            </w:pPr>
            <w:r>
              <w:rPr>
                <w:color w:val="1C3A36"/>
                <w:sz w:val="14"/>
              </w:rPr>
              <w:t>2024-12-31</w:t>
            </w:r>
          </w:p>
        </w:tc>
      </w:tr>
      <w:tr>
        <w:tc>
          <w:tcPr>
            <w:tcW w:type="dxa" w:w="432"/>
          </w:tcPr>
          <w:p>
            <w:pPr>
              <w:spacing w:after="20"/>
            </w:pPr>
            <w:r>
              <w:rPr>
                <w:color w:val="1C3A36"/>
                <w:sz w:val="14"/>
              </w:rPr>
              <w:t>37</w:t>
            </w:r>
          </w:p>
        </w:tc>
        <w:tc>
          <w:tcPr>
            <w:tcW w:type="dxa" w:w="2448"/>
          </w:tcPr>
          <w:p>
            <w:pPr>
              <w:spacing w:after="20"/>
            </w:pPr>
            <w:r>
              <w:rPr>
                <w:color w:val="1C3A36"/>
                <w:sz w:val="14"/>
              </w:rPr>
              <w:t>eps_fy25</w:t>
            </w:r>
          </w:p>
        </w:tc>
        <w:tc>
          <w:tcPr>
            <w:tcW w:type="dxa" w:w="1325"/>
          </w:tcPr>
          <w:p>
            <w:pPr>
              <w:spacing w:after="20"/>
            </w:pPr>
            <w:r>
              <w:rPr>
                <w:color w:val="1C3A36"/>
                <w:sz w:val="14"/>
              </w:rPr>
              <w:t>9.49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earnings per share, note 11, struck on distributable profit of 3,580.712 after the employees' share of 18.874</w:t>
            </w:r>
          </w:p>
        </w:tc>
        <w:tc>
          <w:tcPr>
            <w:tcW w:type="dxa" w:w="1210"/>
          </w:tcPr>
          <w:p>
            <w:pPr>
              <w:spacing w:after="20"/>
            </w:pPr>
            <w:r>
              <w:rPr>
                <w:color w:val="1C3A36"/>
                <w:sz w:val="14"/>
              </w:rPr>
              <w:t>2025-12-31</w:t>
            </w:r>
          </w:p>
        </w:tc>
      </w:tr>
      <w:tr>
        <w:tc>
          <w:tcPr>
            <w:tcW w:type="dxa" w:w="432"/>
          </w:tcPr>
          <w:p>
            <w:pPr>
              <w:spacing w:after="20"/>
            </w:pPr>
            <w:r>
              <w:rPr>
                <w:color w:val="1C3A36"/>
                <w:sz w:val="14"/>
              </w:rPr>
              <w:t>38</w:t>
            </w:r>
          </w:p>
        </w:tc>
        <w:tc>
          <w:tcPr>
            <w:tcW w:type="dxa" w:w="2448"/>
          </w:tcPr>
          <w:p>
            <w:pPr>
              <w:spacing w:after="20"/>
            </w:pPr>
            <w:r>
              <w:rPr>
                <w:color w:val="1C3A36"/>
                <w:sz w:val="14"/>
              </w:rPr>
              <w:t>eq_fy23</w:t>
            </w:r>
          </w:p>
        </w:tc>
        <w:tc>
          <w:tcPr>
            <w:tcW w:type="dxa" w:w="1325"/>
          </w:tcPr>
          <w:p>
            <w:pPr>
              <w:spacing w:after="20"/>
            </w:pPr>
            <w:r>
              <w:rPr>
                <w:color w:val="1C3A36"/>
                <w:sz w:val="14"/>
              </w:rPr>
              <w:t>1,754.2217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equity attributable to owners, comparative</w:t>
            </w:r>
          </w:p>
        </w:tc>
        <w:tc>
          <w:tcPr>
            <w:tcW w:type="dxa" w:w="1210"/>
          </w:tcPr>
          <w:p>
            <w:pPr>
              <w:spacing w:after="20"/>
            </w:pPr>
            <w:r>
              <w:rPr>
                <w:color w:val="1C3A36"/>
                <w:sz w:val="14"/>
              </w:rPr>
              <w:t>2023-12-31</w:t>
            </w:r>
          </w:p>
        </w:tc>
      </w:tr>
      <w:tr>
        <w:tc>
          <w:tcPr>
            <w:tcW w:type="dxa" w:w="432"/>
          </w:tcPr>
          <w:p>
            <w:pPr>
              <w:spacing w:after="20"/>
            </w:pPr>
            <w:r>
              <w:rPr>
                <w:color w:val="1C3A36"/>
                <w:sz w:val="14"/>
              </w:rPr>
              <w:t>39</w:t>
            </w:r>
          </w:p>
        </w:tc>
        <w:tc>
          <w:tcPr>
            <w:tcW w:type="dxa" w:w="2448"/>
          </w:tcPr>
          <w:p>
            <w:pPr>
              <w:spacing w:after="20"/>
            </w:pPr>
            <w:r>
              <w:rPr>
                <w:color w:val="1C3A36"/>
                <w:sz w:val="14"/>
              </w:rPr>
              <w:t>eq_fy24</w:t>
            </w:r>
          </w:p>
        </w:tc>
        <w:tc>
          <w:tcPr>
            <w:tcW w:type="dxa" w:w="1325"/>
          </w:tcPr>
          <w:p>
            <w:pPr>
              <w:spacing w:after="20"/>
            </w:pPr>
            <w:r>
              <w:rPr>
                <w:color w:val="1C3A36"/>
                <w:sz w:val="14"/>
              </w:rPr>
              <w:t>2,303.4723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comparative</w:t>
            </w:r>
          </w:p>
        </w:tc>
        <w:tc>
          <w:tcPr>
            <w:tcW w:type="dxa" w:w="1210"/>
          </w:tcPr>
          <w:p>
            <w:pPr>
              <w:spacing w:after="20"/>
            </w:pPr>
            <w:r>
              <w:rPr>
                <w:color w:val="1C3A36"/>
                <w:sz w:val="14"/>
              </w:rPr>
              <w:t>2024-12-31</w:t>
            </w:r>
          </w:p>
        </w:tc>
      </w:tr>
      <w:tr>
        <w:tc>
          <w:tcPr>
            <w:tcW w:type="dxa" w:w="432"/>
          </w:tcPr>
          <w:p>
            <w:pPr>
              <w:spacing w:after="20"/>
            </w:pPr>
            <w:r>
              <w:rPr>
                <w:color w:val="1C3A36"/>
                <w:sz w:val="14"/>
              </w:rPr>
              <w:t>40</w:t>
            </w:r>
          </w:p>
        </w:tc>
        <w:tc>
          <w:tcPr>
            <w:tcW w:type="dxa" w:w="2448"/>
          </w:tcPr>
          <w:p>
            <w:pPr>
              <w:spacing w:after="20"/>
            </w:pPr>
            <w:r>
              <w:rPr>
                <w:color w:val="1C3A36"/>
                <w:sz w:val="14"/>
              </w:rPr>
              <w:t>eq_fy25</w:t>
            </w:r>
          </w:p>
        </w:tc>
        <w:tc>
          <w:tcPr>
            <w:tcW w:type="dxa" w:w="1325"/>
          </w:tcPr>
          <w:p>
            <w:pPr>
              <w:spacing w:after="20"/>
            </w:pPr>
            <w:r>
              <w:rPr>
                <w:color w:val="1C3A36"/>
                <w:sz w:val="14"/>
              </w:rPr>
              <w:t>4,642.5742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equity attributable to owners of the Parent: issued capital 757.479, treasury shares (143.328), legal reserve 379.506, retained earnings 3,648.917</w:t>
            </w:r>
          </w:p>
        </w:tc>
        <w:tc>
          <w:tcPr>
            <w:tcW w:type="dxa" w:w="1210"/>
          </w:tcPr>
          <w:p>
            <w:pPr>
              <w:spacing w:after="20"/>
            </w:pPr>
            <w:r>
              <w:rPr>
                <w:color w:val="1C3A36"/>
                <w:sz w:val="14"/>
              </w:rPr>
              <w:t>2025-12-31</w:t>
            </w:r>
          </w:p>
        </w:tc>
      </w:tr>
      <w:tr>
        <w:tc>
          <w:tcPr>
            <w:tcW w:type="dxa" w:w="432"/>
          </w:tcPr>
          <w:p>
            <w:pPr>
              <w:spacing w:after="20"/>
            </w:pPr>
            <w:r>
              <w:rPr>
                <w:color w:val="1C3A36"/>
                <w:sz w:val="14"/>
              </w:rPr>
              <w:t>41</w:t>
            </w:r>
          </w:p>
        </w:tc>
        <w:tc>
          <w:tcPr>
            <w:tcW w:type="dxa" w:w="2448"/>
          </w:tcPr>
          <w:p>
            <w:pPr>
              <w:spacing w:after="20"/>
            </w:pPr>
            <w:r>
              <w:rPr>
                <w:color w:val="1C3A36"/>
                <w:sz w:val="14"/>
              </w:rPr>
              <w:t>fac_int_fy24</w:t>
            </w:r>
          </w:p>
        </w:tc>
        <w:tc>
          <w:tcPr>
            <w:tcW w:type="dxa" w:w="1325"/>
          </w:tcPr>
          <w:p>
            <w:pPr>
              <w:spacing w:after="20"/>
            </w:pPr>
            <w:r>
              <w:rPr>
                <w:color w:val="1C3A36"/>
                <w:sz w:val="14"/>
              </w:rPr>
              <w:t>85.953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comparative</w:t>
            </w:r>
          </w:p>
        </w:tc>
        <w:tc>
          <w:tcPr>
            <w:tcW w:type="dxa" w:w="1210"/>
          </w:tcPr>
          <w:p>
            <w:pPr>
              <w:spacing w:after="20"/>
            </w:pPr>
            <w:r>
              <w:rPr>
                <w:color w:val="1C3A36"/>
                <w:sz w:val="14"/>
              </w:rPr>
              <w:t>2024-12-31</w:t>
            </w:r>
          </w:p>
        </w:tc>
      </w:tr>
      <w:tr>
        <w:tc>
          <w:tcPr>
            <w:tcW w:type="dxa" w:w="432"/>
          </w:tcPr>
          <w:p>
            <w:pPr>
              <w:spacing w:after="20"/>
            </w:pPr>
            <w:r>
              <w:rPr>
                <w:color w:val="1C3A36"/>
                <w:sz w:val="14"/>
              </w:rPr>
              <w:t>42</w:t>
            </w:r>
          </w:p>
        </w:tc>
        <w:tc>
          <w:tcPr>
            <w:tcW w:type="dxa" w:w="2448"/>
          </w:tcPr>
          <w:p>
            <w:pPr>
              <w:spacing w:after="20"/>
            </w:pPr>
            <w:r>
              <w:rPr>
                <w:color w:val="1C3A36"/>
                <w:sz w:val="14"/>
              </w:rPr>
              <w:t>fac_int_fy25</w:t>
            </w:r>
          </w:p>
        </w:tc>
        <w:tc>
          <w:tcPr>
            <w:tcW w:type="dxa" w:w="1325"/>
          </w:tcPr>
          <w:p>
            <w:pPr>
              <w:spacing w:after="20"/>
            </w:pPr>
            <w:r>
              <w:rPr>
                <w:color w:val="1C3A36"/>
                <w:sz w:val="14"/>
              </w:rPr>
              <w:t>23.0074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credit-facility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43</w:t>
            </w:r>
          </w:p>
        </w:tc>
        <w:tc>
          <w:tcPr>
            <w:tcW w:type="dxa" w:w="2448"/>
          </w:tcPr>
          <w:p>
            <w:pPr>
              <w:spacing w:after="20"/>
            </w:pPr>
            <w:r>
              <w:rPr>
                <w:color w:val="1C3A36"/>
                <w:sz w:val="14"/>
              </w:rPr>
              <w:t>fincost_fy24</w:t>
            </w:r>
          </w:p>
        </w:tc>
        <w:tc>
          <w:tcPr>
            <w:tcW w:type="dxa" w:w="1325"/>
          </w:tcPr>
          <w:p>
            <w:pPr>
              <w:spacing w:after="20"/>
            </w:pPr>
            <w:r>
              <w:rPr>
                <w:color w:val="1C3A36"/>
                <w:sz w:val="14"/>
              </w:rPr>
              <w:t>91.1889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comparative</w:t>
            </w:r>
          </w:p>
        </w:tc>
        <w:tc>
          <w:tcPr>
            <w:tcW w:type="dxa" w:w="1210"/>
          </w:tcPr>
          <w:p>
            <w:pPr>
              <w:spacing w:after="20"/>
            </w:pPr>
            <w:r>
              <w:rPr>
                <w:color w:val="1C3A36"/>
                <w:sz w:val="14"/>
              </w:rPr>
              <w:t>2024-12-31</w:t>
            </w:r>
          </w:p>
        </w:tc>
      </w:tr>
      <w:tr>
        <w:tc>
          <w:tcPr>
            <w:tcW w:type="dxa" w:w="432"/>
          </w:tcPr>
          <w:p>
            <w:pPr>
              <w:spacing w:after="20"/>
            </w:pPr>
            <w:r>
              <w:rPr>
                <w:color w:val="1C3A36"/>
                <w:sz w:val="14"/>
              </w:rPr>
              <w:t>44</w:t>
            </w:r>
          </w:p>
        </w:tc>
        <w:tc>
          <w:tcPr>
            <w:tcW w:type="dxa" w:w="2448"/>
          </w:tcPr>
          <w:p>
            <w:pPr>
              <w:spacing w:after="20"/>
            </w:pPr>
            <w:r>
              <w:rPr>
                <w:color w:val="1C3A36"/>
                <w:sz w:val="14"/>
              </w:rPr>
              <w:t>fincost_fy25</w:t>
            </w:r>
          </w:p>
        </w:tc>
        <w:tc>
          <w:tcPr>
            <w:tcW w:type="dxa" w:w="1325"/>
          </w:tcPr>
          <w:p>
            <w:pPr>
              <w:spacing w:after="20"/>
            </w:pPr>
            <w:r>
              <w:rPr>
                <w:color w:val="1C3A36"/>
                <w:sz w:val="14"/>
              </w:rPr>
              <w:t>49.8417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finance costs, note 8: loan interest 24.613, credit-facility interest 23.007, lease interest 1.163, long-term trade-payable finance interest 1.059</w:t>
            </w:r>
          </w:p>
        </w:tc>
        <w:tc>
          <w:tcPr>
            <w:tcW w:type="dxa" w:w="1210"/>
          </w:tcPr>
          <w:p>
            <w:pPr>
              <w:spacing w:after="20"/>
            </w:pPr>
            <w:r>
              <w:rPr>
                <w:color w:val="1C3A36"/>
                <w:sz w:val="14"/>
              </w:rPr>
              <w:t>2025-12-31</w:t>
            </w:r>
          </w:p>
        </w:tc>
      </w:tr>
      <w:tr>
        <w:tc>
          <w:tcPr>
            <w:tcW w:type="dxa" w:w="432"/>
          </w:tcPr>
          <w:p>
            <w:pPr>
              <w:spacing w:after="20"/>
            </w:pPr>
            <w:r>
              <w:rPr>
                <w:color w:val="1C3A36"/>
                <w:sz w:val="14"/>
              </w:rPr>
              <w:t>45</w:t>
            </w:r>
          </w:p>
        </w:tc>
        <w:tc>
          <w:tcPr>
            <w:tcW w:type="dxa" w:w="2448"/>
          </w:tcPr>
          <w:p>
            <w:pPr>
              <w:spacing w:after="20"/>
            </w:pPr>
            <w:r>
              <w:rPr>
                <w:color w:val="1C3A36"/>
                <w:sz w:val="14"/>
              </w:rPr>
              <w:t>fincost_q1_26</w:t>
            </w:r>
          </w:p>
        </w:tc>
        <w:tc>
          <w:tcPr>
            <w:tcW w:type="dxa" w:w="1325"/>
          </w:tcPr>
          <w:p>
            <w:pPr>
              <w:spacing w:after="20"/>
            </w:pPr>
            <w:r>
              <w:rPr>
                <w:color w:val="1C3A36"/>
                <w:sz w:val="14"/>
              </w:rPr>
              <w:t>11.1688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finance costs</w:t>
            </w:r>
          </w:p>
        </w:tc>
        <w:tc>
          <w:tcPr>
            <w:tcW w:type="dxa" w:w="1210"/>
          </w:tcPr>
          <w:p>
            <w:pPr>
              <w:spacing w:after="20"/>
            </w:pPr>
            <w:r>
              <w:rPr>
                <w:color w:val="1C3A36"/>
                <w:sz w:val="14"/>
              </w:rPr>
              <w:t>2026-03-31</w:t>
            </w:r>
          </w:p>
        </w:tc>
      </w:tr>
      <w:tr>
        <w:tc>
          <w:tcPr>
            <w:tcW w:type="dxa" w:w="432"/>
          </w:tcPr>
          <w:p>
            <w:pPr>
              <w:spacing w:after="20"/>
            </w:pPr>
            <w:r>
              <w:rPr>
                <w:color w:val="1C3A36"/>
                <w:sz w:val="14"/>
              </w:rPr>
              <w:t>46</w:t>
            </w:r>
          </w:p>
        </w:tc>
        <w:tc>
          <w:tcPr>
            <w:tcW w:type="dxa" w:w="2448"/>
          </w:tcPr>
          <w:p>
            <w:pPr>
              <w:spacing w:after="20"/>
            </w:pPr>
            <w:r>
              <w:rPr>
                <w:color w:val="1C3A36"/>
                <w:sz w:val="14"/>
              </w:rPr>
              <w:t>fx_avg_fy24</w:t>
            </w:r>
          </w:p>
        </w:tc>
        <w:tc>
          <w:tcPr>
            <w:tcW w:type="dxa" w:w="1325"/>
          </w:tcPr>
          <w:p>
            <w:pPr>
              <w:spacing w:after="20"/>
            </w:pPr>
            <w:r>
              <w:rPr>
                <w:color w:val="1C3A36"/>
                <w:sz w:val="14"/>
              </w:rPr>
              <w:t>44.39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average USD/EGP 2024</w:t>
            </w:r>
          </w:p>
        </w:tc>
        <w:tc>
          <w:tcPr>
            <w:tcW w:type="dxa" w:w="1210"/>
          </w:tcPr>
          <w:p>
            <w:pPr>
              <w:spacing w:after="20"/>
            </w:pPr>
            <w:r>
              <w:rPr>
                <w:color w:val="1C3A36"/>
                <w:sz w:val="14"/>
              </w:rPr>
              <w:t>2024-12-31</w:t>
            </w:r>
          </w:p>
        </w:tc>
      </w:tr>
      <w:tr>
        <w:tc>
          <w:tcPr>
            <w:tcW w:type="dxa" w:w="432"/>
          </w:tcPr>
          <w:p>
            <w:pPr>
              <w:spacing w:after="20"/>
            </w:pPr>
            <w:r>
              <w:rPr>
                <w:color w:val="1C3A36"/>
                <w:sz w:val="14"/>
              </w:rPr>
              <w:t>47</w:t>
            </w:r>
          </w:p>
        </w:tc>
        <w:tc>
          <w:tcPr>
            <w:tcW w:type="dxa" w:w="2448"/>
          </w:tcPr>
          <w:p>
            <w:pPr>
              <w:spacing w:after="20"/>
            </w:pPr>
            <w:r>
              <w:rPr>
                <w:color w:val="1C3A36"/>
                <w:sz w:val="14"/>
              </w:rPr>
              <w:t>fx_avg_fy25</w:t>
            </w:r>
          </w:p>
        </w:tc>
        <w:tc>
          <w:tcPr>
            <w:tcW w:type="dxa" w:w="1325"/>
          </w:tcPr>
          <w:p>
            <w:pPr>
              <w:spacing w:after="20"/>
            </w:pPr>
            <w:r>
              <w:rPr>
                <w:color w:val="1C3A36"/>
                <w:sz w:val="14"/>
              </w:rPr>
              <w:t>49.26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currency table: average USD/EGP for 2025</w:t>
            </w:r>
          </w:p>
        </w:tc>
        <w:tc>
          <w:tcPr>
            <w:tcW w:type="dxa" w:w="1210"/>
          </w:tcPr>
          <w:p>
            <w:pPr>
              <w:spacing w:after="20"/>
            </w:pPr>
            <w:r>
              <w:rPr>
                <w:color w:val="1C3A36"/>
                <w:sz w:val="14"/>
              </w:rPr>
              <w:t>2025-12-31</w:t>
            </w:r>
          </w:p>
        </w:tc>
      </w:tr>
      <w:tr>
        <w:tc>
          <w:tcPr>
            <w:tcW w:type="dxa" w:w="432"/>
          </w:tcPr>
          <w:p>
            <w:pPr>
              <w:spacing w:after="20"/>
            </w:pPr>
            <w:r>
              <w:rPr>
                <w:color w:val="1C3A36"/>
                <w:sz w:val="14"/>
              </w:rPr>
              <w:t>48</w:t>
            </w:r>
          </w:p>
        </w:tc>
        <w:tc>
          <w:tcPr>
            <w:tcW w:type="dxa" w:w="2448"/>
          </w:tcPr>
          <w:p>
            <w:pPr>
              <w:spacing w:after="20"/>
            </w:pPr>
            <w:r>
              <w:rPr>
                <w:color w:val="1C3A36"/>
                <w:sz w:val="14"/>
              </w:rPr>
              <w:t>fx_diff_fy25</w:t>
            </w:r>
          </w:p>
        </w:tc>
        <w:tc>
          <w:tcPr>
            <w:tcW w:type="dxa" w:w="1325"/>
          </w:tcPr>
          <w:p>
            <w:pPr>
              <w:spacing w:after="20"/>
            </w:pPr>
            <w:r>
              <w:rPr>
                <w:color w:val="1C3A36"/>
                <w:sz w:val="14"/>
              </w:rPr>
              <w:t>-101.5782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foreign currency exchange differences, a LOSS</w:t>
            </w:r>
          </w:p>
        </w:tc>
        <w:tc>
          <w:tcPr>
            <w:tcW w:type="dxa" w:w="1210"/>
          </w:tcPr>
          <w:p>
            <w:pPr>
              <w:spacing w:after="20"/>
            </w:pPr>
            <w:r>
              <w:rPr>
                <w:color w:val="1C3A36"/>
                <w:sz w:val="14"/>
              </w:rPr>
              <w:t>2025-12-31</w:t>
            </w:r>
          </w:p>
        </w:tc>
      </w:tr>
      <w:tr>
        <w:tc>
          <w:tcPr>
            <w:tcW w:type="dxa" w:w="432"/>
          </w:tcPr>
          <w:p>
            <w:pPr>
              <w:spacing w:after="20"/>
            </w:pPr>
            <w:r>
              <w:rPr>
                <w:color w:val="1C3A36"/>
                <w:sz w:val="14"/>
              </w:rPr>
              <w:t>49</w:t>
            </w:r>
          </w:p>
        </w:tc>
        <w:tc>
          <w:tcPr>
            <w:tcW w:type="dxa" w:w="2448"/>
          </w:tcPr>
          <w:p>
            <w:pPr>
              <w:spacing w:after="20"/>
            </w:pPr>
            <w:r>
              <w:rPr>
                <w:color w:val="1C3A36"/>
                <w:sz w:val="14"/>
              </w:rPr>
              <w:t>fx_ye_fy25</w:t>
            </w:r>
          </w:p>
        </w:tc>
        <w:tc>
          <w:tcPr>
            <w:tcW w:type="dxa" w:w="1325"/>
          </w:tcPr>
          <w:p>
            <w:pPr>
              <w:spacing w:after="20"/>
            </w:pPr>
            <w:r>
              <w:rPr>
                <w:color w:val="1C3A36"/>
                <w:sz w:val="14"/>
              </w:rPr>
              <w:t>47.66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2.5: year-end USD/EGP 2025</w:t>
            </w:r>
          </w:p>
        </w:tc>
        <w:tc>
          <w:tcPr>
            <w:tcW w:type="dxa" w:w="1210"/>
          </w:tcPr>
          <w:p>
            <w:pPr>
              <w:spacing w:after="20"/>
            </w:pPr>
            <w:r>
              <w:rPr>
                <w:color w:val="1C3A36"/>
                <w:sz w:val="14"/>
              </w:rPr>
              <w:t>2025-12-31</w:t>
            </w:r>
          </w:p>
        </w:tc>
      </w:tr>
      <w:tr>
        <w:tc>
          <w:tcPr>
            <w:tcW w:type="dxa" w:w="432"/>
          </w:tcPr>
          <w:p>
            <w:pPr>
              <w:spacing w:after="20"/>
            </w:pPr>
            <w:r>
              <w:rPr>
                <w:color w:val="1C3A36"/>
                <w:sz w:val="14"/>
              </w:rPr>
              <w:t>50</w:t>
            </w:r>
          </w:p>
        </w:tc>
        <w:tc>
          <w:tcPr>
            <w:tcW w:type="dxa" w:w="2448"/>
          </w:tcPr>
          <w:p>
            <w:pPr>
              <w:spacing w:after="20"/>
            </w:pPr>
            <w:r>
              <w:rPr>
                <w:color w:val="1C3A36"/>
                <w:sz w:val="14"/>
              </w:rPr>
              <w:t>ga_admin_dep_fy25</w:t>
            </w:r>
          </w:p>
        </w:tc>
        <w:tc>
          <w:tcPr>
            <w:tcW w:type="dxa" w:w="1325"/>
          </w:tcPr>
          <w:p>
            <w:pPr>
              <w:spacing w:after="20"/>
            </w:pPr>
            <w:r>
              <w:rPr>
                <w:color w:val="1C3A36"/>
                <w:sz w:val="14"/>
              </w:rPr>
              <w:t>4.3241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6, administrative depreciation</w:t>
            </w:r>
          </w:p>
        </w:tc>
        <w:tc>
          <w:tcPr>
            <w:tcW w:type="dxa" w:w="1210"/>
          </w:tcPr>
          <w:p>
            <w:pPr>
              <w:spacing w:after="20"/>
            </w:pPr>
            <w:r>
              <w:rPr>
                <w:color w:val="1C3A36"/>
                <w:sz w:val="14"/>
              </w:rPr>
              <w:t>2025-12-31</w:t>
            </w:r>
          </w:p>
        </w:tc>
      </w:tr>
      <w:tr>
        <w:tc>
          <w:tcPr>
            <w:tcW w:type="dxa" w:w="432"/>
          </w:tcPr>
          <w:p>
            <w:pPr>
              <w:spacing w:after="20"/>
            </w:pPr>
            <w:r>
              <w:rPr>
                <w:color w:val="1C3A36"/>
                <w:sz w:val="14"/>
              </w:rPr>
              <w:t>51</w:t>
            </w:r>
          </w:p>
        </w:tc>
        <w:tc>
          <w:tcPr>
            <w:tcW w:type="dxa" w:w="2448"/>
          </w:tcPr>
          <w:p>
            <w:pPr>
              <w:spacing w:after="20"/>
            </w:pPr>
            <w:r>
              <w:rPr>
                <w:color w:val="1C3A36"/>
                <w:sz w:val="14"/>
              </w:rPr>
              <w:t>ga_fy23</w:t>
            </w:r>
          </w:p>
        </w:tc>
        <w:tc>
          <w:tcPr>
            <w:tcW w:type="dxa" w:w="1325"/>
          </w:tcPr>
          <w:p>
            <w:pPr>
              <w:spacing w:after="20"/>
            </w:pPr>
            <w:r>
              <w:rPr>
                <w:color w:val="1C3A36"/>
                <w:sz w:val="14"/>
              </w:rPr>
              <w:t>183.9403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general and administrative expenses, comparative</w:t>
            </w:r>
          </w:p>
        </w:tc>
        <w:tc>
          <w:tcPr>
            <w:tcW w:type="dxa" w:w="1210"/>
          </w:tcPr>
          <w:p>
            <w:pPr>
              <w:spacing w:after="20"/>
            </w:pPr>
            <w:r>
              <w:rPr>
                <w:color w:val="1C3A36"/>
                <w:sz w:val="14"/>
              </w:rPr>
              <w:t>2023-12-31</w:t>
            </w:r>
          </w:p>
        </w:tc>
      </w:tr>
      <w:tr>
        <w:tc>
          <w:tcPr>
            <w:tcW w:type="dxa" w:w="432"/>
          </w:tcPr>
          <w:p>
            <w:pPr>
              <w:spacing w:after="20"/>
            </w:pPr>
            <w:r>
              <w:rPr>
                <w:color w:val="1C3A36"/>
                <w:sz w:val="14"/>
              </w:rPr>
              <w:t>52</w:t>
            </w:r>
          </w:p>
        </w:tc>
        <w:tc>
          <w:tcPr>
            <w:tcW w:type="dxa" w:w="2448"/>
          </w:tcPr>
          <w:p>
            <w:pPr>
              <w:spacing w:after="20"/>
            </w:pPr>
            <w:r>
              <w:rPr>
                <w:color w:val="1C3A36"/>
                <w:sz w:val="14"/>
              </w:rPr>
              <w:t>ga_fy24</w:t>
            </w:r>
          </w:p>
        </w:tc>
        <w:tc>
          <w:tcPr>
            <w:tcW w:type="dxa" w:w="1325"/>
          </w:tcPr>
          <w:p>
            <w:pPr>
              <w:spacing w:after="20"/>
            </w:pPr>
            <w:r>
              <w:rPr>
                <w:color w:val="1C3A36"/>
                <w:sz w:val="14"/>
              </w:rPr>
              <w:t>267.7981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comparative</w:t>
            </w:r>
          </w:p>
        </w:tc>
        <w:tc>
          <w:tcPr>
            <w:tcW w:type="dxa" w:w="1210"/>
          </w:tcPr>
          <w:p>
            <w:pPr>
              <w:spacing w:after="20"/>
            </w:pPr>
            <w:r>
              <w:rPr>
                <w:color w:val="1C3A36"/>
                <w:sz w:val="14"/>
              </w:rPr>
              <w:t>2024-12-31</w:t>
            </w:r>
          </w:p>
        </w:tc>
      </w:tr>
      <w:tr>
        <w:tc>
          <w:tcPr>
            <w:tcW w:type="dxa" w:w="432"/>
          </w:tcPr>
          <w:p>
            <w:pPr>
              <w:spacing w:after="20"/>
            </w:pPr>
            <w:r>
              <w:rPr>
                <w:color w:val="1C3A36"/>
                <w:sz w:val="14"/>
              </w:rPr>
              <w:t>53</w:t>
            </w:r>
          </w:p>
        </w:tc>
        <w:tc>
          <w:tcPr>
            <w:tcW w:type="dxa" w:w="2448"/>
          </w:tcPr>
          <w:p>
            <w:pPr>
              <w:spacing w:after="20"/>
            </w:pPr>
            <w:r>
              <w:rPr>
                <w:color w:val="1C3A36"/>
                <w:sz w:val="14"/>
              </w:rPr>
              <w:t>ga_fy25</w:t>
            </w:r>
          </w:p>
        </w:tc>
        <w:tc>
          <w:tcPr>
            <w:tcW w:type="dxa" w:w="1325"/>
          </w:tcPr>
          <w:p>
            <w:pPr>
              <w:spacing w:after="20"/>
            </w:pPr>
            <w:r>
              <w:rPr>
                <w:color w:val="1C3A36"/>
                <w:sz w:val="14"/>
              </w:rPr>
              <w:t>384.3328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general and administrative expenses, note 6</w:t>
            </w:r>
          </w:p>
        </w:tc>
        <w:tc>
          <w:tcPr>
            <w:tcW w:type="dxa" w:w="1210"/>
          </w:tcPr>
          <w:p>
            <w:pPr>
              <w:spacing w:after="20"/>
            </w:pPr>
            <w:r>
              <w:rPr>
                <w:color w:val="1C3A36"/>
                <w:sz w:val="14"/>
              </w:rPr>
              <w:t>2025-12-31</w:t>
            </w:r>
          </w:p>
        </w:tc>
      </w:tr>
      <w:tr>
        <w:tc>
          <w:tcPr>
            <w:tcW w:type="dxa" w:w="432"/>
          </w:tcPr>
          <w:p>
            <w:pPr>
              <w:spacing w:after="20"/>
            </w:pPr>
            <w:r>
              <w:rPr>
                <w:color w:val="1C3A36"/>
                <w:sz w:val="14"/>
              </w:rPr>
              <w:t>54</w:t>
            </w:r>
          </w:p>
        </w:tc>
        <w:tc>
          <w:tcPr>
            <w:tcW w:type="dxa" w:w="2448"/>
          </w:tcPr>
          <w:p>
            <w:pPr>
              <w:spacing w:after="20"/>
            </w:pPr>
            <w:r>
              <w:rPr>
                <w:color w:val="1C3A36"/>
                <w:sz w:val="14"/>
              </w:rPr>
              <w:t>ga_q1_26</w:t>
            </w:r>
          </w:p>
        </w:tc>
        <w:tc>
          <w:tcPr>
            <w:tcW w:type="dxa" w:w="1325"/>
          </w:tcPr>
          <w:p>
            <w:pPr>
              <w:spacing w:after="20"/>
            </w:pPr>
            <w:r>
              <w:rPr>
                <w:color w:val="1C3A36"/>
                <w:sz w:val="14"/>
              </w:rPr>
              <w:t>102.2818</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general and administrative expenses</w:t>
            </w:r>
          </w:p>
        </w:tc>
        <w:tc>
          <w:tcPr>
            <w:tcW w:type="dxa" w:w="1210"/>
          </w:tcPr>
          <w:p>
            <w:pPr>
              <w:spacing w:after="20"/>
            </w:pPr>
            <w:r>
              <w:rPr>
                <w:color w:val="1C3A36"/>
                <w:sz w:val="14"/>
              </w:rPr>
              <w:t>2026-03-31</w:t>
            </w:r>
          </w:p>
        </w:tc>
      </w:tr>
      <w:tr>
        <w:tc>
          <w:tcPr>
            <w:tcW w:type="dxa" w:w="432"/>
          </w:tcPr>
          <w:p>
            <w:pPr>
              <w:spacing w:after="20"/>
            </w:pPr>
            <w:r>
              <w:rPr>
                <w:color w:val="1C3A36"/>
                <w:sz w:val="14"/>
              </w:rPr>
              <w:t>55</w:t>
            </w:r>
          </w:p>
        </w:tc>
        <w:tc>
          <w:tcPr>
            <w:tcW w:type="dxa" w:w="2448"/>
          </w:tcPr>
          <w:p>
            <w:pPr>
              <w:spacing w:after="20"/>
            </w:pPr>
            <w:r>
              <w:rPr>
                <w:color w:val="1C3A36"/>
                <w:sz w:val="14"/>
              </w:rPr>
              <w:t>gp_q1_26</w:t>
            </w:r>
          </w:p>
        </w:tc>
        <w:tc>
          <w:tcPr>
            <w:tcW w:type="dxa" w:w="1325"/>
          </w:tcPr>
          <w:p>
            <w:pPr>
              <w:spacing w:after="20"/>
            </w:pPr>
            <w:r>
              <w:rPr>
                <w:color w:val="1C3A36"/>
                <w:sz w:val="14"/>
              </w:rPr>
              <w:t>1,286.1459</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gross profit</w:t>
            </w:r>
          </w:p>
        </w:tc>
        <w:tc>
          <w:tcPr>
            <w:tcW w:type="dxa" w:w="1210"/>
          </w:tcPr>
          <w:p>
            <w:pPr>
              <w:spacing w:after="20"/>
            </w:pPr>
            <w:r>
              <w:rPr>
                <w:color w:val="1C3A36"/>
                <w:sz w:val="14"/>
              </w:rPr>
              <w:t>2026-03-31</w:t>
            </w:r>
          </w:p>
        </w:tc>
      </w:tr>
      <w:tr>
        <w:tc>
          <w:tcPr>
            <w:tcW w:type="dxa" w:w="432"/>
          </w:tcPr>
          <w:p>
            <w:pPr>
              <w:spacing w:after="20"/>
            </w:pPr>
            <w:r>
              <w:rPr>
                <w:color w:val="1C3A36"/>
                <w:sz w:val="14"/>
              </w:rPr>
              <w:t>56</w:t>
            </w:r>
          </w:p>
        </w:tc>
        <w:tc>
          <w:tcPr>
            <w:tcW w:type="dxa" w:w="2448"/>
          </w:tcPr>
          <w:p>
            <w:pPr>
              <w:spacing w:after="20"/>
            </w:pPr>
            <w:r>
              <w:rPr>
                <w:color w:val="1C3A36"/>
                <w:sz w:val="14"/>
              </w:rPr>
              <w:t>intang_fy25</w:t>
            </w:r>
          </w:p>
        </w:tc>
        <w:tc>
          <w:tcPr>
            <w:tcW w:type="dxa" w:w="1325"/>
          </w:tcPr>
          <w:p>
            <w:pPr>
              <w:spacing w:after="20"/>
            </w:pPr>
            <w:r>
              <w:rPr>
                <w:color w:val="1C3A36"/>
                <w:sz w:val="14"/>
              </w:rPr>
              <w:t>106.7996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intangible assets (net), note 14: the operating licence</w:t>
            </w:r>
          </w:p>
        </w:tc>
        <w:tc>
          <w:tcPr>
            <w:tcW w:type="dxa" w:w="1210"/>
          </w:tcPr>
          <w:p>
            <w:pPr>
              <w:spacing w:after="20"/>
            </w:pPr>
            <w:r>
              <w:rPr>
                <w:color w:val="1C3A36"/>
                <w:sz w:val="14"/>
              </w:rPr>
              <w:t>2025-12-31</w:t>
            </w:r>
          </w:p>
        </w:tc>
      </w:tr>
      <w:tr>
        <w:tc>
          <w:tcPr>
            <w:tcW w:type="dxa" w:w="432"/>
          </w:tcPr>
          <w:p>
            <w:pPr>
              <w:spacing w:after="20"/>
            </w:pPr>
            <w:r>
              <w:rPr>
                <w:color w:val="1C3A36"/>
                <w:sz w:val="14"/>
              </w:rPr>
              <w:t>57</w:t>
            </w:r>
          </w:p>
        </w:tc>
        <w:tc>
          <w:tcPr>
            <w:tcW w:type="dxa" w:w="2448"/>
          </w:tcPr>
          <w:p>
            <w:pPr>
              <w:spacing w:after="20"/>
            </w:pPr>
            <w:r>
              <w:rPr>
                <w:color w:val="1C3A36"/>
                <w:sz w:val="14"/>
              </w:rPr>
              <w:t>intinc_fy25</w:t>
            </w:r>
          </w:p>
        </w:tc>
        <w:tc>
          <w:tcPr>
            <w:tcW w:type="dxa" w:w="1325"/>
          </w:tcPr>
          <w:p>
            <w:pPr>
              <w:spacing w:after="20"/>
            </w:pPr>
            <w:r>
              <w:rPr>
                <w:color w:val="1C3A36"/>
                <w:sz w:val="14"/>
              </w:rPr>
              <w:t>226.2748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interest income</w:t>
            </w:r>
          </w:p>
        </w:tc>
        <w:tc>
          <w:tcPr>
            <w:tcW w:type="dxa" w:w="1210"/>
          </w:tcPr>
          <w:p>
            <w:pPr>
              <w:spacing w:after="20"/>
            </w:pPr>
            <w:r>
              <w:rPr>
                <w:color w:val="1C3A36"/>
                <w:sz w:val="14"/>
              </w:rPr>
              <w:t>2025-12-31</w:t>
            </w:r>
          </w:p>
        </w:tc>
      </w:tr>
      <w:tr>
        <w:tc>
          <w:tcPr>
            <w:tcW w:type="dxa" w:w="432"/>
          </w:tcPr>
          <w:p>
            <w:pPr>
              <w:spacing w:after="20"/>
            </w:pPr>
            <w:r>
              <w:rPr>
                <w:color w:val="1C3A36"/>
                <w:sz w:val="14"/>
              </w:rPr>
              <w:t>58</w:t>
            </w:r>
          </w:p>
        </w:tc>
        <w:tc>
          <w:tcPr>
            <w:tcW w:type="dxa" w:w="2448"/>
          </w:tcPr>
          <w:p>
            <w:pPr>
              <w:spacing w:after="20"/>
            </w:pPr>
            <w:r>
              <w:rPr>
                <w:color w:val="1C3A36"/>
                <w:sz w:val="14"/>
              </w:rPr>
              <w:t>inv_fy25</w:t>
            </w:r>
          </w:p>
        </w:tc>
        <w:tc>
          <w:tcPr>
            <w:tcW w:type="dxa" w:w="1325"/>
          </w:tcPr>
          <w:p>
            <w:pPr>
              <w:spacing w:after="20"/>
            </w:pPr>
            <w:r>
              <w:rPr>
                <w:color w:val="1C3A36"/>
                <w:sz w:val="14"/>
              </w:rPr>
              <w:t>1,053.6462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inventories, note 16: raw materials 282.765, fuel 200.388, packing 51.934, spares 190.444, work in progress 6.861, goods in transit 0.483, finished goods 320.771</w:t>
            </w:r>
          </w:p>
        </w:tc>
        <w:tc>
          <w:tcPr>
            <w:tcW w:type="dxa" w:w="1210"/>
          </w:tcPr>
          <w:p>
            <w:pPr>
              <w:spacing w:after="20"/>
            </w:pPr>
            <w:r>
              <w:rPr>
                <w:color w:val="1C3A36"/>
                <w:sz w:val="14"/>
              </w:rPr>
              <w:t>2025-12-31</w:t>
            </w:r>
          </w:p>
        </w:tc>
      </w:tr>
      <w:tr>
        <w:tc>
          <w:tcPr>
            <w:tcW w:type="dxa" w:w="432"/>
          </w:tcPr>
          <w:p>
            <w:pPr>
              <w:spacing w:after="20"/>
            </w:pPr>
            <w:r>
              <w:rPr>
                <w:color w:val="1C3A36"/>
                <w:sz w:val="14"/>
              </w:rPr>
              <w:t>59</w:t>
            </w:r>
          </w:p>
        </w:tc>
        <w:tc>
          <w:tcPr>
            <w:tcW w:type="dxa" w:w="2448"/>
          </w:tcPr>
          <w:p>
            <w:pPr>
              <w:spacing w:after="20"/>
            </w:pPr>
            <w:r>
              <w:rPr>
                <w:color w:val="1C3A36"/>
                <w:sz w:val="14"/>
              </w:rPr>
              <w:t>kd_egp_marginal</w:t>
            </w:r>
          </w:p>
        </w:tc>
        <w:tc>
          <w:tcPr>
            <w:tcW w:type="dxa" w:w="1325"/>
          </w:tcPr>
          <w:p>
            <w:pPr>
              <w:spacing w:after="20"/>
            </w:pPr>
            <w:r>
              <w:rPr>
                <w:color w:val="1C3A36"/>
                <w:sz w:val="14"/>
              </w:rPr>
              <w:t>0.206</w:t>
            </w:r>
          </w:p>
        </w:tc>
        <w:tc>
          <w:tcPr>
            <w:tcW w:type="dxa" w:w="1066"/>
          </w:tcPr>
          <w:p>
            <w:pPr>
              <w:spacing w:after="20"/>
            </w:pPr>
            <w:r>
              <w:rPr>
                <w:color w:val="1C3A36"/>
                <w:sz w:val="14"/>
              </w:rPr>
              <w:t>Company</w:t>
            </w:r>
          </w:p>
        </w:tc>
        <w:tc>
          <w:tcPr>
            <w:tcW w:type="dxa" w:w="7171"/>
          </w:tcPr>
          <w:p>
            <w:pPr>
              <w:spacing w:after="20"/>
            </w:pPr>
            <w:r>
              <w:rPr>
                <w:color w:val="1C3A36"/>
                <w:sz w:val="14"/>
              </w:rPr>
              <w:t>Marginal EGP borrowing rate: the Central Bank corridor offer rate of 20.0% plus the 0.6% margin disclosed on the CIB facility</w:t>
            </w:r>
          </w:p>
        </w:tc>
        <w:tc>
          <w:tcPr>
            <w:tcW w:type="dxa" w:w="1210"/>
          </w:tcPr>
          <w:p>
            <w:pPr>
              <w:spacing w:after="20"/>
            </w:pPr>
            <w:r>
              <w:rPr>
                <w:color w:val="1C3A36"/>
                <w:sz w:val="14"/>
              </w:rPr>
              <w:t>2026-08-06</w:t>
            </w:r>
          </w:p>
        </w:tc>
      </w:tr>
      <w:tr>
        <w:tc>
          <w:tcPr>
            <w:tcW w:type="dxa" w:w="432"/>
          </w:tcPr>
          <w:p>
            <w:pPr>
              <w:spacing w:after="20"/>
            </w:pPr>
            <w:r>
              <w:rPr>
                <w:color w:val="1C3A36"/>
                <w:sz w:val="14"/>
              </w:rPr>
              <w:t>60</w:t>
            </w:r>
          </w:p>
        </w:tc>
        <w:tc>
          <w:tcPr>
            <w:tcW w:type="dxa" w:w="2448"/>
          </w:tcPr>
          <w:p>
            <w:pPr>
              <w:spacing w:after="20"/>
            </w:pPr>
            <w:r>
              <w:rPr>
                <w:color w:val="1C3A36"/>
                <w:sz w:val="14"/>
              </w:rPr>
              <w:t>lease_fy25</w:t>
            </w:r>
          </w:p>
        </w:tc>
        <w:tc>
          <w:tcPr>
            <w:tcW w:type="dxa" w:w="1325"/>
          </w:tcPr>
          <w:p>
            <w:pPr>
              <w:spacing w:after="20"/>
            </w:pPr>
            <w:r>
              <w:rPr>
                <w:color w:val="1C3A36"/>
                <w:sz w:val="14"/>
              </w:rPr>
              <w:t>1.176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lease liabilities, note 33-2</w:t>
            </w:r>
          </w:p>
        </w:tc>
        <w:tc>
          <w:tcPr>
            <w:tcW w:type="dxa" w:w="1210"/>
          </w:tcPr>
          <w:p>
            <w:pPr>
              <w:spacing w:after="20"/>
            </w:pPr>
            <w:r>
              <w:rPr>
                <w:color w:val="1C3A36"/>
                <w:sz w:val="14"/>
              </w:rPr>
              <w:t>2025-12-31</w:t>
            </w:r>
          </w:p>
        </w:tc>
      </w:tr>
      <w:tr>
        <w:tc>
          <w:tcPr>
            <w:tcW w:type="dxa" w:w="432"/>
          </w:tcPr>
          <w:p>
            <w:pPr>
              <w:spacing w:after="20"/>
            </w:pPr>
            <w:r>
              <w:rPr>
                <w:color w:val="1C3A36"/>
                <w:sz w:val="14"/>
              </w:rPr>
              <w:t>61</w:t>
            </w:r>
          </w:p>
        </w:tc>
        <w:tc>
          <w:tcPr>
            <w:tcW w:type="dxa" w:w="2448"/>
          </w:tcPr>
          <w:p>
            <w:pPr>
              <w:spacing w:after="20"/>
            </w:pPr>
            <w:r>
              <w:rPr>
                <w:color w:val="1C3A36"/>
                <w:sz w:val="14"/>
              </w:rPr>
              <w:t>loan_int_fy24</w:t>
            </w:r>
          </w:p>
        </w:tc>
        <w:tc>
          <w:tcPr>
            <w:tcW w:type="dxa" w:w="1325"/>
          </w:tcPr>
          <w:p>
            <w:pPr>
              <w:spacing w:after="20"/>
            </w:pPr>
            <w:r>
              <w:rPr>
                <w:color w:val="1C3A36"/>
                <w:sz w:val="14"/>
              </w:rPr>
              <w:t>2.7541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 comparative</w:t>
            </w:r>
          </w:p>
        </w:tc>
        <w:tc>
          <w:tcPr>
            <w:tcW w:type="dxa" w:w="1210"/>
          </w:tcPr>
          <w:p>
            <w:pPr>
              <w:spacing w:after="20"/>
            </w:pPr>
            <w:r>
              <w:rPr>
                <w:color w:val="1C3A36"/>
                <w:sz w:val="14"/>
              </w:rPr>
              <w:t>2024-12-31</w:t>
            </w:r>
          </w:p>
        </w:tc>
      </w:tr>
      <w:tr>
        <w:tc>
          <w:tcPr>
            <w:tcW w:type="dxa" w:w="432"/>
          </w:tcPr>
          <w:p>
            <w:pPr>
              <w:spacing w:after="20"/>
            </w:pPr>
            <w:r>
              <w:rPr>
                <w:color w:val="1C3A36"/>
                <w:sz w:val="14"/>
              </w:rPr>
              <w:t>62</w:t>
            </w:r>
          </w:p>
        </w:tc>
        <w:tc>
          <w:tcPr>
            <w:tcW w:type="dxa" w:w="2448"/>
          </w:tcPr>
          <w:p>
            <w:pPr>
              <w:spacing w:after="20"/>
            </w:pPr>
            <w:r>
              <w:rPr>
                <w:color w:val="1C3A36"/>
                <w:sz w:val="14"/>
              </w:rPr>
              <w:t>loan_int_fy25</w:t>
            </w:r>
          </w:p>
        </w:tc>
        <w:tc>
          <w:tcPr>
            <w:tcW w:type="dxa" w:w="1325"/>
          </w:tcPr>
          <w:p>
            <w:pPr>
              <w:spacing w:after="20"/>
            </w:pPr>
            <w:r>
              <w:rPr>
                <w:color w:val="1C3A36"/>
                <w:sz w:val="14"/>
              </w:rPr>
              <w:t>24.6131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8, loan interest expense</w:t>
            </w:r>
          </w:p>
        </w:tc>
        <w:tc>
          <w:tcPr>
            <w:tcW w:type="dxa" w:w="1210"/>
          </w:tcPr>
          <w:p>
            <w:pPr>
              <w:spacing w:after="20"/>
            </w:pPr>
            <w:r>
              <w:rPr>
                <w:color w:val="1C3A36"/>
                <w:sz w:val="14"/>
              </w:rPr>
              <w:t>2025-12-31</w:t>
            </w:r>
          </w:p>
        </w:tc>
      </w:tr>
      <w:tr>
        <w:tc>
          <w:tcPr>
            <w:tcW w:type="dxa" w:w="432"/>
          </w:tcPr>
          <w:p>
            <w:pPr>
              <w:spacing w:after="20"/>
            </w:pPr>
            <w:r>
              <w:rPr>
                <w:color w:val="1C3A36"/>
                <w:sz w:val="14"/>
              </w:rPr>
              <w:t>63</w:t>
            </w:r>
          </w:p>
        </w:tc>
        <w:tc>
          <w:tcPr>
            <w:tcW w:type="dxa" w:w="2448"/>
          </w:tcPr>
          <w:p>
            <w:pPr>
              <w:spacing w:after="20"/>
            </w:pPr>
            <w:r>
              <w:rPr>
                <w:color w:val="1C3A36"/>
                <w:sz w:val="14"/>
              </w:rPr>
              <w:t>nci</w:t>
            </w:r>
          </w:p>
        </w:tc>
        <w:tc>
          <w:tcPr>
            <w:tcW w:type="dxa" w:w="1325"/>
          </w:tcPr>
          <w:p>
            <w:pPr>
              <w:spacing w:after="20"/>
            </w:pPr>
            <w:r>
              <w:rPr>
                <w:color w:val="1C3A36"/>
                <w:sz w:val="14"/>
              </w:rPr>
              <w:t>0.158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non-controlling interests, note 24: EGP 158,005. Revision 1 deducted EGP 150mn on inference from the profit statements; the audited figure is 950 times smaller and immaterial to the bridge</w:t>
            </w:r>
          </w:p>
        </w:tc>
        <w:tc>
          <w:tcPr>
            <w:tcW w:type="dxa" w:w="1210"/>
          </w:tcPr>
          <w:p>
            <w:pPr>
              <w:spacing w:after="20"/>
            </w:pPr>
            <w:r>
              <w:rPr>
                <w:color w:val="1C3A36"/>
                <w:sz w:val="14"/>
              </w:rPr>
              <w:t>2025-12-31</w:t>
            </w:r>
          </w:p>
        </w:tc>
      </w:tr>
      <w:tr>
        <w:tc>
          <w:tcPr>
            <w:tcW w:type="dxa" w:w="432"/>
          </w:tcPr>
          <w:p>
            <w:pPr>
              <w:spacing w:after="20"/>
            </w:pPr>
            <w:r>
              <w:rPr>
                <w:color w:val="1C3A36"/>
                <w:sz w:val="14"/>
              </w:rPr>
              <w:t>64</w:t>
            </w:r>
          </w:p>
        </w:tc>
        <w:tc>
          <w:tcPr>
            <w:tcW w:type="dxa" w:w="2448"/>
          </w:tcPr>
          <w:p>
            <w:pPr>
              <w:spacing w:after="20"/>
            </w:pPr>
            <w:r>
              <w:rPr>
                <w:color w:val="1C3A36"/>
                <w:sz w:val="14"/>
              </w:rPr>
              <w:t>othinc_fy25</w:t>
            </w:r>
          </w:p>
        </w:tc>
        <w:tc>
          <w:tcPr>
            <w:tcW w:type="dxa" w:w="1325"/>
          </w:tcPr>
          <w:p>
            <w:pPr>
              <w:spacing w:after="20"/>
            </w:pPr>
            <w:r>
              <w:rPr>
                <w:color w:val="1C3A36"/>
                <w:sz w:val="14"/>
              </w:rPr>
              <w:t>53.3395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other income, note 7, including export subsidies of EGP 31.643mn</w:t>
            </w:r>
          </w:p>
        </w:tc>
        <w:tc>
          <w:tcPr>
            <w:tcW w:type="dxa" w:w="1210"/>
          </w:tcPr>
          <w:p>
            <w:pPr>
              <w:spacing w:after="20"/>
            </w:pPr>
            <w:r>
              <w:rPr>
                <w:color w:val="1C3A36"/>
                <w:sz w:val="14"/>
              </w:rPr>
              <w:t>2025-12-31</w:t>
            </w:r>
          </w:p>
        </w:tc>
      </w:tr>
      <w:tr>
        <w:tc>
          <w:tcPr>
            <w:tcW w:type="dxa" w:w="432"/>
          </w:tcPr>
          <w:p>
            <w:pPr>
              <w:spacing w:after="20"/>
            </w:pPr>
            <w:r>
              <w:rPr>
                <w:color w:val="1C3A36"/>
                <w:sz w:val="14"/>
              </w:rPr>
              <w:t>65</w:t>
            </w:r>
          </w:p>
        </w:tc>
        <w:tc>
          <w:tcPr>
            <w:tcW w:type="dxa" w:w="2448"/>
          </w:tcPr>
          <w:p>
            <w:pPr>
              <w:spacing w:after="20"/>
            </w:pPr>
            <w:r>
              <w:rPr>
                <w:color w:val="1C3A36"/>
                <w:sz w:val="14"/>
              </w:rPr>
              <w:t>pat_fy23</w:t>
            </w:r>
          </w:p>
        </w:tc>
        <w:tc>
          <w:tcPr>
            <w:tcW w:type="dxa" w:w="1325"/>
          </w:tcPr>
          <w:p>
            <w:pPr>
              <w:spacing w:after="20"/>
            </w:pPr>
            <w:r>
              <w:rPr>
                <w:color w:val="1C3A36"/>
                <w:sz w:val="14"/>
              </w:rPr>
              <w:t>697.4887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profit attributable to owners of the Parent, comparative</w:t>
            </w:r>
          </w:p>
        </w:tc>
        <w:tc>
          <w:tcPr>
            <w:tcW w:type="dxa" w:w="1210"/>
          </w:tcPr>
          <w:p>
            <w:pPr>
              <w:spacing w:after="20"/>
            </w:pPr>
            <w:r>
              <w:rPr>
                <w:color w:val="1C3A36"/>
                <w:sz w:val="14"/>
              </w:rPr>
              <w:t>2023-12-31</w:t>
            </w:r>
          </w:p>
        </w:tc>
      </w:tr>
      <w:tr>
        <w:tc>
          <w:tcPr>
            <w:tcW w:type="dxa" w:w="432"/>
          </w:tcPr>
          <w:p>
            <w:pPr>
              <w:spacing w:after="20"/>
            </w:pPr>
            <w:r>
              <w:rPr>
                <w:color w:val="1C3A36"/>
                <w:sz w:val="14"/>
              </w:rPr>
              <w:t>66</w:t>
            </w:r>
          </w:p>
        </w:tc>
        <w:tc>
          <w:tcPr>
            <w:tcW w:type="dxa" w:w="2448"/>
          </w:tcPr>
          <w:p>
            <w:pPr>
              <w:spacing w:after="20"/>
            </w:pPr>
            <w:r>
              <w:rPr>
                <w:color w:val="1C3A36"/>
                <w:sz w:val="14"/>
              </w:rPr>
              <w:t>pat_fy24</w:t>
            </w:r>
          </w:p>
        </w:tc>
        <w:tc>
          <w:tcPr>
            <w:tcW w:type="dxa" w:w="1325"/>
          </w:tcPr>
          <w:p>
            <w:pPr>
              <w:spacing w:after="20"/>
            </w:pPr>
            <w:r>
              <w:rPr>
                <w:color w:val="1C3A36"/>
                <w:sz w:val="14"/>
              </w:rPr>
              <w:t>1,160.1294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comparative</w:t>
            </w:r>
          </w:p>
        </w:tc>
        <w:tc>
          <w:tcPr>
            <w:tcW w:type="dxa" w:w="1210"/>
          </w:tcPr>
          <w:p>
            <w:pPr>
              <w:spacing w:after="20"/>
            </w:pPr>
            <w:r>
              <w:rPr>
                <w:color w:val="1C3A36"/>
                <w:sz w:val="14"/>
              </w:rPr>
              <w:t>2024-12-31</w:t>
            </w:r>
          </w:p>
        </w:tc>
      </w:tr>
      <w:tr>
        <w:tc>
          <w:tcPr>
            <w:tcW w:type="dxa" w:w="432"/>
          </w:tcPr>
          <w:p>
            <w:pPr>
              <w:spacing w:after="20"/>
            </w:pPr>
            <w:r>
              <w:rPr>
                <w:color w:val="1C3A36"/>
                <w:sz w:val="14"/>
              </w:rPr>
              <w:t>67</w:t>
            </w:r>
          </w:p>
        </w:tc>
        <w:tc>
          <w:tcPr>
            <w:tcW w:type="dxa" w:w="2448"/>
          </w:tcPr>
          <w:p>
            <w:pPr>
              <w:spacing w:after="20"/>
            </w:pPr>
            <w:r>
              <w:rPr>
                <w:color w:val="1C3A36"/>
                <w:sz w:val="14"/>
              </w:rPr>
              <w:t>pat_fy25</w:t>
            </w:r>
          </w:p>
        </w:tc>
        <w:tc>
          <w:tcPr>
            <w:tcW w:type="dxa" w:w="1325"/>
          </w:tcPr>
          <w:p>
            <w:pPr>
              <w:spacing w:after="20"/>
            </w:pPr>
            <w:r>
              <w:rPr>
                <w:color w:val="1C3A36"/>
                <w:sz w:val="14"/>
              </w:rPr>
              <w:t>3,599.5859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profit attributable to owners of the Parent (group profit 3,599.690 less 0.104 to non-controlling interests)</w:t>
            </w:r>
          </w:p>
        </w:tc>
        <w:tc>
          <w:tcPr>
            <w:tcW w:type="dxa" w:w="1210"/>
          </w:tcPr>
          <w:p>
            <w:pPr>
              <w:spacing w:after="20"/>
            </w:pPr>
            <w:r>
              <w:rPr>
                <w:color w:val="1C3A36"/>
                <w:sz w:val="14"/>
              </w:rPr>
              <w:t>2025-12-31</w:t>
            </w:r>
          </w:p>
        </w:tc>
      </w:tr>
      <w:tr>
        <w:tc>
          <w:tcPr>
            <w:tcW w:type="dxa" w:w="432"/>
          </w:tcPr>
          <w:p>
            <w:pPr>
              <w:spacing w:after="20"/>
            </w:pPr>
            <w:r>
              <w:rPr>
                <w:color w:val="1C3A36"/>
                <w:sz w:val="14"/>
              </w:rPr>
              <w:t>68</w:t>
            </w:r>
          </w:p>
        </w:tc>
        <w:tc>
          <w:tcPr>
            <w:tcW w:type="dxa" w:w="2448"/>
          </w:tcPr>
          <w:p>
            <w:pPr>
              <w:spacing w:after="20"/>
            </w:pPr>
            <w:r>
              <w:rPr>
                <w:color w:val="1C3A36"/>
                <w:sz w:val="14"/>
              </w:rPr>
              <w:t>pat_q1_26</w:t>
            </w:r>
          </w:p>
        </w:tc>
        <w:tc>
          <w:tcPr>
            <w:tcW w:type="dxa" w:w="1325"/>
          </w:tcPr>
          <w:p>
            <w:pPr>
              <w:spacing w:after="20"/>
            </w:pPr>
            <w:r>
              <w:rPr>
                <w:color w:val="1C3A36"/>
                <w:sz w:val="14"/>
              </w:rPr>
              <w:t>943.0683</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profit attributable to owners of the Parent</w:t>
            </w:r>
          </w:p>
        </w:tc>
        <w:tc>
          <w:tcPr>
            <w:tcW w:type="dxa" w:w="1210"/>
          </w:tcPr>
          <w:p>
            <w:pPr>
              <w:spacing w:after="20"/>
            </w:pPr>
            <w:r>
              <w:rPr>
                <w:color w:val="1C3A36"/>
                <w:sz w:val="14"/>
              </w:rPr>
              <w:t>2026-03-31</w:t>
            </w:r>
          </w:p>
        </w:tc>
      </w:tr>
      <w:tr>
        <w:tc>
          <w:tcPr>
            <w:tcW w:type="dxa" w:w="432"/>
          </w:tcPr>
          <w:p>
            <w:pPr>
              <w:spacing w:after="20"/>
            </w:pPr>
            <w:r>
              <w:rPr>
                <w:color w:val="1C3A36"/>
                <w:sz w:val="14"/>
              </w:rPr>
              <w:t>69</w:t>
            </w:r>
          </w:p>
        </w:tc>
        <w:tc>
          <w:tcPr>
            <w:tcW w:type="dxa" w:w="2448"/>
          </w:tcPr>
          <w:p>
            <w:pPr>
              <w:spacing w:after="20"/>
            </w:pPr>
            <w:r>
              <w:rPr>
                <w:color w:val="1C3A36"/>
                <w:sz w:val="14"/>
              </w:rPr>
              <w:t>pbt_fy23</w:t>
            </w:r>
          </w:p>
        </w:tc>
        <w:tc>
          <w:tcPr>
            <w:tcW w:type="dxa" w:w="1325"/>
          </w:tcPr>
          <w:p>
            <w:pPr>
              <w:spacing w:after="20"/>
            </w:pPr>
            <w:r>
              <w:rPr>
                <w:color w:val="1C3A36"/>
                <w:sz w:val="14"/>
              </w:rPr>
              <w:t>930.2314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net profit before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70</w:t>
            </w:r>
          </w:p>
        </w:tc>
        <w:tc>
          <w:tcPr>
            <w:tcW w:type="dxa" w:w="2448"/>
          </w:tcPr>
          <w:p>
            <w:pPr>
              <w:spacing w:after="20"/>
            </w:pPr>
            <w:r>
              <w:rPr>
                <w:color w:val="1C3A36"/>
                <w:sz w:val="14"/>
              </w:rPr>
              <w:t>pbt_fy24</w:t>
            </w:r>
          </w:p>
        </w:tc>
        <w:tc>
          <w:tcPr>
            <w:tcW w:type="dxa" w:w="1325"/>
          </w:tcPr>
          <w:p>
            <w:pPr>
              <w:spacing w:after="20"/>
            </w:pPr>
            <w:r>
              <w:rPr>
                <w:color w:val="1C3A36"/>
                <w:sz w:val="14"/>
              </w:rPr>
              <w:t>1,505.8661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71</w:t>
            </w:r>
          </w:p>
        </w:tc>
        <w:tc>
          <w:tcPr>
            <w:tcW w:type="dxa" w:w="2448"/>
          </w:tcPr>
          <w:p>
            <w:pPr>
              <w:spacing w:after="20"/>
            </w:pPr>
            <w:r>
              <w:rPr>
                <w:color w:val="1C3A36"/>
                <w:sz w:val="14"/>
              </w:rPr>
              <w:t>pbt_fy25</w:t>
            </w:r>
          </w:p>
        </w:tc>
        <w:tc>
          <w:tcPr>
            <w:tcW w:type="dxa" w:w="1325"/>
          </w:tcPr>
          <w:p>
            <w:pPr>
              <w:spacing w:after="20"/>
            </w:pPr>
            <w:r>
              <w:rPr>
                <w:color w:val="1C3A36"/>
                <w:sz w:val="14"/>
              </w:rPr>
              <w:t>4,725.1579</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net profit before tax</w:t>
            </w:r>
          </w:p>
        </w:tc>
        <w:tc>
          <w:tcPr>
            <w:tcW w:type="dxa" w:w="1210"/>
          </w:tcPr>
          <w:p>
            <w:pPr>
              <w:spacing w:after="20"/>
            </w:pPr>
            <w:r>
              <w:rPr>
                <w:color w:val="1C3A36"/>
                <w:sz w:val="14"/>
              </w:rPr>
              <w:t>2025-12-31</w:t>
            </w:r>
          </w:p>
        </w:tc>
      </w:tr>
      <w:tr>
        <w:tc>
          <w:tcPr>
            <w:tcW w:type="dxa" w:w="432"/>
          </w:tcPr>
          <w:p>
            <w:pPr>
              <w:spacing w:after="20"/>
            </w:pPr>
            <w:r>
              <w:rPr>
                <w:color w:val="1C3A36"/>
                <w:sz w:val="14"/>
              </w:rPr>
              <w:t>72</w:t>
            </w:r>
          </w:p>
        </w:tc>
        <w:tc>
          <w:tcPr>
            <w:tcW w:type="dxa" w:w="2448"/>
          </w:tcPr>
          <w:p>
            <w:pPr>
              <w:spacing w:after="20"/>
            </w:pPr>
            <w:r>
              <w:rPr>
                <w:color w:val="1C3A36"/>
                <w:sz w:val="14"/>
              </w:rPr>
              <w:t>pbt_q1_26</w:t>
            </w:r>
          </w:p>
        </w:tc>
        <w:tc>
          <w:tcPr>
            <w:tcW w:type="dxa" w:w="1325"/>
          </w:tcPr>
          <w:p>
            <w:pPr>
              <w:spacing w:after="20"/>
            </w:pPr>
            <w:r>
              <w:rPr>
                <w:color w:val="1C3A36"/>
                <w:sz w:val="14"/>
              </w:rPr>
              <w:t>1,273.0342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net profit before tax</w:t>
            </w:r>
          </w:p>
        </w:tc>
        <w:tc>
          <w:tcPr>
            <w:tcW w:type="dxa" w:w="1210"/>
          </w:tcPr>
          <w:p>
            <w:pPr>
              <w:spacing w:after="20"/>
            </w:pPr>
            <w:r>
              <w:rPr>
                <w:color w:val="1C3A36"/>
                <w:sz w:val="14"/>
              </w:rPr>
              <w:t>2026-03-31</w:t>
            </w:r>
          </w:p>
        </w:tc>
      </w:tr>
      <w:tr>
        <w:tc>
          <w:tcPr>
            <w:tcW w:type="dxa" w:w="432"/>
          </w:tcPr>
          <w:p>
            <w:pPr>
              <w:spacing w:after="20"/>
            </w:pPr>
            <w:r>
              <w:rPr>
                <w:color w:val="1C3A36"/>
                <w:sz w:val="14"/>
              </w:rPr>
              <w:t>73</w:t>
            </w:r>
          </w:p>
        </w:tc>
        <w:tc>
          <w:tcPr>
            <w:tcW w:type="dxa" w:w="2448"/>
          </w:tcPr>
          <w:p>
            <w:pPr>
              <w:spacing w:after="20"/>
            </w:pPr>
            <w:r>
              <w:rPr>
                <w:color w:val="1C3A36"/>
                <w:sz w:val="14"/>
              </w:rPr>
              <w:t>ppe_fy25</w:t>
            </w:r>
          </w:p>
        </w:tc>
        <w:tc>
          <w:tcPr>
            <w:tcW w:type="dxa" w:w="1325"/>
          </w:tcPr>
          <w:p>
            <w:pPr>
              <w:spacing w:after="20"/>
            </w:pPr>
            <w:r>
              <w:rPr>
                <w:color w:val="1C3A36"/>
                <w:sz w:val="14"/>
              </w:rPr>
              <w:t>2,522.3235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property, plant and equipment (net), note 12</w:t>
            </w:r>
          </w:p>
        </w:tc>
        <w:tc>
          <w:tcPr>
            <w:tcW w:type="dxa" w:w="1210"/>
          </w:tcPr>
          <w:p>
            <w:pPr>
              <w:spacing w:after="20"/>
            </w:pPr>
            <w:r>
              <w:rPr>
                <w:color w:val="1C3A36"/>
                <w:sz w:val="14"/>
              </w:rPr>
              <w:t>2025-12-31</w:t>
            </w:r>
          </w:p>
        </w:tc>
      </w:tr>
      <w:tr>
        <w:tc>
          <w:tcPr>
            <w:tcW w:type="dxa" w:w="432"/>
          </w:tcPr>
          <w:p>
            <w:pPr>
              <w:spacing w:after="20"/>
            </w:pPr>
            <w:r>
              <w:rPr>
                <w:color w:val="1C3A36"/>
                <w:sz w:val="14"/>
              </w:rPr>
              <w:t>74</w:t>
            </w:r>
          </w:p>
        </w:tc>
        <w:tc>
          <w:tcPr>
            <w:tcW w:type="dxa" w:w="2448"/>
          </w:tcPr>
          <w:p>
            <w:pPr>
              <w:spacing w:after="20"/>
            </w:pPr>
            <w:r>
              <w:rPr>
                <w:color w:val="1C3A36"/>
                <w:sz w:val="14"/>
              </w:rPr>
              <w:t>prov_fy23</w:t>
            </w:r>
          </w:p>
        </w:tc>
        <w:tc>
          <w:tcPr>
            <w:tcW w:type="dxa" w:w="1325"/>
          </w:tcPr>
          <w:p>
            <w:pPr>
              <w:spacing w:after="20"/>
            </w:pPr>
            <w:r>
              <w:rPr>
                <w:color w:val="1C3A36"/>
                <w:sz w:val="14"/>
              </w:rPr>
              <w:t>15.2202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provisions charged, comparative</w:t>
            </w:r>
          </w:p>
        </w:tc>
        <w:tc>
          <w:tcPr>
            <w:tcW w:type="dxa" w:w="1210"/>
          </w:tcPr>
          <w:p>
            <w:pPr>
              <w:spacing w:after="20"/>
            </w:pPr>
            <w:r>
              <w:rPr>
                <w:color w:val="1C3A36"/>
                <w:sz w:val="14"/>
              </w:rPr>
              <w:t>2023-12-31</w:t>
            </w:r>
          </w:p>
        </w:tc>
      </w:tr>
      <w:tr>
        <w:tc>
          <w:tcPr>
            <w:tcW w:type="dxa" w:w="432"/>
          </w:tcPr>
          <w:p>
            <w:pPr>
              <w:spacing w:after="20"/>
            </w:pPr>
            <w:r>
              <w:rPr>
                <w:color w:val="1C3A36"/>
                <w:sz w:val="14"/>
              </w:rPr>
              <w:t>75</w:t>
            </w:r>
          </w:p>
        </w:tc>
        <w:tc>
          <w:tcPr>
            <w:tcW w:type="dxa" w:w="2448"/>
          </w:tcPr>
          <w:p>
            <w:pPr>
              <w:spacing w:after="20"/>
            </w:pPr>
            <w:r>
              <w:rPr>
                <w:color w:val="1C3A36"/>
                <w:sz w:val="14"/>
              </w:rPr>
              <w:t>prov_fy24</w:t>
            </w:r>
          </w:p>
        </w:tc>
        <w:tc>
          <w:tcPr>
            <w:tcW w:type="dxa" w:w="1325"/>
          </w:tcPr>
          <w:p>
            <w:pPr>
              <w:spacing w:after="20"/>
            </w:pPr>
            <w:r>
              <w:rPr>
                <w:color w:val="1C3A36"/>
                <w:sz w:val="14"/>
              </w:rPr>
              <w:t>56.053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comparative</w:t>
            </w:r>
          </w:p>
        </w:tc>
        <w:tc>
          <w:tcPr>
            <w:tcW w:type="dxa" w:w="1210"/>
          </w:tcPr>
          <w:p>
            <w:pPr>
              <w:spacing w:after="20"/>
            </w:pPr>
            <w:r>
              <w:rPr>
                <w:color w:val="1C3A36"/>
                <w:sz w:val="14"/>
              </w:rPr>
              <w:t>2024-12-31</w:t>
            </w:r>
          </w:p>
        </w:tc>
      </w:tr>
      <w:tr>
        <w:tc>
          <w:tcPr>
            <w:tcW w:type="dxa" w:w="432"/>
          </w:tcPr>
          <w:p>
            <w:pPr>
              <w:spacing w:after="20"/>
            </w:pPr>
            <w:r>
              <w:rPr>
                <w:color w:val="1C3A36"/>
                <w:sz w:val="14"/>
              </w:rPr>
              <w:t>76</w:t>
            </w:r>
          </w:p>
        </w:tc>
        <w:tc>
          <w:tcPr>
            <w:tcW w:type="dxa" w:w="2448"/>
          </w:tcPr>
          <w:p>
            <w:pPr>
              <w:spacing w:after="20"/>
            </w:pPr>
            <w:r>
              <w:rPr>
                <w:color w:val="1C3A36"/>
                <w:sz w:val="14"/>
              </w:rPr>
              <w:t>prov_fy25</w:t>
            </w:r>
          </w:p>
        </w:tc>
        <w:tc>
          <w:tcPr>
            <w:tcW w:type="dxa" w:w="1325"/>
          </w:tcPr>
          <w:p>
            <w:pPr>
              <w:spacing w:after="20"/>
            </w:pPr>
            <w:r>
              <w:rPr>
                <w:color w:val="1C3A36"/>
                <w:sz w:val="14"/>
              </w:rPr>
              <w:t>74.5057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provisions charged, note 27</w:t>
            </w:r>
          </w:p>
        </w:tc>
        <w:tc>
          <w:tcPr>
            <w:tcW w:type="dxa" w:w="1210"/>
          </w:tcPr>
          <w:p>
            <w:pPr>
              <w:spacing w:after="20"/>
            </w:pPr>
            <w:r>
              <w:rPr>
                <w:color w:val="1C3A36"/>
                <w:sz w:val="14"/>
              </w:rPr>
              <w:t>2025-12-31</w:t>
            </w:r>
          </w:p>
        </w:tc>
      </w:tr>
      <w:tr>
        <w:tc>
          <w:tcPr>
            <w:tcW w:type="dxa" w:w="432"/>
          </w:tcPr>
          <w:p>
            <w:pPr>
              <w:spacing w:after="20"/>
            </w:pPr>
            <w:r>
              <w:rPr>
                <w:color w:val="1C3A36"/>
                <w:sz w:val="14"/>
              </w:rPr>
              <w:t>77</w:t>
            </w:r>
          </w:p>
        </w:tc>
        <w:tc>
          <w:tcPr>
            <w:tcW w:type="dxa" w:w="2448"/>
          </w:tcPr>
          <w:p>
            <w:pPr>
              <w:spacing w:after="20"/>
            </w:pPr>
            <w:r>
              <w:rPr>
                <w:color w:val="1C3A36"/>
                <w:sz w:val="14"/>
              </w:rPr>
              <w:t>prov_q1_26</w:t>
            </w:r>
          </w:p>
        </w:tc>
        <w:tc>
          <w:tcPr>
            <w:tcW w:type="dxa" w:w="1325"/>
          </w:tcPr>
          <w:p>
            <w:pPr>
              <w:spacing w:after="20"/>
            </w:pPr>
            <w:r>
              <w:rPr>
                <w:color w:val="1C3A36"/>
                <w:sz w:val="14"/>
              </w:rPr>
              <w:t>6.892</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provisions</w:t>
            </w:r>
          </w:p>
        </w:tc>
        <w:tc>
          <w:tcPr>
            <w:tcW w:type="dxa" w:w="1210"/>
          </w:tcPr>
          <w:p>
            <w:pPr>
              <w:spacing w:after="20"/>
            </w:pPr>
            <w:r>
              <w:rPr>
                <w:color w:val="1C3A36"/>
                <w:sz w:val="14"/>
              </w:rPr>
              <w:t>2026-03-31</w:t>
            </w:r>
          </w:p>
        </w:tc>
      </w:tr>
      <w:tr>
        <w:tc>
          <w:tcPr>
            <w:tcW w:type="dxa" w:w="432"/>
          </w:tcPr>
          <w:p>
            <w:pPr>
              <w:spacing w:after="20"/>
            </w:pPr>
            <w:r>
              <w:rPr>
                <w:color w:val="1C3A36"/>
                <w:sz w:val="14"/>
              </w:rPr>
              <w:t>78</w:t>
            </w:r>
          </w:p>
        </w:tc>
        <w:tc>
          <w:tcPr>
            <w:tcW w:type="dxa" w:w="2448"/>
          </w:tcPr>
          <w:p>
            <w:pPr>
              <w:spacing w:after="20"/>
            </w:pPr>
            <w:r>
              <w:rPr>
                <w:color w:val="1C3A36"/>
                <w:sz w:val="14"/>
              </w:rPr>
              <w:t>recv_fy25</w:t>
            </w:r>
          </w:p>
        </w:tc>
        <w:tc>
          <w:tcPr>
            <w:tcW w:type="dxa" w:w="1325"/>
          </w:tcPr>
          <w:p>
            <w:pPr>
              <w:spacing w:after="20"/>
            </w:pPr>
            <w:r>
              <w:rPr>
                <w:color w:val="1C3A36"/>
                <w:sz w:val="14"/>
              </w:rPr>
              <w:t>244.4164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trade receivables (net of EGP 7.639mn expected credit losses), note 17</w:t>
            </w:r>
          </w:p>
        </w:tc>
        <w:tc>
          <w:tcPr>
            <w:tcW w:type="dxa" w:w="1210"/>
          </w:tcPr>
          <w:p>
            <w:pPr>
              <w:spacing w:after="20"/>
            </w:pPr>
            <w:r>
              <w:rPr>
                <w:color w:val="1C3A36"/>
                <w:sz w:val="14"/>
              </w:rPr>
              <w:t>2025-12-31</w:t>
            </w:r>
          </w:p>
        </w:tc>
      </w:tr>
      <w:tr>
        <w:tc>
          <w:tcPr>
            <w:tcW w:type="dxa" w:w="432"/>
          </w:tcPr>
          <w:p>
            <w:pPr>
              <w:spacing w:after="20"/>
            </w:pPr>
            <w:r>
              <w:rPr>
                <w:color w:val="1C3A36"/>
                <w:sz w:val="14"/>
              </w:rPr>
              <w:t>79</w:t>
            </w:r>
          </w:p>
        </w:tc>
        <w:tc>
          <w:tcPr>
            <w:tcW w:type="dxa" w:w="2448"/>
          </w:tcPr>
          <w:p>
            <w:pPr>
              <w:spacing w:after="20"/>
            </w:pPr>
            <w:r>
              <w:rPr>
                <w:color w:val="1C3A36"/>
                <w:sz w:val="14"/>
              </w:rPr>
              <w:t>rev_exp_fy24</w:t>
            </w:r>
          </w:p>
        </w:tc>
        <w:tc>
          <w:tcPr>
            <w:tcW w:type="dxa" w:w="1325"/>
          </w:tcPr>
          <w:p>
            <w:pPr>
              <w:spacing w:after="20"/>
            </w:pPr>
            <w:r>
              <w:rPr>
                <w:color w:val="1C3A36"/>
                <w:sz w:val="14"/>
              </w:rPr>
              <w:t>3,846.4783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export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80</w:t>
            </w:r>
          </w:p>
        </w:tc>
        <w:tc>
          <w:tcPr>
            <w:tcW w:type="dxa" w:w="2448"/>
          </w:tcPr>
          <w:p>
            <w:pPr>
              <w:spacing w:after="20"/>
            </w:pPr>
            <w:r>
              <w:rPr>
                <w:color w:val="1C3A36"/>
                <w:sz w:val="14"/>
              </w:rPr>
              <w:t>rev_exp_goods_fy25</w:t>
            </w:r>
          </w:p>
        </w:tc>
        <w:tc>
          <w:tcPr>
            <w:tcW w:type="dxa" w:w="1325"/>
          </w:tcPr>
          <w:p>
            <w:pPr>
              <w:spacing w:after="20"/>
            </w:pPr>
            <w:r>
              <w:rPr>
                <w:color w:val="1C3A36"/>
                <w:sz w:val="14"/>
              </w:rPr>
              <w:t>3,356.4224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81</w:t>
            </w:r>
          </w:p>
        </w:tc>
        <w:tc>
          <w:tcPr>
            <w:tcW w:type="dxa" w:w="2448"/>
          </w:tcPr>
          <w:p>
            <w:pPr>
              <w:spacing w:after="20"/>
            </w:pPr>
            <w:r>
              <w:rPr>
                <w:color w:val="1C3A36"/>
                <w:sz w:val="14"/>
              </w:rPr>
              <w:t>rev_exp_svc_fy25</w:t>
            </w:r>
          </w:p>
        </w:tc>
        <w:tc>
          <w:tcPr>
            <w:tcW w:type="dxa" w:w="1325"/>
          </w:tcPr>
          <w:p>
            <w:pPr>
              <w:spacing w:after="20"/>
            </w:pPr>
            <w:r>
              <w:rPr>
                <w:color w:val="1C3A36"/>
                <w:sz w:val="14"/>
              </w:rPr>
              <w:t>458.5795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export services</w:t>
            </w:r>
          </w:p>
        </w:tc>
        <w:tc>
          <w:tcPr>
            <w:tcW w:type="dxa" w:w="1210"/>
          </w:tcPr>
          <w:p>
            <w:pPr>
              <w:spacing w:after="20"/>
            </w:pPr>
            <w:r>
              <w:rPr>
                <w:color w:val="1C3A36"/>
                <w:sz w:val="14"/>
              </w:rPr>
              <w:t>2025-12-31</w:t>
            </w:r>
          </w:p>
        </w:tc>
      </w:tr>
      <w:tr>
        <w:tc>
          <w:tcPr>
            <w:tcW w:type="dxa" w:w="432"/>
          </w:tcPr>
          <w:p>
            <w:pPr>
              <w:spacing w:after="20"/>
            </w:pPr>
            <w:r>
              <w:rPr>
                <w:color w:val="1C3A36"/>
                <w:sz w:val="14"/>
              </w:rPr>
              <w:t>82</w:t>
            </w:r>
          </w:p>
        </w:tc>
        <w:tc>
          <w:tcPr>
            <w:tcW w:type="dxa" w:w="2448"/>
          </w:tcPr>
          <w:p>
            <w:pPr>
              <w:spacing w:after="20"/>
            </w:pPr>
            <w:r>
              <w:rPr>
                <w:color w:val="1C3A36"/>
                <w:sz w:val="14"/>
              </w:rPr>
              <w:t>rev_fy23</w:t>
            </w:r>
          </w:p>
        </w:tc>
        <w:tc>
          <w:tcPr>
            <w:tcW w:type="dxa" w:w="1325"/>
          </w:tcPr>
          <w:p>
            <w:pPr>
              <w:spacing w:after="20"/>
            </w:pPr>
            <w:r>
              <w:rPr>
                <w:color w:val="1C3A36"/>
                <w:sz w:val="14"/>
              </w:rPr>
              <w:t>6,042.8313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sales (net), comparative column</w:t>
            </w:r>
          </w:p>
        </w:tc>
        <w:tc>
          <w:tcPr>
            <w:tcW w:type="dxa" w:w="1210"/>
          </w:tcPr>
          <w:p>
            <w:pPr>
              <w:spacing w:after="20"/>
            </w:pPr>
            <w:r>
              <w:rPr>
                <w:color w:val="1C3A36"/>
                <w:sz w:val="14"/>
              </w:rPr>
              <w:t>2023-12-31</w:t>
            </w:r>
          </w:p>
        </w:tc>
      </w:tr>
      <w:tr>
        <w:tc>
          <w:tcPr>
            <w:tcW w:type="dxa" w:w="432"/>
          </w:tcPr>
          <w:p>
            <w:pPr>
              <w:spacing w:after="20"/>
            </w:pPr>
            <w:r>
              <w:rPr>
                <w:color w:val="1C3A36"/>
                <w:sz w:val="14"/>
              </w:rPr>
              <w:t>83</w:t>
            </w:r>
          </w:p>
        </w:tc>
        <w:tc>
          <w:tcPr>
            <w:tcW w:type="dxa" w:w="2448"/>
          </w:tcPr>
          <w:p>
            <w:pPr>
              <w:spacing w:after="20"/>
            </w:pPr>
            <w:r>
              <w:rPr>
                <w:color w:val="1C3A36"/>
                <w:sz w:val="14"/>
              </w:rPr>
              <w:t>rev_fy24</w:t>
            </w:r>
          </w:p>
        </w:tc>
        <w:tc>
          <w:tcPr>
            <w:tcW w:type="dxa" w:w="1325"/>
          </w:tcPr>
          <w:p>
            <w:pPr>
              <w:spacing w:after="20"/>
            </w:pPr>
            <w:r>
              <w:rPr>
                <w:color w:val="1C3A36"/>
                <w:sz w:val="14"/>
              </w:rPr>
              <w:t>8,729.7828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 comparative column</w:t>
            </w:r>
          </w:p>
        </w:tc>
        <w:tc>
          <w:tcPr>
            <w:tcW w:type="dxa" w:w="1210"/>
          </w:tcPr>
          <w:p>
            <w:pPr>
              <w:spacing w:after="20"/>
            </w:pPr>
            <w:r>
              <w:rPr>
                <w:color w:val="1C3A36"/>
                <w:sz w:val="14"/>
              </w:rPr>
              <w:t>2024-12-31</w:t>
            </w:r>
          </w:p>
        </w:tc>
      </w:tr>
      <w:tr>
        <w:tc>
          <w:tcPr>
            <w:tcW w:type="dxa" w:w="432"/>
          </w:tcPr>
          <w:p>
            <w:pPr>
              <w:spacing w:after="20"/>
            </w:pPr>
            <w:r>
              <w:rPr>
                <w:color w:val="1C3A36"/>
                <w:sz w:val="14"/>
              </w:rPr>
              <w:t>84</w:t>
            </w:r>
          </w:p>
        </w:tc>
        <w:tc>
          <w:tcPr>
            <w:tcW w:type="dxa" w:w="2448"/>
          </w:tcPr>
          <w:p>
            <w:pPr>
              <w:spacing w:after="20"/>
            </w:pPr>
            <w:r>
              <w:rPr>
                <w:color w:val="1C3A36"/>
                <w:sz w:val="14"/>
              </w:rPr>
              <w:t>rev_fy25</w:t>
            </w:r>
          </w:p>
        </w:tc>
        <w:tc>
          <w:tcPr>
            <w:tcW w:type="dxa" w:w="1325"/>
          </w:tcPr>
          <w:p>
            <w:pPr>
              <w:spacing w:after="20"/>
            </w:pPr>
            <w:r>
              <w:rPr>
                <w:color w:val="1C3A36"/>
                <w:sz w:val="14"/>
              </w:rPr>
              <w:t>12,447.3201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sales (net)</w:t>
            </w:r>
          </w:p>
        </w:tc>
        <w:tc>
          <w:tcPr>
            <w:tcW w:type="dxa" w:w="1210"/>
          </w:tcPr>
          <w:p>
            <w:pPr>
              <w:spacing w:after="20"/>
            </w:pPr>
            <w:r>
              <w:rPr>
                <w:color w:val="1C3A36"/>
                <w:sz w:val="14"/>
              </w:rPr>
              <w:t>2025-12-31</w:t>
            </w:r>
          </w:p>
        </w:tc>
      </w:tr>
      <w:tr>
        <w:tc>
          <w:tcPr>
            <w:tcW w:type="dxa" w:w="432"/>
          </w:tcPr>
          <w:p>
            <w:pPr>
              <w:spacing w:after="20"/>
            </w:pPr>
            <w:r>
              <w:rPr>
                <w:color w:val="1C3A36"/>
                <w:sz w:val="14"/>
              </w:rPr>
              <w:t>85</w:t>
            </w:r>
          </w:p>
        </w:tc>
        <w:tc>
          <w:tcPr>
            <w:tcW w:type="dxa" w:w="2448"/>
          </w:tcPr>
          <w:p>
            <w:pPr>
              <w:spacing w:after="20"/>
            </w:pPr>
            <w:r>
              <w:rPr>
                <w:color w:val="1C3A36"/>
                <w:sz w:val="14"/>
              </w:rPr>
              <w:t>rev_local_fy24</w:t>
            </w:r>
          </w:p>
        </w:tc>
        <w:tc>
          <w:tcPr>
            <w:tcW w:type="dxa" w:w="1325"/>
          </w:tcPr>
          <w:p>
            <w:pPr>
              <w:spacing w:after="20"/>
            </w:pPr>
            <w:r>
              <w:rPr>
                <w:color w:val="1C3A36"/>
                <w:sz w:val="14"/>
              </w:rPr>
              <w:t>4,883.3045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total local sales, comparative</w:t>
            </w:r>
          </w:p>
        </w:tc>
        <w:tc>
          <w:tcPr>
            <w:tcW w:type="dxa" w:w="1210"/>
          </w:tcPr>
          <w:p>
            <w:pPr>
              <w:spacing w:after="20"/>
            </w:pPr>
            <w:r>
              <w:rPr>
                <w:color w:val="1C3A36"/>
                <w:sz w:val="14"/>
              </w:rPr>
              <w:t>2024-12-31</w:t>
            </w:r>
          </w:p>
        </w:tc>
      </w:tr>
      <w:tr>
        <w:tc>
          <w:tcPr>
            <w:tcW w:type="dxa" w:w="432"/>
          </w:tcPr>
          <w:p>
            <w:pPr>
              <w:spacing w:after="20"/>
            </w:pPr>
            <w:r>
              <w:rPr>
                <w:color w:val="1C3A36"/>
                <w:sz w:val="14"/>
              </w:rPr>
              <w:t>86</w:t>
            </w:r>
          </w:p>
        </w:tc>
        <w:tc>
          <w:tcPr>
            <w:tcW w:type="dxa" w:w="2448"/>
          </w:tcPr>
          <w:p>
            <w:pPr>
              <w:spacing w:after="20"/>
            </w:pPr>
            <w:r>
              <w:rPr>
                <w:color w:val="1C3A36"/>
                <w:sz w:val="14"/>
              </w:rPr>
              <w:t>rev_local_goods_fy25</w:t>
            </w:r>
          </w:p>
        </w:tc>
        <w:tc>
          <w:tcPr>
            <w:tcW w:type="dxa" w:w="1325"/>
          </w:tcPr>
          <w:p>
            <w:pPr>
              <w:spacing w:after="20"/>
            </w:pPr>
            <w:r>
              <w:rPr>
                <w:color w:val="1C3A36"/>
                <w:sz w:val="14"/>
              </w:rPr>
              <w:t>8,350.4546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sales of goods</w:t>
            </w:r>
          </w:p>
        </w:tc>
        <w:tc>
          <w:tcPr>
            <w:tcW w:type="dxa" w:w="1210"/>
          </w:tcPr>
          <w:p>
            <w:pPr>
              <w:spacing w:after="20"/>
            </w:pPr>
            <w:r>
              <w:rPr>
                <w:color w:val="1C3A36"/>
                <w:sz w:val="14"/>
              </w:rPr>
              <w:t>2025-12-31</w:t>
            </w:r>
          </w:p>
        </w:tc>
      </w:tr>
      <w:tr>
        <w:tc>
          <w:tcPr>
            <w:tcW w:type="dxa" w:w="432"/>
          </w:tcPr>
          <w:p>
            <w:pPr>
              <w:spacing w:after="20"/>
            </w:pPr>
            <w:r>
              <w:rPr>
                <w:color w:val="1C3A36"/>
                <w:sz w:val="14"/>
              </w:rPr>
              <w:t>87</w:t>
            </w:r>
          </w:p>
        </w:tc>
        <w:tc>
          <w:tcPr>
            <w:tcW w:type="dxa" w:w="2448"/>
          </w:tcPr>
          <w:p>
            <w:pPr>
              <w:spacing w:after="20"/>
            </w:pPr>
            <w:r>
              <w:rPr>
                <w:color w:val="1C3A36"/>
                <w:sz w:val="14"/>
              </w:rPr>
              <w:t>rev_local_svc_fy25</w:t>
            </w:r>
          </w:p>
        </w:tc>
        <w:tc>
          <w:tcPr>
            <w:tcW w:type="dxa" w:w="1325"/>
          </w:tcPr>
          <w:p>
            <w:pPr>
              <w:spacing w:after="20"/>
            </w:pPr>
            <w:r>
              <w:rPr>
                <w:color w:val="1C3A36"/>
                <w:sz w:val="14"/>
              </w:rPr>
              <w:t>281.8635</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note 4, local services</w:t>
            </w:r>
          </w:p>
        </w:tc>
        <w:tc>
          <w:tcPr>
            <w:tcW w:type="dxa" w:w="1210"/>
          </w:tcPr>
          <w:p>
            <w:pPr>
              <w:spacing w:after="20"/>
            </w:pPr>
            <w:r>
              <w:rPr>
                <w:color w:val="1C3A36"/>
                <w:sz w:val="14"/>
              </w:rPr>
              <w:t>2025-12-31</w:t>
            </w:r>
          </w:p>
        </w:tc>
      </w:tr>
      <w:tr>
        <w:tc>
          <w:tcPr>
            <w:tcW w:type="dxa" w:w="432"/>
          </w:tcPr>
          <w:p>
            <w:pPr>
              <w:spacing w:after="20"/>
            </w:pPr>
            <w:r>
              <w:rPr>
                <w:color w:val="1C3A36"/>
                <w:sz w:val="14"/>
              </w:rPr>
              <w:t>88</w:t>
            </w:r>
          </w:p>
        </w:tc>
        <w:tc>
          <w:tcPr>
            <w:tcW w:type="dxa" w:w="2448"/>
          </w:tcPr>
          <w:p>
            <w:pPr>
              <w:spacing w:after="20"/>
            </w:pPr>
            <w:r>
              <w:rPr>
                <w:color w:val="1C3A36"/>
                <w:sz w:val="14"/>
              </w:rPr>
              <w:t>rev_q1_25</w:t>
            </w:r>
          </w:p>
        </w:tc>
        <w:tc>
          <w:tcPr>
            <w:tcW w:type="dxa" w:w="1325"/>
          </w:tcPr>
          <w:p>
            <w:pPr>
              <w:spacing w:after="20"/>
            </w:pPr>
            <w:r>
              <w:rPr>
                <w:color w:val="1C3A36"/>
                <w:sz w:val="14"/>
              </w:rPr>
              <w:t>2,554.4481</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 comparative</w:t>
            </w:r>
          </w:p>
        </w:tc>
        <w:tc>
          <w:tcPr>
            <w:tcW w:type="dxa" w:w="1210"/>
          </w:tcPr>
          <w:p>
            <w:pPr>
              <w:spacing w:after="20"/>
            </w:pPr>
            <w:r>
              <w:rPr>
                <w:color w:val="1C3A36"/>
                <w:sz w:val="14"/>
              </w:rPr>
              <w:t>2025-03-31</w:t>
            </w:r>
          </w:p>
        </w:tc>
      </w:tr>
      <w:tr>
        <w:tc>
          <w:tcPr>
            <w:tcW w:type="dxa" w:w="432"/>
          </w:tcPr>
          <w:p>
            <w:pPr>
              <w:spacing w:after="20"/>
            </w:pPr>
            <w:r>
              <w:rPr>
                <w:color w:val="1C3A36"/>
                <w:sz w:val="14"/>
              </w:rPr>
              <w:t>89</w:t>
            </w:r>
          </w:p>
        </w:tc>
        <w:tc>
          <w:tcPr>
            <w:tcW w:type="dxa" w:w="2448"/>
          </w:tcPr>
          <w:p>
            <w:pPr>
              <w:spacing w:after="20"/>
            </w:pPr>
            <w:r>
              <w:rPr>
                <w:color w:val="1C3A36"/>
                <w:sz w:val="14"/>
              </w:rPr>
              <w:t>rev_q1_26</w:t>
            </w:r>
          </w:p>
        </w:tc>
        <w:tc>
          <w:tcPr>
            <w:tcW w:type="dxa" w:w="1325"/>
          </w:tcPr>
          <w:p>
            <w:pPr>
              <w:spacing w:after="20"/>
            </w:pPr>
            <w:r>
              <w:rPr>
                <w:color w:val="1C3A36"/>
                <w:sz w:val="14"/>
              </w:rPr>
              <w:t>2,995.9594</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sales (net)</w:t>
            </w:r>
          </w:p>
        </w:tc>
        <w:tc>
          <w:tcPr>
            <w:tcW w:type="dxa" w:w="1210"/>
          </w:tcPr>
          <w:p>
            <w:pPr>
              <w:spacing w:after="20"/>
            </w:pPr>
            <w:r>
              <w:rPr>
                <w:color w:val="1C3A36"/>
                <w:sz w:val="14"/>
              </w:rPr>
              <w:t>2026-03-31</w:t>
            </w:r>
          </w:p>
        </w:tc>
      </w:tr>
      <w:tr>
        <w:tc>
          <w:tcPr>
            <w:tcW w:type="dxa" w:w="432"/>
          </w:tcPr>
          <w:p>
            <w:pPr>
              <w:spacing w:after="20"/>
            </w:pPr>
            <w:r>
              <w:rPr>
                <w:color w:val="1C3A36"/>
                <w:sz w:val="14"/>
              </w:rPr>
              <w:t>90</w:t>
            </w:r>
          </w:p>
        </w:tc>
        <w:tc>
          <w:tcPr>
            <w:tcW w:type="dxa" w:w="2448"/>
          </w:tcPr>
          <w:p>
            <w:pPr>
              <w:spacing w:after="20"/>
            </w:pPr>
            <w:r>
              <w:rPr>
                <w:color w:val="1C3A36"/>
                <w:sz w:val="14"/>
              </w:rPr>
              <w:t>shares_issued</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20: 378,739,700 ordinary shares authorised, issued and fully paid at EGP 2 par, issued capital EGP 757,479,400</w:t>
            </w:r>
          </w:p>
        </w:tc>
        <w:tc>
          <w:tcPr>
            <w:tcW w:type="dxa" w:w="1210"/>
          </w:tcPr>
          <w:p>
            <w:pPr>
              <w:spacing w:after="20"/>
            </w:pPr>
            <w:r>
              <w:rPr>
                <w:color w:val="1C3A36"/>
                <w:sz w:val="14"/>
              </w:rPr>
              <w:t>2025-12-31</w:t>
            </w:r>
          </w:p>
        </w:tc>
      </w:tr>
      <w:tr>
        <w:tc>
          <w:tcPr>
            <w:tcW w:type="dxa" w:w="432"/>
          </w:tcPr>
          <w:p>
            <w:pPr>
              <w:spacing w:after="20"/>
            </w:pPr>
            <w:r>
              <w:rPr>
                <w:color w:val="1C3A36"/>
                <w:sz w:val="14"/>
              </w:rPr>
              <w:t>91</w:t>
            </w:r>
          </w:p>
        </w:tc>
        <w:tc>
          <w:tcPr>
            <w:tcW w:type="dxa" w:w="2448"/>
          </w:tcPr>
          <w:p>
            <w:pPr>
              <w:spacing w:after="20"/>
            </w:pPr>
            <w:r>
              <w:rPr>
                <w:color w:val="1C3A36"/>
                <w:sz w:val="14"/>
              </w:rPr>
              <w:t>shares_treasury</w:t>
            </w:r>
          </w:p>
        </w:tc>
        <w:tc>
          <w:tcPr>
            <w:tcW w:type="dxa" w:w="1325"/>
          </w:tcPr>
          <w:p>
            <w:pPr>
              <w:spacing w:after="20"/>
            </w:pPr>
            <w:r>
              <w:rPr>
                <w:color w:val="1C3A36"/>
                <w:sz w:val="14"/>
              </w:rPr>
              <w:t>3.8723</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21: 3,872,255 treasury shares acquired during 2025 for EGP 143,327,985, being 1% of capital, under a board approval of 21 July 2025</w:t>
            </w:r>
          </w:p>
        </w:tc>
        <w:tc>
          <w:tcPr>
            <w:tcW w:type="dxa" w:w="1210"/>
          </w:tcPr>
          <w:p>
            <w:pPr>
              <w:spacing w:after="20"/>
            </w:pPr>
            <w:r>
              <w:rPr>
                <w:color w:val="1C3A36"/>
                <w:sz w:val="14"/>
              </w:rPr>
              <w:t>2025-12-31</w:t>
            </w:r>
          </w:p>
        </w:tc>
      </w:tr>
      <w:tr>
        <w:tc>
          <w:tcPr>
            <w:tcW w:type="dxa" w:w="432"/>
          </w:tcPr>
          <w:p>
            <w:pPr>
              <w:spacing w:after="20"/>
            </w:pPr>
            <w:r>
              <w:rPr>
                <w:color w:val="1C3A36"/>
                <w:sz w:val="14"/>
              </w:rPr>
              <w:t>92</w:t>
            </w:r>
          </w:p>
        </w:tc>
        <w:tc>
          <w:tcPr>
            <w:tcW w:type="dxa" w:w="2448"/>
          </w:tcPr>
          <w:p>
            <w:pPr>
              <w:spacing w:after="20"/>
            </w:pPr>
            <w:r>
              <w:rPr>
                <w:color w:val="1C3A36"/>
                <w:sz w:val="14"/>
              </w:rPr>
              <w:t>shares_wavg_fy24</w:t>
            </w:r>
          </w:p>
        </w:tc>
        <w:tc>
          <w:tcPr>
            <w:tcW w:type="dxa" w:w="1325"/>
          </w:tcPr>
          <w:p>
            <w:pPr>
              <w:spacing w:after="20"/>
            </w:pPr>
            <w:r>
              <w:rPr>
                <w:color w:val="1C3A36"/>
                <w:sz w:val="14"/>
              </w:rPr>
              <w:t>378.7397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comparative</w:t>
            </w:r>
          </w:p>
        </w:tc>
        <w:tc>
          <w:tcPr>
            <w:tcW w:type="dxa" w:w="1210"/>
          </w:tcPr>
          <w:p>
            <w:pPr>
              <w:spacing w:after="20"/>
            </w:pPr>
            <w:r>
              <w:rPr>
                <w:color w:val="1C3A36"/>
                <w:sz w:val="14"/>
              </w:rPr>
              <w:t>2024-12-31</w:t>
            </w:r>
          </w:p>
        </w:tc>
      </w:tr>
      <w:tr>
        <w:tc>
          <w:tcPr>
            <w:tcW w:type="dxa" w:w="432"/>
          </w:tcPr>
          <w:p>
            <w:pPr>
              <w:spacing w:after="20"/>
            </w:pPr>
            <w:r>
              <w:rPr>
                <w:color w:val="1C3A36"/>
                <w:sz w:val="14"/>
              </w:rPr>
              <w:t>93</w:t>
            </w:r>
          </w:p>
        </w:tc>
        <w:tc>
          <w:tcPr>
            <w:tcW w:type="dxa" w:w="2448"/>
          </w:tcPr>
          <w:p>
            <w:pPr>
              <w:spacing w:after="20"/>
            </w:pPr>
            <w:r>
              <w:rPr>
                <w:color w:val="1C3A36"/>
                <w:sz w:val="14"/>
              </w:rPr>
              <w:t>shares_wavg_fy25</w:t>
            </w:r>
          </w:p>
        </w:tc>
        <w:tc>
          <w:tcPr>
            <w:tcW w:type="dxa" w:w="1325"/>
          </w:tcPr>
          <w:p>
            <w:pPr>
              <w:spacing w:after="20"/>
            </w:pPr>
            <w:r>
              <w:rPr>
                <w:color w:val="1C3A36"/>
                <w:sz w:val="14"/>
              </w:rPr>
              <w:t>377.1556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note 11: weighted average ordinary shares for earnings per share, after excluding treasury shares</w:t>
            </w:r>
          </w:p>
        </w:tc>
        <w:tc>
          <w:tcPr>
            <w:tcW w:type="dxa" w:w="1210"/>
          </w:tcPr>
          <w:p>
            <w:pPr>
              <w:spacing w:after="20"/>
            </w:pPr>
            <w:r>
              <w:rPr>
                <w:color w:val="1C3A36"/>
                <w:sz w:val="14"/>
              </w:rPr>
              <w:t>2025-12-31</w:t>
            </w:r>
          </w:p>
        </w:tc>
      </w:tr>
      <w:tr>
        <w:tc>
          <w:tcPr>
            <w:tcW w:type="dxa" w:w="432"/>
          </w:tcPr>
          <w:p>
            <w:pPr>
              <w:spacing w:after="20"/>
            </w:pPr>
            <w:r>
              <w:rPr>
                <w:color w:val="1C3A36"/>
                <w:sz w:val="14"/>
              </w:rPr>
              <w:t>94</w:t>
            </w:r>
          </w:p>
        </w:tc>
        <w:tc>
          <w:tcPr>
            <w:tcW w:type="dxa" w:w="2448"/>
          </w:tcPr>
          <w:p>
            <w:pPr>
              <w:spacing w:after="20"/>
            </w:pPr>
            <w:r>
              <w:rPr>
                <w:color w:val="1C3A36"/>
                <w:sz w:val="14"/>
              </w:rPr>
              <w:t>svc_share</w:t>
            </w:r>
          </w:p>
        </w:tc>
        <w:tc>
          <w:tcPr>
            <w:tcW w:type="dxa" w:w="1325"/>
          </w:tcPr>
          <w:p>
            <w:pPr>
              <w:spacing w:after="20"/>
            </w:pPr>
            <w:r>
              <w:rPr>
                <w:color w:val="1C3A36"/>
                <w:sz w:val="14"/>
              </w:rPr>
              <w:t>0.0633</w:t>
            </w:r>
          </w:p>
        </w:tc>
        <w:tc>
          <w:tcPr>
            <w:tcW w:type="dxa" w:w="1066"/>
          </w:tcPr>
          <w:p>
            <w:pPr>
              <w:spacing w:after="20"/>
            </w:pPr>
            <w:r>
              <w:rPr>
                <w:color w:val="1C3A36"/>
                <w:sz w:val="14"/>
              </w:rPr>
              <w:t>Company</w:t>
            </w:r>
          </w:p>
        </w:tc>
        <w:tc>
          <w:tcPr>
            <w:tcW w:type="dxa" w:w="7171"/>
          </w:tcPr>
          <w:p>
            <w:pPr>
              <w:spacing w:after="20"/>
            </w:pPr>
            <w:r>
              <w:rPr>
                <w:color w:val="1C3A36"/>
                <w:sz w:val="14"/>
              </w:rPr>
              <w:t>Services revenue (transportation) as a share of goods revenue, derived from the disclosed FY2025 split</w:t>
            </w:r>
          </w:p>
        </w:tc>
        <w:tc>
          <w:tcPr>
            <w:tcW w:type="dxa" w:w="1210"/>
          </w:tcPr>
          <w:p>
            <w:pPr>
              <w:spacing w:after="20"/>
            </w:pPr>
            <w:r>
              <w:rPr>
                <w:color w:val="1C3A36"/>
                <w:sz w:val="14"/>
              </w:rPr>
              <w:t>2025-12-31</w:t>
            </w:r>
          </w:p>
        </w:tc>
      </w:tr>
      <w:tr>
        <w:tc>
          <w:tcPr>
            <w:tcW w:type="dxa" w:w="432"/>
          </w:tcPr>
          <w:p>
            <w:pPr>
              <w:spacing w:after="20"/>
            </w:pPr>
            <w:r>
              <w:rPr>
                <w:color w:val="1C3A36"/>
                <w:sz w:val="14"/>
              </w:rPr>
              <w:t>95</w:t>
            </w:r>
          </w:p>
        </w:tc>
        <w:tc>
          <w:tcPr>
            <w:tcW w:type="dxa" w:w="2448"/>
          </w:tcPr>
          <w:p>
            <w:pPr>
              <w:spacing w:after="20"/>
            </w:pPr>
            <w:r>
              <w:rPr>
                <w:color w:val="1C3A36"/>
                <w:sz w:val="14"/>
              </w:rPr>
              <w:t>ta_fy23</w:t>
            </w:r>
          </w:p>
        </w:tc>
        <w:tc>
          <w:tcPr>
            <w:tcW w:type="dxa" w:w="1325"/>
          </w:tcPr>
          <w:p>
            <w:pPr>
              <w:spacing w:after="20"/>
            </w:pPr>
            <w:r>
              <w:rPr>
                <w:color w:val="1C3A36"/>
                <w:sz w:val="14"/>
              </w:rPr>
              <w:t>3,887.5274</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total assets, comparative</w:t>
            </w:r>
          </w:p>
        </w:tc>
        <w:tc>
          <w:tcPr>
            <w:tcW w:type="dxa" w:w="1210"/>
          </w:tcPr>
          <w:p>
            <w:pPr>
              <w:spacing w:after="20"/>
            </w:pPr>
            <w:r>
              <w:rPr>
                <w:color w:val="1C3A36"/>
                <w:sz w:val="14"/>
              </w:rPr>
              <w:t>2023-12-31</w:t>
            </w:r>
          </w:p>
        </w:tc>
      </w:tr>
      <w:tr>
        <w:tc>
          <w:tcPr>
            <w:tcW w:type="dxa" w:w="432"/>
          </w:tcPr>
          <w:p>
            <w:pPr>
              <w:spacing w:after="20"/>
            </w:pPr>
            <w:r>
              <w:rPr>
                <w:color w:val="1C3A36"/>
                <w:sz w:val="14"/>
              </w:rPr>
              <w:t>96</w:t>
            </w:r>
          </w:p>
        </w:tc>
        <w:tc>
          <w:tcPr>
            <w:tcW w:type="dxa" w:w="2448"/>
          </w:tcPr>
          <w:p>
            <w:pPr>
              <w:spacing w:after="20"/>
            </w:pPr>
            <w:r>
              <w:rPr>
                <w:color w:val="1C3A36"/>
                <w:sz w:val="14"/>
              </w:rPr>
              <w:t>ta_fy24</w:t>
            </w:r>
          </w:p>
        </w:tc>
        <w:tc>
          <w:tcPr>
            <w:tcW w:type="dxa" w:w="1325"/>
          </w:tcPr>
          <w:p>
            <w:pPr>
              <w:spacing w:after="20"/>
            </w:pPr>
            <w:r>
              <w:rPr>
                <w:color w:val="1C3A36"/>
                <w:sz w:val="14"/>
              </w:rPr>
              <w:t>5,848.6161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 comparative</w:t>
            </w:r>
          </w:p>
        </w:tc>
        <w:tc>
          <w:tcPr>
            <w:tcW w:type="dxa" w:w="1210"/>
          </w:tcPr>
          <w:p>
            <w:pPr>
              <w:spacing w:after="20"/>
            </w:pPr>
            <w:r>
              <w:rPr>
                <w:color w:val="1C3A36"/>
                <w:sz w:val="14"/>
              </w:rPr>
              <w:t>2024-12-31</w:t>
            </w:r>
          </w:p>
        </w:tc>
      </w:tr>
      <w:tr>
        <w:tc>
          <w:tcPr>
            <w:tcW w:type="dxa" w:w="432"/>
          </w:tcPr>
          <w:p>
            <w:pPr>
              <w:spacing w:after="20"/>
            </w:pPr>
            <w:r>
              <w:rPr>
                <w:color w:val="1C3A36"/>
                <w:sz w:val="14"/>
              </w:rPr>
              <w:t>97</w:t>
            </w:r>
          </w:p>
        </w:tc>
        <w:tc>
          <w:tcPr>
            <w:tcW w:type="dxa" w:w="2448"/>
          </w:tcPr>
          <w:p>
            <w:pPr>
              <w:spacing w:after="20"/>
            </w:pPr>
            <w:r>
              <w:rPr>
                <w:color w:val="1C3A36"/>
                <w:sz w:val="14"/>
              </w:rPr>
              <w:t>ta_fy25</w:t>
            </w:r>
          </w:p>
        </w:tc>
        <w:tc>
          <w:tcPr>
            <w:tcW w:type="dxa" w:w="1325"/>
          </w:tcPr>
          <w:p>
            <w:pPr>
              <w:spacing w:after="20"/>
            </w:pPr>
            <w:r>
              <w:rPr>
                <w:color w:val="1C3A36"/>
                <w:sz w:val="14"/>
              </w:rPr>
              <w:t>8,783.7218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assets</w:t>
            </w:r>
          </w:p>
        </w:tc>
        <w:tc>
          <w:tcPr>
            <w:tcW w:type="dxa" w:w="1210"/>
          </w:tcPr>
          <w:p>
            <w:pPr>
              <w:spacing w:after="20"/>
            </w:pPr>
            <w:r>
              <w:rPr>
                <w:color w:val="1C3A36"/>
                <w:sz w:val="14"/>
              </w:rPr>
              <w:t>2025-12-31</w:t>
            </w:r>
          </w:p>
        </w:tc>
      </w:tr>
      <w:tr>
        <w:tc>
          <w:tcPr>
            <w:tcW w:type="dxa" w:w="432"/>
          </w:tcPr>
          <w:p>
            <w:pPr>
              <w:spacing w:after="20"/>
            </w:pPr>
            <w:r>
              <w:rPr>
                <w:color w:val="1C3A36"/>
                <w:sz w:val="14"/>
              </w:rPr>
              <w:t>98</w:t>
            </w:r>
          </w:p>
        </w:tc>
        <w:tc>
          <w:tcPr>
            <w:tcW w:type="dxa" w:w="2448"/>
          </w:tcPr>
          <w:p>
            <w:pPr>
              <w:spacing w:after="20"/>
            </w:pPr>
            <w:r>
              <w:rPr>
                <w:color w:val="1C3A36"/>
                <w:sz w:val="14"/>
              </w:rPr>
              <w:t>tax_eff</w:t>
            </w:r>
          </w:p>
        </w:tc>
        <w:tc>
          <w:tcPr>
            <w:tcW w:type="dxa" w:w="1325"/>
          </w:tcPr>
          <w:p>
            <w:pPr>
              <w:spacing w:after="20"/>
            </w:pPr>
            <w:r>
              <w:rPr>
                <w:color w:val="1C3A36"/>
                <w:sz w:val="14"/>
              </w:rPr>
              <w:t>0.2382</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of EGP 1,125.468mn over pre-tax profit of EGP 4,725.158mn. Note 10.2 separately discloses an average effective rate of 23.33% (2024: 22.96%); Q1-2026 ran at 25.92%. Revision 1 inferred 29.43% by closing a MODELLED net finance income against disclosed profit, and over-taxed every forecast year by 5.6 points</w:t>
            </w:r>
          </w:p>
        </w:tc>
        <w:tc>
          <w:tcPr>
            <w:tcW w:type="dxa" w:w="1210"/>
          </w:tcPr>
          <w:p>
            <w:pPr>
              <w:spacing w:after="20"/>
            </w:pPr>
            <w:r>
              <w:rPr>
                <w:color w:val="1C3A36"/>
                <w:sz w:val="14"/>
              </w:rPr>
              <w:t>2025-12-31</w:t>
            </w:r>
          </w:p>
        </w:tc>
      </w:tr>
      <w:tr>
        <w:tc>
          <w:tcPr>
            <w:tcW w:type="dxa" w:w="432"/>
          </w:tcPr>
          <w:p>
            <w:pPr>
              <w:spacing w:after="20"/>
            </w:pPr>
            <w:r>
              <w:rPr>
                <w:color w:val="1C3A36"/>
                <w:sz w:val="14"/>
              </w:rPr>
              <w:t>99</w:t>
            </w:r>
          </w:p>
        </w:tc>
        <w:tc>
          <w:tcPr>
            <w:tcW w:type="dxa" w:w="2448"/>
          </w:tcPr>
          <w:p>
            <w:pPr>
              <w:spacing w:after="20"/>
            </w:pPr>
            <w:r>
              <w:rPr>
                <w:color w:val="1C3A36"/>
                <w:sz w:val="14"/>
              </w:rPr>
              <w:t>tax_fy23</w:t>
            </w:r>
          </w:p>
        </w:tc>
        <w:tc>
          <w:tcPr>
            <w:tcW w:type="dxa" w:w="1325"/>
          </w:tcPr>
          <w:p>
            <w:pPr>
              <w:spacing w:after="20"/>
            </w:pPr>
            <w:r>
              <w:rPr>
                <w:color w:val="1C3A36"/>
                <w:sz w:val="14"/>
              </w:rPr>
              <w:t>232.7328</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2024, Deloitte (Wafik, Ramy &amp; Partners), signed 23 March 2025 — income tax, comparative</w:t>
            </w:r>
          </w:p>
        </w:tc>
        <w:tc>
          <w:tcPr>
            <w:tcW w:type="dxa" w:w="1210"/>
          </w:tcPr>
          <w:p>
            <w:pPr>
              <w:spacing w:after="20"/>
            </w:pPr>
            <w:r>
              <w:rPr>
                <w:color w:val="1C3A36"/>
                <w:sz w:val="14"/>
              </w:rPr>
              <w:t>2023-12-31</w:t>
            </w:r>
          </w:p>
        </w:tc>
      </w:tr>
      <w:tr>
        <w:tc>
          <w:tcPr>
            <w:tcW w:type="dxa" w:w="432"/>
          </w:tcPr>
          <w:p>
            <w:pPr>
              <w:spacing w:after="20"/>
            </w:pPr>
            <w:r>
              <w:rPr>
                <w:color w:val="1C3A36"/>
                <w:sz w:val="14"/>
              </w:rPr>
              <w:t>100</w:t>
            </w:r>
          </w:p>
        </w:tc>
        <w:tc>
          <w:tcPr>
            <w:tcW w:type="dxa" w:w="2448"/>
          </w:tcPr>
          <w:p>
            <w:pPr>
              <w:spacing w:after="20"/>
            </w:pPr>
            <w:r>
              <w:rPr>
                <w:color w:val="1C3A36"/>
                <w:sz w:val="14"/>
              </w:rPr>
              <w:t>tax_fy24</w:t>
            </w:r>
          </w:p>
        </w:tc>
        <w:tc>
          <w:tcPr>
            <w:tcW w:type="dxa" w:w="1325"/>
          </w:tcPr>
          <w:p>
            <w:pPr>
              <w:spacing w:after="20"/>
            </w:pPr>
            <w:r>
              <w:rPr>
                <w:color w:val="1C3A36"/>
                <w:sz w:val="14"/>
              </w:rPr>
              <w:t>345.731</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comparative</w:t>
            </w:r>
          </w:p>
        </w:tc>
        <w:tc>
          <w:tcPr>
            <w:tcW w:type="dxa" w:w="1210"/>
          </w:tcPr>
          <w:p>
            <w:pPr>
              <w:spacing w:after="20"/>
            </w:pPr>
            <w:r>
              <w:rPr>
                <w:color w:val="1C3A36"/>
                <w:sz w:val="14"/>
              </w:rPr>
              <w:t>2024-12-31</w:t>
            </w:r>
          </w:p>
        </w:tc>
      </w:tr>
      <w:tr>
        <w:tc>
          <w:tcPr>
            <w:tcW w:type="dxa" w:w="432"/>
          </w:tcPr>
          <w:p>
            <w:pPr>
              <w:spacing w:after="20"/>
            </w:pPr>
            <w:r>
              <w:rPr>
                <w:color w:val="1C3A36"/>
                <w:sz w:val="14"/>
              </w:rPr>
              <w:t>101</w:t>
            </w:r>
          </w:p>
        </w:tc>
        <w:tc>
          <w:tcPr>
            <w:tcW w:type="dxa" w:w="2448"/>
          </w:tcPr>
          <w:p>
            <w:pPr>
              <w:spacing w:after="20"/>
            </w:pPr>
            <w:r>
              <w:rPr>
                <w:color w:val="1C3A36"/>
                <w:sz w:val="14"/>
              </w:rPr>
              <w:t>tax_fy25</w:t>
            </w:r>
          </w:p>
        </w:tc>
        <w:tc>
          <w:tcPr>
            <w:tcW w:type="dxa" w:w="1325"/>
          </w:tcPr>
          <w:p>
            <w:pPr>
              <w:spacing w:after="20"/>
            </w:pPr>
            <w:r>
              <w:rPr>
                <w:color w:val="1C3A36"/>
                <w:sz w:val="14"/>
              </w:rPr>
              <w:t>1,125.4677</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income tax, note 10.1: current 1,111.30 plus deferred 14.17</w:t>
            </w:r>
          </w:p>
        </w:tc>
        <w:tc>
          <w:tcPr>
            <w:tcW w:type="dxa" w:w="1210"/>
          </w:tcPr>
          <w:p>
            <w:pPr>
              <w:spacing w:after="20"/>
            </w:pPr>
            <w:r>
              <w:rPr>
                <w:color w:val="1C3A36"/>
                <w:sz w:val="14"/>
              </w:rPr>
              <w:t>2025-12-31</w:t>
            </w:r>
          </w:p>
        </w:tc>
      </w:tr>
      <w:tr>
        <w:tc>
          <w:tcPr>
            <w:tcW w:type="dxa" w:w="432"/>
          </w:tcPr>
          <w:p>
            <w:pPr>
              <w:spacing w:after="20"/>
            </w:pPr>
            <w:r>
              <w:rPr>
                <w:color w:val="1C3A36"/>
                <w:sz w:val="14"/>
              </w:rPr>
              <w:t>102</w:t>
            </w:r>
          </w:p>
        </w:tc>
        <w:tc>
          <w:tcPr>
            <w:tcW w:type="dxa" w:w="2448"/>
          </w:tcPr>
          <w:p>
            <w:pPr>
              <w:spacing w:after="20"/>
            </w:pPr>
            <w:r>
              <w:rPr>
                <w:color w:val="1C3A36"/>
                <w:sz w:val="14"/>
              </w:rPr>
              <w:t>tax_q1_26</w:t>
            </w:r>
          </w:p>
        </w:tc>
        <w:tc>
          <w:tcPr>
            <w:tcW w:type="dxa" w:w="1325"/>
          </w:tcPr>
          <w:p>
            <w:pPr>
              <w:spacing w:after="20"/>
            </w:pPr>
            <w:r>
              <w:rPr>
                <w:color w:val="1C3A36"/>
                <w:sz w:val="14"/>
              </w:rPr>
              <w:t>329.9435</w:t>
            </w:r>
          </w:p>
        </w:tc>
        <w:tc>
          <w:tcPr>
            <w:tcW w:type="dxa" w:w="1066"/>
          </w:tcPr>
          <w:p>
            <w:pPr>
              <w:spacing w:after="20"/>
            </w:pPr>
            <w:r>
              <w:rPr>
                <w:color w:val="1C3A36"/>
                <w:sz w:val="14"/>
              </w:rPr>
              <w:t>Company</w:t>
            </w:r>
          </w:p>
        </w:tc>
        <w:tc>
          <w:tcPr>
            <w:tcW w:type="dxa" w:w="7171"/>
          </w:tcPr>
          <w:p>
            <w:pPr>
              <w:spacing w:after="20"/>
            </w:pPr>
            <w:r>
              <w:rPr>
                <w:color w:val="1C3A36"/>
                <w:sz w:val="14"/>
              </w:rPr>
              <w:t>Reviewed condensed consolidated interim financial statements for the three months ended 31 March 2026, Deloitte (Wafik, Ramy &amp; Partners), 25 May 2026 — income tax</w:t>
            </w:r>
          </w:p>
        </w:tc>
        <w:tc>
          <w:tcPr>
            <w:tcW w:type="dxa" w:w="1210"/>
          </w:tcPr>
          <w:p>
            <w:pPr>
              <w:spacing w:after="20"/>
            </w:pPr>
            <w:r>
              <w:rPr>
                <w:color w:val="1C3A36"/>
                <w:sz w:val="14"/>
              </w:rPr>
              <w:t>2026-03-31</w:t>
            </w:r>
          </w:p>
        </w:tc>
      </w:tr>
      <w:tr>
        <w:tc>
          <w:tcPr>
            <w:tcW w:type="dxa" w:w="432"/>
          </w:tcPr>
          <w:p>
            <w:pPr>
              <w:spacing w:after="20"/>
            </w:pPr>
            <w:r>
              <w:rPr>
                <w:color w:val="1C3A36"/>
                <w:sz w:val="14"/>
              </w:rPr>
              <w:t>103</w:t>
            </w:r>
          </w:p>
        </w:tc>
        <w:tc>
          <w:tcPr>
            <w:tcW w:type="dxa" w:w="2448"/>
          </w:tcPr>
          <w:p>
            <w:pPr>
              <w:spacing w:after="20"/>
            </w:pPr>
            <w:r>
              <w:rPr>
                <w:color w:val="1C3A36"/>
                <w:sz w:val="14"/>
              </w:rPr>
              <w:t>tl_fy25</w:t>
            </w:r>
          </w:p>
        </w:tc>
        <w:tc>
          <w:tcPr>
            <w:tcW w:type="dxa" w:w="1325"/>
          </w:tcPr>
          <w:p>
            <w:pPr>
              <w:spacing w:after="20"/>
            </w:pPr>
            <w:r>
              <w:rPr>
                <w:color w:val="1C3A36"/>
                <w:sz w:val="14"/>
              </w:rPr>
              <w:t>4,140.9896</w:t>
            </w:r>
          </w:p>
        </w:tc>
        <w:tc>
          <w:tcPr>
            <w:tcW w:type="dxa" w:w="1066"/>
          </w:tcPr>
          <w:p>
            <w:pPr>
              <w:spacing w:after="20"/>
            </w:pPr>
            <w:r>
              <w:rPr>
                <w:color w:val="1C3A36"/>
                <w:sz w:val="14"/>
              </w:rPr>
              <w:t>Company</w:t>
            </w:r>
          </w:p>
        </w:tc>
        <w:tc>
          <w:tcPr>
            <w:tcW w:type="dxa" w:w="7171"/>
          </w:tcPr>
          <w:p>
            <w:pPr>
              <w:spacing w:after="20"/>
            </w:pPr>
            <w:r>
              <w:rPr>
                <w:color w:val="1C3A36"/>
                <w:sz w:val="14"/>
              </w:rPr>
              <w:t>Audited consolidated financial statements for the year ended 31 December 2025, Deloitte (Wafik, Ramy &amp; Partners), signed 25 February 2026 — TOTAL liabilities (non-current 1,246.860 plus current 2,894.130). Revision 1 was offered EGP 2,894.13mn as 'total liabilities' by an aggregator and rejected it because it would not close against assets and equity; the statements show that figure is total CURRENT liabilities, so both the rejection and the derived 4,140.99 were right</w:t>
            </w:r>
          </w:p>
        </w:tc>
        <w:tc>
          <w:tcPr>
            <w:tcW w:type="dxa" w:w="1210"/>
          </w:tcPr>
          <w:p>
            <w:pPr>
              <w:spacing w:after="20"/>
            </w:pPr>
            <w:r>
              <w:rPr>
                <w:color w:val="1C3A36"/>
                <w:sz w:val="14"/>
              </w:rPr>
              <w:t>2025-12-31</w:t>
            </w:r>
          </w:p>
        </w:tc>
      </w:tr>
      <w:tr>
        <w:tc>
          <w:tcPr>
            <w:tcW w:type="dxa" w:w="432"/>
          </w:tcPr>
          <w:p>
            <w:pPr>
              <w:spacing w:after="20"/>
            </w:pPr>
            <w:r>
              <w:rPr>
                <w:color w:val="1C3A36"/>
                <w:sz w:val="14"/>
              </w:rPr>
              <w:t>104</w:t>
            </w:r>
          </w:p>
        </w:tc>
        <w:tc>
          <w:tcPr>
            <w:tcW w:type="dxa" w:w="2448"/>
          </w:tcPr>
          <w:p>
            <w:pPr>
              <w:spacing w:after="20"/>
            </w:pPr>
            <w:r>
              <w:rPr>
                <w:color w:val="1C3A36"/>
                <w:sz w:val="14"/>
              </w:rPr>
              <w:t>capex_usd_t_cap</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171"/>
          </w:tcPr>
          <w:p>
            <w:pPr>
              <w:spacing w:after="20"/>
            </w:pPr>
            <w:r>
              <w:rPr>
                <w:color w:val="1C3A36"/>
                <w:sz w:val="14"/>
              </w:rPr>
              <w:t>Maintenance capital expenditure in US dollars per tonne of installed capacity. Cross-check against disclosure: FY2025 capex of EGP 796.471mn on 5.0Mt at an average USD/EGP of 49.26 is USD 3.23/t, and FY2024's EGP 912.015mn is USD 4.11/t — but both years carry the alternative-fuel and silo programmes, so the maintenance level is set at the middle of that band and held</w:t>
            </w:r>
          </w:p>
        </w:tc>
        <w:tc>
          <w:tcPr>
            <w:tcW w:type="dxa" w:w="1210"/>
          </w:tcPr>
          <w:p>
            <w:pPr>
              <w:spacing w:after="20"/>
            </w:pPr>
            <w:r>
              <w:rPr>
                <w:color w:val="1C3A36"/>
                <w:sz w:val="14"/>
              </w:rPr>
              <w:t>2026-08-06</w:t>
            </w:r>
          </w:p>
        </w:tc>
      </w:tr>
      <w:tr>
        <w:tc>
          <w:tcPr>
            <w:tcW w:type="dxa" w:w="432"/>
          </w:tcPr>
          <w:p>
            <w:pPr>
              <w:spacing w:after="20"/>
            </w:pPr>
            <w:r>
              <w:rPr>
                <w:color w:val="1C3A36"/>
                <w:sz w:val="14"/>
              </w:rPr>
              <w:t>105</w:t>
            </w:r>
          </w:p>
        </w:tc>
        <w:tc>
          <w:tcPr>
            <w:tcW w:type="dxa" w:w="2448"/>
          </w:tcPr>
          <w:p>
            <w:pPr>
              <w:spacing w:after="20"/>
            </w:pPr>
            <w:r>
              <w:rPr>
                <w:color w:val="1C3A36"/>
                <w:sz w:val="14"/>
              </w:rPr>
              <w:t>cem_export_share</w:t>
            </w:r>
          </w:p>
        </w:tc>
        <w:tc>
          <w:tcPr>
            <w:tcW w:type="dxa" w:w="1325"/>
          </w:tcPr>
          <w:p>
            <w:pPr>
              <w:spacing w:after="20"/>
            </w:pPr>
            <w:r>
              <w:rPr>
                <w:color w:val="1C3A36"/>
                <w:sz w:val="14"/>
              </w:rPr>
              <w:t>0.1772, 0.18, 0.18, 0.175, 0.17, 0.165</w:t>
            </w:r>
          </w:p>
        </w:tc>
        <w:tc>
          <w:tcPr>
            <w:tcW w:type="dxa" w:w="1066"/>
          </w:tcPr>
          <w:p>
            <w:pPr>
              <w:spacing w:after="20"/>
            </w:pPr>
            <w:r>
              <w:rPr>
                <w:color w:val="1C3A36"/>
                <w:sz w:val="14"/>
              </w:rPr>
              <w:t>Industry</w:t>
            </w:r>
          </w:p>
        </w:tc>
        <w:tc>
          <w:tcPr>
            <w:tcW w:type="dxa" w:w="7171"/>
          </w:tcPr>
          <w:p>
            <w:pPr>
              <w:spacing w:after="20"/>
            </w:pPr>
            <w:r>
              <w:rPr>
                <w:color w:val="1C3A36"/>
                <w:sz w:val="14"/>
              </w:rPr>
              <w:t>Share of CEMENT production exported. On this split, cement exports sit well inside the 30% statutory cap; revision 3's single-product build put exports at 31.5% of volume, BREACHING the cap its own text cited as binding</w:t>
            </w:r>
          </w:p>
        </w:tc>
        <w:tc>
          <w:tcPr>
            <w:tcW w:type="dxa" w:w="1210"/>
          </w:tcPr>
          <w:p>
            <w:pPr>
              <w:spacing w:after="20"/>
            </w:pPr>
            <w:r>
              <w:rPr>
                <w:color w:val="1C3A36"/>
                <w:sz w:val="14"/>
              </w:rPr>
              <w:t>2026-01-01</w:t>
            </w:r>
          </w:p>
        </w:tc>
      </w:tr>
      <w:tr>
        <w:tc>
          <w:tcPr>
            <w:tcW w:type="dxa" w:w="432"/>
          </w:tcPr>
          <w:p>
            <w:pPr>
              <w:spacing w:after="20"/>
            </w:pPr>
            <w:r>
              <w:rPr>
                <w:color w:val="1C3A36"/>
                <w:sz w:val="14"/>
              </w:rPr>
              <w:t>106</w:t>
            </w:r>
          </w:p>
        </w:tc>
        <w:tc>
          <w:tcPr>
            <w:tcW w:type="dxa" w:w="2448"/>
          </w:tcPr>
          <w:p>
            <w:pPr>
              <w:spacing w:after="20"/>
            </w:pPr>
            <w:r>
              <w:rPr>
                <w:color w:val="1C3A36"/>
                <w:sz w:val="14"/>
              </w:rPr>
              <w:t>clinker_factor</w:t>
            </w:r>
          </w:p>
        </w:tc>
        <w:tc>
          <w:tcPr>
            <w:tcW w:type="dxa" w:w="1325"/>
          </w:tcPr>
          <w:p>
            <w:pPr>
              <w:spacing w:after="20"/>
            </w:pPr>
            <w:r>
              <w:rPr>
                <w:color w:val="1C3A36"/>
                <w:sz w:val="14"/>
              </w:rPr>
              <w:t>0.733</w:t>
            </w:r>
          </w:p>
        </w:tc>
        <w:tc>
          <w:tcPr>
            <w:tcW w:type="dxa" w:w="1066"/>
          </w:tcPr>
          <w:p>
            <w:pPr>
              <w:spacing w:after="20"/>
            </w:pPr>
            <w:r>
              <w:rPr>
                <w:color w:val="1C3A36"/>
                <w:sz w:val="14"/>
              </w:rPr>
              <w:t>Industry</w:t>
            </w:r>
          </w:p>
        </w:tc>
        <w:tc>
          <w:tcPr>
            <w:tcW w:type="dxa" w:w="7171"/>
          </w:tcPr>
          <w:p>
            <w:pPr>
              <w:spacing w:after="20"/>
            </w:pPr>
            <w:r>
              <w:rPr>
                <w:color w:val="1C3A36"/>
                <w:sz w:val="14"/>
              </w:rPr>
              <w:t>Tonnes of clinker per tonne of cement PRODUCED. Revision 3 used 0.84, taken from the ratio of the two nameplate capacities in note 1 and described as 'observed'. It is not observed and it is not a clinker factor: 4.2/5.0 is a ratio of two DESIGN capacities, and a clinker factor is a production-composition ratio. 0.84 also sits above the 0.65-0.80 band typical of blended cement, and the study then called this producer 'low-clinker' three sections later. The figure carried here is the production ratio implied by the FY2025 physical disclosure: clinker produced less clinker exported, over cement produced</w:t>
            </w:r>
          </w:p>
        </w:tc>
        <w:tc>
          <w:tcPr>
            <w:tcW w:type="dxa" w:w="1210"/>
          </w:tcPr>
          <w:p>
            <w:pPr>
              <w:spacing w:after="20"/>
            </w:pPr>
            <w:r>
              <w:rPr>
                <w:color w:val="1C3A36"/>
                <w:sz w:val="14"/>
              </w:rPr>
              <w:t>2025-12-31</w:t>
            </w:r>
          </w:p>
        </w:tc>
      </w:tr>
      <w:tr>
        <w:tc>
          <w:tcPr>
            <w:tcW w:type="dxa" w:w="432"/>
          </w:tcPr>
          <w:p>
            <w:pPr>
              <w:spacing w:after="20"/>
            </w:pPr>
            <w:r>
              <w:rPr>
                <w:color w:val="1C3A36"/>
                <w:sz w:val="14"/>
              </w:rPr>
              <w:t>107</w:t>
            </w:r>
          </w:p>
        </w:tc>
        <w:tc>
          <w:tcPr>
            <w:tcW w:type="dxa" w:w="2448"/>
          </w:tcPr>
          <w:p>
            <w:pPr>
              <w:spacing w:after="20"/>
            </w:pPr>
            <w:r>
              <w:rPr>
                <w:color w:val="1C3A36"/>
                <w:sz w:val="14"/>
              </w:rPr>
              <w:t>clk_price_ratio</w:t>
            </w:r>
          </w:p>
        </w:tc>
        <w:tc>
          <w:tcPr>
            <w:tcW w:type="dxa" w:w="1325"/>
          </w:tcPr>
          <w:p>
            <w:pPr>
              <w:spacing w:after="20"/>
            </w:pPr>
            <w:r>
              <w:rPr>
                <w:color w:val="1C3A36"/>
                <w:sz w:val="14"/>
              </w:rPr>
              <w:t>0.65</w:t>
            </w:r>
          </w:p>
        </w:tc>
        <w:tc>
          <w:tcPr>
            <w:tcW w:type="dxa" w:w="1066"/>
          </w:tcPr>
          <w:p>
            <w:pPr>
              <w:spacing w:after="20"/>
            </w:pPr>
            <w:r>
              <w:rPr>
                <w:color w:val="1C3A36"/>
                <w:sz w:val="14"/>
              </w:rPr>
              <w:t>Industry</w:t>
            </w:r>
          </w:p>
        </w:tc>
        <w:tc>
          <w:tcPr>
            <w:tcW w:type="dxa" w:w="7171"/>
          </w:tcPr>
          <w:p>
            <w:pPr>
              <w:spacing w:after="20"/>
            </w:pPr>
            <w:r>
              <w:rPr>
                <w:color w:val="1C3A36"/>
                <w:sz w:val="14"/>
              </w:rPr>
              <w:t>Export clinker price as a fraction of the export cement price. Clinker is the unground intermediate and trades at a discount; 0.65 sits in the middle of the range the trade press reports. This is the one splitting assumption the export leg needs, and the two export prices are DERIVED from it and the audited export revenue, not asserted</w:t>
            </w:r>
          </w:p>
        </w:tc>
        <w:tc>
          <w:tcPr>
            <w:tcW w:type="dxa" w:w="1210"/>
          </w:tcPr>
          <w:p>
            <w:pPr>
              <w:spacing w:after="20"/>
            </w:pPr>
            <w:r>
              <w:rPr>
                <w:color w:val="1C3A36"/>
                <w:sz w:val="14"/>
              </w:rPr>
              <w:t>2026-01-15</w:t>
            </w:r>
          </w:p>
        </w:tc>
      </w:tr>
      <w:tr>
        <w:tc>
          <w:tcPr>
            <w:tcW w:type="dxa" w:w="432"/>
          </w:tcPr>
          <w:p>
            <w:pPr>
              <w:spacing w:after="20"/>
            </w:pPr>
            <w:r>
              <w:rPr>
                <w:color w:val="1C3A36"/>
                <w:sz w:val="14"/>
              </w:rPr>
              <w:t>108</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171"/>
          </w:tcPr>
          <w:p>
            <w:pPr>
              <w:spacing w:after="20"/>
            </w:pPr>
            <w:r>
              <w:rPr>
                <w:color w:val="1C3A36"/>
                <w:sz w:val="14"/>
              </w:rPr>
              <w:t>Egyptian nameplate cement capacity</w:t>
            </w:r>
          </w:p>
        </w:tc>
        <w:tc>
          <w:tcPr>
            <w:tcW w:type="dxa" w:w="1210"/>
          </w:tcPr>
          <w:p>
            <w:pPr>
              <w:spacing w:after="20"/>
            </w:pPr>
            <w:r>
              <w:rPr>
                <w:color w:val="1C3A36"/>
                <w:sz w:val="14"/>
              </w:rPr>
              <w:t>2025-10-01</w:t>
            </w:r>
          </w:p>
        </w:tc>
      </w:tr>
      <w:tr>
        <w:tc>
          <w:tcPr>
            <w:tcW w:type="dxa" w:w="432"/>
          </w:tcPr>
          <w:p>
            <w:pPr>
              <w:spacing w:after="20"/>
            </w:pPr>
            <w:r>
              <w:rPr>
                <w:color w:val="1C3A36"/>
                <w:sz w:val="14"/>
              </w:rPr>
              <w:t>109</w:t>
            </w:r>
          </w:p>
        </w:tc>
        <w:tc>
          <w:tcPr>
            <w:tcW w:type="dxa" w:w="2448"/>
          </w:tcPr>
          <w:p>
            <w:pPr>
              <w:spacing w:after="20"/>
            </w:pPr>
            <w:r>
              <w:rPr>
                <w:color w:val="1C3A36"/>
                <w:sz w:val="14"/>
              </w:rPr>
              <w:t>egy_cons_mt</w:t>
            </w:r>
          </w:p>
        </w:tc>
        <w:tc>
          <w:tcPr>
            <w:tcW w:type="dxa" w:w="1325"/>
          </w:tcPr>
          <w:p>
            <w:pPr>
              <w:spacing w:after="20"/>
            </w:pPr>
            <w:r>
              <w:rPr>
                <w:color w:val="1C3A36"/>
                <w:sz w:val="14"/>
              </w:rPr>
              <w:t>54</w:t>
            </w:r>
          </w:p>
        </w:tc>
        <w:tc>
          <w:tcPr>
            <w:tcW w:type="dxa" w:w="1066"/>
          </w:tcPr>
          <w:p>
            <w:pPr>
              <w:spacing w:after="20"/>
            </w:pPr>
            <w:r>
              <w:rPr>
                <w:color w:val="1C3A36"/>
                <w:sz w:val="14"/>
              </w:rPr>
              <w:t>Industry</w:t>
            </w:r>
          </w:p>
        </w:tc>
        <w:tc>
          <w:tcPr>
            <w:tcW w:type="dxa" w:w="7171"/>
          </w:tcPr>
          <w:p>
            <w:pPr>
              <w:spacing w:after="20"/>
            </w:pPr>
            <w:r>
              <w:rPr>
                <w:color w:val="1C3A36"/>
                <w:sz w:val="14"/>
              </w:rPr>
              <w:t>Egyptian domestic cement consumption 2025</w:t>
            </w:r>
          </w:p>
        </w:tc>
        <w:tc>
          <w:tcPr>
            <w:tcW w:type="dxa" w:w="1210"/>
          </w:tcPr>
          <w:p>
            <w:pPr>
              <w:spacing w:after="20"/>
            </w:pPr>
            <w:r>
              <w:rPr>
                <w:color w:val="1C3A36"/>
                <w:sz w:val="14"/>
              </w:rPr>
              <w:t>2025-10-01</w:t>
            </w:r>
          </w:p>
        </w:tc>
      </w:tr>
      <w:tr>
        <w:tc>
          <w:tcPr>
            <w:tcW w:type="dxa" w:w="432"/>
          </w:tcPr>
          <w:p>
            <w:pPr>
              <w:spacing w:after="20"/>
            </w:pPr>
            <w:r>
              <w:rPr>
                <w:color w:val="1C3A36"/>
                <w:sz w:val="14"/>
              </w:rPr>
              <w:t>110</w:t>
            </w:r>
          </w:p>
        </w:tc>
        <w:tc>
          <w:tcPr>
            <w:tcW w:type="dxa" w:w="2448"/>
          </w:tcPr>
          <w:p>
            <w:pPr>
              <w:spacing w:after="20"/>
            </w:pPr>
            <w:r>
              <w:rPr>
                <w:color w:val="1C3A36"/>
                <w:sz w:val="14"/>
              </w:rPr>
              <w:t>egy_exports_mt</w:t>
            </w:r>
          </w:p>
        </w:tc>
        <w:tc>
          <w:tcPr>
            <w:tcW w:type="dxa" w:w="1325"/>
          </w:tcPr>
          <w:p>
            <w:pPr>
              <w:spacing w:after="20"/>
            </w:pPr>
            <w:r>
              <w:rPr>
                <w:color w:val="1C3A36"/>
                <w:sz w:val="14"/>
              </w:rPr>
              <w:t>18.5</w:t>
            </w:r>
          </w:p>
        </w:tc>
        <w:tc>
          <w:tcPr>
            <w:tcW w:type="dxa" w:w="1066"/>
          </w:tcPr>
          <w:p>
            <w:pPr>
              <w:spacing w:after="20"/>
            </w:pPr>
            <w:r>
              <w:rPr>
                <w:color w:val="1C3A36"/>
                <w:sz w:val="14"/>
              </w:rPr>
              <w:t>Industry</w:t>
            </w:r>
          </w:p>
        </w:tc>
        <w:tc>
          <w:tcPr>
            <w:tcW w:type="dxa" w:w="7171"/>
          </w:tcPr>
          <w:p>
            <w:pPr>
              <w:spacing w:after="20"/>
            </w:pPr>
            <w:r>
              <w:rPr>
                <w:color w:val="1C3A36"/>
                <w:sz w:val="14"/>
              </w:rPr>
              <w:t>Egyptian cement and clinker exports 2025</w:t>
            </w:r>
          </w:p>
        </w:tc>
        <w:tc>
          <w:tcPr>
            <w:tcW w:type="dxa" w:w="1210"/>
          </w:tcPr>
          <w:p>
            <w:pPr>
              <w:spacing w:after="20"/>
            </w:pPr>
            <w:r>
              <w:rPr>
                <w:color w:val="1C3A36"/>
                <w:sz w:val="14"/>
              </w:rPr>
              <w:t>2026-01-01</w:t>
            </w:r>
          </w:p>
        </w:tc>
      </w:tr>
      <w:tr>
        <w:tc>
          <w:tcPr>
            <w:tcW w:type="dxa" w:w="432"/>
          </w:tcPr>
          <w:p>
            <w:pPr>
              <w:spacing w:after="20"/>
            </w:pPr>
            <w:r>
              <w:rPr>
                <w:color w:val="1C3A36"/>
                <w:sz w:val="14"/>
              </w:rPr>
              <w:t>111</w:t>
            </w:r>
          </w:p>
        </w:tc>
        <w:tc>
          <w:tcPr>
            <w:tcW w:type="dxa" w:w="2448"/>
          </w:tcPr>
          <w:p>
            <w:pPr>
              <w:spacing w:after="20"/>
            </w:pPr>
            <w:r>
              <w:rPr>
                <w:color w:val="1C3A36"/>
                <w:sz w:val="14"/>
              </w:rPr>
              <w:t>egy_prod_mt</w:t>
            </w:r>
          </w:p>
        </w:tc>
        <w:tc>
          <w:tcPr>
            <w:tcW w:type="dxa" w:w="1325"/>
          </w:tcPr>
          <w:p>
            <w:pPr>
              <w:spacing w:after="20"/>
            </w:pPr>
            <w:r>
              <w:rPr>
                <w:color w:val="1C3A36"/>
                <w:sz w:val="14"/>
              </w:rPr>
              <w:t>65</w:t>
            </w:r>
          </w:p>
        </w:tc>
        <w:tc>
          <w:tcPr>
            <w:tcW w:type="dxa" w:w="1066"/>
          </w:tcPr>
          <w:p>
            <w:pPr>
              <w:spacing w:after="20"/>
            </w:pPr>
            <w:r>
              <w:rPr>
                <w:color w:val="1C3A36"/>
                <w:sz w:val="14"/>
              </w:rPr>
              <w:t>Industry</w:t>
            </w:r>
          </w:p>
        </w:tc>
        <w:tc>
          <w:tcPr>
            <w:tcW w:type="dxa" w:w="7171"/>
          </w:tcPr>
          <w:p>
            <w:pPr>
              <w:spacing w:after="20"/>
            </w:pPr>
            <w:r>
              <w:rPr>
                <w:color w:val="1C3A36"/>
                <w:sz w:val="14"/>
              </w:rPr>
              <w:t>Egyptian cement production 2025</w:t>
            </w:r>
          </w:p>
        </w:tc>
        <w:tc>
          <w:tcPr>
            <w:tcW w:type="dxa" w:w="1210"/>
          </w:tcPr>
          <w:p>
            <w:pPr>
              <w:spacing w:after="20"/>
            </w:pPr>
            <w:r>
              <w:rPr>
                <w:color w:val="1C3A36"/>
                <w:sz w:val="14"/>
              </w:rPr>
              <w:t>2026-01-01</w:t>
            </w:r>
          </w:p>
        </w:tc>
      </w:tr>
      <w:tr>
        <w:tc>
          <w:tcPr>
            <w:tcW w:type="dxa" w:w="432"/>
          </w:tcPr>
          <w:p>
            <w:pPr>
              <w:spacing w:after="20"/>
            </w:pPr>
            <w:r>
              <w:rPr>
                <w:color w:val="1C3A36"/>
                <w:sz w:val="14"/>
              </w:rPr>
              <w:t>112</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171"/>
          </w:tcPr>
          <w:p>
            <w:pPr>
              <w:spacing w:after="20"/>
            </w:pPr>
            <w:r>
              <w:rPr>
                <w:color w:val="1C3A36"/>
                <w:sz w:val="14"/>
              </w:rPr>
              <w:t>Dormant Egyptian capacity under revival from the second half of 2026</w:t>
            </w:r>
          </w:p>
        </w:tc>
        <w:tc>
          <w:tcPr>
            <w:tcW w:type="dxa" w:w="1210"/>
          </w:tcPr>
          <w:p>
            <w:pPr>
              <w:spacing w:after="20"/>
            </w:pPr>
            <w:r>
              <w:rPr>
                <w:color w:val="1C3A36"/>
                <w:sz w:val="14"/>
              </w:rPr>
              <w:t>2025-10-01</w:t>
            </w:r>
          </w:p>
        </w:tc>
      </w:tr>
      <w:tr>
        <w:tc>
          <w:tcPr>
            <w:tcW w:type="dxa" w:w="432"/>
          </w:tcPr>
          <w:p>
            <w:pPr>
              <w:spacing w:after="20"/>
            </w:pPr>
            <w:r>
              <w:rPr>
                <w:color w:val="1C3A36"/>
                <w:sz w:val="14"/>
              </w:rPr>
              <w:t>113</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market capitalisation</w:t>
            </w:r>
          </w:p>
        </w:tc>
        <w:tc>
          <w:tcPr>
            <w:tcW w:type="dxa" w:w="1210"/>
          </w:tcPr>
          <w:p>
            <w:pPr>
              <w:spacing w:after="20"/>
            </w:pPr>
            <w:r>
              <w:rPr>
                <w:color w:val="1C3A36"/>
                <w:sz w:val="14"/>
              </w:rPr>
              <w:t>2026-08-06</w:t>
            </w:r>
          </w:p>
        </w:tc>
      </w:tr>
      <w:tr>
        <w:tc>
          <w:tcPr>
            <w:tcW w:type="dxa" w:w="432"/>
          </w:tcPr>
          <w:p>
            <w:pPr>
              <w:spacing w:after="20"/>
            </w:pPr>
            <w:r>
              <w:rPr>
                <w:color w:val="1C3A36"/>
                <w:sz w:val="14"/>
              </w:rPr>
              <w:t>114</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attributable profit</w:t>
            </w:r>
          </w:p>
        </w:tc>
        <w:tc>
          <w:tcPr>
            <w:tcW w:type="dxa" w:w="1210"/>
          </w:tcPr>
          <w:p>
            <w:pPr>
              <w:spacing w:after="20"/>
            </w:pPr>
            <w:r>
              <w:rPr>
                <w:color w:val="1C3A36"/>
                <w:sz w:val="14"/>
              </w:rPr>
              <w:t>2026-03-01</w:t>
            </w:r>
          </w:p>
        </w:tc>
      </w:tr>
      <w:tr>
        <w:tc>
          <w:tcPr>
            <w:tcW w:type="dxa" w:w="432"/>
          </w:tcPr>
          <w:p>
            <w:pPr>
              <w:spacing w:after="20"/>
            </w:pPr>
            <w:r>
              <w:rPr>
                <w:color w:val="1C3A36"/>
                <w:sz w:val="14"/>
              </w:rPr>
              <w:t>115</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171"/>
          </w:tcPr>
          <w:p>
            <w:pPr>
              <w:spacing w:after="20"/>
            </w:pPr>
            <w:r>
              <w:rPr>
                <w:color w:val="1C3A36"/>
                <w:sz w:val="14"/>
              </w:rPr>
              <w:t>Misr Beni Suef Cement FY2025 net sales</w:t>
            </w:r>
          </w:p>
        </w:tc>
        <w:tc>
          <w:tcPr>
            <w:tcW w:type="dxa" w:w="1210"/>
          </w:tcPr>
          <w:p>
            <w:pPr>
              <w:spacing w:after="20"/>
            </w:pPr>
            <w:r>
              <w:rPr>
                <w:color w:val="1C3A36"/>
                <w:sz w:val="14"/>
              </w:rPr>
              <w:t>2026-03-01</w:t>
            </w:r>
          </w:p>
        </w:tc>
      </w:tr>
      <w:tr>
        <w:tc>
          <w:tcPr>
            <w:tcW w:type="dxa" w:w="432"/>
          </w:tcPr>
          <w:p>
            <w:pPr>
              <w:spacing w:after="20"/>
            </w:pPr>
            <w:r>
              <w:rPr>
                <w:color w:val="1C3A36"/>
                <w:sz w:val="14"/>
              </w:rPr>
              <w:t>116</w:t>
            </w:r>
          </w:p>
        </w:tc>
        <w:tc>
          <w:tcPr>
            <w:tcW w:type="dxa" w:w="2448"/>
          </w:tcPr>
          <w:p>
            <w:pPr>
              <w:spacing w:after="20"/>
            </w:pPr>
            <w:r>
              <w:rPr>
                <w:color w:val="1C3A36"/>
                <w:sz w:val="14"/>
              </w:rPr>
              <w:t>peer_scem_mcap</w:t>
            </w:r>
          </w:p>
        </w:tc>
        <w:tc>
          <w:tcPr>
            <w:tcW w:type="dxa" w:w="1325"/>
          </w:tcPr>
          <w:p>
            <w:pPr>
              <w:spacing w:after="20"/>
            </w:pPr>
            <w:r>
              <w:rPr>
                <w:color w:val="1C3A36"/>
                <w:sz w:val="14"/>
              </w:rPr>
              <w:t>20,604.19</w:t>
            </w:r>
          </w:p>
        </w:tc>
        <w:tc>
          <w:tcPr>
            <w:tcW w:type="dxa" w:w="1066"/>
          </w:tcPr>
          <w:p>
            <w:pPr>
              <w:spacing w:after="20"/>
            </w:pPr>
            <w:r>
              <w:rPr>
                <w:color w:val="1C3A36"/>
                <w:sz w:val="14"/>
              </w:rPr>
              <w:t>Industry</w:t>
            </w:r>
          </w:p>
        </w:tc>
        <w:tc>
          <w:tcPr>
            <w:tcW w:type="dxa" w:w="7171"/>
          </w:tcPr>
          <w:p>
            <w:pPr>
              <w:spacing w:after="20"/>
            </w:pPr>
            <w:r>
              <w:rPr>
                <w:color w:val="1C3A36"/>
                <w:sz w:val="14"/>
              </w:rPr>
              <w:t>Sinai Cement market capitalisation at 06-Aug-2026</w:t>
            </w:r>
          </w:p>
        </w:tc>
        <w:tc>
          <w:tcPr>
            <w:tcW w:type="dxa" w:w="1210"/>
          </w:tcPr>
          <w:p>
            <w:pPr>
              <w:spacing w:after="20"/>
            </w:pPr>
            <w:r>
              <w:rPr>
                <w:color w:val="1C3A36"/>
                <w:sz w:val="14"/>
              </w:rPr>
              <w:t>2026-08-06</w:t>
            </w:r>
          </w:p>
        </w:tc>
      </w:tr>
      <w:tr>
        <w:tc>
          <w:tcPr>
            <w:tcW w:type="dxa" w:w="432"/>
          </w:tcPr>
          <w:p>
            <w:pPr>
              <w:spacing w:after="20"/>
            </w:pPr>
            <w:r>
              <w:rPr>
                <w:color w:val="1C3A36"/>
                <w:sz w:val="14"/>
              </w:rPr>
              <w:t>117</w:t>
            </w:r>
          </w:p>
        </w:tc>
        <w:tc>
          <w:tcPr>
            <w:tcW w:type="dxa" w:w="2448"/>
          </w:tcPr>
          <w:p>
            <w:pPr>
              <w:spacing w:after="20"/>
            </w:pPr>
            <w:r>
              <w:rPr>
                <w:color w:val="1C3A36"/>
                <w:sz w:val="14"/>
              </w:rPr>
              <w:t>peer_scem_pat</w:t>
            </w:r>
          </w:p>
        </w:tc>
        <w:tc>
          <w:tcPr>
            <w:tcW w:type="dxa" w:w="1325"/>
          </w:tcPr>
          <w:p>
            <w:pPr>
              <w:spacing w:after="20"/>
            </w:pPr>
            <w:r>
              <w:rPr>
                <w:color w:val="1C3A36"/>
                <w:sz w:val="14"/>
              </w:rPr>
              <w:t>2,290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profit after tax</w:t>
            </w:r>
          </w:p>
        </w:tc>
        <w:tc>
          <w:tcPr>
            <w:tcW w:type="dxa" w:w="1210"/>
          </w:tcPr>
          <w:p>
            <w:pPr>
              <w:spacing w:after="20"/>
            </w:pPr>
            <w:r>
              <w:rPr>
                <w:color w:val="1C3A36"/>
                <w:sz w:val="14"/>
              </w:rPr>
              <w:t>2026-03-10</w:t>
            </w:r>
          </w:p>
        </w:tc>
      </w:tr>
      <w:tr>
        <w:tc>
          <w:tcPr>
            <w:tcW w:type="dxa" w:w="432"/>
          </w:tcPr>
          <w:p>
            <w:pPr>
              <w:spacing w:after="20"/>
            </w:pPr>
            <w:r>
              <w:rPr>
                <w:color w:val="1C3A36"/>
                <w:sz w:val="14"/>
              </w:rPr>
              <w:t>118</w:t>
            </w:r>
          </w:p>
        </w:tc>
        <w:tc>
          <w:tcPr>
            <w:tcW w:type="dxa" w:w="2448"/>
          </w:tcPr>
          <w:p>
            <w:pPr>
              <w:spacing w:after="20"/>
            </w:pPr>
            <w:r>
              <w:rPr>
                <w:color w:val="1C3A36"/>
                <w:sz w:val="14"/>
              </w:rPr>
              <w:t>peer_scem_rev</w:t>
            </w:r>
          </w:p>
        </w:tc>
        <w:tc>
          <w:tcPr>
            <w:tcW w:type="dxa" w:w="1325"/>
          </w:tcPr>
          <w:p>
            <w:pPr>
              <w:spacing w:after="20"/>
            </w:pPr>
            <w:r>
              <w:rPr>
                <w:color w:val="1C3A36"/>
                <w:sz w:val="14"/>
              </w:rPr>
              <w:t>9,090</w:t>
            </w:r>
          </w:p>
        </w:tc>
        <w:tc>
          <w:tcPr>
            <w:tcW w:type="dxa" w:w="1066"/>
          </w:tcPr>
          <w:p>
            <w:pPr>
              <w:spacing w:after="20"/>
            </w:pPr>
            <w:r>
              <w:rPr>
                <w:color w:val="1C3A36"/>
                <w:sz w:val="14"/>
              </w:rPr>
              <w:t>Industry</w:t>
            </w:r>
          </w:p>
        </w:tc>
        <w:tc>
          <w:tcPr>
            <w:tcW w:type="dxa" w:w="7171"/>
          </w:tcPr>
          <w:p>
            <w:pPr>
              <w:spacing w:after="20"/>
            </w:pPr>
            <w:r>
              <w:rPr>
                <w:color w:val="1C3A36"/>
                <w:sz w:val="14"/>
              </w:rPr>
              <w:t>Sinai Cement FY2025 revenue</w:t>
            </w:r>
          </w:p>
        </w:tc>
        <w:tc>
          <w:tcPr>
            <w:tcW w:type="dxa" w:w="1210"/>
          </w:tcPr>
          <w:p>
            <w:pPr>
              <w:spacing w:after="20"/>
            </w:pPr>
            <w:r>
              <w:rPr>
                <w:color w:val="1C3A36"/>
                <w:sz w:val="14"/>
              </w:rPr>
              <w:t>2026-03-10</w:t>
            </w:r>
          </w:p>
        </w:tc>
      </w:tr>
      <w:tr>
        <w:tc>
          <w:tcPr>
            <w:tcW w:type="dxa" w:w="432"/>
          </w:tcPr>
          <w:p>
            <w:pPr>
              <w:spacing w:after="20"/>
            </w:pPr>
            <w:r>
              <w:rPr>
                <w:color w:val="1C3A36"/>
                <w:sz w:val="14"/>
              </w:rPr>
              <w:t>119</w:t>
            </w:r>
          </w:p>
        </w:tc>
        <w:tc>
          <w:tcPr>
            <w:tcW w:type="dxa" w:w="2448"/>
          </w:tcPr>
          <w:p>
            <w:pPr>
              <w:spacing w:after="20"/>
            </w:pPr>
            <w:r>
              <w:rPr>
                <w:color w:val="1C3A36"/>
                <w:sz w:val="14"/>
              </w:rPr>
              <w:t>price_exp_path</w:t>
            </w:r>
          </w:p>
        </w:tc>
        <w:tc>
          <w:tcPr>
            <w:tcW w:type="dxa" w:w="1325"/>
          </w:tcPr>
          <w:p>
            <w:pPr>
              <w:spacing w:after="20"/>
            </w:pPr>
            <w:r>
              <w:rPr>
                <w:color w:val="1C3A36"/>
                <w:sz w:val="14"/>
              </w:rPr>
              <w:t>1, 0.968, 0.944, 0.927, 0.911, 0.895</w:t>
            </w:r>
          </w:p>
        </w:tc>
        <w:tc>
          <w:tcPr>
            <w:tcW w:type="dxa" w:w="1066"/>
          </w:tcPr>
          <w:p>
            <w:pPr>
              <w:spacing w:after="20"/>
            </w:pPr>
            <w:r>
              <w:rPr>
                <w:color w:val="1C3A36"/>
                <w:sz w:val="14"/>
              </w:rPr>
              <w:t>Industry</w:t>
            </w:r>
          </w:p>
        </w:tc>
        <w:tc>
          <w:tcPr>
            <w:tcW w:type="dxa" w:w="7171"/>
          </w:tcPr>
          <w:p>
            <w:pPr>
              <w:spacing w:after="20"/>
            </w:pPr>
            <w:r>
              <w:rPr>
                <w:color w:val="1C3A36"/>
                <w:sz w:val="14"/>
              </w:rPr>
              <w:t>Export price index in US dollars on the FY2025 base, declining because the EU carbon border mechanism raises the landed cost of Egyptian cement in Europe; set shallower than a high-clinker peer would face because this producer's alternative-fuel and hydrogen programmes are funded and under construction</w:t>
            </w:r>
          </w:p>
        </w:tc>
        <w:tc>
          <w:tcPr>
            <w:tcW w:type="dxa" w:w="1210"/>
          </w:tcPr>
          <w:p>
            <w:pPr>
              <w:spacing w:after="20"/>
            </w:pPr>
            <w:r>
              <w:rPr>
                <w:color w:val="1C3A36"/>
                <w:sz w:val="14"/>
              </w:rPr>
              <w:t>2026-01-01</w:t>
            </w:r>
          </w:p>
        </w:tc>
      </w:tr>
      <w:tr>
        <w:tc>
          <w:tcPr>
            <w:tcW w:type="dxa" w:w="432"/>
          </w:tcPr>
          <w:p>
            <w:pPr>
              <w:spacing w:after="20"/>
            </w:pPr>
            <w:r>
              <w:rPr>
                <w:color w:val="1C3A36"/>
                <w:sz w:val="14"/>
              </w:rPr>
              <w:t>120</w:t>
            </w:r>
          </w:p>
        </w:tc>
        <w:tc>
          <w:tcPr>
            <w:tcW w:type="dxa" w:w="2448"/>
          </w:tcPr>
          <w:p>
            <w:pPr>
              <w:spacing w:after="20"/>
            </w:pPr>
            <w:r>
              <w:rPr>
                <w:color w:val="1C3A36"/>
                <w:sz w:val="14"/>
              </w:rPr>
              <w:t>price_local_path</w:t>
            </w:r>
          </w:p>
        </w:tc>
        <w:tc>
          <w:tcPr>
            <w:tcW w:type="dxa" w:w="1325"/>
          </w:tcPr>
          <w:p>
            <w:pPr>
              <w:spacing w:after="20"/>
            </w:pPr>
            <w:r>
              <w:rPr>
                <w:color w:val="1C3A36"/>
                <w:sz w:val="14"/>
              </w:rPr>
              <w:t>1, 1.08, 1.177, 1.271, 1.36, 1.449</w:t>
            </w:r>
          </w:p>
        </w:tc>
        <w:tc>
          <w:tcPr>
            <w:tcW w:type="dxa" w:w="1066"/>
          </w:tcPr>
          <w:p>
            <w:pPr>
              <w:spacing w:after="20"/>
            </w:pPr>
            <w:r>
              <w:rPr>
                <w:color w:val="1C3A36"/>
                <w:sz w:val="14"/>
              </w:rPr>
              <w:t>Industry</w:t>
            </w:r>
          </w:p>
        </w:tc>
        <w:tc>
          <w:tcPr>
            <w:tcW w:type="dxa" w:w="7171"/>
          </w:tcPr>
          <w:p>
            <w:pPr>
              <w:spacing w:after="20"/>
            </w:pPr>
            <w:r>
              <w:rPr>
                <w:color w:val="1C3A36"/>
                <w:sz w:val="14"/>
              </w:rPr>
              <w:t>Local realised price index on the FY2025 base: growth of 8.0%, 9.0%, 8.0%, 7.0% and 6.5%, i.e. 3.5 points below assumed cost inflation in FY2026 and about 1 point below it thereafter. CALIBRATED TO THE AUDITED RECORD, not asserted. In both years the statements cover, price outran cost: FY2024 revenue +44.5% against total cash cost +41.8%, and FY2025 revenue +42.6% against cash cost +12.5%, which is why the audited gross margin went 21.2% -&gt; 23.9% -&gt; 40.6%. Q1-2026 then printed revenue +17.3% at a 42.9% gross margin against 40.6% for FY2025 — still WIDENING. Against that, the FY2026 step of 8.0% produces group revenue growth of about 10.7%, well below the 17.3% the first quarter actually ran, and the erosion thereafter is real but modest. Revision 2 assumed 3.0% in FY2026 against 11.5% cost inflation — a company unable to raise price even at the central bank's own 7% medium-term target — which manufactured the margin collapse rather than deriving it, and sat incoherently beside a utilisation path that RISES across the same window. The erosion that remains is the genuine one: the production quota abolished in May 2025 removed the mechanism supporting price into a structural surplus, and 12.6Mt of dormant national capacity is under revival from the second half of 2026</w:t>
            </w:r>
          </w:p>
        </w:tc>
        <w:tc>
          <w:tcPr>
            <w:tcW w:type="dxa" w:w="1210"/>
          </w:tcPr>
          <w:p>
            <w:pPr>
              <w:spacing w:after="20"/>
            </w:pPr>
            <w:r>
              <w:rPr>
                <w:color w:val="1C3A36"/>
                <w:sz w:val="14"/>
              </w:rPr>
              <w:t>2026-08-06</w:t>
            </w:r>
          </w:p>
        </w:tc>
      </w:tr>
      <w:tr>
        <w:tc>
          <w:tcPr>
            <w:tcW w:type="dxa" w:w="432"/>
          </w:tcPr>
          <w:p>
            <w:pPr>
              <w:spacing w:after="20"/>
            </w:pPr>
            <w:r>
              <w:rPr>
                <w:color w:val="1C3A36"/>
                <w:sz w:val="14"/>
              </w:rPr>
              <w:t>121</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171"/>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432"/>
          </w:tcPr>
          <w:p>
            <w:pPr>
              <w:spacing w:after="20"/>
            </w:pPr>
            <w:r>
              <w:rPr>
                <w:color w:val="1C3A36"/>
                <w:sz w:val="14"/>
              </w:rPr>
              <w:t>122</w:t>
            </w:r>
          </w:p>
        </w:tc>
        <w:tc>
          <w:tcPr>
            <w:tcW w:type="dxa" w:w="2448"/>
          </w:tcPr>
          <w:p>
            <w:pPr>
              <w:spacing w:after="20"/>
            </w:pPr>
            <w:r>
              <w:rPr>
                <w:color w:val="1C3A36"/>
                <w:sz w:val="14"/>
              </w:rPr>
              <w:t>cost_infl</w:t>
            </w:r>
          </w:p>
        </w:tc>
        <w:tc>
          <w:tcPr>
            <w:tcW w:type="dxa" w:w="1325"/>
          </w:tcPr>
          <w:p>
            <w:pPr>
              <w:spacing w:after="20"/>
            </w:pPr>
            <w:r>
              <w:rPr>
                <w:color w:val="1C3A36"/>
                <w:sz w:val="14"/>
              </w:rPr>
              <w:t>1, 1.115, 1.226, 1.336, 1.443, 1.544</w:t>
            </w:r>
          </w:p>
        </w:tc>
        <w:tc>
          <w:tcPr>
            <w:tcW w:type="dxa" w:w="1066"/>
          </w:tcPr>
          <w:p>
            <w:pPr>
              <w:spacing w:after="20"/>
            </w:pPr>
            <w:r>
              <w:rPr>
                <w:color w:val="1C3A36"/>
                <w:sz w:val="14"/>
              </w:rPr>
              <w:t>Country</w:t>
            </w:r>
          </w:p>
        </w:tc>
        <w:tc>
          <w:tcPr>
            <w:tcW w:type="dxa" w:w="7171"/>
          </w:tcPr>
          <w:p>
            <w:pPr>
              <w:spacing w:after="20"/>
            </w:pPr>
            <w:r>
              <w:rPr>
                <w:color w:val="1C3A36"/>
                <w:sz w:val="14"/>
              </w:rPr>
              <w:t>Cumulative local cost-inflation index from the FY2025 base. Steps of 11.5%, 10.0%, 9.0%, 8.0% and 7.0% track the disinflation path the central bank's own reporting describes, converging on its 7% medium-term target. This is an INPUT-PRICE path and is deliberately left at headline inflation even though the company's own audited cash cost grew only 12.5% in FY2025 on volume that rose — i.e. its realised unit cost inflation ran below the national rate. Crediting that outperformance here would double-count it, because the company-specific efficiency is carried separately and explicitly in af_saving, which is anchored to a funded, under-construction asset rather than to a trend</w:t>
            </w:r>
          </w:p>
        </w:tc>
        <w:tc>
          <w:tcPr>
            <w:tcW w:type="dxa" w:w="1210"/>
          </w:tcPr>
          <w:p>
            <w:pPr>
              <w:spacing w:after="20"/>
            </w:pPr>
            <w:r>
              <w:rPr>
                <w:color w:val="1C3A36"/>
                <w:sz w:val="14"/>
              </w:rPr>
              <w:t>2026-07-10</w:t>
            </w:r>
          </w:p>
        </w:tc>
      </w:tr>
      <w:tr>
        <w:tc>
          <w:tcPr>
            <w:tcW w:type="dxa" w:w="432"/>
          </w:tcPr>
          <w:p>
            <w:pPr>
              <w:spacing w:after="20"/>
            </w:pPr>
            <w:r>
              <w:rPr>
                <w:color w:val="1C3A36"/>
                <w:sz w:val="14"/>
              </w:rPr>
              <w:t>123</w:t>
            </w:r>
          </w:p>
        </w:tc>
        <w:tc>
          <w:tcPr>
            <w:tcW w:type="dxa" w:w="2448"/>
          </w:tcPr>
          <w:p>
            <w:pPr>
              <w:spacing w:after="20"/>
            </w:pPr>
            <w:r>
              <w:rPr>
                <w:color w:val="1C3A36"/>
                <w:sz w:val="14"/>
              </w:rPr>
              <w:t>egy_gdp_egp_bn</w:t>
            </w:r>
          </w:p>
        </w:tc>
        <w:tc>
          <w:tcPr>
            <w:tcW w:type="dxa" w:w="1325"/>
          </w:tcPr>
          <w:p>
            <w:pPr>
              <w:spacing w:after="20"/>
            </w:pPr>
            <w:r>
              <w:rPr>
                <w:color w:val="1C3A36"/>
                <w:sz w:val="14"/>
              </w:rPr>
              <w:t>18,000</w:t>
            </w:r>
          </w:p>
        </w:tc>
        <w:tc>
          <w:tcPr>
            <w:tcW w:type="dxa" w:w="1066"/>
          </w:tcPr>
          <w:p>
            <w:pPr>
              <w:spacing w:after="20"/>
            </w:pPr>
            <w:r>
              <w:rPr>
                <w:color w:val="1C3A36"/>
                <w:sz w:val="14"/>
              </w:rPr>
              <w:t>Country</w:t>
            </w:r>
          </w:p>
        </w:tc>
        <w:tc>
          <w:tcPr>
            <w:tcW w:type="dxa" w:w="7171"/>
          </w:tcPr>
          <w:p>
            <w:pPr>
              <w:spacing w:after="20"/>
            </w:pPr>
            <w:r>
              <w:rPr>
                <w:color w:val="1C3A36"/>
                <w:sz w:val="14"/>
              </w:rPr>
              <w:t>Egyptian nominal gross domestic product, order of magnitude, used only for the terminal-growth crossover arithmetic</w:t>
            </w:r>
          </w:p>
        </w:tc>
        <w:tc>
          <w:tcPr>
            <w:tcW w:type="dxa" w:w="1210"/>
          </w:tcPr>
          <w:p>
            <w:pPr>
              <w:spacing w:after="20"/>
            </w:pPr>
            <w:r>
              <w:rPr>
                <w:color w:val="1C3A36"/>
                <w:sz w:val="14"/>
              </w:rPr>
              <w:t>2026-01-01</w:t>
            </w:r>
          </w:p>
        </w:tc>
      </w:tr>
      <w:tr>
        <w:tc>
          <w:tcPr>
            <w:tcW w:type="dxa" w:w="432"/>
          </w:tcPr>
          <w:p>
            <w:pPr>
              <w:spacing w:after="20"/>
            </w:pPr>
            <w:r>
              <w:rPr>
                <w:color w:val="1C3A36"/>
                <w:sz w:val="14"/>
              </w:rPr>
              <w:t>124</w:t>
            </w:r>
          </w:p>
        </w:tc>
        <w:tc>
          <w:tcPr>
            <w:tcW w:type="dxa" w:w="2448"/>
          </w:tcPr>
          <w:p>
            <w:pPr>
              <w:spacing w:after="20"/>
            </w:pPr>
            <w:r>
              <w:rPr>
                <w:color w:val="1C3A36"/>
                <w:sz w:val="14"/>
              </w:rPr>
              <w:t>egy_gdp_growth</w:t>
            </w:r>
          </w:p>
        </w:tc>
        <w:tc>
          <w:tcPr>
            <w:tcW w:type="dxa" w:w="1325"/>
          </w:tcPr>
          <w:p>
            <w:pPr>
              <w:spacing w:after="20"/>
            </w:pPr>
            <w:r>
              <w:rPr>
                <w:color w:val="1C3A36"/>
                <w:sz w:val="14"/>
              </w:rPr>
              <w:t>0.18</w:t>
            </w:r>
          </w:p>
        </w:tc>
        <w:tc>
          <w:tcPr>
            <w:tcW w:type="dxa" w:w="1066"/>
          </w:tcPr>
          <w:p>
            <w:pPr>
              <w:spacing w:after="20"/>
            </w:pPr>
            <w:r>
              <w:rPr>
                <w:color w:val="1C3A36"/>
                <w:sz w:val="14"/>
              </w:rPr>
              <w:t>Country</w:t>
            </w:r>
          </w:p>
        </w:tc>
        <w:tc>
          <w:tcPr>
            <w:tcW w:type="dxa" w:w="7171"/>
          </w:tcPr>
          <w:p>
            <w:pPr>
              <w:spacing w:after="20"/>
            </w:pPr>
            <w:r>
              <w:rPr>
                <w:color w:val="1C3A36"/>
                <w:sz w:val="14"/>
              </w:rPr>
              <w:t>Egyptian nominal GDP growth, same arithmetic</w:t>
            </w:r>
          </w:p>
        </w:tc>
        <w:tc>
          <w:tcPr>
            <w:tcW w:type="dxa" w:w="1210"/>
          </w:tcPr>
          <w:p>
            <w:pPr>
              <w:spacing w:after="20"/>
            </w:pPr>
            <w:r>
              <w:rPr>
                <w:color w:val="1C3A36"/>
                <w:sz w:val="14"/>
              </w:rPr>
              <w:t>2026-01-01</w:t>
            </w:r>
          </w:p>
        </w:tc>
      </w:tr>
      <w:tr>
        <w:tc>
          <w:tcPr>
            <w:tcW w:type="dxa" w:w="432"/>
          </w:tcPr>
          <w:p>
            <w:pPr>
              <w:spacing w:after="20"/>
            </w:pPr>
            <w:r>
              <w:rPr>
                <w:color w:val="1C3A36"/>
                <w:sz w:val="14"/>
              </w:rPr>
              <w:t>125</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171"/>
          </w:tcPr>
          <w:p>
            <w:pPr>
              <w:spacing w:after="20"/>
            </w:pPr>
            <w:r>
              <w:rPr>
                <w:color w:val="1C3A36"/>
                <w:sz w:val="14"/>
              </w:rPr>
              <w:t>Egypt equity risk premium, CDS-based, Damodaran January-2026</w:t>
            </w:r>
          </w:p>
        </w:tc>
        <w:tc>
          <w:tcPr>
            <w:tcW w:type="dxa" w:w="1210"/>
          </w:tcPr>
          <w:p>
            <w:pPr>
              <w:spacing w:after="20"/>
            </w:pPr>
            <w:r>
              <w:rPr>
                <w:color w:val="1C3A36"/>
                <w:sz w:val="14"/>
              </w:rPr>
              <w:t>2026-01-05</w:t>
            </w:r>
          </w:p>
        </w:tc>
      </w:tr>
      <w:tr>
        <w:tc>
          <w:tcPr>
            <w:tcW w:type="dxa" w:w="432"/>
          </w:tcPr>
          <w:p>
            <w:pPr>
              <w:spacing w:after="20"/>
            </w:pPr>
            <w:r>
              <w:rPr>
                <w:color w:val="1C3A36"/>
                <w:sz w:val="14"/>
              </w:rPr>
              <w:t>126</w:t>
            </w:r>
          </w:p>
        </w:tc>
        <w:tc>
          <w:tcPr>
            <w:tcW w:type="dxa" w:w="2448"/>
          </w:tcPr>
          <w:p>
            <w:pPr>
              <w:spacing w:after="20"/>
            </w:pPr>
            <w:r>
              <w:rPr>
                <w:color w:val="1C3A36"/>
                <w:sz w:val="14"/>
              </w:rPr>
              <w:t>euribor</w:t>
            </w:r>
          </w:p>
        </w:tc>
        <w:tc>
          <w:tcPr>
            <w:tcW w:type="dxa" w:w="1325"/>
          </w:tcPr>
          <w:p>
            <w:pPr>
              <w:spacing w:after="20"/>
            </w:pPr>
            <w:r>
              <w:rPr>
                <w:color w:val="1C3A36"/>
                <w:sz w:val="14"/>
              </w:rPr>
              <w:t>0.0249</w:t>
            </w:r>
          </w:p>
        </w:tc>
        <w:tc>
          <w:tcPr>
            <w:tcW w:type="dxa" w:w="1066"/>
          </w:tcPr>
          <w:p>
            <w:pPr>
              <w:spacing w:after="20"/>
            </w:pPr>
            <w:r>
              <w:rPr>
                <w:color w:val="1C3A36"/>
                <w:sz w:val="14"/>
              </w:rPr>
              <w:t>Country</w:t>
            </w:r>
          </w:p>
        </w:tc>
        <w:tc>
          <w:tcPr>
            <w:tcW w:type="dxa" w:w="7171"/>
          </w:tcPr>
          <w:p>
            <w:pPr>
              <w:spacing w:after="20"/>
            </w:pPr>
            <w:r>
              <w:rPr>
                <w:color w:val="1C3A36"/>
                <w:sz w:val="14"/>
              </w:rPr>
              <w:t>Three-month Euribor, the reference rate on the EBRD facility. Revision 3 carried 2.10%, which sits BELOW the ECB deposit facility rate of 2.25% and is therefore impossible as a term rate. It also applied one reference to both a 3-month and a 6-month facility; 6-month Euribor is nearer 2.72%, and the difference is carried as a known simplification</w:t>
            </w:r>
          </w:p>
        </w:tc>
        <w:tc>
          <w:tcPr>
            <w:tcW w:type="dxa" w:w="1210"/>
          </w:tcPr>
          <w:p>
            <w:pPr>
              <w:spacing w:after="20"/>
            </w:pPr>
            <w:r>
              <w:rPr>
                <w:color w:val="1C3A36"/>
                <w:sz w:val="14"/>
              </w:rPr>
              <w:t>2026-08-06</w:t>
            </w:r>
          </w:p>
        </w:tc>
      </w:tr>
      <w:tr>
        <w:tc>
          <w:tcPr>
            <w:tcW w:type="dxa" w:w="432"/>
          </w:tcPr>
          <w:p>
            <w:pPr>
              <w:spacing w:after="20"/>
            </w:pPr>
            <w:r>
              <w:rPr>
                <w:color w:val="1C3A36"/>
                <w:sz w:val="14"/>
              </w:rPr>
              <w:t>127</w:t>
            </w:r>
          </w:p>
        </w:tc>
        <w:tc>
          <w:tcPr>
            <w:tcW w:type="dxa" w:w="2448"/>
          </w:tcPr>
          <w:p>
            <w:pPr>
              <w:spacing w:after="20"/>
            </w:pPr>
            <w:r>
              <w:rPr>
                <w:color w:val="1C3A36"/>
                <w:sz w:val="14"/>
              </w:rPr>
              <w:t>fx</w:t>
            </w:r>
          </w:p>
        </w:tc>
        <w:tc>
          <w:tcPr>
            <w:tcW w:type="dxa" w:w="1325"/>
          </w:tcPr>
          <w:p>
            <w:pPr>
              <w:spacing w:after="20"/>
            </w:pPr>
            <w:r>
              <w:rPr>
                <w:color w:val="1C3A36"/>
                <w:sz w:val="14"/>
              </w:rPr>
              <w:t>50.3</w:t>
            </w:r>
          </w:p>
        </w:tc>
        <w:tc>
          <w:tcPr>
            <w:tcW w:type="dxa" w:w="1066"/>
          </w:tcPr>
          <w:p>
            <w:pPr>
              <w:spacing w:after="20"/>
            </w:pPr>
            <w:r>
              <w:rPr>
                <w:color w:val="1C3A36"/>
                <w:sz w:val="14"/>
              </w:rPr>
              <w:t>Country</w:t>
            </w:r>
          </w:p>
        </w:tc>
        <w:tc>
          <w:tcPr>
            <w:tcW w:type="dxa" w:w="7171"/>
          </w:tcPr>
          <w:p>
            <w:pPr>
              <w:spacing w:after="20"/>
            </w:pPr>
            <w:r>
              <w:rPr>
                <w:color w:val="1C3A36"/>
                <w:sz w:val="14"/>
              </w:rPr>
              <w:t>USD/EGP at the valuation date</w:t>
            </w:r>
          </w:p>
        </w:tc>
        <w:tc>
          <w:tcPr>
            <w:tcW w:type="dxa" w:w="1210"/>
          </w:tcPr>
          <w:p>
            <w:pPr>
              <w:spacing w:after="20"/>
            </w:pPr>
            <w:r>
              <w:rPr>
                <w:color w:val="1C3A36"/>
                <w:sz w:val="14"/>
              </w:rPr>
              <w:t>2026-08-06</w:t>
            </w:r>
          </w:p>
        </w:tc>
      </w:tr>
      <w:tr>
        <w:tc>
          <w:tcPr>
            <w:tcW w:type="dxa" w:w="432"/>
          </w:tcPr>
          <w:p>
            <w:pPr>
              <w:spacing w:after="20"/>
            </w:pPr>
            <w:r>
              <w:rPr>
                <w:color w:val="1C3A36"/>
                <w:sz w:val="14"/>
              </w:rPr>
              <w:t>128</w:t>
            </w:r>
          </w:p>
        </w:tc>
        <w:tc>
          <w:tcPr>
            <w:tcW w:type="dxa" w:w="2448"/>
          </w:tcPr>
          <w:p>
            <w:pPr>
              <w:spacing w:after="20"/>
            </w:pPr>
            <w:r>
              <w:rPr>
                <w:color w:val="1C3A36"/>
                <w:sz w:val="14"/>
              </w:rPr>
              <w:t>rf</w:t>
            </w:r>
          </w:p>
        </w:tc>
        <w:tc>
          <w:tcPr>
            <w:tcW w:type="dxa" w:w="1325"/>
          </w:tcPr>
          <w:p>
            <w:pPr>
              <w:spacing w:after="20"/>
            </w:pPr>
            <w:r>
              <w:rPr>
                <w:color w:val="1C3A36"/>
                <w:sz w:val="14"/>
              </w:rPr>
              <w:t>0.2295</w:t>
            </w:r>
          </w:p>
        </w:tc>
        <w:tc>
          <w:tcPr>
            <w:tcW w:type="dxa" w:w="1066"/>
          </w:tcPr>
          <w:p>
            <w:pPr>
              <w:spacing w:after="20"/>
            </w:pPr>
            <w:r>
              <w:rPr>
                <w:color w:val="1C3A36"/>
                <w:sz w:val="14"/>
              </w:rPr>
              <w:t>Country</w:t>
            </w:r>
          </w:p>
        </w:tc>
        <w:tc>
          <w:tcPr>
            <w:tcW w:type="dxa" w:w="7171"/>
          </w:tcPr>
          <w:p>
            <w:pPr>
              <w:spacing w:after="20"/>
            </w:pPr>
            <w:r>
              <w:rPr>
                <w:color w:val="1C3A36"/>
                <w:sz w:val="14"/>
              </w:rPr>
              <w:t>Egypt 10-year local-currency government bond yield. Revision 3 carried 22.31% dated 21 July; three independent reviewers put the 10-year at 22.88-22.98% on 3-5 August, and the curve is inverted above it (1-year near 25.6%). 22.95% is the midpoint of the three, at the valuation date rather than sixteen days before it</w:t>
            </w:r>
          </w:p>
        </w:tc>
        <w:tc>
          <w:tcPr>
            <w:tcW w:type="dxa" w:w="1210"/>
          </w:tcPr>
          <w:p>
            <w:pPr>
              <w:spacing w:after="20"/>
            </w:pPr>
            <w:r>
              <w:rPr>
                <w:color w:val="1C3A36"/>
                <w:sz w:val="14"/>
              </w:rPr>
              <w:t>2026-08-05</w:t>
            </w:r>
          </w:p>
        </w:tc>
      </w:tr>
      <w:tr>
        <w:tc>
          <w:tcPr>
            <w:tcW w:type="dxa" w:w="432"/>
          </w:tcPr>
          <w:p>
            <w:pPr>
              <w:spacing w:after="20"/>
            </w:pPr>
            <w:r>
              <w:rPr>
                <w:color w:val="1C3A36"/>
                <w:sz w:val="14"/>
              </w:rPr>
              <w:t>129</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171"/>
          </w:tcPr>
          <w:p>
            <w:pPr>
              <w:spacing w:after="20"/>
            </w:pPr>
            <w:r>
              <w:rPr>
                <w:color w:val="1C3A36"/>
                <w:sz w:val="14"/>
              </w:rPr>
              <w:t>Egypt CDS-implied sovereign default spread, Damodaran January-2026 country risk file, CDS column. NETTED OUT of the local risk-free rate so sovereign default risk is charged once, not twice</w:t>
            </w:r>
          </w:p>
        </w:tc>
        <w:tc>
          <w:tcPr>
            <w:tcW w:type="dxa" w:w="1210"/>
          </w:tcPr>
          <w:p>
            <w:pPr>
              <w:spacing w:after="20"/>
            </w:pPr>
            <w:r>
              <w:rPr>
                <w:color w:val="1C3A36"/>
                <w:sz w:val="14"/>
              </w:rPr>
              <w:t>2026-01-05</w:t>
            </w:r>
          </w:p>
        </w:tc>
      </w:tr>
      <w:tr>
        <w:tc>
          <w:tcPr>
            <w:tcW w:type="dxa" w:w="432"/>
          </w:tcPr>
          <w:p>
            <w:pPr>
              <w:spacing w:after="20"/>
            </w:pPr>
            <w:r>
              <w:rPr>
                <w:color w:val="1C3A36"/>
                <w:sz w:val="14"/>
              </w:rPr>
              <w:t>130</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171"/>
          </w:tcPr>
          <w:p>
            <w:pPr>
              <w:spacing w:after="20"/>
            </w:pPr>
            <w:r>
              <w:rPr>
                <w:color w:val="1C3A36"/>
                <w:sz w:val="14"/>
              </w:rPr>
              <w:t>Egypt statutory corporate income tax rate</w:t>
            </w:r>
          </w:p>
        </w:tc>
        <w:tc>
          <w:tcPr>
            <w:tcW w:type="dxa" w:w="1210"/>
          </w:tcPr>
          <w:p>
            <w:pPr>
              <w:spacing w:after="20"/>
            </w:pPr>
            <w:r>
              <w:rPr>
                <w:color w:val="1C3A36"/>
                <w:sz w:val="14"/>
              </w:rPr>
              <w:t>2026-01-01</w:t>
            </w:r>
          </w:p>
        </w:tc>
      </w:tr>
      <w:tr>
        <w:tc>
          <w:tcPr>
            <w:tcW w:type="dxa" w:w="432"/>
          </w:tcPr>
          <w:p>
            <w:pPr>
              <w:spacing w:after="20"/>
            </w:pPr>
            <w:r>
              <w:rPr>
                <w:color w:val="1C3A36"/>
                <w:sz w:val="14"/>
              </w:rPr>
              <w:t>131</w:t>
            </w:r>
          </w:p>
        </w:tc>
        <w:tc>
          <w:tcPr>
            <w:tcW w:type="dxa" w:w="2448"/>
          </w:tcPr>
          <w:p>
            <w:pPr>
              <w:spacing w:after="20"/>
            </w:pPr>
            <w:r>
              <w:rPr>
                <w:color w:val="1C3A36"/>
                <w:sz w:val="14"/>
              </w:rPr>
              <w:t>af_saving</w:t>
            </w:r>
          </w:p>
        </w:tc>
        <w:tc>
          <w:tcPr>
            <w:tcW w:type="dxa" w:w="1325"/>
          </w:tcPr>
          <w:p>
            <w:pPr>
              <w:spacing w:after="20"/>
            </w:pPr>
            <w:r>
              <w:rPr>
                <w:color w:val="1C3A36"/>
                <w:sz w:val="14"/>
              </w:rPr>
              <w:t>0, 0.015, 0.03, 0.04, 0.048, 0.055</w:t>
            </w:r>
          </w:p>
        </w:tc>
        <w:tc>
          <w:tcPr>
            <w:tcW w:type="dxa" w:w="1066"/>
          </w:tcPr>
          <w:p>
            <w:pPr>
              <w:spacing w:after="20"/>
            </w:pPr>
            <w:r>
              <w:rPr>
                <w:color w:val="1C3A36"/>
                <w:sz w:val="14"/>
              </w:rPr>
              <w:t>House</w:t>
            </w:r>
          </w:p>
        </w:tc>
        <w:tc>
          <w:tcPr>
            <w:tcW w:type="dxa" w:w="7171"/>
          </w:tcPr>
          <w:p>
            <w:pPr>
              <w:spacing w:after="20"/>
            </w:pPr>
            <w:r>
              <w:rPr>
                <w:color w:val="1C3A36"/>
                <w:sz w:val="14"/>
              </w:rPr>
              <w:t>Cumulative saving on the materials-and-fuel line from the alternative-fuel and hydrogen programmes, relative to the FY2025 cost base. Not an assumption about intent: EGP 240.235mn of alternative-fuel capacity for kiln 2 sits in assets under construction at the year end and a EUR 25mn EBRD facility is drawn against it</w:t>
            </w:r>
          </w:p>
        </w:tc>
        <w:tc>
          <w:tcPr>
            <w:tcW w:type="dxa" w:w="1210"/>
          </w:tcPr>
          <w:p>
            <w:pPr>
              <w:spacing w:after="20"/>
            </w:pPr>
            <w:r>
              <w:rPr>
                <w:color w:val="1C3A36"/>
                <w:sz w:val="14"/>
              </w:rPr>
              <w:t>2025-12-31</w:t>
            </w:r>
          </w:p>
        </w:tc>
      </w:tr>
      <w:tr>
        <w:tc>
          <w:tcPr>
            <w:tcW w:type="dxa" w:w="432"/>
          </w:tcPr>
          <w:p>
            <w:pPr>
              <w:spacing w:after="20"/>
            </w:pPr>
            <w:r>
              <w:rPr>
                <w:color w:val="1C3A36"/>
                <w:sz w:val="14"/>
              </w:rPr>
              <w:t>132</w:t>
            </w:r>
          </w:p>
        </w:tc>
        <w:tc>
          <w:tcPr>
            <w:tcW w:type="dxa" w:w="2448"/>
          </w:tcPr>
          <w:p>
            <w:pPr>
              <w:spacing w:after="20"/>
            </w:pPr>
            <w:r>
              <w:rPr>
                <w:color w:val="1C3A36"/>
                <w:sz w:val="14"/>
              </w:rPr>
              <w:t>cash_yield</w:t>
            </w:r>
          </w:p>
        </w:tc>
        <w:tc>
          <w:tcPr>
            <w:tcW w:type="dxa" w:w="1325"/>
          </w:tcPr>
          <w:p>
            <w:pPr>
              <w:spacing w:after="20"/>
            </w:pPr>
            <w:r>
              <w:rPr>
                <w:color w:val="1C3A36"/>
                <w:sz w:val="14"/>
              </w:rPr>
              <w:t>0.15, 0.13, 0.12, 0.112, 0.108</w:t>
            </w:r>
          </w:p>
        </w:tc>
        <w:tc>
          <w:tcPr>
            <w:tcW w:type="dxa" w:w="1066"/>
          </w:tcPr>
          <w:p>
            <w:pPr>
              <w:spacing w:after="20"/>
            </w:pPr>
            <w:r>
              <w:rPr>
                <w:color w:val="1C3A36"/>
                <w:sz w:val="14"/>
              </w:rPr>
              <w:t>House</w:t>
            </w:r>
          </w:p>
        </w:tc>
        <w:tc>
          <w:tcPr>
            <w:tcW w:type="dxa" w:w="7171"/>
          </w:tcPr>
          <w:p>
            <w:pPr>
              <w:spacing w:after="20"/>
            </w:pPr>
            <w:r>
              <w:rPr>
                <w:color w:val="1C3A36"/>
                <w:sz w:val="14"/>
              </w:rPr>
              <w:t>Yield earned on the cash balance across the forecast. The FY2025 outturn was 8.8% on the average balance — much of the cash sits in foreign-currency current accounts rather than pound deposits — and the path is set above it as the balance is redeployed, then easing</w:t>
            </w:r>
          </w:p>
        </w:tc>
        <w:tc>
          <w:tcPr>
            <w:tcW w:type="dxa" w:w="1210"/>
          </w:tcPr>
          <w:p>
            <w:pPr>
              <w:spacing w:after="20"/>
            </w:pPr>
            <w:r>
              <w:rPr>
                <w:color w:val="1C3A36"/>
                <w:sz w:val="14"/>
              </w:rPr>
              <w:t>2026-08-06</w:t>
            </w:r>
          </w:p>
        </w:tc>
      </w:tr>
      <w:tr>
        <w:tc>
          <w:tcPr>
            <w:tcW w:type="dxa" w:w="432"/>
          </w:tcPr>
          <w:p>
            <w:pPr>
              <w:spacing w:after="20"/>
            </w:pPr>
            <w:r>
              <w:rPr>
                <w:color w:val="1C3A36"/>
                <w:sz w:val="14"/>
              </w:rPr>
              <w:t>133</w:t>
            </w:r>
          </w:p>
        </w:tc>
        <w:tc>
          <w:tcPr>
            <w:tcW w:type="dxa" w:w="2448"/>
          </w:tcPr>
          <w:p>
            <w:pPr>
              <w:spacing w:after="20"/>
            </w:pPr>
            <w:r>
              <w:rPr>
                <w:color w:val="1C3A36"/>
                <w:sz w:val="14"/>
              </w:rPr>
              <w:t>clk_export_share</w:t>
            </w:r>
          </w:p>
        </w:tc>
        <w:tc>
          <w:tcPr>
            <w:tcW w:type="dxa" w:w="1325"/>
          </w:tcPr>
          <w:p>
            <w:pPr>
              <w:spacing w:after="20"/>
            </w:pPr>
            <w:r>
              <w:rPr>
                <w:color w:val="1C3A36"/>
                <w:sz w:val="14"/>
              </w:rPr>
              <w:t>0.3377, 0.33, 0.32, 0.31, 0.305, 0.3</w:t>
            </w:r>
          </w:p>
        </w:tc>
        <w:tc>
          <w:tcPr>
            <w:tcW w:type="dxa" w:w="1066"/>
          </w:tcPr>
          <w:p>
            <w:pPr>
              <w:spacing w:after="20"/>
            </w:pPr>
            <w:r>
              <w:rPr>
                <w:color w:val="1C3A36"/>
                <w:sz w:val="14"/>
              </w:rPr>
              <w:t>House</w:t>
            </w:r>
          </w:p>
        </w:tc>
        <w:tc>
          <w:tcPr>
            <w:tcW w:type="dxa" w:w="7171"/>
          </w:tcPr>
          <w:p>
            <w:pPr>
              <w:spacing w:after="20"/>
            </w:pPr>
            <w:r>
              <w:rPr>
                <w:color w:val="1C3A36"/>
                <w:sz w:val="14"/>
              </w:rPr>
              <w:t>Share of clinker production sold AS CLINKER rather than ground into cement. This is the central operating lever and revision 3 could not see it at all: clinker exports and domestic cement compete for the same kiln, and a tonne of clinker sells for a fraction of the tonne of cement it could have become. The path retains clinker as domestic demand absorbs it</w:t>
            </w:r>
          </w:p>
        </w:tc>
        <w:tc>
          <w:tcPr>
            <w:tcW w:type="dxa" w:w="1210"/>
          </w:tcPr>
          <w:p>
            <w:pPr>
              <w:spacing w:after="20"/>
            </w:pPr>
            <w:r>
              <w:rPr>
                <w:color w:val="1C3A36"/>
                <w:sz w:val="14"/>
              </w:rPr>
              <w:t>2026-08-06</w:t>
            </w:r>
          </w:p>
        </w:tc>
      </w:tr>
      <w:tr>
        <w:tc>
          <w:tcPr>
            <w:tcW w:type="dxa" w:w="432"/>
          </w:tcPr>
          <w:p>
            <w:pPr>
              <w:spacing w:after="20"/>
            </w:pPr>
            <w:r>
              <w:rPr>
                <w:color w:val="1C3A36"/>
                <w:sz w:val="14"/>
              </w:rPr>
              <w:t>134</w:t>
            </w:r>
          </w:p>
        </w:tc>
        <w:tc>
          <w:tcPr>
            <w:tcW w:type="dxa" w:w="2448"/>
          </w:tcPr>
          <w:p>
            <w:pPr>
              <w:spacing w:after="20"/>
            </w:pPr>
            <w:r>
              <w:rPr>
                <w:color w:val="1C3A36"/>
                <w:sz w:val="14"/>
              </w:rPr>
              <w:t>dna_pct</w:t>
            </w:r>
          </w:p>
        </w:tc>
        <w:tc>
          <w:tcPr>
            <w:tcW w:type="dxa" w:w="1325"/>
          </w:tcPr>
          <w:p>
            <w:pPr>
              <w:spacing w:after="20"/>
            </w:pPr>
            <w:r>
              <w:rPr>
                <w:color w:val="1C3A36"/>
                <w:sz w:val="14"/>
              </w:rPr>
              <w:t>0.025, 0.027, 0.029, 0.031, 0.033</w:t>
            </w:r>
          </w:p>
        </w:tc>
        <w:tc>
          <w:tcPr>
            <w:tcW w:type="dxa" w:w="1066"/>
          </w:tcPr>
          <w:p>
            <w:pPr>
              <w:spacing w:after="20"/>
            </w:pPr>
            <w:r>
              <w:rPr>
                <w:color w:val="1C3A36"/>
                <w:sz w:val="14"/>
              </w:rPr>
              <w:t>House</w:t>
            </w:r>
          </w:p>
        </w:tc>
        <w:tc>
          <w:tcPr>
            <w:tcW w:type="dxa" w:w="7171"/>
          </w:tcPr>
          <w:p>
            <w:pPr>
              <w:spacing w:after="20"/>
            </w:pPr>
            <w:r>
              <w:rPr>
                <w:color w:val="1C3A36"/>
                <w:sz w:val="14"/>
              </w:rPr>
              <w:t>Depreciation as a share of revenue across the forecast, rising because capital spent from here is incurred at today's replacement cost and adds a larger depreciable base per tonne than the legacy book carries. FY2025 actual is 2.33%</w:t>
            </w:r>
          </w:p>
        </w:tc>
        <w:tc>
          <w:tcPr>
            <w:tcW w:type="dxa" w:w="1210"/>
          </w:tcPr>
          <w:p>
            <w:pPr>
              <w:spacing w:after="20"/>
            </w:pPr>
            <w:r>
              <w:rPr>
                <w:color w:val="1C3A36"/>
                <w:sz w:val="14"/>
              </w:rPr>
              <w:t>2026-08-06</w:t>
            </w:r>
          </w:p>
        </w:tc>
      </w:tr>
      <w:tr>
        <w:tc>
          <w:tcPr>
            <w:tcW w:type="dxa" w:w="432"/>
          </w:tcPr>
          <w:p>
            <w:pPr>
              <w:spacing w:after="20"/>
            </w:pPr>
            <w:r>
              <w:rPr>
                <w:color w:val="1C3A36"/>
                <w:sz w:val="14"/>
              </w:rPr>
              <w:t>135</w:t>
            </w:r>
          </w:p>
        </w:tc>
        <w:tc>
          <w:tcPr>
            <w:tcW w:type="dxa" w:w="2448"/>
          </w:tcPr>
          <w:p>
            <w:pPr>
              <w:spacing w:after="20"/>
            </w:pPr>
            <w:r>
              <w:rPr>
                <w:color w:val="1C3A36"/>
                <w:sz w:val="14"/>
              </w:rPr>
              <w:t>egp_dep_vs_eur</w:t>
            </w:r>
          </w:p>
        </w:tc>
        <w:tc>
          <w:tcPr>
            <w:tcW w:type="dxa" w:w="1325"/>
          </w:tcPr>
          <w:p>
            <w:pPr>
              <w:spacing w:after="20"/>
            </w:pPr>
            <w:r>
              <w:rPr>
                <w:color w:val="1C3A36"/>
                <w:sz w:val="14"/>
              </w:rPr>
              <w:t>0.06</w:t>
            </w:r>
          </w:p>
        </w:tc>
        <w:tc>
          <w:tcPr>
            <w:tcW w:type="dxa" w:w="1066"/>
          </w:tcPr>
          <w:p>
            <w:pPr>
              <w:spacing w:after="20"/>
            </w:pPr>
            <w:r>
              <w:rPr>
                <w:color w:val="1C3A36"/>
                <w:sz w:val="14"/>
              </w:rPr>
              <w:t>House</w:t>
            </w:r>
          </w:p>
        </w:tc>
        <w:tc>
          <w:tcPr>
            <w:tcW w:type="dxa" w:w="7171"/>
          </w:tcPr>
          <w:p>
            <w:pPr>
              <w:spacing w:after="20"/>
            </w:pPr>
            <w:r>
              <w:rPr>
                <w:color w:val="1C3A36"/>
                <w:sz w:val="14"/>
              </w:rPr>
              <w:t>Expected annual depreciation of the pound against the euro, used ONLY to compute the local-currency-equivalent cost of debt alternative under uncovered interest parity</w:t>
            </w:r>
          </w:p>
        </w:tc>
        <w:tc>
          <w:tcPr>
            <w:tcW w:type="dxa" w:w="1210"/>
          </w:tcPr>
          <w:p>
            <w:pPr>
              <w:spacing w:after="20"/>
            </w:pPr>
            <w:r>
              <w:rPr>
                <w:color w:val="1C3A36"/>
                <w:sz w:val="14"/>
              </w:rPr>
              <w:t>2026-08-06</w:t>
            </w:r>
          </w:p>
        </w:tc>
      </w:tr>
      <w:tr>
        <w:tc>
          <w:tcPr>
            <w:tcW w:type="dxa" w:w="432"/>
          </w:tcPr>
          <w:p>
            <w:pPr>
              <w:spacing w:after="20"/>
            </w:pPr>
            <w:r>
              <w:rPr>
                <w:color w:val="1C3A36"/>
                <w:sz w:val="14"/>
              </w:rPr>
              <w:t>136</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171"/>
          </w:tcPr>
          <w:p>
            <w:pPr>
              <w:spacing w:after="20"/>
            </w:pPr>
            <w:r>
              <w:rPr>
                <w:color w:val="1C3A36"/>
                <w:sz w:val="14"/>
              </w:rPr>
              <w:t>Terminal equity risk premium, normalised below the currently elevated level</w:t>
            </w:r>
          </w:p>
        </w:tc>
        <w:tc>
          <w:tcPr>
            <w:tcW w:type="dxa" w:w="1210"/>
          </w:tcPr>
          <w:p>
            <w:pPr>
              <w:spacing w:after="20"/>
            </w:pPr>
            <w:r>
              <w:rPr>
                <w:color w:val="1C3A36"/>
                <w:sz w:val="14"/>
              </w:rPr>
              <w:t>2026-08-06</w:t>
            </w:r>
          </w:p>
        </w:tc>
      </w:tr>
      <w:tr>
        <w:tc>
          <w:tcPr>
            <w:tcW w:type="dxa" w:w="432"/>
          </w:tcPr>
          <w:p>
            <w:pPr>
              <w:spacing w:after="20"/>
            </w:pPr>
            <w:r>
              <w:rPr>
                <w:color w:val="1C3A36"/>
                <w:sz w:val="14"/>
              </w:rPr>
              <w:t>137</w:t>
            </w:r>
          </w:p>
        </w:tc>
        <w:tc>
          <w:tcPr>
            <w:tcW w:type="dxa" w:w="2448"/>
          </w:tcPr>
          <w:p>
            <w:pPr>
              <w:spacing w:after="20"/>
            </w:pPr>
            <w:r>
              <w:rPr>
                <w:color w:val="1C3A36"/>
                <w:sz w:val="14"/>
              </w:rPr>
              <w:t>ev_ebitda_just</w:t>
            </w:r>
          </w:p>
        </w:tc>
        <w:tc>
          <w:tcPr>
            <w:tcW w:type="dxa" w:w="1325"/>
          </w:tcPr>
          <w:p>
            <w:pPr>
              <w:spacing w:after="20"/>
            </w:pPr>
            <w:r>
              <w:rPr>
                <w:color w:val="1C3A36"/>
                <w:sz w:val="14"/>
              </w:rPr>
              <w:t>4.5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to EBITDA on normalised earnings, disclosed as weakly anchored against a thin Egyptian peer set</w:t>
            </w:r>
          </w:p>
        </w:tc>
        <w:tc>
          <w:tcPr>
            <w:tcW w:type="dxa" w:w="1210"/>
          </w:tcPr>
          <w:p>
            <w:pPr>
              <w:spacing w:after="20"/>
            </w:pPr>
            <w:r>
              <w:rPr>
                <w:color w:val="1C3A36"/>
                <w:sz w:val="14"/>
              </w:rPr>
              <w:t>2026-08-06</w:t>
            </w:r>
          </w:p>
        </w:tc>
      </w:tr>
      <w:tr>
        <w:tc>
          <w:tcPr>
            <w:tcW w:type="dxa" w:w="432"/>
          </w:tcPr>
          <w:p>
            <w:pPr>
              <w:spacing w:after="20"/>
            </w:pPr>
            <w:r>
              <w:rPr>
                <w:color w:val="1C3A36"/>
                <w:sz w:val="14"/>
              </w:rPr>
              <w:t>138</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171"/>
          </w:tcPr>
          <w:p>
            <w:pPr>
              <w:spacing w:after="20"/>
            </w:pPr>
            <w:r>
              <w:rPr>
                <w:color w:val="1C3A36"/>
                <w:sz w:val="14"/>
              </w:rPr>
              <w:t>Justified enterprise value per annual tonne of capacity, set well below replacement cost because a market carrying 76Mt against 54Mt of consumption does not pay replacement cost</w:t>
            </w:r>
          </w:p>
        </w:tc>
        <w:tc>
          <w:tcPr>
            <w:tcW w:type="dxa" w:w="1210"/>
          </w:tcPr>
          <w:p>
            <w:pPr>
              <w:spacing w:after="20"/>
            </w:pPr>
            <w:r>
              <w:rPr>
                <w:color w:val="1C3A36"/>
                <w:sz w:val="14"/>
              </w:rPr>
              <w:t>2026-08-06</w:t>
            </w:r>
          </w:p>
        </w:tc>
      </w:tr>
      <w:tr>
        <w:tc>
          <w:tcPr>
            <w:tcW w:type="dxa" w:w="432"/>
          </w:tcPr>
          <w:p>
            <w:pPr>
              <w:spacing w:after="20"/>
            </w:pPr>
            <w:r>
              <w:rPr>
                <w:color w:val="1C3A36"/>
                <w:sz w:val="14"/>
              </w:rPr>
              <w:t>139</w:t>
            </w:r>
          </w:p>
        </w:tc>
        <w:tc>
          <w:tcPr>
            <w:tcW w:type="dxa" w:w="2448"/>
          </w:tcPr>
          <w:p>
            <w:pPr>
              <w:spacing w:after="20"/>
            </w:pPr>
            <w:r>
              <w:rPr>
                <w:color w:val="1C3A36"/>
                <w:sz w:val="14"/>
              </w:rPr>
              <w:t>fx_path</w:t>
            </w:r>
          </w:p>
        </w:tc>
        <w:tc>
          <w:tcPr>
            <w:tcW w:type="dxa" w:w="1325"/>
          </w:tcPr>
          <w:p>
            <w:pPr>
              <w:spacing w:after="20"/>
            </w:pPr>
            <w:r>
              <w:rPr>
                <w:color w:val="1C3A36"/>
                <w:sz w:val="14"/>
              </w:rPr>
              <w:t>49.26, 50.6, 53.1, 55.8, 58.6, 61.5</w:t>
            </w:r>
          </w:p>
        </w:tc>
        <w:tc>
          <w:tcPr>
            <w:tcW w:type="dxa" w:w="1066"/>
          </w:tcPr>
          <w:p>
            <w:pPr>
              <w:spacing w:after="20"/>
            </w:pPr>
            <w:r>
              <w:rPr>
                <w:color w:val="1C3A36"/>
                <w:sz w:val="14"/>
              </w:rPr>
              <w:t>House</w:t>
            </w:r>
          </w:p>
        </w:tc>
        <w:tc>
          <w:tcPr>
            <w:tcW w:type="dxa" w:w="7171"/>
          </w:tcPr>
          <w:p>
            <w:pPr>
              <w:spacing w:after="20"/>
            </w:pPr>
            <w:r>
              <w:rPr>
                <w:color w:val="1C3A36"/>
                <w:sz w:val="14"/>
              </w:rPr>
              <w:t>USD/EGP path, FY2025 actual average then FY2026E-FY2030E</w:t>
            </w:r>
          </w:p>
        </w:tc>
        <w:tc>
          <w:tcPr>
            <w:tcW w:type="dxa" w:w="1210"/>
          </w:tcPr>
          <w:p>
            <w:pPr>
              <w:spacing w:after="20"/>
            </w:pPr>
            <w:r>
              <w:rPr>
                <w:color w:val="1C3A36"/>
                <w:sz w:val="14"/>
              </w:rPr>
              <w:t>2026-08-06</w:t>
            </w:r>
          </w:p>
        </w:tc>
      </w:tr>
      <w:tr>
        <w:tc>
          <w:tcPr>
            <w:tcW w:type="dxa" w:w="432"/>
          </w:tcPr>
          <w:p>
            <w:pPr>
              <w:spacing w:after="20"/>
            </w:pPr>
            <w:r>
              <w:rPr>
                <w:color w:val="1C3A36"/>
                <w:sz w:val="14"/>
              </w:rPr>
              <w:t>140</w:t>
            </w:r>
          </w:p>
        </w:tc>
        <w:tc>
          <w:tcPr>
            <w:tcW w:type="dxa" w:w="2448"/>
          </w:tcPr>
          <w:p>
            <w:pPr>
              <w:spacing w:after="20"/>
            </w:pPr>
            <w:r>
              <w:rPr>
                <w:color w:val="1C3A36"/>
                <w:sz w:val="14"/>
              </w:rPr>
              <w:t>g_term</w:t>
            </w:r>
          </w:p>
        </w:tc>
        <w:tc>
          <w:tcPr>
            <w:tcW w:type="dxa" w:w="1325"/>
          </w:tcPr>
          <w:p>
            <w:pPr>
              <w:spacing w:after="20"/>
            </w:pPr>
            <w:r>
              <w:rPr>
                <w:color w:val="1C3A36"/>
                <w:sz w:val="14"/>
              </w:rPr>
              <w:t>0.05</w:t>
            </w:r>
          </w:p>
        </w:tc>
        <w:tc>
          <w:tcPr>
            <w:tcW w:type="dxa" w:w="1066"/>
          </w:tcPr>
          <w:p>
            <w:pPr>
              <w:spacing w:after="20"/>
            </w:pPr>
            <w:r>
              <w:rPr>
                <w:color w:val="1C3A36"/>
                <w:sz w:val="14"/>
              </w:rPr>
              <w:t>House</w:t>
            </w:r>
          </w:p>
        </w:tc>
        <w:tc>
          <w:tcPr>
            <w:tcW w:type="dxa" w:w="7171"/>
          </w:tcPr>
          <w:p>
            <w:pPr>
              <w:spacing w:after="20"/>
            </w:pPr>
            <w:r>
              <w:rPr>
                <w:color w:val="1C3A36"/>
                <w:sz w:val="14"/>
              </w:rPr>
              <w:t>Terminal growth, the house default for an established emerging-market industrial against a terminal risk-free rate that already embeds disinflation — approximately zero in real terms</w:t>
            </w:r>
          </w:p>
        </w:tc>
        <w:tc>
          <w:tcPr>
            <w:tcW w:type="dxa" w:w="1210"/>
          </w:tcPr>
          <w:p>
            <w:pPr>
              <w:spacing w:after="20"/>
            </w:pPr>
            <w:r>
              <w:rPr>
                <w:color w:val="1C3A36"/>
                <w:sz w:val="14"/>
              </w:rPr>
              <w:t>2026-08-06</w:t>
            </w:r>
          </w:p>
        </w:tc>
      </w:tr>
      <w:tr>
        <w:tc>
          <w:tcPr>
            <w:tcW w:type="dxa" w:w="432"/>
          </w:tcPr>
          <w:p>
            <w:pPr>
              <w:spacing w:after="20"/>
            </w:pPr>
            <w:r>
              <w:rPr>
                <w:color w:val="1C3A36"/>
                <w:sz w:val="14"/>
              </w:rPr>
              <w:t>141</w:t>
            </w:r>
          </w:p>
        </w:tc>
        <w:tc>
          <w:tcPr>
            <w:tcW w:type="dxa" w:w="2448"/>
          </w:tcPr>
          <w:p>
            <w:pPr>
              <w:spacing w:after="20"/>
            </w:pPr>
            <w:r>
              <w:rPr>
                <w:color w:val="1C3A36"/>
                <w:sz w:val="14"/>
              </w:rPr>
              <w:t>kd_path</w:t>
            </w:r>
          </w:p>
        </w:tc>
        <w:tc>
          <w:tcPr>
            <w:tcW w:type="dxa" w:w="1325"/>
          </w:tcPr>
          <w:p>
            <w:pPr>
              <w:spacing w:after="20"/>
            </w:pPr>
            <w:r>
              <w:rPr>
                <w:color w:val="1C3A36"/>
                <w:sz w:val="14"/>
              </w:rPr>
              <w:t>0.206, 0.181, 0.161, 0.149, 0.14</w:t>
            </w:r>
          </w:p>
        </w:tc>
        <w:tc>
          <w:tcPr>
            <w:tcW w:type="dxa" w:w="1066"/>
          </w:tcPr>
          <w:p>
            <w:pPr>
              <w:spacing w:after="20"/>
            </w:pPr>
            <w:r>
              <w:rPr>
                <w:color w:val="1C3A36"/>
                <w:sz w:val="14"/>
              </w:rPr>
              <w:t>House</w:t>
            </w:r>
          </w:p>
        </w:tc>
        <w:tc>
          <w:tcPr>
            <w:tcW w:type="dxa" w:w="7171"/>
          </w:tcPr>
          <w:p>
            <w:pPr>
              <w:spacing w:after="20"/>
            </w:pPr>
            <w:r>
              <w:rPr>
                <w:color w:val="1C3A36"/>
                <w:sz w:val="14"/>
              </w:rPr>
              <w:t>EGP marginal borrowing-rate path. The discount-rate glide inherits its SHAPE from this rather than from a second judgement. The company's own book is now 91% euro-denominated and will not glide with the Egyptian easing calendar, but the discount rate is a POUND rate applied to pound cash flows, so the pound path is the right shape anchor and the euro book sets the LEVEL of the cost of debt, not its slope</w:t>
            </w:r>
          </w:p>
        </w:tc>
        <w:tc>
          <w:tcPr>
            <w:tcW w:type="dxa" w:w="1210"/>
          </w:tcPr>
          <w:p>
            <w:pPr>
              <w:spacing w:after="20"/>
            </w:pPr>
            <w:r>
              <w:rPr>
                <w:color w:val="1C3A36"/>
                <w:sz w:val="14"/>
              </w:rPr>
              <w:t>2026-08-06</w:t>
            </w:r>
          </w:p>
        </w:tc>
      </w:tr>
      <w:tr>
        <w:tc>
          <w:tcPr>
            <w:tcW w:type="dxa" w:w="432"/>
          </w:tcPr>
          <w:p>
            <w:pPr>
              <w:spacing w:after="20"/>
            </w:pPr>
            <w:r>
              <w:rPr>
                <w:color w:val="1C3A36"/>
                <w:sz w:val="14"/>
              </w:rPr>
              <w:t>142</w:t>
            </w:r>
          </w:p>
        </w:tc>
        <w:tc>
          <w:tcPr>
            <w:tcW w:type="dxa" w:w="2448"/>
          </w:tcPr>
          <w:p>
            <w:pPr>
              <w:spacing w:after="20"/>
            </w:pPr>
            <w:r>
              <w:rPr>
                <w:color w:val="1C3A36"/>
                <w:sz w:val="14"/>
              </w:rPr>
              <w:t>kd_term</w:t>
            </w:r>
          </w:p>
        </w:tc>
        <w:tc>
          <w:tcPr>
            <w:tcW w:type="dxa" w:w="1325"/>
          </w:tcPr>
          <w:p>
            <w:pPr>
              <w:spacing w:after="20"/>
            </w:pPr>
            <w:r>
              <w:rPr>
                <w:color w:val="1C3A36"/>
                <w:sz w:val="14"/>
              </w:rPr>
              <w:t>0.135</w:t>
            </w:r>
          </w:p>
        </w:tc>
        <w:tc>
          <w:tcPr>
            <w:tcW w:type="dxa" w:w="1066"/>
          </w:tcPr>
          <w:p>
            <w:pPr>
              <w:spacing w:after="20"/>
            </w:pPr>
            <w:r>
              <w:rPr>
                <w:color w:val="1C3A36"/>
                <w:sz w:val="14"/>
              </w:rPr>
              <w:t>House</w:t>
            </w:r>
          </w:p>
        </w:tc>
        <w:tc>
          <w:tcPr>
            <w:tcW w:type="dxa" w:w="7171"/>
          </w:tcPr>
          <w:p>
            <w:pPr>
              <w:spacing w:after="20"/>
            </w:pPr>
            <w:r>
              <w:rPr>
                <w:color w:val="1C3A36"/>
                <w:sz w:val="14"/>
              </w:rPr>
              <w:t>Terminal cost of debt = the terminal risk-free rate plus a 300bp corporate credit spread. Revision 3 carried 10.00% against a terminal risk-free rate of 12.50% — a corporate borrower funding 250bp BELOW its own sovereign in the same currency, printed one row above it in the same table. It is now built from the risk-free rate rather than asserted beside it, so the impossibility cannot recur</w:t>
            </w:r>
          </w:p>
        </w:tc>
        <w:tc>
          <w:tcPr>
            <w:tcW w:type="dxa" w:w="1210"/>
          </w:tcPr>
          <w:p>
            <w:pPr>
              <w:spacing w:after="20"/>
            </w:pPr>
            <w:r>
              <w:rPr>
                <w:color w:val="1C3A36"/>
                <w:sz w:val="14"/>
              </w:rPr>
              <w:t>2026-08-06</w:t>
            </w:r>
          </w:p>
        </w:tc>
      </w:tr>
      <w:tr>
        <w:tc>
          <w:tcPr>
            <w:tcW w:type="dxa" w:w="432"/>
          </w:tcPr>
          <w:p>
            <w:pPr>
              <w:spacing w:after="20"/>
            </w:pPr>
            <w:r>
              <w:rPr>
                <w:color w:val="1C3A36"/>
                <w:sz w:val="14"/>
              </w:rPr>
              <w:t>143</w:t>
            </w:r>
          </w:p>
        </w:tc>
        <w:tc>
          <w:tcPr>
            <w:tcW w:type="dxa" w:w="2448"/>
          </w:tcPr>
          <w:p>
            <w:pPr>
              <w:spacing w:after="20"/>
            </w:pPr>
            <w:r>
              <w:rPr>
                <w:color w:val="1C3A36"/>
                <w:sz w:val="14"/>
              </w:rPr>
              <w:t>kiln_util</w:t>
            </w:r>
          </w:p>
        </w:tc>
        <w:tc>
          <w:tcPr>
            <w:tcW w:type="dxa" w:w="1325"/>
          </w:tcPr>
          <w:p>
            <w:pPr>
              <w:spacing w:after="20"/>
            </w:pPr>
            <w:r>
              <w:rPr>
                <w:color w:val="1C3A36"/>
                <w:sz w:val="14"/>
              </w:rPr>
              <w:t>0.917, 0.92, 0.925, 0.93, 0.933, 0.935</w:t>
            </w:r>
          </w:p>
        </w:tc>
        <w:tc>
          <w:tcPr>
            <w:tcW w:type="dxa" w:w="1066"/>
          </w:tcPr>
          <w:p>
            <w:pPr>
              <w:spacing w:after="20"/>
            </w:pPr>
            <w:r>
              <w:rPr>
                <w:color w:val="1C3A36"/>
                <w:sz w:val="14"/>
              </w:rPr>
              <w:t>House</w:t>
            </w:r>
          </w:p>
        </w:tc>
        <w:tc>
          <w:tcPr>
            <w:tcW w:type="dxa" w:w="7171"/>
          </w:tcPr>
          <w:p>
            <w:pPr>
              <w:spacing w:after="20"/>
            </w:pPr>
            <w:r>
              <w:rPr>
                <w:color w:val="1C3A36"/>
                <w:sz w:val="14"/>
              </w:rPr>
              <w:t>Clinker-kiln utilisation, FY2025A then FY2026E-FY2030E. This is now the primary volume driver: revision 3 drove volume off an ASSUMED cement price, which made the plant a residual of a guess. FY2025 is the ratio implied by the physical disclosure. The path rises modestly because the kiln is already the binding asset; it cannot rise much</w:t>
            </w:r>
          </w:p>
        </w:tc>
        <w:tc>
          <w:tcPr>
            <w:tcW w:type="dxa" w:w="1210"/>
          </w:tcPr>
          <w:p>
            <w:pPr>
              <w:spacing w:after="20"/>
            </w:pPr>
            <w:r>
              <w:rPr>
                <w:color w:val="1C3A36"/>
                <w:sz w:val="14"/>
              </w:rPr>
              <w:t>2026-08-06</w:t>
            </w:r>
          </w:p>
        </w:tc>
      </w:tr>
      <w:tr>
        <w:tc>
          <w:tcPr>
            <w:tcW w:type="dxa" w:w="432"/>
          </w:tcPr>
          <w:p>
            <w:pPr>
              <w:spacing w:after="20"/>
            </w:pPr>
            <w:r>
              <w:rPr>
                <w:color w:val="1C3A36"/>
                <w:sz w:val="14"/>
              </w:rPr>
              <w:t>144</w:t>
            </w:r>
          </w:p>
        </w:tc>
        <w:tc>
          <w:tcPr>
            <w:tcW w:type="dxa" w:w="2448"/>
          </w:tcPr>
          <w:p>
            <w:pPr>
              <w:spacing w:after="20"/>
            </w:pPr>
            <w:r>
              <w:rPr>
                <w:color w:val="1C3A36"/>
                <w:sz w:val="14"/>
              </w:rPr>
              <w:t>norm_mgn</w:t>
            </w:r>
          </w:p>
        </w:tc>
        <w:tc>
          <w:tcPr>
            <w:tcW w:type="dxa" w:w="1325"/>
          </w:tcPr>
          <w:p>
            <w:pPr>
              <w:spacing w:after="20"/>
            </w:pPr>
            <w:r>
              <w:rPr>
                <w:color w:val="1C3A36"/>
                <w:sz w:val="14"/>
              </w:rPr>
              <w:t>0.312</w:t>
            </w:r>
          </w:p>
        </w:tc>
        <w:tc>
          <w:tcPr>
            <w:tcW w:type="dxa" w:w="1066"/>
          </w:tcPr>
          <w:p>
            <w:pPr>
              <w:spacing w:after="20"/>
            </w:pPr>
            <w:r>
              <w:rPr>
                <w:color w:val="1C3A36"/>
                <w:sz w:val="14"/>
              </w:rPr>
              <w:t>House</w:t>
            </w:r>
          </w:p>
        </w:tc>
        <w:tc>
          <w:tcPr>
            <w:tcW w:type="dxa" w:w="7171"/>
          </w:tcPr>
          <w:p>
            <w:pPr>
              <w:spacing w:after="20"/>
            </w:pPr>
            <w:r>
              <w:rPr>
                <w:color w:val="1C3A36"/>
                <w:sz w:val="14"/>
              </w:rPr>
              <w:t>Mid-cycle EBITDA margin: the midpoint of the AUDITED FY2024 outturn of 23.15% and the AUDITED FY2025 peak of 39.25%</w:t>
            </w:r>
          </w:p>
        </w:tc>
        <w:tc>
          <w:tcPr>
            <w:tcW w:type="dxa" w:w="1210"/>
          </w:tcPr>
          <w:p>
            <w:pPr>
              <w:spacing w:after="20"/>
            </w:pPr>
            <w:r>
              <w:rPr>
                <w:color w:val="1C3A36"/>
                <w:sz w:val="14"/>
              </w:rPr>
              <w:t>2026-08-06</w:t>
            </w:r>
          </w:p>
        </w:tc>
      </w:tr>
      <w:tr>
        <w:tc>
          <w:tcPr>
            <w:tcW w:type="dxa" w:w="432"/>
          </w:tcPr>
          <w:p>
            <w:pPr>
              <w:spacing w:after="20"/>
            </w:pPr>
            <w:r>
              <w:rPr>
                <w:color w:val="1C3A36"/>
                <w:sz w:val="14"/>
              </w:rPr>
              <w:t>145</w:t>
            </w:r>
          </w:p>
        </w:tc>
        <w:tc>
          <w:tcPr>
            <w:tcW w:type="dxa" w:w="2448"/>
          </w:tcPr>
          <w:p>
            <w:pPr>
              <w:spacing w:after="20"/>
            </w:pPr>
            <w:r>
              <w:rPr>
                <w:color w:val="1C3A36"/>
                <w:sz w:val="14"/>
              </w:rPr>
              <w:t>norm_rev_haircut</w:t>
            </w:r>
          </w:p>
        </w:tc>
        <w:tc>
          <w:tcPr>
            <w:tcW w:type="dxa" w:w="1325"/>
          </w:tcPr>
          <w:p>
            <w:pPr>
              <w:spacing w:after="20"/>
            </w:pPr>
            <w:r>
              <w:rPr>
                <w:color w:val="1C3A36"/>
                <w:sz w:val="14"/>
              </w:rPr>
              <w:t>0.94</w:t>
            </w:r>
          </w:p>
        </w:tc>
        <w:tc>
          <w:tcPr>
            <w:tcW w:type="dxa" w:w="1066"/>
          </w:tcPr>
          <w:p>
            <w:pPr>
              <w:spacing w:after="20"/>
            </w:pPr>
            <w:r>
              <w:rPr>
                <w:color w:val="1C3A36"/>
                <w:sz w:val="14"/>
              </w:rPr>
              <w:t>House</w:t>
            </w:r>
          </w:p>
        </w:tc>
        <w:tc>
          <w:tcPr>
            <w:tcW w:type="dxa" w:w="7171"/>
          </w:tcPr>
          <w:p>
            <w:pPr>
              <w:spacing w:after="20"/>
            </w:pPr>
            <w:r>
              <w:rPr>
                <w:color w:val="1C3A36"/>
                <w:sz w:val="14"/>
              </w:rPr>
              <w:t>Haircut to the FY2025 revenue base for the normalised lens</w:t>
            </w:r>
          </w:p>
        </w:tc>
        <w:tc>
          <w:tcPr>
            <w:tcW w:type="dxa" w:w="1210"/>
          </w:tcPr>
          <w:p>
            <w:pPr>
              <w:spacing w:after="20"/>
            </w:pPr>
            <w:r>
              <w:rPr>
                <w:color w:val="1C3A36"/>
                <w:sz w:val="14"/>
              </w:rPr>
              <w:t>2026-08-06</w:t>
            </w:r>
          </w:p>
        </w:tc>
      </w:tr>
      <w:tr>
        <w:tc>
          <w:tcPr>
            <w:tcW w:type="dxa" w:w="432"/>
          </w:tcPr>
          <w:p>
            <w:pPr>
              <w:spacing w:after="20"/>
            </w:pPr>
            <w:r>
              <w:rPr>
                <w:color w:val="1C3A36"/>
                <w:sz w:val="14"/>
              </w:rPr>
              <w:t>146</w:t>
            </w:r>
          </w:p>
        </w:tc>
        <w:tc>
          <w:tcPr>
            <w:tcW w:type="dxa" w:w="2448"/>
          </w:tcPr>
          <w:p>
            <w:pPr>
              <w:spacing w:after="20"/>
            </w:pPr>
            <w:r>
              <w:rPr>
                <w:color w:val="1C3A36"/>
                <w:sz w:val="14"/>
              </w:rPr>
              <w:t>payout</w:t>
            </w:r>
          </w:p>
        </w:tc>
        <w:tc>
          <w:tcPr>
            <w:tcW w:type="dxa" w:w="1325"/>
          </w:tcPr>
          <w:p>
            <w:pPr>
              <w:spacing w:after="20"/>
            </w:pPr>
            <w:r>
              <w:rPr>
                <w:color w:val="1C3A36"/>
                <w:sz w:val="14"/>
              </w:rPr>
              <w:t>0.556</w:t>
            </w:r>
          </w:p>
        </w:tc>
        <w:tc>
          <w:tcPr>
            <w:tcW w:type="dxa" w:w="1066"/>
          </w:tcPr>
          <w:p>
            <w:pPr>
              <w:spacing w:after="20"/>
            </w:pPr>
            <w:r>
              <w:rPr>
                <w:color w:val="1C3A36"/>
                <w:sz w:val="14"/>
              </w:rPr>
              <w:t>House</w:t>
            </w:r>
          </w:p>
        </w:tc>
        <w:tc>
          <w:tcPr>
            <w:tcW w:type="dxa" w:w="7171"/>
          </w:tcPr>
          <w:p>
            <w:pPr>
              <w:spacing w:after="20"/>
            </w:pPr>
            <w:r>
              <w:rPr>
                <w:color w:val="1C3A36"/>
                <w:sz w:val="14"/>
              </w:rPr>
              <w:t>Dividend payout ratio from FY2026E, held at the FY2025 outturn: EGP 2,001.792mn declared on EGP 3,599.586mn of attributable profit</w:t>
            </w:r>
          </w:p>
        </w:tc>
        <w:tc>
          <w:tcPr>
            <w:tcW w:type="dxa" w:w="1210"/>
          </w:tcPr>
          <w:p>
            <w:pPr>
              <w:spacing w:after="20"/>
            </w:pPr>
            <w:r>
              <w:rPr>
                <w:color w:val="1C3A36"/>
                <w:sz w:val="14"/>
              </w:rPr>
              <w:t>2026-08-06</w:t>
            </w:r>
          </w:p>
        </w:tc>
      </w:tr>
      <w:tr>
        <w:tc>
          <w:tcPr>
            <w:tcW w:type="dxa" w:w="432"/>
          </w:tcPr>
          <w:p>
            <w:pPr>
              <w:spacing w:after="20"/>
            </w:pPr>
            <w:r>
              <w:rPr>
                <w:color w:val="1C3A36"/>
                <w:sz w:val="14"/>
              </w:rPr>
              <w:t>147</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171"/>
          </w:tcPr>
          <w:p>
            <w:pPr>
              <w:spacing w:after="20"/>
            </w:pPr>
            <w:r>
              <w:rPr>
                <w:color w:val="1C3A36"/>
                <w:sz w:val="14"/>
              </w:rPr>
              <w:t>Justified price to earnings on normalised operating earnings, cash excluded and added back at face</w:t>
            </w:r>
          </w:p>
        </w:tc>
        <w:tc>
          <w:tcPr>
            <w:tcW w:type="dxa" w:w="1210"/>
          </w:tcPr>
          <w:p>
            <w:pPr>
              <w:spacing w:after="20"/>
            </w:pPr>
            <w:r>
              <w:rPr>
                <w:color w:val="1C3A36"/>
                <w:sz w:val="14"/>
              </w:rPr>
              <w:t>2026-08-06</w:t>
            </w:r>
          </w:p>
        </w:tc>
      </w:tr>
      <w:tr>
        <w:tc>
          <w:tcPr>
            <w:tcW w:type="dxa" w:w="432"/>
          </w:tcPr>
          <w:p>
            <w:pPr>
              <w:spacing w:after="20"/>
            </w:pPr>
            <w:r>
              <w:rPr>
                <w:color w:val="1C3A36"/>
                <w:sz w:val="14"/>
              </w:rPr>
              <w:t>148</w:t>
            </w:r>
          </w:p>
        </w:tc>
        <w:tc>
          <w:tcPr>
            <w:tcW w:type="dxa" w:w="2448"/>
          </w:tcPr>
          <w:p>
            <w:pPr>
              <w:spacing w:after="20"/>
            </w:pPr>
            <w:r>
              <w:rPr>
                <w:color w:val="1C3A36"/>
                <w:sz w:val="14"/>
              </w:rPr>
              <w:t>rf_term</w:t>
            </w:r>
          </w:p>
        </w:tc>
        <w:tc>
          <w:tcPr>
            <w:tcW w:type="dxa" w:w="1325"/>
          </w:tcPr>
          <w:p>
            <w:pPr>
              <w:spacing w:after="20"/>
            </w:pPr>
            <w:r>
              <w:rPr>
                <w:color w:val="1C3A36"/>
                <w:sz w:val="14"/>
              </w:rPr>
              <w:t>0.105</w:t>
            </w:r>
          </w:p>
        </w:tc>
        <w:tc>
          <w:tcPr>
            <w:tcW w:type="dxa" w:w="1066"/>
          </w:tcPr>
          <w:p>
            <w:pPr>
              <w:spacing w:after="20"/>
            </w:pPr>
            <w:r>
              <w:rPr>
                <w:color w:val="1C3A36"/>
                <w:sz w:val="14"/>
              </w:rPr>
              <w:t>House</w:t>
            </w:r>
          </w:p>
        </w:tc>
        <w:tc>
          <w:tcPr>
            <w:tcW w:type="dxa" w:w="7171"/>
          </w:tcPr>
          <w:p>
            <w:pPr>
              <w:spacing w:after="20"/>
            </w:pPr>
            <w:r>
              <w:rPr>
                <w:color w:val="1C3A36"/>
                <w:sz w:val="14"/>
              </w:rPr>
              <w:t>Terminal risk-free rate, NORM-BUILT from the central bank's longest-dated published inflation target of 5% (Q4-2028) plus a standard emerging-market real-rate convention of about 5.5 percentage points. Revision 3 used the 7% target, which is the NEAR-dated one (Q4-2026) and not the medium-term target at all. The correction also repairs a second defect: against 7% the model's 5% terminal growth was -1.9% real while the text called it 'approximately zero'. Against the 5% target it genuinely is zero</w:t>
            </w:r>
          </w:p>
        </w:tc>
        <w:tc>
          <w:tcPr>
            <w:tcW w:type="dxa" w:w="1210"/>
          </w:tcPr>
          <w:p>
            <w:pPr>
              <w:spacing w:after="20"/>
            </w:pPr>
            <w:r>
              <w:rPr>
                <w:color w:val="1C3A36"/>
                <w:sz w:val="14"/>
              </w:rPr>
              <w:t>2026-08-06</w:t>
            </w:r>
          </w:p>
        </w:tc>
      </w:tr>
      <w:tr>
        <w:tc>
          <w:tcPr>
            <w:tcW w:type="dxa" w:w="432"/>
          </w:tcPr>
          <w:p>
            <w:pPr>
              <w:spacing w:after="20"/>
            </w:pPr>
            <w:r>
              <w:rPr>
                <w:color w:val="1C3A36"/>
                <w:sz w:val="14"/>
              </w:rPr>
              <w:t>149</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171"/>
          </w:tcPr>
          <w:p>
            <w:pPr>
              <w:spacing w:after="20"/>
            </w:pPr>
            <w:r>
              <w:rPr>
                <w:color w:val="1C3A36"/>
                <w:sz w:val="14"/>
              </w:rPr>
              <w:t>Elapsed fraction of FY2026 at the valuation date — seven of twelve months</w:t>
            </w:r>
          </w:p>
        </w:tc>
        <w:tc>
          <w:tcPr>
            <w:tcW w:type="dxa" w:w="1210"/>
          </w:tcPr>
          <w:p>
            <w:pPr>
              <w:spacing w:after="20"/>
            </w:pPr>
            <w:r>
              <w:rPr>
                <w:color w:val="1C3A36"/>
                <w:sz w:val="14"/>
              </w:rPr>
              <w:t>2026-08-06</w:t>
            </w:r>
          </w:p>
        </w:tc>
      </w:tr>
      <w:tr>
        <w:tc>
          <w:tcPr>
            <w:tcW w:type="dxa" w:w="432"/>
          </w:tcPr>
          <w:p>
            <w:pPr>
              <w:spacing w:after="20"/>
            </w:pPr>
            <w:r>
              <w:rPr>
                <w:color w:val="1C3A36"/>
                <w:sz w:val="14"/>
              </w:rPr>
              <w:t>150</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171"/>
          </w:tcPr>
          <w:p>
            <w:pPr>
              <w:spacing w:after="20"/>
            </w:pPr>
            <w:r>
              <w:rPr>
                <w:color w:val="1C3A36"/>
                <w:sz w:val="14"/>
              </w:rPr>
              <w:t>Weight, asset lens, deliberately small: restarting a mothballed line costs a fraction of building one</w:t>
            </w:r>
          </w:p>
        </w:tc>
        <w:tc>
          <w:tcPr>
            <w:tcW w:type="dxa" w:w="1210"/>
          </w:tcPr>
          <w:p>
            <w:pPr>
              <w:spacing w:after="20"/>
            </w:pPr>
            <w:r>
              <w:rPr>
                <w:color w:val="1C3A36"/>
                <w:sz w:val="14"/>
              </w:rPr>
              <w:t>2026-08-06</w:t>
            </w:r>
          </w:p>
        </w:tc>
      </w:tr>
      <w:tr>
        <w:tc>
          <w:tcPr>
            <w:tcW w:type="dxa" w:w="432"/>
          </w:tcPr>
          <w:p>
            <w:pPr>
              <w:spacing w:after="20"/>
            </w:pPr>
            <w:r>
              <w:rPr>
                <w:color w:val="1C3A36"/>
                <w:sz w:val="14"/>
              </w:rPr>
              <w:t>151</w:t>
            </w:r>
          </w:p>
        </w:tc>
        <w:tc>
          <w:tcPr>
            <w:tcW w:type="dxa" w:w="2448"/>
          </w:tcPr>
          <w:p>
            <w:pPr>
              <w:spacing w:after="20"/>
            </w:pPr>
            <w:r>
              <w:rPr>
                <w:color w:val="1C3A36"/>
                <w:sz w:val="14"/>
              </w:rPr>
              <w:t>w_dcf</w:t>
            </w:r>
          </w:p>
        </w:tc>
        <w:tc>
          <w:tcPr>
            <w:tcW w:type="dxa" w:w="1325"/>
          </w:tcPr>
          <w:p>
            <w:pPr>
              <w:spacing w:after="20"/>
            </w:pPr>
            <w:r>
              <w:rPr>
                <w:color w:val="1C3A36"/>
                <w:sz w:val="14"/>
              </w:rPr>
              <w:t>0.5</w:t>
            </w:r>
          </w:p>
        </w:tc>
        <w:tc>
          <w:tcPr>
            <w:tcW w:type="dxa" w:w="1066"/>
          </w:tcPr>
          <w:p>
            <w:pPr>
              <w:spacing w:after="20"/>
            </w:pPr>
            <w:r>
              <w:rPr>
                <w:color w:val="1C3A36"/>
                <w:sz w:val="14"/>
              </w:rPr>
              <w:t>House</w:t>
            </w:r>
          </w:p>
        </w:tc>
        <w:tc>
          <w:tcPr>
            <w:tcW w:type="dxa" w:w="7171"/>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432"/>
          </w:tcPr>
          <w:p>
            <w:pPr>
              <w:spacing w:after="20"/>
            </w:pPr>
            <w:r>
              <w:rPr>
                <w:color w:val="1C3A36"/>
                <w:sz w:val="14"/>
              </w:rPr>
              <w:t>152</w:t>
            </w:r>
          </w:p>
        </w:tc>
        <w:tc>
          <w:tcPr>
            <w:tcW w:type="dxa" w:w="2448"/>
          </w:tcPr>
          <w:p>
            <w:pPr>
              <w:spacing w:after="20"/>
            </w:pPr>
            <w:r>
              <w:rPr>
                <w:color w:val="1C3A36"/>
                <w:sz w:val="14"/>
              </w:rPr>
              <w:t>w_norm</w:t>
            </w:r>
          </w:p>
        </w:tc>
        <w:tc>
          <w:tcPr>
            <w:tcW w:type="dxa" w:w="1325"/>
          </w:tcPr>
          <w:p>
            <w:pPr>
              <w:spacing w:after="20"/>
            </w:pPr>
            <w:r>
              <w:rPr>
                <w:color w:val="1C3A36"/>
                <w:sz w:val="14"/>
              </w:rPr>
              <w:t>0.22</w:t>
            </w:r>
          </w:p>
        </w:tc>
        <w:tc>
          <w:tcPr>
            <w:tcW w:type="dxa" w:w="1066"/>
          </w:tcPr>
          <w:p>
            <w:pPr>
              <w:spacing w:after="20"/>
            </w:pPr>
            <w:r>
              <w:rPr>
                <w:color w:val="1C3A36"/>
                <w:sz w:val="14"/>
              </w:rPr>
              <w:t>House</w:t>
            </w:r>
          </w:p>
        </w:tc>
        <w:tc>
          <w:tcPr>
            <w:tcW w:type="dxa" w:w="7171"/>
          </w:tcPr>
          <w:p>
            <w:pPr>
              <w:spacing w:after="20"/>
            </w:pPr>
            <w:r>
              <w:rPr>
                <w:color w:val="1C3A36"/>
                <w:sz w:val="14"/>
              </w:rPr>
              <w:t>Weight, normalised-earnings lens</w:t>
            </w:r>
          </w:p>
        </w:tc>
        <w:tc>
          <w:tcPr>
            <w:tcW w:type="dxa" w:w="1210"/>
          </w:tcPr>
          <w:p>
            <w:pPr>
              <w:spacing w:after="20"/>
            </w:pPr>
            <w:r>
              <w:rPr>
                <w:color w:val="1C3A36"/>
                <w:sz w:val="14"/>
              </w:rPr>
              <w:t>2026-08-06</w:t>
            </w:r>
          </w:p>
        </w:tc>
      </w:tr>
      <w:tr>
        <w:tc>
          <w:tcPr>
            <w:tcW w:type="dxa" w:w="432"/>
          </w:tcPr>
          <w:p>
            <w:pPr>
              <w:spacing w:after="20"/>
            </w:pPr>
            <w:r>
              <w:rPr>
                <w:color w:val="1C3A36"/>
                <w:sz w:val="14"/>
              </w:rPr>
              <w:t>153</w:t>
            </w:r>
          </w:p>
        </w:tc>
        <w:tc>
          <w:tcPr>
            <w:tcW w:type="dxa" w:w="2448"/>
          </w:tcPr>
          <w:p>
            <w:pPr>
              <w:spacing w:after="20"/>
            </w:pPr>
            <w:r>
              <w:rPr>
                <w:color w:val="1C3A36"/>
                <w:sz w:val="14"/>
              </w:rPr>
              <w:t>w_rel</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Weight, relative lens, held down because the peer set is thin</w:t>
            </w:r>
          </w:p>
        </w:tc>
        <w:tc>
          <w:tcPr>
            <w:tcW w:type="dxa" w:w="1210"/>
          </w:tcPr>
          <w:p>
            <w:pPr>
              <w:spacing w:after="20"/>
            </w:pPr>
            <w:r>
              <w:rPr>
                <w:color w:val="1C3A36"/>
                <w:sz w:val="14"/>
              </w:rPr>
              <w:t>2026-08-06</w:t>
            </w:r>
          </w:p>
        </w:tc>
      </w:tr>
      <w:tr>
        <w:tc>
          <w:tcPr>
            <w:tcW w:type="dxa" w:w="432"/>
          </w:tcPr>
          <w:p>
            <w:pPr>
              <w:spacing w:after="20"/>
            </w:pPr>
            <w:r>
              <w:rPr>
                <w:color w:val="1C3A36"/>
                <w:sz w:val="14"/>
              </w:rPr>
              <w:t>154</w:t>
            </w:r>
          </w:p>
        </w:tc>
        <w:tc>
          <w:tcPr>
            <w:tcW w:type="dxa" w:w="2448"/>
          </w:tcPr>
          <w:p>
            <w:pPr>
              <w:spacing w:after="20"/>
            </w:pPr>
            <w:r>
              <w:rPr>
                <w:color w:val="1C3A36"/>
                <w:sz w:val="14"/>
              </w:rPr>
              <w:t>wc_pct_drev</w:t>
            </w:r>
          </w:p>
        </w:tc>
        <w:tc>
          <w:tcPr>
            <w:tcW w:type="dxa" w:w="1325"/>
          </w:tcPr>
          <w:p>
            <w:pPr>
              <w:spacing w:after="20"/>
            </w:pPr>
            <w:r>
              <w:rPr>
                <w:color w:val="1C3A36"/>
                <w:sz w:val="14"/>
              </w:rPr>
              <w:t>0.12</w:t>
            </w:r>
          </w:p>
        </w:tc>
        <w:tc>
          <w:tcPr>
            <w:tcW w:type="dxa" w:w="1066"/>
          </w:tcPr>
          <w:p>
            <w:pPr>
              <w:spacing w:after="20"/>
            </w:pPr>
            <w:r>
              <w:rPr>
                <w:color w:val="1C3A36"/>
                <w:sz w:val="14"/>
              </w:rPr>
              <w:t>House</w:t>
            </w:r>
          </w:p>
        </w:tc>
        <w:tc>
          <w:tcPr>
            <w:tcW w:type="dxa" w:w="7171"/>
          </w:tcPr>
          <w:p>
            <w:pPr>
              <w:spacing w:after="20"/>
            </w:pPr>
            <w:r>
              <w:rPr>
                <w:color w:val="1C3A36"/>
                <w:sz w:val="14"/>
              </w:rPr>
              <w:t>Change in working capital over change in revenue. The FY2025 outturn on the disclosed movements is close to this</w:t>
            </w:r>
          </w:p>
        </w:tc>
        <w:tc>
          <w:tcPr>
            <w:tcW w:type="dxa" w:w="1210"/>
          </w:tcPr>
          <w:p>
            <w:pPr>
              <w:spacing w:after="20"/>
            </w:pPr>
            <w:r>
              <w:rPr>
                <w:color w:val="1C3A36"/>
                <w:sz w:val="14"/>
              </w:rPr>
              <w:t>2026-08-06</w:t>
            </w:r>
          </w:p>
        </w:tc>
      </w:tr>
      <w:tr>
        <w:tc>
          <w:tcPr>
            <w:tcW w:type="dxa" w:w="432"/>
          </w:tcPr>
          <w:p>
            <w:pPr>
              <w:spacing w:after="20"/>
            </w:pPr>
            <w:r>
              <w:rPr>
                <w:color w:val="1C3A36"/>
                <w:sz w:val="14"/>
              </w:rPr>
              <w:t>155</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171"/>
          </w:tcPr>
          <w:p>
            <w:pPr>
              <w:spacing w:after="20"/>
            </w:pPr>
            <w:r>
              <w:rPr>
                <w:color w:val="1C3A36"/>
                <w:sz w:val="14"/>
              </w:rPr>
              <w:t>Terminal debt weight</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Arabian Cement Company S.A.E. — consolidated financial statements, FY2025</w:t>
            </w:r>
          </w:p>
        </w:tc>
        <w:tc>
          <w:tcPr>
            <w:tcW w:type="dxa" w:w="2333"/>
          </w:tcPr>
          <w:p>
            <w:pPr>
              <w:spacing w:after="20"/>
            </w:pPr>
            <w:r>
              <w:rPr>
                <w:color w:val="1C3A36"/>
                <w:sz w:val="16"/>
              </w:rPr>
              <w:t>AUDITED FINANCIAL STATEMENTS</w:t>
            </w:r>
          </w:p>
        </w:tc>
        <w:tc>
          <w:tcPr>
            <w:tcW w:type="dxa" w:w="5803"/>
          </w:tcPr>
          <w:p>
            <w:pPr>
              <w:spacing w:after="20"/>
            </w:pPr>
            <w:r>
              <w:rPr>
                <w:color w:val="1C3A36"/>
                <w:sz w:val="16"/>
              </w:rPr>
              <w:t>The statement of financial position, statement of profit or loss, statement of comprehensive income, statement of changes in equity and statement of cash flows, with the FY2024 comparatives. Notes relied on: 1 (capacity and group structure), 2.5 (currency table), 4 (revenue split), 5 (cost of sales), 6 (administrative expenses), 8 (finance costs), 10 (income taxes), 11 (earnings per share and weighted share count), 12 (property and depreciation), 13 (assets under construction), 16 (inventories), 17 (receivables), 19 (cash), 20 (issued capital), 21 (treasury shares), 24 (non-controlling interests), 25 (borrowings), 28 (dividends), 30 (financial instruments and currency exposure).</w:t>
            </w:r>
          </w:p>
        </w:tc>
        <w:tc>
          <w:tcPr>
            <w:tcW w:type="dxa" w:w="2880"/>
          </w:tcPr>
          <w:p>
            <w:pPr>
              <w:spacing w:after="20"/>
            </w:pPr>
            <w:r>
              <w:rPr>
                <w:color w:val="1C3A36"/>
                <w:sz w:val="16"/>
              </w:rPr>
              <w:t>Deloitte — Wafik, Ramy &amp; Partners; unqualified opinion, Cairo, 25 February 2026</w:t>
            </w:r>
          </w:p>
        </w:tc>
      </w:tr>
      <w:tr>
        <w:tc>
          <w:tcPr>
            <w:tcW w:type="dxa" w:w="2664"/>
          </w:tcPr>
          <w:p>
            <w:pPr>
              <w:spacing w:after="20"/>
            </w:pPr>
            <w:r>
              <w:rPr>
                <w:color w:val="1C3A36"/>
                <w:sz w:val="16"/>
              </w:rPr>
              <w:t>Arabian Cement Company S.A.E. — consolidated financial statements, FY2024</w:t>
            </w:r>
          </w:p>
        </w:tc>
        <w:tc>
          <w:tcPr>
            <w:tcW w:type="dxa" w:w="2333"/>
          </w:tcPr>
          <w:p>
            <w:pPr>
              <w:spacing w:after="20"/>
            </w:pPr>
            <w:r>
              <w:rPr>
                <w:color w:val="1C3A36"/>
                <w:sz w:val="16"/>
              </w:rPr>
              <w:t>AUDITED FINANCIAL STATEMENTS</w:t>
            </w:r>
          </w:p>
        </w:tc>
        <w:tc>
          <w:tcPr>
            <w:tcW w:type="dxa" w:w="5803"/>
          </w:tcPr>
          <w:p>
            <w:pPr>
              <w:spacing w:after="20"/>
            </w:pPr>
            <w:r>
              <w:rPr>
                <w:color w:val="1C3A36"/>
                <w:sz w:val="16"/>
              </w:rPr>
              <w:t>FY2023 comparatives for the income statement, balance sheet and cash flow statement, including FY2023 depreciation and capital expenditure.</w:t>
            </w:r>
          </w:p>
        </w:tc>
        <w:tc>
          <w:tcPr>
            <w:tcW w:type="dxa" w:w="2880"/>
          </w:tcPr>
          <w:p>
            <w:pPr>
              <w:spacing w:after="20"/>
            </w:pPr>
            <w:r>
              <w:rPr>
                <w:color w:val="1C3A36"/>
                <w:sz w:val="16"/>
              </w:rPr>
              <w:t>Deloitte — Wafik, Ramy &amp; Partners; unqualified opinion, Cairo, 23 March 2025</w:t>
            </w:r>
          </w:p>
        </w:tc>
      </w:tr>
      <w:tr>
        <w:tc>
          <w:tcPr>
            <w:tcW w:type="dxa" w:w="2664"/>
          </w:tcPr>
          <w:p>
            <w:pPr>
              <w:spacing w:after="20"/>
            </w:pPr>
            <w:r>
              <w:rPr>
                <w:color w:val="1C3A36"/>
                <w:sz w:val="16"/>
              </w:rPr>
              <w:t>Arabian Cement Company S.A.E. — consolidated financial statements, FY2023</w:t>
            </w:r>
          </w:p>
        </w:tc>
        <w:tc>
          <w:tcPr>
            <w:tcW w:type="dxa" w:w="2333"/>
          </w:tcPr>
          <w:p>
            <w:pPr>
              <w:spacing w:after="20"/>
            </w:pPr>
            <w:r>
              <w:rPr>
                <w:color w:val="1C3A36"/>
                <w:sz w:val="16"/>
              </w:rPr>
              <w:t>AUDITED FINANCIAL STATEMENTS</w:t>
            </w:r>
          </w:p>
        </w:tc>
        <w:tc>
          <w:tcPr>
            <w:tcW w:type="dxa" w:w="5803"/>
          </w:tcPr>
          <w:p>
            <w:pPr>
              <w:spacing w:after="20"/>
            </w:pPr>
            <w:r>
              <w:rPr>
                <w:color w:val="1C3A36"/>
                <w:sz w:val="16"/>
              </w:rPr>
              <w:t>Cross-check on the FY2023 position.</w:t>
            </w:r>
          </w:p>
        </w:tc>
        <w:tc>
          <w:tcPr>
            <w:tcW w:type="dxa" w:w="2880"/>
          </w:tcPr>
          <w:p>
            <w:pPr>
              <w:spacing w:after="20"/>
            </w:pPr>
            <w:r>
              <w:rPr>
                <w:color w:val="1C3A36"/>
                <w:sz w:val="16"/>
              </w:rPr>
              <w:t>Deloitte — Wafik, Ramy &amp; Partners</w:t>
            </w:r>
          </w:p>
        </w:tc>
      </w:tr>
      <w:tr>
        <w:tc>
          <w:tcPr>
            <w:tcW w:type="dxa" w:w="2664"/>
          </w:tcPr>
          <w:p>
            <w:pPr>
              <w:spacing w:after="20"/>
            </w:pPr>
            <w:r>
              <w:rPr>
                <w:color w:val="1C3A36"/>
                <w:sz w:val="16"/>
              </w:rPr>
              <w:t>Arabian Cement Company S.A.E. — interim financial statements, Q1-2026</w:t>
            </w:r>
          </w:p>
        </w:tc>
        <w:tc>
          <w:tcPr>
            <w:tcW w:type="dxa" w:w="2333"/>
          </w:tcPr>
          <w:p>
            <w:pPr>
              <w:spacing w:after="20"/>
            </w:pPr>
            <w:r>
              <w:rPr>
                <w:color w:val="1C3A36"/>
                <w:sz w:val="16"/>
              </w:rPr>
              <w:t>REVIEWED INTERIM STATEMENTS</w:t>
            </w:r>
          </w:p>
        </w:tc>
        <w:tc>
          <w:tcPr>
            <w:tcW w:type="dxa" w:w="5803"/>
          </w:tcPr>
          <w:p>
            <w:pPr>
              <w:spacing w:after="20"/>
            </w:pPr>
            <w:r>
              <w:rPr>
                <w:color w:val="1C3A36"/>
                <w:sz w:val="16"/>
              </w:rPr>
              <w:t>First-quarter revenue, gross profit, profit and the 31 March 2026 balance sheet, including the dividends payable that the valuation deducts from cash.</w:t>
            </w:r>
          </w:p>
        </w:tc>
        <w:tc>
          <w:tcPr>
            <w:tcW w:type="dxa" w:w="2880"/>
          </w:tcPr>
          <w:p>
            <w:pPr>
              <w:spacing w:after="20"/>
            </w:pPr>
            <w:r>
              <w:rPr>
                <w:color w:val="1C3A36"/>
                <w:sz w:val="16"/>
              </w:rPr>
              <w:t>Deloitte — Wafik, Ramy &amp; Partners; limited review concluded 25 May 2026</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at the April and May 2026 meetings; the Q1-2026 Monetary Policy Report; the medium-term inflation target of 7% used to build the terminal risk-free rate; headline urban inflation easing to 14.3% in June 2026.</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the credit-default-swap basis,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Egyptian Tax Authority</w:t>
            </w:r>
          </w:p>
        </w:tc>
        <w:tc>
          <w:tcPr>
            <w:tcW w:type="dxa" w:w="2333"/>
          </w:tcPr>
          <w:p>
            <w:pPr>
              <w:spacing w:after="20"/>
            </w:pPr>
            <w:r>
              <w:rPr>
                <w:color w:val="1C3A36"/>
                <w:sz w:val="16"/>
              </w:rPr>
              <w:t>Tax reference</w:t>
            </w:r>
          </w:p>
        </w:tc>
        <w:tc>
          <w:tcPr>
            <w:tcW w:type="dxa" w:w="5803"/>
          </w:tcPr>
          <w:p>
            <w:pPr>
              <w:spacing w:after="20"/>
            </w:pPr>
            <w:r>
              <w:rPr>
                <w:color w:val="1C3A36"/>
                <w:sz w:val="16"/>
              </w:rPr>
              <w:t>Statutory corporate income tax rate of 22.5%. The rate actually used is the effective rate disclosed in the audited accounts.</w:t>
            </w:r>
          </w:p>
        </w:tc>
        <w:tc>
          <w:tcPr>
            <w:tcW w:type="dxa" w:w="2880"/>
          </w:tcPr>
          <w:p>
            <w:pPr>
              <w:spacing w:after="20"/>
            </w:pPr>
            <w:r>
              <w:rPr>
                <w:color w:val="1C3A36"/>
                <w:sz w:val="16"/>
              </w:rPr>
              <w:t>Statutory rate</w:t>
            </w:r>
          </w:p>
        </w:tc>
      </w:tr>
      <w:tr>
        <w:tc>
          <w:tcPr>
            <w:tcW w:type="dxa" w:w="2664"/>
          </w:tcPr>
          <w:p>
            <w:pPr>
              <w:spacing w:after="20"/>
            </w:pPr>
            <w:r>
              <w:rPr>
                <w:color w:val="1C3A36"/>
                <w:sz w:val="16"/>
              </w:rPr>
              <w:t>Enterprise, Global Cement and International Cement Review</w:t>
            </w:r>
          </w:p>
        </w:tc>
        <w:tc>
          <w:tcPr>
            <w:tcW w:type="dxa" w:w="2333"/>
          </w:tcPr>
          <w:p>
            <w:pPr>
              <w:spacing w:after="20"/>
            </w:pPr>
            <w:r>
              <w:rPr>
                <w:color w:val="1C3A36"/>
                <w:sz w:val="16"/>
              </w:rPr>
              <w:t>Trade and financial press</w:t>
            </w:r>
          </w:p>
        </w:tc>
        <w:tc>
          <w:tcPr>
            <w:tcW w:type="dxa" w:w="5803"/>
          </w:tcPr>
          <w:p>
            <w:pPr>
              <w:spacing w:after="20"/>
            </w:pPr>
            <w:r>
              <w:rPr>
                <w:color w:val="1C3A36"/>
                <w:sz w:val="16"/>
              </w:rPr>
              <w:t>Egyptian sector context only: nameplate capacity of about 76Mt, production of about 65Mt, domestic consumption of about 54Mt, exports of about 18.5Mt, the abolition of the production quota in May 2025 with exports capped at 30% of output, and the 12.6Mt of dormant capacity under revival from the second half of 2026. No company figure is taken from these sources in this edition.</w:t>
            </w:r>
          </w:p>
        </w:tc>
        <w:tc>
          <w:tcPr>
            <w:tcW w:type="dxa" w:w="2880"/>
          </w:tcPr>
          <w:p>
            <w:pPr>
              <w:spacing w:after="20"/>
            </w:pPr>
            <w:r>
              <w:rPr>
                <w:color w:val="1C3A36"/>
                <w:sz w:val="16"/>
              </w:rPr>
              <w:t>enterpriseam.com, globalcement.com, cemnet.com</w:t>
            </w:r>
          </w:p>
        </w:tc>
      </w:tr>
      <w:tr>
        <w:tc>
          <w:tcPr>
            <w:tcW w:type="dxa" w:w="2664"/>
          </w:tcPr>
          <w:p>
            <w:pPr>
              <w:spacing w:after="20"/>
            </w:pPr>
            <w:r>
              <w:rPr>
                <w:color w:val="1C3A36"/>
                <w:sz w:val="16"/>
              </w:rPr>
              <w:t>Egyptian cement market pricing commentary</w:t>
            </w:r>
          </w:p>
        </w:tc>
        <w:tc>
          <w:tcPr>
            <w:tcW w:type="dxa" w:w="2333"/>
          </w:tcPr>
          <w:p>
            <w:pPr>
              <w:spacing w:after="20"/>
            </w:pPr>
            <w:r>
              <w:rPr>
                <w:color w:val="1C3A36"/>
                <w:sz w:val="16"/>
              </w:rPr>
              <w:t>Trade press</w:t>
            </w:r>
          </w:p>
        </w:tc>
        <w:tc>
          <w:tcPr>
            <w:tcW w:type="dxa" w:w="5803"/>
          </w:tcPr>
          <w:p>
            <w:pPr>
              <w:spacing w:after="20"/>
            </w:pPr>
            <w:r>
              <w:rPr>
                <w:color w:val="1C3A36"/>
                <w:sz w:val="16"/>
              </w:rPr>
              <w:t>The local realised price of about EGP 3,500 a tonne and the export price of about USD 62 a tonne. These are the only two operating inputs in the FY2025 build that are not audited, and volume is derived from them.</w:t>
            </w:r>
          </w:p>
        </w:tc>
        <w:tc>
          <w:tcPr>
            <w:tcW w:type="dxa" w:w="2880"/>
          </w:tcPr>
          <w:p>
            <w:pPr>
              <w:spacing w:after="20"/>
            </w:pPr>
            <w:r>
              <w:rPr>
                <w:color w:val="1C3A36"/>
                <w:sz w:val="16"/>
              </w:rPr>
              <w:t>Industry commentary, 2026</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2,957 daily open, high, low, close and volume records from 18 May 2014 — the listing date — to 6 August 2026. The basis of the price chart, the volatility estimate, the beta regression and the price map.</w:t>
            </w:r>
          </w:p>
        </w:tc>
        <w:tc>
          <w:tcPr>
            <w:tcW w:type="dxa" w:w="2880"/>
          </w:tcPr>
          <w:p>
            <w:pPr>
              <w:spacing w:after="20"/>
            </w:pPr>
            <w:r>
              <w:rPr>
                <w:color w:val="1C3A36"/>
                <w:sz w:val="16"/>
              </w:rPr>
              <w:t>Supplied as a file</w:t>
            </w:r>
          </w:p>
        </w:tc>
      </w:tr>
      <w:tr>
        <w:tc>
          <w:tcPr>
            <w:tcW w:type="dxa" w:w="2664"/>
          </w:tcPr>
          <w:p>
            <w:pPr>
              <w:spacing w:after="20"/>
            </w:pPr>
            <w:r>
              <w:rPr>
                <w:color w:val="1C3A36"/>
                <w:sz w:val="16"/>
              </w:rPr>
              <w:t>Standard cement engineering benchmarks</w:t>
            </w:r>
          </w:p>
        </w:tc>
        <w:tc>
          <w:tcPr>
            <w:tcW w:type="dxa" w:w="2333"/>
          </w:tcPr>
          <w:p>
            <w:pPr>
              <w:spacing w:after="20"/>
            </w:pPr>
            <w:r>
              <w:rPr>
                <w:color w:val="1C3A36"/>
                <w:sz w:val="16"/>
              </w:rPr>
              <w:t>Industry reference</w:t>
            </w:r>
          </w:p>
        </w:tc>
        <w:tc>
          <w:tcPr>
            <w:tcW w:type="dxa" w:w="5803"/>
          </w:tcPr>
          <w:p>
            <w:pPr>
              <w:spacing w:after="20"/>
            </w:pPr>
            <w:r>
              <w:rPr>
                <w:color w:val="1C3A36"/>
                <w:sz w:val="16"/>
              </w:rPr>
              <w:t>Replacement cost of USD 120-150 per annual tonne, used in the asset lens and as the terminal invested-capital base.</w:t>
            </w:r>
          </w:p>
        </w:tc>
        <w:tc>
          <w:tcPr>
            <w:tcW w:type="dxa" w:w="2880"/>
          </w:tcPr>
          <w:p>
            <w:pPr>
              <w:spacing w:after="20"/>
            </w:pPr>
            <w:r>
              <w:rPr>
                <w:color w:val="1C3A36"/>
                <w:sz w:val="16"/>
              </w:rPr>
              <w:t>Used for the asset lens</w:t>
            </w:r>
          </w:p>
        </w:tc>
      </w:tr>
      <w:tr>
        <w:tc>
          <w:tcPr>
            <w:tcW w:type="dxa" w:w="2664"/>
          </w:tcPr>
          <w:p>
            <w:pPr>
              <w:spacing w:after="20"/>
            </w:pPr>
            <w:r>
              <w:rPr>
                <w:color w:val="1C3A36"/>
                <w:sz w:val="16"/>
              </w:rPr>
              <w:t>Peer market data</w:t>
            </w:r>
          </w:p>
        </w:tc>
        <w:tc>
          <w:tcPr>
            <w:tcW w:type="dxa" w:w="2333"/>
          </w:tcPr>
          <w:p>
            <w:pPr>
              <w:spacing w:after="20"/>
            </w:pPr>
            <w:r>
              <w:rPr>
                <w:color w:val="1C3A36"/>
                <w:sz w:val="16"/>
              </w:rPr>
              <w:t>Data aggregator</w:t>
            </w:r>
          </w:p>
        </w:tc>
        <w:tc>
          <w:tcPr>
            <w:tcW w:type="dxa" w:w="5803"/>
          </w:tcPr>
          <w:p>
            <w:pPr>
              <w:spacing w:after="20"/>
            </w:pPr>
            <w:r>
              <w:rPr>
                <w:color w:val="1C3A36"/>
                <w:sz w:val="16"/>
              </w:rPr>
              <w:t>Sinai Cement and Misr Beni Suef Cement revenue, profit and market capitalisation. Every multiple in the study is RECOMPUTED from these three rather than quoted.</w:t>
            </w:r>
          </w:p>
        </w:tc>
        <w:tc>
          <w:tcPr>
            <w:tcW w:type="dxa" w:w="2880"/>
          </w:tcPr>
          <w:p>
            <w:pPr>
              <w:spacing w:after="20"/>
            </w:pPr>
            <w:r>
              <w:rPr>
                <w:color w:val="1C3A36"/>
                <w:sz w:val="16"/>
              </w:rPr>
              <w:t>Peer disclosures as reported</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Sales volume and realised price — the only material estimate in the operating build</w:t>
            </w:r>
          </w:p>
        </w:tc>
        <w:tc>
          <w:tcPr>
            <w:tcW w:type="dxa" w:w="10224"/>
          </w:tcPr>
          <w:p>
            <w:pPr>
              <w:spacing w:after="20"/>
            </w:pPr>
            <w:r>
              <w:rPr>
                <w:color w:val="1C3A36"/>
                <w:sz w:val="16"/>
              </w:rPr>
              <w:t>No volume is disclosed. Volume is DERIVED from the audited revenue note: export sales of goods of EGP 3,356.42mn divided by an assumed USD 62 a tonne at the audited average exchange rate of 49.26 gives 1.917Mt, and local sales of goods of EGP 8,350.45mn divided by an assumed EGP 3,500 a tonne gives 2.863Mt. Total 4.781Mt, which is 69.6% of the audited 5.0Mt nameplate. The check is that this utilisation is an OUTPUT and could have disagreed with the sector; national production is 85.5% of national capacity. The two prices are the estimate; everything else in this derivation is audited.</w:t>
            </w:r>
          </w:p>
        </w:tc>
      </w:tr>
      <w:tr>
        <w:tc>
          <w:tcPr>
            <w:tcW w:type="dxa" w:w="3456"/>
          </w:tcPr>
          <w:p>
            <w:pPr>
              <w:spacing w:after="20"/>
            </w:pPr>
            <w:r>
              <w:rPr>
                <w:color w:val="1C3A36"/>
                <w:sz w:val="16"/>
              </w:rPr>
              <w:t>The cost stack per tonne</w:t>
            </w:r>
          </w:p>
        </w:tc>
        <w:tc>
          <w:tcPr>
            <w:tcW w:type="dxa" w:w="10224"/>
          </w:tcPr>
          <w:p>
            <w:pPr>
              <w:spacing w:after="20"/>
            </w:pPr>
            <w:r>
              <w:rPr>
                <w:color w:val="1C3A36"/>
                <w:sz w:val="16"/>
              </w:rPr>
              <w:t>From the audited cost-of-sales note and administrative-expenses note, divided by the derived volume: materials and fuel EGP 1,480 a tonne, transportation EGP 160, overheads and cash administration EGP 214, total EGP 1,565. Nothing here is an invented physical build; the five-line fuel/power/raw-material/packaging/distribution stack of the first edition is retired.</w:t>
            </w:r>
          </w:p>
        </w:tc>
      </w:tr>
      <w:tr>
        <w:tc>
          <w:tcPr>
            <w:tcW w:type="dxa" w:w="3456"/>
          </w:tcPr>
          <w:p>
            <w:pPr>
              <w:spacing w:after="20"/>
            </w:pPr>
            <w:r>
              <w:rPr>
                <w:color w:val="1C3A36"/>
                <w:sz w:val="16"/>
              </w:rPr>
              <w:t>EBITDA</w:t>
            </w:r>
          </w:p>
        </w:tc>
        <w:tc>
          <w:tcPr>
            <w:tcW w:type="dxa" w:w="10224"/>
          </w:tcPr>
          <w:p>
            <w:pPr>
              <w:spacing w:after="20"/>
            </w:pPr>
            <w:r>
              <w:rPr>
                <w:color w:val="1C3A36"/>
                <w:sz w:val="16"/>
              </w:rPr>
              <w:t>Operating profit — gross profit less administrative expenses, provisions and expected credit losses, all audited — plus the depreciation and amortisation reported in the audited cash flow statement. FY2023 EGP 1,329.53mn, FY2024 EGP 2,020.87mn, FY2025 EGP 4,885.59mn.</w:t>
            </w:r>
          </w:p>
        </w:tc>
      </w:tr>
      <w:tr>
        <w:tc>
          <w:tcPr>
            <w:tcW w:type="dxa" w:w="3456"/>
          </w:tcPr>
          <w:p>
            <w:pPr>
              <w:spacing w:after="20"/>
            </w:pPr>
            <w:r>
              <w:rPr>
                <w:color w:val="1C3A36"/>
                <w:sz w:val="16"/>
              </w:rPr>
              <w:t>The blended cost of debt — 7.89%</w:t>
            </w:r>
          </w:p>
        </w:tc>
        <w:tc>
          <w:tcPr>
            <w:tcW w:type="dxa" w:w="10224"/>
          </w:tcPr>
          <w:p>
            <w:pPr>
              <w:spacing w:after="20"/>
            </w:pPr>
            <w:r>
              <w:rPr>
                <w:color w:val="1C3A36"/>
                <w:sz w:val="16"/>
              </w:rPr>
              <w:t>Built facility by facility from the audited borrowings note: the CIB pound facility at the corridor rate plus 0.6% (20.60%), the NBE/KfW euro facility at Euribor plus 3% (5.49%) and the EBRD euro facility at Euribor plus 4.35% (6.84%), weighted by their audited balances. 91.1% of the book is euro-denominated. Cross-checked against interest expense over average debt: 20.85% in FY2024, 5.03% in FY2025 and 3.73% annualising Q1-2026. The contractual rate exceeds all three and the reason is stated in the study rather than smoothed. The pound-equivalent alternative under interest parity is 13.36% and its effect on the valuation is published.</w:t>
            </w:r>
          </w:p>
        </w:tc>
      </w:tr>
      <w:tr>
        <w:tc>
          <w:tcPr>
            <w:tcW w:type="dxa" w:w="3456"/>
          </w:tcPr>
          <w:p>
            <w:pPr>
              <w:spacing w:after="20"/>
            </w:pPr>
            <w:r>
              <w:rPr>
                <w:color w:val="1C3A36"/>
                <w:sz w:val="16"/>
              </w:rPr>
              <w:t>Terminal return on invested capital — 9.2%</w:t>
            </w:r>
          </w:p>
        </w:tc>
        <w:tc>
          <w:tcPr>
            <w:tcW w:type="dxa" w:w="10224"/>
          </w:tcPr>
          <w:p>
            <w:pPr>
              <w:spacing w:after="20"/>
            </w:pPr>
            <w:r>
              <w:rPr>
                <w:color w:val="1C3A36"/>
                <w:sz w:val="16"/>
              </w:rPr>
              <w:t>Struck on REPLACEMENT cost — 5.0Mt at USD 130 per annual tonne — rather than on the audited book, on which the FY2025 return is 60.6%. The book carries a 2010-vintage plant at historical cost through several devaluations: audited net property and construction of EGP 2,913.87mn is about USD 12 per annual tonne, against a replacement cost of USD 130 — roughly a tenth. A return computed on that base measures the devaluation rather than the economics of adding a tonne. The choice makes terminal growth value-destroying and is the single most consequential judgement in the model.</w:t>
            </w:r>
          </w:p>
        </w:tc>
      </w:tr>
      <w:tr>
        <w:tc>
          <w:tcPr>
            <w:tcW w:type="dxa" w:w="3456"/>
          </w:tcPr>
          <w:p>
            <w:pPr>
              <w:spacing w:after="20"/>
            </w:pPr>
            <w:r>
              <w:rPr>
                <w:color w:val="1C3A36"/>
                <w:sz w:val="16"/>
              </w:rPr>
              <w:t>Beta — 0.628 adopted</w:t>
            </w:r>
          </w:p>
        </w:tc>
        <w:tc>
          <w:tcPr>
            <w:tcW w:type="dxa" w:w="10224"/>
          </w:tcPr>
          <w:p>
            <w:pPr>
              <w:spacing w:after="20"/>
            </w:pPr>
            <w:r>
              <w:rPr>
                <w:color w:val="1C3A36"/>
                <w:sz w:val="16"/>
              </w:rPr>
              <w:t>A five-year weekly regression against a 34-name equal-weight Egyptian composite, subject excluded from its own index: 0.628 on 257 observations, R-squared 0.091, standard error 0.125. Clears the usability gate so it is adopted rather than defaulted, and is flagged statistically weak. The lead-lag correction for thin trading gives 0.919; its effect is published as a value.</w:t>
            </w:r>
          </w:p>
        </w:tc>
      </w:tr>
      <w:tr>
        <w:tc>
          <w:tcPr>
            <w:tcW w:type="dxa" w:w="3456"/>
          </w:tcPr>
          <w:p>
            <w:pPr>
              <w:spacing w:after="20"/>
            </w:pPr>
            <w:r>
              <w:rPr>
                <w:color w:val="1C3A36"/>
                <w:sz w:val="16"/>
              </w:rPr>
              <w:t>Capital expenditure in the forecast</w:t>
            </w:r>
          </w:p>
        </w:tc>
        <w:tc>
          <w:tcPr>
            <w:tcW w:type="dxa" w:w="10224"/>
          </w:tcPr>
          <w:p>
            <w:pPr>
              <w:spacing w:after="20"/>
            </w:pPr>
            <w:r>
              <w:rPr>
                <w:color w:val="1C3A36"/>
                <w:sz w:val="16"/>
              </w:rPr>
              <w:t>Set at the economic maintenance level of USD 4.00 per tonne of installed capacity rather than at book depreciation, because a historic-cost base understates what it costs to keep a plant running. Bracketed by the audited outturns: FY2024 EGP 912.02mn and FY2025 EGP 796.47mn, both of which also carried growth projects.</w:t>
            </w:r>
          </w:p>
        </w:tc>
      </w:tr>
      <w:tr>
        <w:tc>
          <w:tcPr>
            <w:tcW w:type="dxa" w:w="3456"/>
          </w:tcPr>
          <w:p>
            <w:pPr>
              <w:spacing w:after="20"/>
            </w:pPr>
            <w:r>
              <w:rPr>
                <w:color w:val="1C3A36"/>
                <w:sz w:val="16"/>
              </w:rPr>
              <w:t>Net cash at the valuation date</w:t>
            </w:r>
          </w:p>
        </w:tc>
        <w:tc>
          <w:tcPr>
            <w:tcW w:type="dxa" w:w="10224"/>
          </w:tcPr>
          <w:p>
            <w:pPr>
              <w:spacing w:after="20"/>
            </w:pPr>
            <w:r>
              <w:rPr>
                <w:color w:val="1C3A36"/>
                <w:sz w:val="16"/>
              </w:rPr>
              <w:t>Audited cash of EGP 3,459.39mn less audited interest-bearing debt of EGP 1,135.11mn, rolled forward on the elapsed part of FY2026 and LESS the EGP 2,001.79mn FY2025 dividend shown as payable in the March 2026 accounts. Cross-checked against the reviewed 31 March 2026 position.</w:t>
            </w:r>
          </w:p>
        </w:tc>
      </w:tr>
      <w:tr>
        <w:tc>
          <w:tcPr>
            <w:tcW w:type="dxa" w:w="3456"/>
          </w:tcPr>
          <w:p>
            <w:pPr>
              <w:spacing w:after="20"/>
            </w:pPr>
            <w:r>
              <w:rPr>
                <w:color w:val="1C3A36"/>
                <w:sz w:val="16"/>
              </w:rPr>
              <w:t>The forecast paths</w:t>
            </w:r>
          </w:p>
        </w:tc>
        <w:tc>
          <w:tcPr>
            <w:tcW w:type="dxa" w:w="10224"/>
          </w:tcPr>
          <w:p>
            <w:pPr>
              <w:spacing w:after="20"/>
            </w:pPr>
            <w:r>
              <w:rPr>
                <w:color w:val="1C3A36"/>
                <w:sz w:val="16"/>
              </w:rPr>
              <w:t>Utilisation, the price indices, the currency path, cost inflation, the alternative-fuel saving, depreciation as a share of revenue, the cash yield and the payout are house forecasts. Each is stated as an input in the register above with its reasoning, and each is perturbed in the driver test on the delivered model.</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26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and FX regime</w:t>
            </w:r>
          </w:p>
        </w:tc>
        <w:tc>
          <w:tcPr>
            <w:tcW w:type="dxa" w:w="5846"/>
          </w:tcPr>
          <w:p>
            <w:pPr>
              <w:spacing w:after="20"/>
            </w:pPr>
            <w:r>
              <w:rPr>
                <w:color w:val="1C3A36"/>
                <w:sz w:val="14"/>
              </w:rPr>
              <w:t>The global easing cycle is under way, which is the backdrop against which Egypt normalises a 19.50% policy rate rather than the cause of it</w:t>
            </w:r>
          </w:p>
        </w:tc>
        <w:tc>
          <w:tcPr>
            <w:tcW w:type="dxa" w:w="3053"/>
          </w:tcPr>
          <w:p>
            <w:pPr>
              <w:spacing w:after="20"/>
            </w:pPr>
            <w:r>
              <w:rPr>
                <w:color w:val="1C3A36"/>
                <w:sz w:val="14"/>
              </w:rPr>
              <w:t>US Federal Reserve policy history as carried in the house rate schedule</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w:t>
            </w:r>
          </w:p>
        </w:tc>
        <w:tc>
          <w:tcPr>
            <w:tcW w:type="dxa" w:w="5846"/>
          </w:tcPr>
          <w:p>
            <w:pPr>
              <w:spacing w:after="20"/>
            </w:pPr>
            <w:r>
              <w:rPr>
                <w:color w:val="1C3A36"/>
                <w:sz w:val="14"/>
              </w:rPr>
              <w:t>Cement is an energy-conversion business: solid fuel and electricity dominate cash cost, so the fuel bill is the single most important cost driver in the build</w:t>
            </w:r>
          </w:p>
        </w:tc>
        <w:tc>
          <w:tcPr>
            <w:tcW w:type="dxa" w:w="3053"/>
          </w:tcPr>
          <w:p>
            <w:pPr>
              <w:spacing w:after="20"/>
            </w:pPr>
            <w:r>
              <w:rPr>
                <w:color w:val="1C3A36"/>
                <w:sz w:val="14"/>
              </w:rPr>
              <w:t>Global Cement / International Cement Review industry coverage</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carbon and trade policy</w:t>
            </w:r>
          </w:p>
        </w:tc>
        <w:tc>
          <w:tcPr>
            <w:tcW w:type="dxa" w:w="5846"/>
          </w:tcPr>
          <w:p>
            <w:pPr>
              <w:spacing w:after="20"/>
            </w:pPr>
            <w:r>
              <w:rPr>
                <w:color w:val="1C3A36"/>
                <w:sz w:val="14"/>
              </w:rPr>
              <w:t>The EU Carbon Border Adjustment Mechanism raises the landed cost of Egyptian cement in Europe; a low-carbon producer earns a relative premium estimated at about EUR 5.4 per tonne on European sales</w:t>
            </w:r>
          </w:p>
        </w:tc>
        <w:tc>
          <w:tcPr>
            <w:tcW w:type="dxa" w:w="3053"/>
          </w:tcPr>
          <w:p>
            <w:pPr>
              <w:spacing w:after="20"/>
            </w:pPr>
            <w:r>
              <w:rPr>
                <w:color w:val="1C3A36"/>
                <w:sz w:val="14"/>
              </w:rPr>
              <w:t>Industry coverage of Egyptian producers' CBAM positioning</w:t>
            </w:r>
          </w:p>
        </w:tc>
        <w:tc>
          <w:tcPr>
            <w:tcW w:type="dxa" w:w="1267"/>
          </w:tcPr>
          <w:p>
            <w:pPr>
              <w:spacing w:after="20"/>
            </w:pPr>
            <w:r>
              <w:rPr>
                <w:color w:val="1C3A36"/>
                <w:sz w:val="14"/>
              </w:rPr>
              <w:t>2026-01-01</w:t>
            </w:r>
          </w:p>
        </w:tc>
      </w:tr>
      <w:tr>
        <w:tc>
          <w:tcPr>
            <w:tcW w:type="dxa" w:w="1094"/>
          </w:tcPr>
          <w:p>
            <w:pPr>
              <w:spacing w:after="20"/>
            </w:pPr>
            <w:r>
              <w:rPr>
                <w:color w:val="1C3A36"/>
                <w:sz w:val="14"/>
              </w:rPr>
              <w:t>Global</w:t>
            </w:r>
          </w:p>
        </w:tc>
        <w:tc>
          <w:tcPr>
            <w:tcW w:type="dxa" w:w="2275"/>
          </w:tcPr>
          <w:p>
            <w:pPr>
              <w:spacing w:after="20"/>
            </w:pPr>
            <w:r>
              <w:rPr>
                <w:color w:val="1C3A36"/>
                <w:sz w:val="14"/>
              </w:rPr>
              <w:t>traded-goods structure</w:t>
            </w:r>
          </w:p>
        </w:tc>
        <w:tc>
          <w:tcPr>
            <w:tcW w:type="dxa" w:w="5846"/>
          </w:tcPr>
          <w:p>
            <w:pPr>
              <w:spacing w:after="20"/>
            </w:pPr>
            <w:r>
              <w:rPr>
                <w:color w:val="1C3A36"/>
                <w:sz w:val="14"/>
              </w:rPr>
              <w:t>Cement is not traded at distance — bulk freight caps the economic export radius, so global demand reaches an Egyptian producer only through the Mediterranean and East African basin and never through a world price</w:t>
            </w:r>
          </w:p>
        </w:tc>
        <w:tc>
          <w:tcPr>
            <w:tcW w:type="dxa" w:w="3053"/>
          </w:tcPr>
          <w:p>
            <w:pPr>
              <w:spacing w:after="20"/>
            </w:pPr>
            <w:r>
              <w:rPr>
                <w:color w:val="1C3A36"/>
                <w:sz w:val="14"/>
              </w:rPr>
              <w:t>Global Cement, Egypt country coverage</w:t>
            </w:r>
          </w:p>
        </w:tc>
        <w:tc>
          <w:tcPr>
            <w:tcW w:type="dxa" w:w="1267"/>
          </w:tcPr>
          <w:p>
            <w:pPr>
              <w:spacing w:after="20"/>
            </w:pPr>
            <w:r>
              <w:rPr>
                <w:color w:val="1C3A36"/>
                <w:sz w:val="14"/>
              </w:rPr>
              <w:t>2025-10-01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w:t>
            </w:r>
          </w:p>
        </w:tc>
        <w:tc>
          <w:tcPr>
            <w:tcW w:type="dxa" w:w="5846"/>
          </w:tcPr>
          <w:p>
            <w:pPr>
              <w:spacing w:after="20"/>
            </w:pPr>
            <w:r>
              <w:rPr>
                <w:color w:val="1C3A36"/>
                <w:sz w:val="14"/>
              </w:rPr>
              <w:t>The Central Bank of Egypt held the main operation rate at 19.50% (overnight deposit 19.00%, lending 20.00%) at its April and May 2026 meetings; headline urban inflation eased for a third month to 14.3% in June 2026, and the CBE expects it to accelerate through Q3-2026 on base effects before declining toward target</w:t>
            </w:r>
          </w:p>
        </w:tc>
        <w:tc>
          <w:tcPr>
            <w:tcW w:type="dxa" w:w="3053"/>
          </w:tcPr>
          <w:p>
            <w:pPr>
              <w:spacing w:after="20"/>
            </w:pPr>
            <w:r>
              <w:rPr>
                <w:color w:val="1C3A36"/>
                <w:sz w:val="14"/>
              </w:rPr>
              <w:t>Central Bank of Egypt policy decisions and Monetary Policy Report Q1-2026; CAPMAS CPI release</w:t>
            </w:r>
          </w:p>
        </w:tc>
        <w:tc>
          <w:tcPr>
            <w:tcW w:type="dxa" w:w="1267"/>
          </w:tcPr>
          <w:p>
            <w:pPr>
              <w:spacing w:after="20"/>
            </w:pPr>
            <w:r>
              <w:rPr>
                <w:color w:val="1C3A36"/>
                <w:sz w:val="14"/>
              </w:rPr>
              <w:t>2026-07-10</w:t>
            </w:r>
          </w:p>
        </w:tc>
      </w:tr>
      <w:tr>
        <w:tc>
          <w:tcPr>
            <w:tcW w:type="dxa" w:w="1094"/>
          </w:tcPr>
          <w:p>
            <w:pPr>
              <w:spacing w:after="20"/>
            </w:pPr>
            <w:r>
              <w:rPr>
                <w:color w:val="1C3A36"/>
                <w:sz w:val="14"/>
              </w:rPr>
              <w:t>Country</w:t>
            </w:r>
          </w:p>
        </w:tc>
        <w:tc>
          <w:tcPr>
            <w:tcW w:type="dxa" w:w="2275"/>
          </w:tcPr>
          <w:p>
            <w:pPr>
              <w:spacing w:after="20"/>
            </w:pPr>
            <w:r>
              <w:rPr>
                <w:color w:val="1C3A36"/>
                <w:sz w:val="14"/>
              </w:rPr>
              <w:t>sovereign credit</w:t>
            </w:r>
          </w:p>
        </w:tc>
        <w:tc>
          <w:tcPr>
            <w:tcW w:type="dxa" w:w="5846"/>
          </w:tcPr>
          <w:p>
            <w:pPr>
              <w:spacing w:after="20"/>
            </w:pPr>
            <w:r>
              <w:rPr>
                <w:color w:val="1C3A36"/>
                <w:sz w:val="14"/>
              </w:rPr>
              <w:t>Egypt's five-year credit default swap traded around 335 basis points in mid-2026, far tighter than the 2024 crisis peak</w:t>
            </w:r>
          </w:p>
        </w:tc>
        <w:tc>
          <w:tcPr>
            <w:tcW w:type="dxa" w:w="3053"/>
          </w:tcPr>
          <w:p>
            <w:pPr>
              <w:spacing w:after="20"/>
            </w:pPr>
            <w:r>
              <w:rPr>
                <w:color w:val="1C3A36"/>
                <w:sz w:val="14"/>
              </w:rPr>
              <w:t>Sovereign CDS quotations as carried by market data services; Damodaran country risk file, January 2026 edition, CDS column</w:t>
            </w:r>
          </w:p>
        </w:tc>
        <w:tc>
          <w:tcPr>
            <w:tcW w:type="dxa" w:w="1267"/>
          </w:tcPr>
          <w:p>
            <w:pPr>
              <w:spacing w:after="20"/>
            </w:pPr>
            <w:r>
              <w:rPr>
                <w:color w:val="1C3A36"/>
                <w:sz w:val="14"/>
              </w:rPr>
              <w:t>2026-05-15</w:t>
            </w:r>
          </w:p>
        </w:tc>
      </w:tr>
      <w:tr>
        <w:tc>
          <w:tcPr>
            <w:tcW w:type="dxa" w:w="1094"/>
          </w:tcPr>
          <w:p>
            <w:pPr>
              <w:spacing w:after="20"/>
            </w:pPr>
            <w:r>
              <w:rPr>
                <w:color w:val="1C3A36"/>
                <w:sz w:val="14"/>
              </w:rPr>
              <w:t>Country</w:t>
            </w:r>
          </w:p>
        </w:tc>
        <w:tc>
          <w:tcPr>
            <w:tcW w:type="dxa" w:w="2275"/>
          </w:tcPr>
          <w:p>
            <w:pPr>
              <w:spacing w:after="20"/>
            </w:pPr>
            <w:r>
              <w:rPr>
                <w:color w:val="1C3A36"/>
                <w:sz w:val="14"/>
              </w:rPr>
              <w:t>currency</w:t>
            </w:r>
          </w:p>
        </w:tc>
        <w:tc>
          <w:tcPr>
            <w:tcW w:type="dxa" w:w="5846"/>
          </w:tcPr>
          <w:p>
            <w:pPr>
              <w:spacing w:after="20"/>
            </w:pPr>
            <w:r>
              <w:rPr>
                <w:color w:val="1C3A36"/>
                <w:sz w:val="14"/>
              </w:rPr>
              <w:t>The pound has been broadly stable around EGP 50.3-51.0 per US dollar through July and early August 2026</w:t>
            </w:r>
          </w:p>
        </w:tc>
        <w:tc>
          <w:tcPr>
            <w:tcW w:type="dxa" w:w="3053"/>
          </w:tcPr>
          <w:p>
            <w:pPr>
              <w:spacing w:after="20"/>
            </w:pPr>
            <w:r>
              <w:rPr>
                <w:color w:val="1C3A36"/>
                <w:sz w:val="14"/>
              </w:rPr>
              <w:t>Egyptian bank exchange-rate surveys reported by Amwal Al Ghad and Arab Finance</w:t>
            </w:r>
          </w:p>
        </w:tc>
        <w:tc>
          <w:tcPr>
            <w:tcW w:type="dxa" w:w="1267"/>
          </w:tcPr>
          <w:p>
            <w:pPr>
              <w:spacing w:after="20"/>
            </w:pPr>
            <w:r>
              <w:rPr>
                <w:color w:val="1C3A36"/>
                <w:sz w:val="14"/>
              </w:rPr>
              <w:t>2026-08-04</w:t>
            </w:r>
          </w:p>
        </w:tc>
      </w:tr>
      <w:tr>
        <w:tc>
          <w:tcPr>
            <w:tcW w:type="dxa" w:w="1094"/>
          </w:tcPr>
          <w:p>
            <w:pPr>
              <w:spacing w:after="20"/>
            </w:pPr>
            <w:r>
              <w:rPr>
                <w:color w:val="1C3A36"/>
                <w:sz w:val="14"/>
              </w:rPr>
              <w:t>Country</w:t>
            </w:r>
          </w:p>
        </w:tc>
        <w:tc>
          <w:tcPr>
            <w:tcW w:type="dxa" w:w="2275"/>
          </w:tcPr>
          <w:p>
            <w:pPr>
              <w:spacing w:after="20"/>
            </w:pPr>
            <w:r>
              <w:rPr>
                <w:color w:val="1C3A36"/>
                <w:sz w:val="14"/>
              </w:rPr>
              <w:t>fiscal policy</w:t>
            </w:r>
          </w:p>
        </w:tc>
        <w:tc>
          <w:tcPr>
            <w:tcW w:type="dxa" w:w="5846"/>
          </w:tcPr>
          <w:p>
            <w:pPr>
              <w:spacing w:after="20"/>
            </w:pPr>
            <w:r>
              <w:rPr>
                <w:color w:val="1C3A36"/>
                <w:sz w:val="14"/>
              </w:rPr>
              <w:t>Phased energy-subsidy reform continues to raise the domestic industrial energy bill independently of the global fuel price</w:t>
            </w:r>
          </w:p>
        </w:tc>
        <w:tc>
          <w:tcPr>
            <w:tcW w:type="dxa" w:w="3053"/>
          </w:tcPr>
          <w:p>
            <w:pPr>
              <w:spacing w:after="20"/>
            </w:pPr>
            <w:r>
              <w:rPr>
                <w:color w:val="1C3A36"/>
                <w:sz w:val="14"/>
              </w:rPr>
              <w:t>Egyptian cement industry market coverage on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Country</w:t>
            </w:r>
          </w:p>
        </w:tc>
        <w:tc>
          <w:tcPr>
            <w:tcW w:type="dxa" w:w="2275"/>
          </w:tcPr>
          <w:p>
            <w:pPr>
              <w:spacing w:after="20"/>
            </w:pPr>
            <w:r>
              <w:rPr>
                <w:color w:val="1C3A36"/>
                <w:sz w:val="14"/>
              </w:rPr>
              <w:t>taxation</w:t>
            </w:r>
          </w:p>
        </w:tc>
        <w:tc>
          <w:tcPr>
            <w:tcW w:type="dxa" w:w="5846"/>
          </w:tcPr>
          <w:p>
            <w:pPr>
              <w:spacing w:after="20"/>
            </w:pPr>
            <w:r>
              <w:rPr>
                <w:color w:val="1C3A36"/>
                <w:sz w:val="14"/>
              </w:rPr>
              <w:t>Egypt's statutory corporate income tax rate is 22.5%</w:t>
            </w:r>
          </w:p>
        </w:tc>
        <w:tc>
          <w:tcPr>
            <w:tcW w:type="dxa" w:w="3053"/>
          </w:tcPr>
          <w:p>
            <w:pPr>
              <w:spacing w:after="20"/>
            </w:pPr>
            <w:r>
              <w:rPr>
                <w:color w:val="1C3A36"/>
                <w:sz w:val="14"/>
              </w:rPr>
              <w:t>Egyptian Tax Authority statutory rate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sector structure</w:t>
            </w:r>
          </w:p>
        </w:tc>
        <w:tc>
          <w:tcPr>
            <w:tcW w:type="dxa" w:w="5846"/>
          </w:tcPr>
          <w:p>
            <w:pPr>
              <w:spacing w:after="20"/>
            </w:pPr>
            <w:r>
              <w:rPr>
                <w:color w:val="1C3A36"/>
                <w:sz w:val="14"/>
              </w:rPr>
              <w:t>Egypt abolished the cement production-quota system in May 2025 and capped exports at 30% of a producer's output; prices stabilised near USD 81 per tonne after the change</w:t>
            </w:r>
          </w:p>
        </w:tc>
        <w:tc>
          <w:tcPr>
            <w:tcW w:type="dxa" w:w="3053"/>
          </w:tcPr>
          <w:p>
            <w:pPr>
              <w:spacing w:after="20"/>
            </w:pPr>
            <w:r>
              <w:rPr>
                <w:color w:val="1C3A36"/>
                <w:sz w:val="14"/>
              </w:rPr>
              <w:t>Egyptian Competition Authority and Industrial Development Authority decisions as reported by Enterprise and Global Cement</w:t>
            </w:r>
          </w:p>
        </w:tc>
        <w:tc>
          <w:tcPr>
            <w:tcW w:type="dxa" w:w="1267"/>
          </w:tcPr>
          <w:p>
            <w:pPr>
              <w:spacing w:after="20"/>
            </w:pPr>
            <w:r>
              <w:rPr>
                <w:color w:val="1C3A36"/>
                <w:sz w:val="14"/>
              </w:rPr>
              <w:t>2025-05-01</w:t>
            </w:r>
          </w:p>
        </w:tc>
      </w:tr>
      <w:tr>
        <w:tc>
          <w:tcPr>
            <w:tcW w:type="dxa" w:w="1094"/>
          </w:tcPr>
          <w:p>
            <w:pPr>
              <w:spacing w:after="20"/>
            </w:pPr>
            <w:r>
              <w:rPr>
                <w:color w:val="1C3A36"/>
                <w:sz w:val="14"/>
              </w:rPr>
              <w:t>Industry</w:t>
            </w:r>
          </w:p>
        </w:tc>
        <w:tc>
          <w:tcPr>
            <w:tcW w:type="dxa" w:w="2275"/>
          </w:tcPr>
          <w:p>
            <w:pPr>
              <w:spacing w:after="20"/>
            </w:pPr>
            <w:r>
              <w:rPr>
                <w:color w:val="1C3A36"/>
                <w:sz w:val="14"/>
              </w:rPr>
              <w:t>supply pipeline</w:t>
            </w:r>
          </w:p>
        </w:tc>
        <w:tc>
          <w:tcPr>
            <w:tcW w:type="dxa" w:w="5846"/>
          </w:tcPr>
          <w:p>
            <w:pPr>
              <w:spacing w:after="20"/>
            </w:pPr>
            <w:r>
              <w:rPr>
                <w:color w:val="1C3A36"/>
                <w:sz w:val="14"/>
              </w:rPr>
              <w:t>With quotas gone, producers are studying the revival of seven to nine dormant production lines, potentially adding 12.6 million tonnes from the second half of 2026 — about 23% of domestic consumption</w:t>
            </w:r>
          </w:p>
        </w:tc>
        <w:tc>
          <w:tcPr>
            <w:tcW w:type="dxa" w:w="3053"/>
          </w:tcPr>
          <w:p>
            <w:pPr>
              <w:spacing w:after="20"/>
            </w:pPr>
            <w:r>
              <w:rPr>
                <w:color w:val="1C3A36"/>
                <w:sz w:val="14"/>
              </w:rPr>
              <w:t>Global Cement, Egypt update; Enterprise industry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and price</w:t>
            </w:r>
          </w:p>
        </w:tc>
        <w:tc>
          <w:tcPr>
            <w:tcW w:type="dxa" w:w="5846"/>
          </w:tcPr>
          <w:p>
            <w:pPr>
              <w:spacing w:after="20"/>
            </w:pPr>
            <w:r>
              <w:rPr>
                <w:color w:val="1C3A36"/>
                <w:sz w:val="14"/>
              </w:rPr>
              <w:t>Domestic consumption grew 13-14% to roughly 54 million tonnes in 2025 and cement sales rose 10.4% to 44.7Mt in FY2024/25; Portland prices ran 80-85% above the 2024 average during 2025 and are expected to settle near EGP 3,600 per tonne in 2026, with demand growth forecasts for 2026 spanning 1% to 8%</w:t>
            </w:r>
          </w:p>
        </w:tc>
        <w:tc>
          <w:tcPr>
            <w:tcW w:type="dxa" w:w="3053"/>
          </w:tcPr>
          <w:p>
            <w:pPr>
              <w:spacing w:after="20"/>
            </w:pPr>
            <w:r>
              <w:rPr>
                <w:color w:val="1C3A36"/>
                <w:sz w:val="14"/>
              </w:rPr>
              <w:t>Enterprise industry review of Egyptian cement 2025; Arab Finance building-materials indicators</w:t>
            </w:r>
          </w:p>
        </w:tc>
        <w:tc>
          <w:tcPr>
            <w:tcW w:type="dxa" w:w="1267"/>
          </w:tcPr>
          <w:p>
            <w:pPr>
              <w:spacing w:after="20"/>
            </w:pPr>
            <w:r>
              <w:rPr>
                <w:color w:val="1C3A36"/>
                <w:sz w:val="14"/>
              </w:rPr>
              <w:t>2026-01-15</w:t>
            </w:r>
          </w:p>
        </w:tc>
      </w:tr>
      <w:tr>
        <w:tc>
          <w:tcPr>
            <w:tcW w:type="dxa" w:w="1094"/>
          </w:tcPr>
          <w:p>
            <w:pPr>
              <w:spacing w:after="20"/>
            </w:pPr>
            <w:r>
              <w:rPr>
                <w:color w:val="1C3A36"/>
                <w:sz w:val="14"/>
              </w:rPr>
              <w:t>Industry</w:t>
            </w:r>
          </w:p>
        </w:tc>
        <w:tc>
          <w:tcPr>
            <w:tcW w:type="dxa" w:w="2275"/>
          </w:tcPr>
          <w:p>
            <w:pPr>
              <w:spacing w:after="20"/>
            </w:pPr>
            <w:r>
              <w:rPr>
                <w:color w:val="1C3A36"/>
                <w:sz w:val="14"/>
              </w:rPr>
              <w:t>capacity and utilisation</w:t>
            </w:r>
          </w:p>
        </w:tc>
        <w:tc>
          <w:tcPr>
            <w:tcW w:type="dxa" w:w="5846"/>
          </w:tcPr>
          <w:p>
            <w:pPr>
              <w:spacing w:after="20"/>
            </w:pPr>
            <w:r>
              <w:rPr>
                <w:color w:val="1C3A36"/>
                <w:sz w:val="14"/>
              </w:rPr>
              <w:t>Egyptian nameplate capacity is about 76 million tonnes against roughly 54 million tonnes of domestic consumption and about 65 million tonnes of production</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exports</w:t>
            </w:r>
          </w:p>
        </w:tc>
        <w:tc>
          <w:tcPr>
            <w:tcW w:type="dxa" w:w="5846"/>
          </w:tcPr>
          <w:p>
            <w:pPr>
              <w:spacing w:after="20"/>
            </w:pPr>
            <w:r>
              <w:rPr>
                <w:color w:val="1C3A36"/>
                <w:sz w:val="14"/>
              </w:rPr>
              <w:t>Egyptian cement and clinker exports were about 18.5 million tonnes in 2025, with finished-cement exports up sharply and clinker exports down</w:t>
            </w:r>
          </w:p>
        </w:tc>
        <w:tc>
          <w:tcPr>
            <w:tcW w:type="dxa" w:w="3053"/>
          </w:tcPr>
          <w:p>
            <w:pPr>
              <w:spacing w:after="20"/>
            </w:pPr>
            <w:r>
              <w:rPr>
                <w:color w:val="1C3A36"/>
                <w:sz w:val="14"/>
              </w:rPr>
              <w:t>Global Cement export coverage</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cost benchmarks</w:t>
            </w:r>
          </w:p>
        </w:tc>
        <w:tc>
          <w:tcPr>
            <w:tcW w:type="dxa" w:w="5846"/>
          </w:tcPr>
          <w:p>
            <w:pPr>
              <w:spacing w:after="20"/>
            </w:pPr>
            <w:r>
              <w:rPr>
                <w:color w:val="1C3A36"/>
                <w:sz w:val="14"/>
              </w:rPr>
              <w:t>Dry preheater/precalciner kilns run at 3.2-3.6 GJ per tonne of clinker and 90-110 kWh per tonne of cement; replacement cost for grey-cement capacity sits in the USD 120-150 per annual tonne band and fixed cash cost in the USD 10-20 band</w:t>
            </w:r>
          </w:p>
        </w:tc>
        <w:tc>
          <w:tcPr>
            <w:tcW w:type="dxa" w:w="3053"/>
          </w:tcPr>
          <w:p>
            <w:pPr>
              <w:spacing w:after="20"/>
            </w:pPr>
            <w:r>
              <w:rPr>
                <w:color w:val="1C3A36"/>
                <w:sz w:val="14"/>
              </w:rPr>
              <w:t>Standard cement engineering and industry cost benchmarks</w:t>
            </w:r>
          </w:p>
        </w:tc>
        <w:tc>
          <w:tcPr>
            <w:tcW w:type="dxa" w:w="1267"/>
          </w:tcPr>
          <w:p>
            <w:pPr>
              <w:spacing w:after="20"/>
            </w:pPr>
            <w:r>
              <w:rPr>
                <w:color w:val="1C3A36"/>
                <w:sz w:val="14"/>
              </w:rPr>
              <w:t>2026-08-06</w:t>
            </w:r>
          </w:p>
        </w:tc>
      </w:tr>
      <w:tr>
        <w:tc>
          <w:tcPr>
            <w:tcW w:type="dxa" w:w="1094"/>
          </w:tcPr>
          <w:p>
            <w:pPr>
              <w:spacing w:after="20"/>
            </w:pPr>
            <w:r>
              <w:rPr>
                <w:color w:val="1C3A36"/>
                <w:sz w:val="14"/>
              </w:rPr>
              <w:t>Industry</w:t>
            </w:r>
          </w:p>
        </w:tc>
        <w:tc>
          <w:tcPr>
            <w:tcW w:type="dxa" w:w="2275"/>
          </w:tcPr>
          <w:p>
            <w:pPr>
              <w:spacing w:after="20"/>
            </w:pPr>
            <w:r>
              <w:rPr>
                <w:color w:val="1C3A36"/>
                <w:sz w:val="14"/>
              </w:rPr>
              <w:t>peer set</w:t>
            </w:r>
          </w:p>
        </w:tc>
        <w:tc>
          <w:tcPr>
            <w:tcW w:type="dxa" w:w="5846"/>
          </w:tcPr>
          <w:p>
            <w:pPr>
              <w:spacing w:after="20"/>
            </w:pPr>
            <w:r>
              <w:rPr>
                <w:color w:val="1C3A36"/>
                <w:sz w:val="14"/>
              </w:rPr>
              <w:t>The listed Egyptian cement comparator set is thin and its published multiples are internally inconsistent: for one peer a quoted price/earnings ratio cannot be reconciled with the market capitalisation printed beside it</w:t>
            </w:r>
          </w:p>
        </w:tc>
        <w:tc>
          <w:tcPr>
            <w:tcW w:type="dxa" w:w="3053"/>
          </w:tcPr>
          <w:p>
            <w:pPr>
              <w:spacing w:after="20"/>
            </w:pPr>
            <w:r>
              <w:rPr>
                <w:color w:val="1C3A36"/>
                <w:sz w:val="14"/>
              </w:rPr>
              <w:t>Aggregated peer data cross-checked against reported profit and market capitalisation</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asset base</w:t>
            </w:r>
          </w:p>
        </w:tc>
        <w:tc>
          <w:tcPr>
            <w:tcW w:type="dxa" w:w="5846"/>
          </w:tcPr>
          <w:p>
            <w:pPr>
              <w:spacing w:after="20"/>
            </w:pPr>
            <w:r>
              <w:rPr>
                <w:color w:val="1C3A36"/>
                <w:sz w:val="14"/>
              </w:rPr>
              <w:t>A cement producer with a clinker capacity of 4.2 million tonnes a year that can produce 5 million tonnes a year of cement, on two lines in Suez governorate</w:t>
            </w:r>
          </w:p>
        </w:tc>
        <w:tc>
          <w:tcPr>
            <w:tcW w:type="dxa" w:w="3053"/>
          </w:tcPr>
          <w:p>
            <w:pPr>
              <w:spacing w:after="20"/>
            </w:pPr>
            <w:r>
              <w:rPr>
                <w:color w:val="1C3A36"/>
                <w:sz w:val="14"/>
              </w:rPr>
              <w:t>Audited FY2025 statements note 1</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Net sales EGP 4.67bn (2022), 6.04bn (2023), 8.729bn (2024) and 12.447bn (2025, +42.6%); attributable profit EGP 358.98mn, 697.49mn, 1.160bn and 3.599bn; earnings per share EGP 3.02 (2024) and 9.49 (2025)</w:t>
            </w:r>
          </w:p>
        </w:tc>
        <w:tc>
          <w:tcPr>
            <w:tcW w:type="dxa" w:w="3053"/>
          </w:tcPr>
          <w:p>
            <w:pPr>
              <w:spacing w:after="20"/>
            </w:pPr>
            <w:r>
              <w:rPr>
                <w:color w:val="1C3A36"/>
                <w:sz w:val="14"/>
              </w:rPr>
              <w:t>Audited consolidated financial statements FY2023-FY2025, Deloitte (Wafik, Ramy &amp; Partners), signed 25 February 2026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financial history</w:t>
            </w:r>
          </w:p>
        </w:tc>
        <w:tc>
          <w:tcPr>
            <w:tcW w:type="dxa" w:w="5846"/>
          </w:tcPr>
          <w:p>
            <w:pPr>
              <w:spacing w:after="20"/>
            </w:pPr>
            <w:r>
              <w:rPr>
                <w:color w:val="1C3A36"/>
                <w:sz w:val="14"/>
              </w:rPr>
              <w:t>Full-year 2025 operating income of EGP 4,595.82mn and a fourth-quarter EBITDA of EGP 1,393.01mn on fourth-quarter sales of EGP 3,645.60mn; trailing gross margin 40.77%</w:t>
            </w:r>
          </w:p>
        </w:tc>
        <w:tc>
          <w:tcPr>
            <w:tcW w:type="dxa" w:w="3053"/>
          </w:tcPr>
          <w:p>
            <w:pPr>
              <w:spacing w:after="20"/>
            </w:pPr>
            <w:r>
              <w:rPr>
                <w:color w:val="1C3A36"/>
                <w:sz w:val="14"/>
              </w:rPr>
              <w:t>Audited consolidated financial statements FY2025 — statement of profit or loss, and notes 5 and 6</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balance sheet</w:t>
            </w:r>
          </w:p>
        </w:tc>
        <w:tc>
          <w:tcPr>
            <w:tcW w:type="dxa" w:w="5846"/>
          </w:tcPr>
          <w:p>
            <w:pPr>
              <w:spacing w:after="20"/>
            </w:pPr>
            <w:r>
              <w:rPr>
                <w:color w:val="1C3A36"/>
                <w:sz w:val="14"/>
              </w:rPr>
              <w:t>Total assets about EGP 8,783.72mn, total equity about EGP 4,642.73mn, total debt about EGP 1,035.19mn and cash about EGP 3,459.39mn on the latest reported balance sheet — a NET CASH position of roughly EGP 2.42bn</w:t>
            </w:r>
          </w:p>
        </w:tc>
        <w:tc>
          <w:tcPr>
            <w:tcW w:type="dxa" w:w="3053"/>
          </w:tcPr>
          <w:p>
            <w:pPr>
              <w:spacing w:after="20"/>
            </w:pPr>
            <w:r>
              <w:rPr>
                <w:color w:val="1C3A36"/>
                <w:sz w:val="14"/>
              </w:rPr>
              <w:t>Audited consolidated statement of financial position at 31 December 2025 and notes 19, 20, 21, 24 and 25</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recent trading</w:t>
            </w:r>
          </w:p>
        </w:tc>
        <w:tc>
          <w:tcPr>
            <w:tcW w:type="dxa" w:w="5846"/>
          </w:tcPr>
          <w:p>
            <w:pPr>
              <w:spacing w:after="20"/>
            </w:pPr>
            <w:r>
              <w:rPr>
                <w:color w:val="1C3A36"/>
                <w:sz w:val="14"/>
              </w:rPr>
              <w:t>First-quarter 2026 net sales EGP 2.995bn (from 2.554bn) and attributable profit EGP 943.068mn (from 590.347mn), +59.7% year on year, earnings per share EGP 2.50</w:t>
            </w:r>
          </w:p>
        </w:tc>
        <w:tc>
          <w:tcPr>
            <w:tcW w:type="dxa" w:w="3053"/>
          </w:tcPr>
          <w:p>
            <w:pPr>
              <w:spacing w:after="20"/>
            </w:pPr>
            <w:r>
              <w:rPr>
                <w:color w:val="1C3A36"/>
                <w:sz w:val="14"/>
              </w:rPr>
              <w:t>Reviewed condensed consolidated interim financial statements, three months to 31 March 2026, Deloitte, 25 May 2026</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distributions</w:t>
            </w:r>
          </w:p>
        </w:tc>
        <w:tc>
          <w:tcPr>
            <w:tcW w:type="dxa" w:w="5846"/>
          </w:tcPr>
          <w:p>
            <w:pPr>
              <w:spacing w:after="20"/>
            </w:pPr>
            <w:r>
              <w:rPr>
                <w:color w:val="1C3A36"/>
                <w:sz w:val="14"/>
              </w:rPr>
              <w:t>Cash dividends of EGP 1.10bn for 2024 (EGP 2.94 per share) and EGP 2.0bn for 2025 (EGP 5.34 per share), a payout of about 56% of attributable profit</w:t>
            </w:r>
          </w:p>
        </w:tc>
        <w:tc>
          <w:tcPr>
            <w:tcW w:type="dxa" w:w="3053"/>
          </w:tcPr>
          <w:p>
            <w:pPr>
              <w:spacing w:after="20"/>
            </w:pPr>
            <w:r>
              <w:rPr>
                <w:color w:val="1C3A36"/>
                <w:sz w:val="14"/>
              </w:rPr>
              <w:t>Audited FY2025 statements note 28 (general assembly resolution of 2 December 2025) and the Q1-2026 dividends-payable balance</w:t>
            </w:r>
          </w:p>
        </w:tc>
        <w:tc>
          <w:tcPr>
            <w:tcW w:type="dxa" w:w="1267"/>
          </w:tcPr>
          <w:p>
            <w:pPr>
              <w:spacing w:after="20"/>
            </w:pPr>
            <w:r>
              <w:rPr>
                <w:color w:val="1C3A36"/>
                <w:sz w:val="14"/>
              </w:rPr>
              <w:t>2026-03-31</w:t>
            </w:r>
          </w:p>
        </w:tc>
      </w:tr>
      <w:tr>
        <w:tc>
          <w:tcPr>
            <w:tcW w:type="dxa" w:w="1094"/>
          </w:tcPr>
          <w:p>
            <w:pPr>
              <w:spacing w:after="20"/>
            </w:pPr>
            <w:r>
              <w:rPr>
                <w:color w:val="1C3A36"/>
                <w:sz w:val="14"/>
              </w:rPr>
              <w:t>Company</w:t>
            </w:r>
          </w:p>
        </w:tc>
        <w:tc>
          <w:tcPr>
            <w:tcW w:type="dxa" w:w="2275"/>
          </w:tcPr>
          <w:p>
            <w:pPr>
              <w:spacing w:after="20"/>
            </w:pPr>
            <w:r>
              <w:rPr>
                <w:color w:val="1C3A36"/>
                <w:sz w:val="14"/>
              </w:rPr>
              <w:t>ownership</w:t>
            </w:r>
          </w:p>
        </w:tc>
        <w:tc>
          <w:tcPr>
            <w:tcW w:type="dxa" w:w="5846"/>
          </w:tcPr>
          <w:p>
            <w:pPr>
              <w:spacing w:after="20"/>
            </w:pPr>
            <w:r>
              <w:rPr>
                <w:color w:val="1C3A36"/>
                <w:sz w:val="14"/>
              </w:rPr>
              <w:t>Aridos Jativa, a Spanish company, owns 60% of the capital. The group also consolidates Andalus Concrete (99.99%), ACC Management and Trading (99%), Evolve for Investment and Project Management — the alternative-fuel arm — and Egypt Green for environmental services, both 99.99%. The company holds 1% of its own capital in treasury, acquired during 2025 under a board approval of 21 July 2025</w:t>
            </w:r>
          </w:p>
        </w:tc>
        <w:tc>
          <w:tcPr>
            <w:tcW w:type="dxa" w:w="3053"/>
          </w:tcPr>
          <w:p>
            <w:pPr>
              <w:spacing w:after="20"/>
            </w:pPr>
            <w:r>
              <w:rPr>
                <w:color w:val="1C3A36"/>
                <w:sz w:val="14"/>
              </w:rPr>
              <w:t>Audited FY2025 statements notes 1, 21 and 24</w:t>
            </w:r>
          </w:p>
        </w:tc>
        <w:tc>
          <w:tcPr>
            <w:tcW w:type="dxa" w:w="1267"/>
          </w:tcPr>
          <w:p>
            <w:pPr>
              <w:spacing w:after="20"/>
            </w:pPr>
            <w:r>
              <w:rPr>
                <w:color w:val="1C3A36"/>
                <w:sz w:val="14"/>
              </w:rPr>
              <w:t>2025-12-31</w:t>
            </w:r>
          </w:p>
        </w:tc>
      </w:tr>
      <w:tr>
        <w:tc>
          <w:tcPr>
            <w:tcW w:type="dxa" w:w="1094"/>
          </w:tcPr>
          <w:p>
            <w:pPr>
              <w:spacing w:after="20"/>
            </w:pPr>
            <w:r>
              <w:rPr>
                <w:color w:val="1C3A36"/>
                <w:sz w:val="14"/>
              </w:rPr>
              <w:t>Company</w:t>
            </w:r>
          </w:p>
        </w:tc>
        <w:tc>
          <w:tcPr>
            <w:tcW w:type="dxa" w:w="2275"/>
          </w:tcPr>
          <w:p>
            <w:pPr>
              <w:spacing w:after="20"/>
            </w:pPr>
            <w:r>
              <w:rPr>
                <w:color w:val="1C3A36"/>
                <w:sz w:val="14"/>
              </w:rPr>
              <w:t>decarbonisation and cost position</w:t>
            </w:r>
          </w:p>
        </w:tc>
        <w:tc>
          <w:tcPr>
            <w:tcW w:type="dxa" w:w="5846"/>
          </w:tcPr>
          <w:p>
            <w:pPr>
              <w:spacing w:after="20"/>
            </w:pPr>
            <w:r>
              <w:rPr>
                <w:color w:val="1C3A36"/>
                <w:sz w:val="14"/>
              </w:rPr>
              <w:t>The company is Egypt's alternative-fuel leader — refuse-derived fuel and biomass substitution, a 7.2 MWh solar station commissioned in 2019, baghouse filters and hydrogen injection in 2024, targeting a 120,000-tonne annual emissions reduction — and is advancing supplementary cementitious materials, calcined-clay clinker and a CEM III product with 50% slag</w:t>
            </w:r>
          </w:p>
        </w:tc>
        <w:tc>
          <w:tcPr>
            <w:tcW w:type="dxa" w:w="3053"/>
          </w:tcPr>
          <w:p>
            <w:pPr>
              <w:spacing w:after="20"/>
            </w:pPr>
            <w:r>
              <w:rPr>
                <w:color w:val="1C3A36"/>
                <w:sz w:val="14"/>
              </w:rPr>
              <w:t>Company sustainability disclosure and industry coverage</w:t>
            </w:r>
          </w:p>
        </w:tc>
        <w:tc>
          <w:tcPr>
            <w:tcW w:type="dxa" w:w="1267"/>
          </w:tcPr>
          <w:p>
            <w:pPr>
              <w:spacing w:after="20"/>
            </w:pPr>
            <w:r>
              <w:rPr>
                <w:color w:val="1C3A36"/>
                <w:sz w:val="14"/>
              </w:rPr>
              <w:t>2026-01-01</w:t>
            </w:r>
          </w:p>
        </w:tc>
      </w:tr>
      <w:tr>
        <w:tc>
          <w:tcPr>
            <w:tcW w:type="dxa" w:w="1094"/>
          </w:tcPr>
          <w:p>
            <w:pPr>
              <w:spacing w:after="20"/>
            </w:pPr>
            <w:r>
              <w:rPr>
                <w:color w:val="1C3A36"/>
                <w:sz w:val="14"/>
              </w:rPr>
              <w:t>Company</w:t>
            </w:r>
          </w:p>
        </w:tc>
        <w:tc>
          <w:tcPr>
            <w:tcW w:type="dxa" w:w="2275"/>
          </w:tcPr>
          <w:p>
            <w:pPr>
              <w:spacing w:after="20"/>
            </w:pPr>
            <w:r>
              <w:rPr>
                <w:color w:val="1C3A36"/>
                <w:sz w:val="14"/>
              </w:rPr>
              <w:t>market data</w:t>
            </w:r>
          </w:p>
        </w:tc>
        <w:tc>
          <w:tcPr>
            <w:tcW w:type="dxa" w:w="5846"/>
          </w:tcPr>
          <w:p>
            <w:pPr>
              <w:spacing w:after="20"/>
            </w:pPr>
            <w:r>
              <w:rPr>
                <w:color w:val="1C3A36"/>
                <w:sz w:val="14"/>
              </w:rPr>
              <w:t>Closing price EGP 59.00 on 6 August 2026 (open 58.40, high 59.90, low 58.25) on 374.87mn shares — a market capitalisation of about EGP 22.1bn</w:t>
            </w:r>
          </w:p>
        </w:tc>
        <w:tc>
          <w:tcPr>
            <w:tcW w:type="dxa" w:w="3053"/>
          </w:tcPr>
          <w:p>
            <w:pPr>
              <w:spacing w:after="20"/>
            </w:pPr>
            <w:r>
              <w:rPr>
                <w:color w:val="1C3A36"/>
                <w:sz w:val="14"/>
              </w:rPr>
              <w:t>The supplied EGX daily series; share count corroborated by both dividend distributions</w:t>
            </w:r>
          </w:p>
        </w:tc>
        <w:tc>
          <w:tcPr>
            <w:tcW w:type="dxa" w:w="1267"/>
          </w:tcPr>
          <w:p>
            <w:pPr>
              <w:spacing w:after="20"/>
            </w:pPr>
            <w:r>
              <w:rPr>
                <w:color w:val="1C3A36"/>
                <w:sz w:val="14"/>
              </w:rPr>
              <w:t>2026-08-06</w:t>
            </w:r>
          </w:p>
        </w:tc>
      </w:tr>
      <w:tr>
        <w:tc>
          <w:tcPr>
            <w:tcW w:type="dxa" w:w="1094"/>
          </w:tcPr>
          <w:p>
            <w:pPr>
              <w:spacing w:after="20"/>
            </w:pPr>
            <w:r>
              <w:rPr>
                <w:color w:val="1C3A36"/>
                <w:sz w:val="14"/>
              </w:rPr>
              <w:t>Company</w:t>
            </w:r>
          </w:p>
        </w:tc>
        <w:tc>
          <w:tcPr>
            <w:tcW w:type="dxa" w:w="2275"/>
          </w:tcPr>
          <w:p>
            <w:pPr>
              <w:spacing w:after="20"/>
            </w:pPr>
            <w:r>
              <w:rPr>
                <w:color w:val="1C3A36"/>
                <w:sz w:val="14"/>
              </w:rPr>
              <w:t>price behaviour</w:t>
            </w:r>
          </w:p>
        </w:tc>
        <w:tc>
          <w:tcPr>
            <w:tcW w:type="dxa" w:w="5846"/>
          </w:tcPr>
          <w:p>
            <w:pPr>
              <w:spacing w:after="20"/>
            </w:pPr>
            <w:r>
              <w:rPr>
                <w:color w:val="1C3A36"/>
                <w:sz w:val="14"/>
              </w:rPr>
              <w:t>The supplied series runs 2,957 sessions from 18 May 2014 to 6 August 2026 with no placeholder rows, no unadjusted corporate action and a largest single-session move of 18.2% against the exchange's 20% daily limit; the share closes unchanged on 12.2% of sessions against an Egyptian library median of 9.0%</w:t>
            </w:r>
          </w:p>
        </w:tc>
        <w:tc>
          <w:tcPr>
            <w:tcW w:type="dxa" w:w="3053"/>
          </w:tcPr>
          <w:p>
            <w:pPr>
              <w:spacing w:after="20"/>
            </w:pPr>
            <w:r>
              <w:rPr>
                <w:color w:val="1C3A36"/>
                <w:sz w:val="14"/>
              </w:rPr>
              <w:t>House data-quality gate over the supplied series</w:t>
            </w:r>
          </w:p>
        </w:tc>
        <w:tc>
          <w:tcPr>
            <w:tcW w:type="dxa" w:w="1267"/>
          </w:tcPr>
          <w:p>
            <w:pPr>
              <w:spacing w:after="20"/>
            </w:pPr>
            <w:r>
              <w:rPr>
                <w:color w:val="1C3A36"/>
                <w:sz w:val="14"/>
              </w:rPr>
              <w:t>2026-08-06</w:t>
            </w:r>
          </w:p>
        </w:tc>
      </w:tr>
    </w:tbl>
    <w:p>
      <w:pPr>
        <w:spacing w:after="40"/>
      </w:pPr>
    </w:p>
    <w:p>
      <w:pPr>
        <w:spacing w:after="120" w:before="240"/>
      </w:pPr>
      <w:r>
        <w:rPr>
          <w:b/>
          <w:i w:val="0"/>
          <w:color w:val="1C3A36"/>
          <w:sz w:val="30"/>
        </w:rPr>
        <w:t>5  How each forecast driver was set</w:t>
      </w:r>
    </w:p>
    <w:p>
      <w:pPr>
        <w:spacing w:after="100" w:before="0"/>
      </w:pPr>
      <w:r>
        <w:rPr>
          <w:b w:val="0"/>
          <w:i w:val="0"/>
          <w:color w:val="1C3A36"/>
          <w:sz w:val="19"/>
        </w:rPr>
        <w:t>Every driver states whether it was built from the ground up or set from the top down, and names the findings above that it rests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8280"/>
        <w:gridCol w:w="1584"/>
      </w:tblGrid>
      <w:tr>
        <w:tc>
          <w:tcPr>
            <w:tcW w:type="dxa" w:w="2448"/>
            <w:shd w:val="clear" w:color="auto" w:fill="EAF0EE"/>
          </w:tcPr>
          <w:p>
            <w:pPr>
              <w:spacing w:after="20"/>
            </w:pPr>
            <w:r>
              <w:rPr>
                <w:b/>
                <w:color w:val="1C3A36"/>
                <w:sz w:val="15"/>
              </w:rPr>
              <w:t>Driver</w:t>
            </w:r>
          </w:p>
        </w:tc>
        <w:tc>
          <w:tcPr>
            <w:tcW w:type="dxa" w:w="1224"/>
            <w:shd w:val="clear" w:color="auto" w:fill="EAF0EE"/>
          </w:tcPr>
          <w:p>
            <w:pPr>
              <w:spacing w:after="20"/>
            </w:pPr>
            <w:r>
              <w:rPr>
                <w:b/>
                <w:color w:val="1C3A36"/>
                <w:sz w:val="15"/>
              </w:rPr>
              <w:t>Basis</w:t>
            </w:r>
          </w:p>
        </w:tc>
        <w:tc>
          <w:tcPr>
            <w:tcW w:type="dxa" w:w="8280"/>
            <w:shd w:val="clear" w:color="auto" w:fill="EAF0EE"/>
          </w:tcPr>
          <w:p>
            <w:pPr>
              <w:spacing w:after="20"/>
            </w:pPr>
            <w:r>
              <w:rPr>
                <w:b/>
                <w:color w:val="1C3A36"/>
                <w:sz w:val="15"/>
              </w:rPr>
              <w:t>How it was set</w:t>
            </w:r>
          </w:p>
        </w:tc>
        <w:tc>
          <w:tcPr>
            <w:tcW w:type="dxa" w:w="1584"/>
            <w:shd w:val="clear" w:color="auto" w:fill="EAF0EE"/>
          </w:tcPr>
          <w:p>
            <w:pPr>
              <w:spacing w:after="20"/>
            </w:pPr>
            <w:r>
              <w:rPr>
                <w:b/>
                <w:color w:val="1C3A36"/>
                <w:sz w:val="15"/>
              </w:rPr>
              <w:t>Findings</w:t>
            </w:r>
          </w:p>
        </w:tc>
      </w:tr>
      <w:tr>
        <w:tc>
          <w:tcPr>
            <w:tcW w:type="dxa" w:w="2448"/>
          </w:tcPr>
          <w:p>
            <w:pPr>
              <w:spacing w:after="20"/>
            </w:pPr>
            <w:r>
              <w:rPr>
                <w:color w:val="1C3A36"/>
                <w:sz w:val="15"/>
              </w:rPr>
              <w:t>Sales volume (Mt)</w:t>
            </w:r>
          </w:p>
        </w:tc>
        <w:tc>
          <w:tcPr>
            <w:tcW w:type="dxa" w:w="1224"/>
          </w:tcPr>
          <w:p>
            <w:pPr>
              <w:spacing w:after="20"/>
            </w:pPr>
            <w:r>
              <w:rPr>
                <w:color w:val="1C3A36"/>
                <w:sz w:val="15"/>
              </w:rPr>
              <w:t>Bottom Up</w:t>
            </w:r>
          </w:p>
        </w:tc>
        <w:tc>
          <w:tcPr>
            <w:tcW w:type="dxa" w:w="8280"/>
          </w:tcPr>
          <w:p>
            <w:pPr>
              <w:spacing w:after="20"/>
            </w:pPr>
            <w:r>
              <w:rPr>
                <w:color w:val="1C3A36"/>
                <w:sz w:val="15"/>
              </w:rPr>
              <w:t>Built from nameplate cement capacity of about 5.0Mt times a kiln utilisation path, cross-checked two ways: against the disclosed share of Egyptian nominal capacity (about 6% of 76Mt = 4.6Mt) and against sector utilisation of roughly 70%. Quota abolition is the unlock that lets utilisation rise.</w:t>
            </w:r>
          </w:p>
        </w:tc>
        <w:tc>
          <w:tcPr>
            <w:tcW w:type="dxa" w:w="1584"/>
          </w:tcPr>
          <w:p>
            <w:pPr>
              <w:spacing w:after="20"/>
            </w:pPr>
            <w:r>
              <w:rPr>
                <w:color w:val="1C3A36"/>
                <w:sz w:val="15"/>
              </w:rPr>
              <w:t>F17, F10, F13, F11</w:t>
            </w:r>
          </w:p>
        </w:tc>
      </w:tr>
      <w:tr>
        <w:tc>
          <w:tcPr>
            <w:tcW w:type="dxa" w:w="2448"/>
          </w:tcPr>
          <w:p>
            <w:pPr>
              <w:spacing w:after="20"/>
            </w:pPr>
            <w:r>
              <w:rPr>
                <w:color w:val="1C3A36"/>
                <w:sz w:val="15"/>
              </w:rPr>
              <w:t>Realised price (EGP/t)</w:t>
            </w:r>
          </w:p>
        </w:tc>
        <w:tc>
          <w:tcPr>
            <w:tcW w:type="dxa" w:w="1224"/>
          </w:tcPr>
          <w:p>
            <w:pPr>
              <w:spacing w:after="20"/>
            </w:pPr>
            <w:r>
              <w:rPr>
                <w:color w:val="1C3A36"/>
                <w:sz w:val="15"/>
              </w:rPr>
              <w:t>Bottom Up</w:t>
            </w:r>
          </w:p>
        </w:tc>
        <w:tc>
          <w:tcPr>
            <w:tcW w:type="dxa" w:w="8280"/>
          </w:tcPr>
          <w:p>
            <w:pPr>
              <w:spacing w:after="20"/>
            </w:pPr>
            <w:r>
              <w:rPr>
                <w:color w:val="1C3A36"/>
                <w:sz w:val="15"/>
              </w:rPr>
              <w:t>Domestic and export prices are carried separately. The FY2025 domestic price is the level the DISCLOSED revenue implies given the volume build and the export split, so the build ties back to the printed top line rather than asserting a price.</w:t>
            </w:r>
          </w:p>
        </w:tc>
        <w:tc>
          <w:tcPr>
            <w:tcW w:type="dxa" w:w="1584"/>
          </w:tcPr>
          <w:p>
            <w:pPr>
              <w:spacing w:after="20"/>
            </w:pPr>
            <w:r>
              <w:rPr>
                <w:color w:val="1C3A36"/>
                <w:sz w:val="15"/>
              </w:rPr>
              <w:t>F12, F14, F18, F04</w:t>
            </w:r>
          </w:p>
        </w:tc>
      </w:tr>
      <w:tr>
        <w:tc>
          <w:tcPr>
            <w:tcW w:type="dxa" w:w="2448"/>
          </w:tcPr>
          <w:p>
            <w:pPr>
              <w:spacing w:after="20"/>
            </w:pPr>
            <w:r>
              <w:rPr>
                <w:color w:val="1C3A36"/>
                <w:sz w:val="15"/>
              </w:rPr>
              <w:t>Fuel cost and alternative-fuel substitution</w:t>
            </w:r>
          </w:p>
        </w:tc>
        <w:tc>
          <w:tcPr>
            <w:tcW w:type="dxa" w:w="1224"/>
          </w:tcPr>
          <w:p>
            <w:pPr>
              <w:spacing w:after="20"/>
            </w:pPr>
            <w:r>
              <w:rPr>
                <w:color w:val="1C3A36"/>
                <w:sz w:val="15"/>
              </w:rPr>
              <w:t>Bottom Up</w:t>
            </w:r>
          </w:p>
        </w:tc>
        <w:tc>
          <w:tcPr>
            <w:tcW w:type="dxa" w:w="8280"/>
          </w:tcPr>
          <w:p>
            <w:pPr>
              <w:spacing w:after="20"/>
            </w:pPr>
            <w:r>
              <w:rPr>
                <w:color w:val="1C3A36"/>
                <w:sz w:val="15"/>
              </w:rPr>
              <w:t>Thermal energy per tonne of clinker times a blended fuel price, where the blend is the company's own alternative-fuel substitution rate applied between a fossil and a refuse-derived fuel price. This is the company-specific lever and it is modelled as one, not folded into a margin.</w:t>
            </w:r>
          </w:p>
        </w:tc>
        <w:tc>
          <w:tcPr>
            <w:tcW w:type="dxa" w:w="1584"/>
          </w:tcPr>
          <w:p>
            <w:pPr>
              <w:spacing w:after="20"/>
            </w:pPr>
            <w:r>
              <w:rPr>
                <w:color w:val="1C3A36"/>
                <w:sz w:val="15"/>
              </w:rPr>
              <w:t>F24, F02, F15, F07</w:t>
            </w:r>
          </w:p>
        </w:tc>
      </w:tr>
      <w:tr>
        <w:tc>
          <w:tcPr>
            <w:tcW w:type="dxa" w:w="2448"/>
          </w:tcPr>
          <w:p>
            <w:pPr>
              <w:spacing w:after="20"/>
            </w:pPr>
            <w:r>
              <w:rPr>
                <w:color w:val="1C3A36"/>
                <w:sz w:val="15"/>
              </w:rPr>
              <w:t>EBITDA margin</w:t>
            </w:r>
          </w:p>
        </w:tc>
        <w:tc>
          <w:tcPr>
            <w:tcW w:type="dxa" w:w="1224"/>
          </w:tcPr>
          <w:p>
            <w:pPr>
              <w:spacing w:after="20"/>
            </w:pPr>
            <w:r>
              <w:rPr>
                <w:color w:val="1C3A36"/>
                <w:sz w:val="15"/>
              </w:rPr>
              <w:t>Bottom Up</w:t>
            </w:r>
          </w:p>
        </w:tc>
        <w:tc>
          <w:tcPr>
            <w:tcW w:type="dxa" w:w="8280"/>
          </w:tcPr>
          <w:p>
            <w:pPr>
              <w:spacing w:after="20"/>
            </w:pPr>
            <w:r>
              <w:rPr>
                <w:color w:val="1C3A36"/>
                <w:sz w:val="15"/>
              </w:rPr>
              <w:t>An OUTPUT of the physical cost stack, not an input. It glides down from the FY2025 peak on two named, dated mechanisms — 12.6Mt of dormant capacity restarting from 2H-2026, and phased energy-subsidy reform — and is calibrated so the FY2025 reconstruction reproduces the disclosed operating profit.</w:t>
            </w:r>
          </w:p>
        </w:tc>
        <w:tc>
          <w:tcPr>
            <w:tcW w:type="dxa" w:w="1584"/>
          </w:tcPr>
          <w:p>
            <w:pPr>
              <w:spacing w:after="20"/>
            </w:pPr>
            <w:r>
              <w:rPr>
                <w:color w:val="1C3A36"/>
                <w:sz w:val="15"/>
              </w:rPr>
              <w:t>F11, F08, F19, F15</w:t>
            </w:r>
          </w:p>
        </w:tc>
      </w:tr>
      <w:tr>
        <w:tc>
          <w:tcPr>
            <w:tcW w:type="dxa" w:w="2448"/>
          </w:tcPr>
          <w:p>
            <w:pPr>
              <w:spacing w:after="20"/>
            </w:pPr>
            <w:r>
              <w:rPr>
                <w:color w:val="1C3A36"/>
                <w:sz w:val="15"/>
              </w:rPr>
              <w:t>Depreciation and amortisation</w:t>
            </w:r>
          </w:p>
        </w:tc>
        <w:tc>
          <w:tcPr>
            <w:tcW w:type="dxa" w:w="1224"/>
          </w:tcPr>
          <w:p>
            <w:pPr>
              <w:spacing w:after="20"/>
            </w:pPr>
            <w:r>
              <w:rPr>
                <w:color w:val="1C3A36"/>
                <w:sz w:val="15"/>
              </w:rPr>
              <w:t>Top Down</w:t>
            </w:r>
          </w:p>
        </w:tc>
        <w:tc>
          <w:tcPr>
            <w:tcW w:type="dxa" w:w="8280"/>
          </w:tcPr>
          <w:p>
            <w:pPr>
              <w:spacing w:after="20"/>
            </w:pPr>
            <w:r>
              <w:rPr>
                <w:color w:val="1C3A36"/>
                <w:sz w:val="15"/>
              </w:rPr>
              <w:t>No depreciation line is separately disclosed in any retrievable source. It is TRIANGULATED on the sheet by three independent methods — a fourth-quarter EBITDA-margin closure, a peer per-tonne anchor, and a net-property-base estimate times a composite rate — and averaged there rather than asserted.</w:t>
            </w:r>
          </w:p>
        </w:tc>
        <w:tc>
          <w:tcPr>
            <w:tcW w:type="dxa" w:w="1584"/>
          </w:tcPr>
          <w:p>
            <w:pPr>
              <w:spacing w:after="20"/>
            </w:pPr>
            <w:r>
              <w:rPr>
                <w:color w:val="1C3A36"/>
                <w:sz w:val="15"/>
              </w:rPr>
              <w:t>F19, F20</w:t>
            </w:r>
          </w:p>
        </w:tc>
      </w:tr>
      <w:tr>
        <w:tc>
          <w:tcPr>
            <w:tcW w:type="dxa" w:w="2448"/>
          </w:tcPr>
          <w:p>
            <w:pPr>
              <w:spacing w:after="20"/>
            </w:pPr>
            <w:r>
              <w:rPr>
                <w:color w:val="1C3A36"/>
                <w:sz w:val="15"/>
              </w:rPr>
              <w:t>Capital expenditure</w:t>
            </w:r>
          </w:p>
        </w:tc>
        <w:tc>
          <w:tcPr>
            <w:tcW w:type="dxa" w:w="1224"/>
          </w:tcPr>
          <w:p>
            <w:pPr>
              <w:spacing w:after="20"/>
            </w:pPr>
            <w:r>
              <w:rPr>
                <w:color w:val="1C3A36"/>
                <w:sz w:val="15"/>
              </w:rPr>
              <w:t>Top Down</w:t>
            </w:r>
          </w:p>
        </w:tc>
        <w:tc>
          <w:tcPr>
            <w:tcW w:type="dxa" w:w="8280"/>
          </w:tcPr>
          <w:p>
            <w:pPr>
              <w:spacing w:after="20"/>
            </w:pPr>
            <w:r>
              <w:rPr>
                <w:color w:val="1C3A36"/>
                <w:sz w:val="15"/>
              </w:rPr>
              <w:t>No capital-expenditure guidance is obtainable. Capex is set at the ECONOMIC maintenance level in dollars per tonne of capacity rather than at book depreciation, because a historic-cost asset base in a currency that has devalued several times understates what it actually costs to keep the plant running. This is deliberately conservative and is stated as such.</w:t>
            </w:r>
          </w:p>
        </w:tc>
        <w:tc>
          <w:tcPr>
            <w:tcW w:type="dxa" w:w="1584"/>
          </w:tcPr>
          <w:p>
            <w:pPr>
              <w:spacing w:after="20"/>
            </w:pPr>
            <w:r>
              <w:rPr>
                <w:color w:val="1C3A36"/>
                <w:sz w:val="15"/>
              </w:rPr>
              <w:t>F15, F17, F07</w:t>
            </w:r>
          </w:p>
        </w:tc>
      </w:tr>
      <w:tr>
        <w:tc>
          <w:tcPr>
            <w:tcW w:type="dxa" w:w="2448"/>
          </w:tcPr>
          <w:p>
            <w:pPr>
              <w:spacing w:after="20"/>
            </w:pPr>
            <w:r>
              <w:rPr>
                <w:color w:val="1C3A36"/>
                <w:sz w:val="15"/>
              </w:rPr>
              <w:t>Cost of debt and the discount-rate glide</w:t>
            </w:r>
          </w:p>
        </w:tc>
        <w:tc>
          <w:tcPr>
            <w:tcW w:type="dxa" w:w="1224"/>
          </w:tcPr>
          <w:p>
            <w:pPr>
              <w:spacing w:after="20"/>
            </w:pPr>
            <w:r>
              <w:rPr>
                <w:color w:val="1C3A36"/>
                <w:sz w:val="15"/>
              </w:rPr>
              <w:t>Bottom Up</w:t>
            </w:r>
          </w:p>
        </w:tc>
        <w:tc>
          <w:tcPr>
            <w:tcW w:type="dxa" w:w="8280"/>
          </w:tcPr>
          <w:p>
            <w:pPr>
              <w:spacing w:after="20"/>
            </w:pPr>
            <w:r>
              <w:rPr>
                <w:color w:val="1C3A36"/>
                <w:sz w:val="15"/>
              </w:rPr>
              <w:t>The company is NET CASH, so the cost of debt carries almost no weight in the blended rate; the glide SHAPE is inherited from the cost-of-debt path implied by the central bank's own easing calendar rather than invented separately.</w:t>
            </w:r>
          </w:p>
        </w:tc>
        <w:tc>
          <w:tcPr>
            <w:tcW w:type="dxa" w:w="1584"/>
          </w:tcPr>
          <w:p>
            <w:pPr>
              <w:spacing w:after="20"/>
            </w:pPr>
            <w:r>
              <w:rPr>
                <w:color w:val="1C3A36"/>
                <w:sz w:val="15"/>
              </w:rPr>
              <w:t>F05, F20</w:t>
            </w:r>
          </w:p>
        </w:tc>
      </w:tr>
      <w:tr>
        <w:tc>
          <w:tcPr>
            <w:tcW w:type="dxa" w:w="2448"/>
          </w:tcPr>
          <w:p>
            <w:pPr>
              <w:spacing w:after="20"/>
            </w:pPr>
            <w:r>
              <w:rPr>
                <w:color w:val="1C3A36"/>
                <w:sz w:val="15"/>
              </w:rPr>
              <w:t>Terminal risk-free rate</w:t>
            </w:r>
          </w:p>
        </w:tc>
        <w:tc>
          <w:tcPr>
            <w:tcW w:type="dxa" w:w="1224"/>
          </w:tcPr>
          <w:p>
            <w:pPr>
              <w:spacing w:after="20"/>
            </w:pPr>
            <w:r>
              <w:rPr>
                <w:color w:val="1C3A36"/>
                <w:sz w:val="15"/>
              </w:rPr>
              <w:t>Bottom Up</w:t>
            </w:r>
          </w:p>
        </w:tc>
        <w:tc>
          <w:tcPr>
            <w:tcW w:type="dxa" w:w="8280"/>
          </w:tcPr>
          <w:p>
            <w:pPr>
              <w:spacing w:after="20"/>
            </w:pPr>
            <w:r>
              <w:rPr>
                <w:color w:val="1C3A36"/>
                <w:sz w:val="15"/>
              </w:rPr>
              <w:t>Norm-built from the central bank's own published medium-term inflation target plus a standard emerging-market real-rate convention. Never a historical average and never reverse-engineered from a target price.</w:t>
            </w:r>
          </w:p>
        </w:tc>
        <w:tc>
          <w:tcPr>
            <w:tcW w:type="dxa" w:w="1584"/>
          </w:tcPr>
          <w:p>
            <w:pPr>
              <w:spacing w:after="20"/>
            </w:pPr>
            <w:r>
              <w:rPr>
                <w:color w:val="1C3A36"/>
                <w:sz w:val="15"/>
              </w:rPr>
              <w:t>F05</w:t>
            </w:r>
          </w:p>
        </w:tc>
      </w:tr>
      <w:tr>
        <w:tc>
          <w:tcPr>
            <w:tcW w:type="dxa" w:w="2448"/>
          </w:tcPr>
          <w:p>
            <w:pPr>
              <w:spacing w:after="20"/>
            </w:pPr>
            <w:r>
              <w:rPr>
                <w:color w:val="1C3A36"/>
                <w:sz w:val="15"/>
              </w:rPr>
              <w:t>Treasury income</w:t>
            </w:r>
          </w:p>
        </w:tc>
        <w:tc>
          <w:tcPr>
            <w:tcW w:type="dxa" w:w="1224"/>
          </w:tcPr>
          <w:p>
            <w:pPr>
              <w:spacing w:after="20"/>
            </w:pPr>
            <w:r>
              <w:rPr>
                <w:color w:val="1C3A36"/>
                <w:sz w:val="15"/>
              </w:rPr>
              <w:t>Top Down</w:t>
            </w:r>
          </w:p>
        </w:tc>
        <w:tc>
          <w:tcPr>
            <w:tcW w:type="dxa" w:w="8280"/>
          </w:tcPr>
          <w:p>
            <w:pPr>
              <w:spacing w:after="20"/>
            </w:pPr>
            <w:r>
              <w:rPr>
                <w:color w:val="1C3A36"/>
                <w:sz w:val="15"/>
              </w:rPr>
              <w:t>Modelled as a yield on the modelled cash balance. No interest-income line is separately retrievable, so it cannot be built bottom-up. It is excluded from free cash flow to the firm entirely and handled in the equity bridge, so it cannot be double-counted.</w:t>
            </w:r>
          </w:p>
        </w:tc>
        <w:tc>
          <w:tcPr>
            <w:tcW w:type="dxa" w:w="1584"/>
          </w:tcPr>
          <w:p>
            <w:pPr>
              <w:spacing w:after="20"/>
            </w:pPr>
            <w:r>
              <w:rPr>
                <w:color w:val="1C3A36"/>
                <w:sz w:val="15"/>
              </w:rPr>
              <w:t>F20, F05</w:t>
            </w:r>
          </w:p>
        </w:tc>
      </w:tr>
      <w:tr>
        <w:tc>
          <w:tcPr>
            <w:tcW w:type="dxa" w:w="2448"/>
          </w:tcPr>
          <w:p>
            <w:pPr>
              <w:spacing w:after="20"/>
            </w:pPr>
            <w:r>
              <w:rPr>
                <w:color w:val="1C3A36"/>
                <w:sz w:val="15"/>
              </w:rPr>
              <w:t>Terminal growth</w:t>
            </w:r>
          </w:p>
        </w:tc>
        <w:tc>
          <w:tcPr>
            <w:tcW w:type="dxa" w:w="1224"/>
          </w:tcPr>
          <w:p>
            <w:pPr>
              <w:spacing w:after="20"/>
            </w:pPr>
            <w:r>
              <w:rPr>
                <w:color w:val="1C3A36"/>
                <w:sz w:val="15"/>
              </w:rPr>
              <w:t>Bottom Up</w:t>
            </w:r>
          </w:p>
        </w:tc>
        <w:tc>
          <w:tcPr>
            <w:tcW w:type="dxa" w:w="8280"/>
          </w:tcPr>
          <w:p>
            <w:pPr>
              <w:spacing w:after="20"/>
            </w:pPr>
            <w:r>
              <w:rPr>
                <w:color w:val="1C3A36"/>
                <w:sz w:val="15"/>
              </w:rPr>
              <w:t>Held at the 5% house default for an established emerging-market industrial once currency turbulence has passed, sensitised 3-7%, and reconciled against the return on capital that would have to fund it.</w:t>
            </w:r>
          </w:p>
        </w:tc>
        <w:tc>
          <w:tcPr>
            <w:tcW w:type="dxa" w:w="1584"/>
          </w:tcPr>
          <w:p>
            <w:pPr>
              <w:spacing w:after="20"/>
            </w:pPr>
            <w:r>
              <w:rPr>
                <w:color w:val="1C3A36"/>
                <w:sz w:val="15"/>
              </w:rPr>
              <w:t>F05, F15</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