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Arabian Cement Company S.A.E.</w:t>
      </w:r>
    </w:p>
    <w:p>
      <w:pPr>
        <w:spacing w:after="200" w:before="0"/>
      </w:pPr>
      <w:r>
        <w:rPr>
          <w:b w:val="0"/>
          <w:i w:val="0"/>
          <w:color w:val="6E7B77"/>
          <w:sz w:val="22"/>
        </w:rPr>
        <w:t>Egyptian Exchange · ARCC · Egyptian pounds · 6 August 2026</w:t>
      </w:r>
    </w:p>
    <w:p>
      <w:pPr>
        <w:spacing w:after="200" w:before="0"/>
      </w:pPr>
      <w:r>
        <w:rPr>
          <w:b w:val="0"/>
          <w:i w:val="0"/>
          <w:color w:val="1C3A36"/>
          <w:sz w:val="24"/>
        </w:rPr>
        <w:t>One of Egypt's largest cement plants, at the top of the best year the industry has had in more than a decade — audited profit up 210% in a single year on a 42.6% revenue step — and facing 12.6 million tonnes of dormant national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Arabian Cement Company,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production lines in Suez governorate, about 5.0 million tonnes of cement a year and roughly 6.6% of Egypt's nominal capacity, listed on the Egyptian Exchange since May 2014, with cash of EGP 3,459mn against interest-bearing debt of EGP 1,135mn. Every figure in this study is read from the audited consolidated accounts.</w:t>
            </w:r>
          </w:p>
          <w:p>
            <w:pPr>
              <w:spacing w:after="100"/>
            </w:pPr>
            <w:r>
              <w:rPr>
                <w:b/>
                <w:color w:val="1C3A36"/>
                <w:sz w:val="19"/>
              </w:rPr>
              <w:t xml:space="preserve">Where the value lands. </w:t>
            </w:r>
            <w:r>
              <w:rPr>
                <w:color w:val="1C3A36"/>
                <w:sz w:val="19"/>
              </w:rPr>
              <w:t>Four lenses put the shares between EGP 49.15 and EGP 69.07, weighting to a central EGP 57.00 against a market price of EGP 59.00 — -3.4%.</w:t>
            </w:r>
          </w:p>
        </w:tc>
      </w:tr>
    </w:tbl>
    <w:p>
      <w:pPr>
        <w:spacing w:after="40"/>
      </w:pPr>
    </w:p>
    <w:p>
      <w:pPr>
        <w:spacing w:after="80" w:before="200"/>
      </w:pPr>
      <w:r>
        <w:rPr>
          <w:b/>
          <w:i w:val="0"/>
          <w:color w:val="1C3A36"/>
          <w:sz w:val="24"/>
        </w:rPr>
        <w:t>Summary valuation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037"/>
        <w:gridCol w:w="1469"/>
        <w:gridCol w:w="1958"/>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c>
          <w:tcPr>
            <w:tcW w:type="dxa" w:w="1958"/>
            <w:shd w:val="clear" w:color="auto" w:fill="EAF0EE"/>
          </w:tcPr>
          <w:p>
            <w:pPr>
              <w:spacing w:after="20"/>
            </w:pPr>
            <w:r>
              <w:rPr>
                <w:b/>
                <w:color w:val="1C3A36"/>
                <w:sz w:val="18"/>
              </w:rPr>
              <w:t>Terminal value % of EV</w:t>
            </w:r>
          </w:p>
        </w:tc>
      </w:tr>
      <w:tr>
        <w:tc>
          <w:tcPr>
            <w:tcW w:type="dxa" w:w="3672"/>
          </w:tcPr>
          <w:p>
            <w:pPr>
              <w:spacing w:after="20"/>
            </w:pPr>
            <w:r>
              <w:rPr>
                <w:color w:val="1C3A36"/>
                <w:sz w:val="18"/>
              </w:rPr>
              <w:t>DCF (cash flow)</w:t>
            </w:r>
          </w:p>
        </w:tc>
        <w:tc>
          <w:tcPr>
            <w:tcW w:type="dxa" w:w="1944"/>
          </w:tcPr>
          <w:p>
            <w:pPr>
              <w:spacing w:after="20"/>
              <w:jc w:val="right"/>
            </w:pPr>
            <w:r>
              <w:rPr>
                <w:color w:val="1C3A36"/>
                <w:sz w:val="18"/>
              </w:rPr>
              <w:t>59.90</w:t>
            </w:r>
          </w:p>
        </w:tc>
        <w:tc>
          <w:tcPr>
            <w:tcW w:type="dxa" w:w="1037"/>
          </w:tcPr>
          <w:p>
            <w:pPr>
              <w:spacing w:after="20"/>
              <w:jc w:val="right"/>
            </w:pPr>
            <w:r>
              <w:rPr>
                <w:color w:val="1C3A36"/>
                <w:sz w:val="18"/>
              </w:rPr>
              <w:t>50%</w:t>
            </w:r>
          </w:p>
        </w:tc>
        <w:tc>
          <w:tcPr>
            <w:tcW w:type="dxa" w:w="1469"/>
          </w:tcPr>
          <w:p>
            <w:pPr>
              <w:spacing w:after="20"/>
              <w:jc w:val="right"/>
            </w:pPr>
            <w:r>
              <w:rPr>
                <w:color w:val="1C3A36"/>
                <w:sz w:val="18"/>
              </w:rPr>
              <w:t>+1.5%</w:t>
            </w:r>
          </w:p>
        </w:tc>
        <w:tc>
          <w:tcPr>
            <w:tcW w:type="dxa" w:w="1958"/>
          </w:tcPr>
          <w:p>
            <w:pPr>
              <w:spacing w:after="20"/>
              <w:jc w:val="right"/>
            </w:pPr>
            <w:r>
              <w:rPr>
                <w:color w:val="1C3A36"/>
                <w:sz w:val="18"/>
              </w:rPr>
              <w:t>53.0%</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49.15</w:t>
            </w:r>
          </w:p>
        </w:tc>
        <w:tc>
          <w:tcPr>
            <w:tcW w:type="dxa" w:w="1037"/>
          </w:tcPr>
          <w:p>
            <w:pPr>
              <w:spacing w:after="20"/>
              <w:jc w:val="right"/>
            </w:pPr>
            <w:r>
              <w:rPr>
                <w:color w:val="1C3A36"/>
                <w:sz w:val="18"/>
              </w:rPr>
              <w:t>20%</w:t>
            </w:r>
          </w:p>
        </w:tc>
        <w:tc>
          <w:tcPr>
            <w:tcW w:type="dxa" w:w="1469"/>
          </w:tcPr>
          <w:p>
            <w:pPr>
              <w:spacing w:after="20"/>
              <w:jc w:val="right"/>
            </w:pPr>
            <w:r>
              <w:rPr>
                <w:color w:val="1C3A36"/>
                <w:sz w:val="18"/>
              </w:rPr>
              <w:t>-16.7%</w:t>
            </w:r>
          </w:p>
        </w:tc>
        <w:tc>
          <w:tcPr>
            <w:tcW w:type="dxa" w:w="1958"/>
          </w:tcPr>
          <w:p>
            <w:pPr>
              <w:spacing w:after="20"/>
              <w:jc w:val="right"/>
            </w:pPr>
            <w:r>
              <w:rPr>
                <w:color w:val="1C3A36"/>
                <w:sz w:val="18"/>
              </w:rPr>
              <w:t>—</w:t>
            </w:r>
          </w:p>
        </w:tc>
      </w:tr>
      <w:tr>
        <w:tc>
          <w:tcPr>
            <w:tcW w:type="dxa" w:w="3672"/>
          </w:tcPr>
          <w:p>
            <w:pPr>
              <w:spacing w:after="20"/>
            </w:pPr>
            <w:r>
              <w:rPr>
                <w:color w:val="1C3A36"/>
                <w:sz w:val="18"/>
              </w:rPr>
              <w:t>Normalised earnings</w:t>
            </w:r>
          </w:p>
        </w:tc>
        <w:tc>
          <w:tcPr>
            <w:tcW w:type="dxa" w:w="1944"/>
          </w:tcPr>
          <w:p>
            <w:pPr>
              <w:spacing w:after="20"/>
              <w:jc w:val="right"/>
            </w:pPr>
            <w:r>
              <w:rPr>
                <w:color w:val="1C3A36"/>
                <w:sz w:val="18"/>
              </w:rPr>
              <w:t>53.14</w:t>
            </w:r>
          </w:p>
        </w:tc>
        <w:tc>
          <w:tcPr>
            <w:tcW w:type="dxa" w:w="1037"/>
          </w:tcPr>
          <w:p>
            <w:pPr>
              <w:spacing w:after="20"/>
              <w:jc w:val="right"/>
            </w:pPr>
            <w:r>
              <w:rPr>
                <w:color w:val="1C3A36"/>
                <w:sz w:val="18"/>
              </w:rPr>
              <w:t>22%</w:t>
            </w:r>
          </w:p>
        </w:tc>
        <w:tc>
          <w:tcPr>
            <w:tcW w:type="dxa" w:w="1469"/>
          </w:tcPr>
          <w:p>
            <w:pPr>
              <w:spacing w:after="20"/>
              <w:jc w:val="right"/>
            </w:pPr>
            <w:r>
              <w:rPr>
                <w:color w:val="1C3A36"/>
                <w:sz w:val="18"/>
              </w:rPr>
              <w:t>-9.9%</w:t>
            </w:r>
          </w:p>
        </w:tc>
        <w:tc>
          <w:tcPr>
            <w:tcW w:type="dxa" w:w="1958"/>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69.07</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+17.1%</w:t>
            </w:r>
          </w:p>
        </w:tc>
        <w:tc>
          <w:tcPr>
            <w:tcW w:type="dxa" w:w="1958"/>
          </w:tcPr>
          <w:p>
            <w:pPr>
              <w:spacing w:after="20"/>
              <w:jc w:val="right"/>
            </w:pPr>
            <w:r>
              <w:rPr>
                <w:color w:val="1C3A36"/>
                <w:sz w:val="18"/>
              </w:rPr>
              <w:t>—</w:t>
            </w:r>
          </w:p>
        </w:tc>
      </w:tr>
      <w:tr>
        <w:tc>
          <w:tcPr>
            <w:tcW w:type="dxa" w:w="3672"/>
            <w:shd w:val="clear" w:color="auto" w:fill="F6F1E6"/>
          </w:tcPr>
          <w:p>
            <w:pPr>
              <w:spacing w:after="20"/>
            </w:pPr>
            <w:r>
              <w:rPr>
                <w:b/>
                <w:color w:val="1C3A36"/>
                <w:sz w:val="18"/>
              </w:rPr>
              <w:t>Weighted central fair value</w:t>
            </w:r>
          </w:p>
        </w:tc>
        <w:tc>
          <w:tcPr>
            <w:tcW w:type="dxa" w:w="1944"/>
            <w:shd w:val="clear" w:color="auto" w:fill="F6F1E6"/>
          </w:tcPr>
          <w:p>
            <w:pPr>
              <w:spacing w:after="20"/>
              <w:jc w:val="right"/>
            </w:pPr>
            <w:r>
              <w:rPr>
                <w:b/>
                <w:color w:val="1C3A36"/>
                <w:sz w:val="18"/>
              </w:rPr>
              <w:t>57.00</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-3.4%</w:t>
            </w:r>
          </w:p>
        </w:tc>
        <w:tc>
          <w:tcPr>
            <w:tcW w:type="dxa" w:w="1958"/>
            <w:shd w:val="clear" w:color="auto" w:fill="F6F1E6"/>
          </w:tcPr>
          <w:p>
            <w:pPr>
              <w:spacing w:after="20"/>
              <w:jc w:val="right"/>
            </w:pPr>
            <w:r>
              <w:rPr>
                <w:b/>
                <w:color w:val="1C3A36"/>
                <w:sz w:val="18"/>
              </w:rPr>
              <w:t>—</w:t>
            </w:r>
          </w:p>
        </w:tc>
      </w:tr>
      <w:tr>
        <w:tc>
          <w:tcPr>
            <w:tcW w:type="dxa" w:w="3672"/>
          </w:tcPr>
          <w:p>
            <w:pPr>
              <w:spacing w:after="20"/>
            </w:pPr>
            <w:r>
              <w:rPr>
                <w:color w:val="1C3A36"/>
                <w:sz w:val="18"/>
              </w:rPr>
              <w:t>Range across the four lenses</w:t>
            </w:r>
          </w:p>
        </w:tc>
        <w:tc>
          <w:tcPr>
            <w:tcW w:type="dxa" w:w="1944"/>
          </w:tcPr>
          <w:p>
            <w:pPr>
              <w:spacing w:after="20"/>
              <w:jc w:val="right"/>
            </w:pPr>
            <w:r>
              <w:rPr>
                <w:color w:val="1C3A36"/>
                <w:sz w:val="18"/>
              </w:rPr>
              <w:t>49.15 – 69.07</w:t>
            </w:r>
          </w:p>
        </w:tc>
        <w:tc>
          <w:tcPr>
            <w:tcW w:type="dxa" w:w="1037"/>
          </w:tcPr>
          <w:p>
            <w:pPr>
              <w:spacing w:after="20"/>
              <w:jc w:val="right"/>
            </w:pPr>
            <w:r>
              <w:rPr>
                <w:color w:val="1C3A36"/>
                <w:sz w:val="18"/>
              </w:rPr>
              <w:t>—</w:t>
            </w:r>
          </w:p>
        </w:tc>
        <w:tc>
          <w:tcPr>
            <w:tcW w:type="dxa" w:w="1469"/>
          </w:tcPr>
          <w:p>
            <w:pPr>
              <w:spacing w:after="20"/>
              <w:jc w:val="right"/>
            </w:pPr>
            <w:r>
              <w:rPr>
                <w:color w:val="1C3A36"/>
                <w:sz w:val="18"/>
              </w:rPr>
              <w:t>-16.7% to +17.1%</w:t>
            </w:r>
          </w:p>
        </w:tc>
        <w:tc>
          <w:tcPr>
            <w:tcW w:type="dxa" w:w="1958"/>
          </w:tcPr>
          <w:p>
            <w:pPr>
              <w:spacing w:after="20"/>
              <w:jc w:val="right"/>
            </w:pPr>
            <w:r>
              <w:rPr>
                <w:color w:val="1C3A36"/>
                <w:sz w:val="18"/>
              </w:rPr>
              <w:t>—</w:t>
            </w:r>
          </w:p>
        </w:tc>
      </w:tr>
      <w:tr>
        <w:tc>
          <w:tcPr>
            <w:tcW w:type="dxa" w:w="3672"/>
          </w:tcPr>
          <w:p>
            <w:pPr>
              <w:spacing w:after="20"/>
            </w:pPr>
            <w:r>
              <w:rPr>
                <w:color w:val="1C3A36"/>
                <w:sz w:val="18"/>
              </w:rPr>
              <w:t>Market price, 6 August 2026</w:t>
            </w:r>
          </w:p>
        </w:tc>
        <w:tc>
          <w:tcPr>
            <w:tcW w:type="dxa" w:w="1944"/>
          </w:tcPr>
          <w:p>
            <w:pPr>
              <w:spacing w:after="20"/>
              <w:jc w:val="right"/>
            </w:pPr>
            <w:r>
              <w:rPr>
                <w:color w:val="1C3A36"/>
                <w:sz w:val="18"/>
              </w:rPr>
              <w:t>59.00</w:t>
            </w:r>
          </w:p>
        </w:tc>
        <w:tc>
          <w:tcPr>
            <w:tcW w:type="dxa" w:w="1037"/>
          </w:tcPr>
          <w:p>
            <w:pPr>
              <w:spacing w:after="20"/>
              <w:jc w:val="right"/>
            </w:pPr>
            <w:r>
              <w:rPr>
                <w:color w:val="1C3A36"/>
                <w:sz w:val="18"/>
              </w:rPr>
              <w:t>—</w:t>
            </w:r>
          </w:p>
        </w:tc>
        <w:tc>
          <w:tcPr>
            <w:tcW w:type="dxa" w:w="1469"/>
          </w:tcPr>
          <w:p>
            <w:pPr>
              <w:spacing w:after="20"/>
              <w:jc w:val="right"/>
            </w:pPr>
            <w:r>
              <w:rPr>
                <w:color w:val="1C3A36"/>
                <w:sz w:val="18"/>
              </w:rPr>
              <w:t>—</w:t>
            </w:r>
          </w:p>
        </w:tc>
        <w:tc>
          <w:tcPr>
            <w:tcW w:type="dxa" w:w="1958"/>
          </w:tcPr>
          <w:p>
            <w:pPr>
              <w:spacing w:after="20"/>
              <w:jc w:val="right"/>
            </w:pPr>
            <w:r>
              <w:rPr>
                <w:color w:val="1C3A36"/>
                <w:sz w:val="18"/>
              </w:rPr>
              <w:t>—</w:t>
            </w:r>
          </w:p>
        </w:tc>
      </w:tr>
    </w:tbl>
    <w:p>
      <w:pPr>
        <w:spacing w:after="40"/>
      </w:pPr>
    </w:p>
    <w:p>
      <w:pPr>
        <w:spacing w:after="200" w:before="0"/>
      </w:pPr>
      <w:r>
        <w:rPr>
          <w:b w:val="0"/>
          <w:i/>
          <w:color w:val="6E7B77"/>
          <w:sz w:val="17"/>
        </w:rPr>
        <w:t>Terminal value as a percentage of enterprise value is shown beside the cash-flow lens, and again in the enterprise-to-equity bridge in section 1.7.</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1  Fundamental valuation</w:t>
      </w:r>
    </w:p>
    <w:p>
      <w:pPr>
        <w:spacing w:after="120" w:before="0"/>
      </w:pPr>
      <w:r>
        <w:rPr>
          <w:b w:val="0"/>
          <w:i w:val="0"/>
          <w:color w:val="1C3A36"/>
          <w:sz w:val="21"/>
        </w:rPr>
        <w:t>Arabian Cement is valued as a single operating company, not as a sum of parts, and the reason is worth stating before any number appears. Essentially all of its revenue is grey cement and clinker from one industrial site. There is no property portfolio, no lending book, no concession and no collection of consolidated operating subsidiaries that would need valuing on their own terms. A sum-of-the-parts here would be a sum of one part, and the discipline it is meant to impose — never blending legs that need different methods — has nothing to bite on.</w:t>
      </w:r>
    </w:p>
    <w:p>
      <w:pPr>
        <w:spacing w:after="120" w:before="0"/>
      </w:pPr>
      <w:r>
        <w:rPr>
          <w:b w:val="0"/>
          <w:i w:val="0"/>
          <w:color w:val="1C3A36"/>
          <w:sz w:val="21"/>
        </w:rPr>
        <w:t>Four lenses are used. A discounted cash-flow model built up from tonnes and costs carries half the weight. Relative multiples, normalised earnings power and replacement cost carry the rest, and each is reported with the reason its weight is what it is.</w:t>
      </w:r>
    </w:p>
    <w:p>
      <w:pPr>
        <w:spacing w:after="80" w:before="200"/>
      </w:pPr>
      <w:r>
        <w:rPr>
          <w:b/>
          <w:i w:val="0"/>
          <w:color w:val="1C3A36"/>
          <w:sz w:val="24"/>
        </w:rPr>
        <w:t>1.1  The business, and why the lens follows from it</w:t>
      </w:r>
    </w:p>
    <w:p>
      <w:pPr>
        <w:spacing w:after="120" w:before="0"/>
      </w:pPr>
      <w:r>
        <w:rPr>
          <w:b w:val="0"/>
          <w:i w:val="0"/>
          <w:color w:val="1C3A36"/>
          <w:sz w:val="21"/>
        </w:rPr>
        <w:t>The plant runs two lines in Suez governorate producing on average about 5.0 million tonnes of clinker and cement a year. That is roughly 6.6% of Egypt's nominal capacity. Larger single sites exist — National Cement Beni Suef and Lafarge Ain Sokhna are both materially bigger — so the earlier edition's claim that this is the country's second-largest plant is withdrawn. The balance sheet is what that description implies: property-dominated, with working capital in inventory and receivables, no investment property, no equity-accounted portfolio of any size, and no financing arm.</w:t>
      </w:r>
    </w:p>
    <w:p>
      <w:pPr>
        <w:spacing w:after="120" w:before="0"/>
      </w:pPr>
      <w:r>
        <w:rPr>
          <w:b w:val="0"/>
          <w:i w:val="0"/>
          <w:color w:val="1C3A36"/>
          <w:sz w:val="21"/>
        </w:rPr>
        <w:t>The FY2025 accounts show revenue of EGP 12,447mn and attributable profit of EGP 3,600mn, against EGP 8,730mn and EGP 1,160mn a year earlier — revenue up 42.6% and profit up 210%. That is not a business changing shape. It is a price event, and the whole of this valuation turns on how much of it lasts.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Revenue (EGP mn)</w:t>
            </w:r>
          </w:p>
        </w:tc>
        <w:tc>
          <w:tcPr>
            <w:tcW w:type="dxa" w:w="1872"/>
          </w:tcPr>
          <w:p>
            <w:pPr>
              <w:spacing w:after="20"/>
              <w:jc w:val="right"/>
            </w:pPr>
            <w:r>
              <w:rPr>
                <w:color w:val="1C3A36"/>
                <w:sz w:val="18"/>
              </w:rPr>
              <w:t>6,043</w:t>
            </w:r>
          </w:p>
        </w:tc>
        <w:tc>
          <w:tcPr>
            <w:tcW w:type="dxa" w:w="1872"/>
          </w:tcPr>
          <w:p>
            <w:pPr>
              <w:spacing w:after="20"/>
              <w:jc w:val="right"/>
            </w:pPr>
            <w:r>
              <w:rPr>
                <w:color w:val="1C3A36"/>
                <w:sz w:val="18"/>
              </w:rPr>
              <w:t>8,730</w:t>
            </w:r>
          </w:p>
        </w:tc>
        <w:tc>
          <w:tcPr>
            <w:tcW w:type="dxa" w:w="1872"/>
          </w:tcPr>
          <w:p>
            <w:pPr>
              <w:spacing w:after="20"/>
              <w:jc w:val="right"/>
            </w:pPr>
            <w:r>
              <w:rPr>
                <w:color w:val="1C3A36"/>
                <w:sz w:val="18"/>
              </w:rPr>
              <w:t>12,447</w:t>
            </w:r>
          </w:p>
        </w:tc>
      </w:tr>
      <w:tr>
        <w:tc>
          <w:tcPr>
            <w:tcW w:type="dxa" w:w="3744"/>
          </w:tcPr>
          <w:p>
            <w:pPr>
              <w:spacing w:after="20"/>
            </w:pPr>
            <w:r>
              <w:rPr>
                <w:color w:val="1C3A36"/>
                <w:sz w:val="18"/>
              </w:rPr>
              <w:t>Gross profit (EGP mn)</w:t>
            </w:r>
          </w:p>
        </w:tc>
        <w:tc>
          <w:tcPr>
            <w:tcW w:type="dxa" w:w="1872"/>
          </w:tcPr>
          <w:p>
            <w:pPr>
              <w:spacing w:after="20"/>
              <w:jc w:val="right"/>
            </w:pPr>
            <w:r>
              <w:rPr>
                <w:color w:val="1C3A36"/>
                <w:sz w:val="18"/>
              </w:rPr>
              <w:t>1,283</w:t>
            </w:r>
          </w:p>
        </w:tc>
        <w:tc>
          <w:tcPr>
            <w:tcW w:type="dxa" w:w="1872"/>
          </w:tcPr>
          <w:p>
            <w:pPr>
              <w:spacing w:after="20"/>
              <w:jc w:val="right"/>
            </w:pPr>
            <w:r>
              <w:rPr>
                <w:color w:val="1C3A36"/>
                <w:sz w:val="18"/>
              </w:rPr>
              <w:t>2,087</w:t>
            </w:r>
          </w:p>
        </w:tc>
        <w:tc>
          <w:tcPr>
            <w:tcW w:type="dxa" w:w="1872"/>
          </w:tcPr>
          <w:p>
            <w:pPr>
              <w:spacing w:after="20"/>
              <w:jc w:val="right"/>
            </w:pPr>
            <w:r>
              <w:rPr>
                <w:color w:val="1C3A36"/>
                <w:sz w:val="18"/>
              </w:rPr>
              <w:t>5,058</w:t>
            </w:r>
          </w:p>
        </w:tc>
      </w:tr>
      <w:tr>
        <w:tc>
          <w:tcPr>
            <w:tcW w:type="dxa" w:w="3744"/>
          </w:tcPr>
          <w:p>
            <w:pPr>
              <w:spacing w:after="20"/>
            </w:pPr>
            <w:r>
              <w:rPr>
                <w:color w:val="1C3A36"/>
                <w:sz w:val="18"/>
              </w:rPr>
              <w:t>Operating profit (EGP mn)</w:t>
            </w:r>
          </w:p>
        </w:tc>
        <w:tc>
          <w:tcPr>
            <w:tcW w:type="dxa" w:w="1872"/>
          </w:tcPr>
          <w:p>
            <w:pPr>
              <w:spacing w:after="20"/>
              <w:jc w:val="right"/>
            </w:pPr>
            <w:r>
              <w:rPr>
                <w:color w:val="1C3A36"/>
                <w:sz w:val="18"/>
              </w:rPr>
              <w:t>1,079</w:t>
            </w:r>
          </w:p>
        </w:tc>
        <w:tc>
          <w:tcPr>
            <w:tcW w:type="dxa" w:w="1872"/>
          </w:tcPr>
          <w:p>
            <w:pPr>
              <w:spacing w:after="20"/>
              <w:jc w:val="right"/>
            </w:pPr>
            <w:r>
              <w:rPr>
                <w:color w:val="1C3A36"/>
                <w:sz w:val="18"/>
              </w:rPr>
              <w:t>1,764</w:t>
            </w:r>
          </w:p>
        </w:tc>
        <w:tc>
          <w:tcPr>
            <w:tcW w:type="dxa" w:w="1872"/>
          </w:tcPr>
          <w:p>
            <w:pPr>
              <w:spacing w:after="20"/>
              <w:jc w:val="right"/>
            </w:pPr>
            <w:r>
              <w:rPr>
                <w:color w:val="1C3A36"/>
                <w:sz w:val="18"/>
              </w:rPr>
              <w:t>4,596</w:t>
            </w:r>
          </w:p>
        </w:tc>
      </w:tr>
      <w:tr>
        <w:tc>
          <w:tcPr>
            <w:tcW w:type="dxa" w:w="3744"/>
          </w:tcPr>
          <w:p>
            <w:pPr>
              <w:spacing w:after="20"/>
            </w:pPr>
            <w:r>
              <w:rPr>
                <w:color w:val="1C3A36"/>
                <w:sz w:val="18"/>
              </w:rPr>
              <w:t>EBITDA (EGP mn)</w:t>
            </w:r>
          </w:p>
        </w:tc>
        <w:tc>
          <w:tcPr>
            <w:tcW w:type="dxa" w:w="1872"/>
          </w:tcPr>
          <w:p>
            <w:pPr>
              <w:spacing w:after="20"/>
              <w:jc w:val="right"/>
            </w:pPr>
            <w:r>
              <w:rPr>
                <w:color w:val="1C3A36"/>
                <w:sz w:val="18"/>
              </w:rPr>
              <w:t>1,330</w:t>
            </w:r>
          </w:p>
        </w:tc>
        <w:tc>
          <w:tcPr>
            <w:tcW w:type="dxa" w:w="1872"/>
          </w:tcPr>
          <w:p>
            <w:pPr>
              <w:spacing w:after="20"/>
              <w:jc w:val="right"/>
            </w:pPr>
            <w:r>
              <w:rPr>
                <w:color w:val="1C3A36"/>
                <w:sz w:val="18"/>
              </w:rPr>
              <w:t>2,021</w:t>
            </w:r>
          </w:p>
        </w:tc>
        <w:tc>
          <w:tcPr>
            <w:tcW w:type="dxa" w:w="1872"/>
          </w:tcPr>
          <w:p>
            <w:pPr>
              <w:spacing w:after="20"/>
              <w:jc w:val="right"/>
            </w:pPr>
            <w:r>
              <w:rPr>
                <w:color w:val="1C3A36"/>
                <w:sz w:val="18"/>
              </w:rPr>
              <w:t>4,886</w:t>
            </w:r>
          </w:p>
        </w:tc>
      </w:tr>
      <w:tr>
        <w:tc>
          <w:tcPr>
            <w:tcW w:type="dxa" w:w="3744"/>
          </w:tcPr>
          <w:p>
            <w:pPr>
              <w:spacing w:after="20"/>
            </w:pPr>
            <w:r>
              <w:rPr>
                <w:color w:val="1C3A36"/>
                <w:sz w:val="18"/>
              </w:rPr>
              <w:t>EBITDA margin</w:t>
            </w:r>
          </w:p>
        </w:tc>
        <w:tc>
          <w:tcPr>
            <w:tcW w:type="dxa" w:w="1872"/>
          </w:tcPr>
          <w:p>
            <w:pPr>
              <w:spacing w:after="20"/>
              <w:jc w:val="right"/>
            </w:pPr>
            <w:r>
              <w:rPr>
                <w:color w:val="1C3A36"/>
                <w:sz w:val="18"/>
              </w:rPr>
              <w:t>22.0%</w:t>
            </w:r>
          </w:p>
        </w:tc>
        <w:tc>
          <w:tcPr>
            <w:tcW w:type="dxa" w:w="1872"/>
          </w:tcPr>
          <w:p>
            <w:pPr>
              <w:spacing w:after="20"/>
              <w:jc w:val="right"/>
            </w:pPr>
            <w:r>
              <w:rPr>
                <w:color w:val="1C3A36"/>
                <w:sz w:val="18"/>
              </w:rPr>
              <w:t>23.1%</w:t>
            </w:r>
          </w:p>
        </w:tc>
        <w:tc>
          <w:tcPr>
            <w:tcW w:type="dxa" w:w="1872"/>
          </w:tcPr>
          <w:p>
            <w:pPr>
              <w:spacing w:after="20"/>
              <w:jc w:val="right"/>
            </w:pPr>
            <w:r>
              <w:rPr>
                <w:color w:val="1C3A36"/>
                <w:sz w:val="18"/>
              </w:rPr>
              <w:t>39.3%</w:t>
            </w:r>
          </w:p>
        </w:tc>
      </w:tr>
      <w:tr>
        <w:tc>
          <w:tcPr>
            <w:tcW w:type="dxa" w:w="3744"/>
          </w:tcPr>
          <w:p>
            <w:pPr>
              <w:spacing w:after="20"/>
            </w:pPr>
            <w:r>
              <w:rPr>
                <w:color w:val="1C3A36"/>
                <w:sz w:val="18"/>
              </w:rPr>
              <w:t>Attributable profit (EGP mn)</w:t>
            </w:r>
          </w:p>
        </w:tc>
        <w:tc>
          <w:tcPr>
            <w:tcW w:type="dxa" w:w="1872"/>
          </w:tcPr>
          <w:p>
            <w:pPr>
              <w:spacing w:after="20"/>
              <w:jc w:val="right"/>
            </w:pPr>
            <w:r>
              <w:rPr>
                <w:color w:val="1C3A36"/>
                <w:sz w:val="18"/>
              </w:rPr>
              <w:t>697</w:t>
            </w:r>
          </w:p>
        </w:tc>
        <w:tc>
          <w:tcPr>
            <w:tcW w:type="dxa" w:w="1872"/>
          </w:tcPr>
          <w:p>
            <w:pPr>
              <w:spacing w:after="20"/>
              <w:jc w:val="right"/>
            </w:pPr>
            <w:r>
              <w:rPr>
                <w:color w:val="1C3A36"/>
                <w:sz w:val="18"/>
              </w:rPr>
              <w:t>1,160</w:t>
            </w:r>
          </w:p>
        </w:tc>
        <w:tc>
          <w:tcPr>
            <w:tcW w:type="dxa" w:w="1872"/>
          </w:tcPr>
          <w:p>
            <w:pPr>
              <w:spacing w:after="20"/>
              <w:jc w:val="right"/>
            </w:pPr>
            <w:r>
              <w:rPr>
                <w:color w:val="1C3A36"/>
                <w:sz w:val="18"/>
              </w:rPr>
              <w:t>3,600</w:t>
            </w:r>
          </w:p>
        </w:tc>
      </w:tr>
      <w:tr>
        <w:tc>
          <w:tcPr>
            <w:tcW w:type="dxa" w:w="3744"/>
          </w:tcPr>
          <w:p>
            <w:pPr>
              <w:spacing w:after="20"/>
            </w:pPr>
            <w:r>
              <w:rPr>
                <w:color w:val="1C3A36"/>
                <w:sz w:val="18"/>
              </w:rPr>
              <w:t>Earnings per share (EGP)</w:t>
            </w:r>
          </w:p>
        </w:tc>
        <w:tc>
          <w:tcPr>
            <w:tcW w:type="dxa" w:w="1872"/>
          </w:tcPr>
          <w:p>
            <w:pPr>
              <w:spacing w:after="20"/>
              <w:jc w:val="right"/>
            </w:pPr>
            <w:r>
              <w:rPr>
                <w:color w:val="1C3A36"/>
                <w:sz w:val="18"/>
              </w:rPr>
              <w:t>1.81</w:t>
            </w:r>
          </w:p>
        </w:tc>
        <w:tc>
          <w:tcPr>
            <w:tcW w:type="dxa" w:w="1872"/>
          </w:tcPr>
          <w:p>
            <w:pPr>
              <w:spacing w:after="20"/>
              <w:jc w:val="right"/>
            </w:pPr>
            <w:r>
              <w:rPr>
                <w:color w:val="1C3A36"/>
                <w:sz w:val="18"/>
              </w:rPr>
              <w:t>3.02</w:t>
            </w:r>
          </w:p>
        </w:tc>
        <w:tc>
          <w:tcPr>
            <w:tcW w:type="dxa" w:w="1872"/>
          </w:tcPr>
          <w:p>
            <w:pPr>
              <w:spacing w:after="20"/>
              <w:jc w:val="right"/>
            </w:pPr>
            <w:r>
              <w:rPr>
                <w:color w:val="1C3A36"/>
                <w:sz w:val="18"/>
              </w:rPr>
              <w:t>9.49</w:t>
            </w:r>
          </w:p>
        </w:tc>
      </w:tr>
      <w:tr>
        <w:tc>
          <w:tcPr>
            <w:tcW w:type="dxa" w:w="3744"/>
          </w:tcPr>
          <w:p>
            <w:pPr>
              <w:spacing w:after="20"/>
            </w:pPr>
            <w:r>
              <w:rPr>
                <w:color w:val="1C3A36"/>
                <w:sz w:val="18"/>
              </w:rPr>
              <w:t>Effective tax rate</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23.0%</w:t>
            </w:r>
          </w:p>
        </w:tc>
        <w:tc>
          <w:tcPr>
            <w:tcW w:type="dxa" w:w="1872"/>
          </w:tcPr>
          <w:p>
            <w:pPr>
              <w:spacing w:after="20"/>
              <w:jc w:val="right"/>
            </w:pPr>
            <w:r>
              <w:rPr>
                <w:color w:val="1C3A36"/>
                <w:sz w:val="18"/>
              </w:rPr>
              <w:t>23.8%</w:t>
            </w:r>
          </w:p>
        </w:tc>
      </w:tr>
      <w:tr>
        <w:tc>
          <w:tcPr>
            <w:tcW w:type="dxa" w:w="3744"/>
          </w:tcPr>
          <w:p>
            <w:pPr>
              <w:spacing w:after="20"/>
            </w:pPr>
            <w:r>
              <w:rPr>
                <w:color w:val="1C3A36"/>
                <w:sz w:val="18"/>
              </w:rPr>
              <w:t>Capital expenditure (EGP mn)</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bl>
    <w:p>
      <w:pPr>
        <w:spacing w:after="40"/>
      </w:pPr>
    </w:p>
    <w:p>
      <w:pPr>
        <w:spacing w:after="200" w:before="0"/>
      </w:pPr>
      <w:r>
        <w:rPr>
          <w:b w:val="0"/>
          <w:i/>
          <w:color w:val="6E7B77"/>
          <w:sz w:val="17"/>
        </w:rPr>
        <w:t>Table 1 — Three audited years. Every line is a disclosed figure or a formula over disclosed figures: operating profit is gross profit less administrative expenses, provisions and credit losses, and EBITDA adds back the depreciation and amortisation reported in the cash flow statement.</w:t>
      </w:r>
    </w:p>
    <w:p>
      <w:pPr>
        <w:spacing w:after="120" w:before="0"/>
      </w:pPr>
      <w:r>
        <w:rPr>
          <w:b w:val="0"/>
          <w:i w:val="0"/>
          <w:color w:val="1C3A36"/>
          <w:sz w:val="21"/>
        </w:rPr>
        <w:t>Two things stand out. The revenue note splits local from export: local sales rose 71% while export sales were -0.8% — the abolition of Egypt's cement production quota in May 2025 was a DOMESTIC event, and exports sat against a statutory 30% cap throughout. And the margin moved from 23.1% to 39.3% in a single year, because almost the entire price increase fell to the bottom line on a cost base that is largely fixed.</w:t>
      </w:r>
    </w:p>
    <w:p>
      <w:pPr>
        <w:spacing w:after="80" w:before="200"/>
      </w:pPr>
      <w:r>
        <w:rPr>
          <w:b/>
          <w:i w:val="0"/>
          <w:color w:val="1C3A36"/>
          <w:sz w:val="24"/>
        </w:rPr>
        <w:t>1.2  The unit economics — where EBITDA actually comes from</w:t>
      </w:r>
    </w:p>
    <w:p>
      <w:pPr>
        <w:spacing w:after="120" w:before="0"/>
      </w:pPr>
      <w:r>
        <w:rPr>
          <w:b w:val="0"/>
          <w:i w:val="0"/>
          <w:color w:val="1C3A36"/>
          <w:sz w:val="21"/>
        </w:rPr>
        <w:t>The operating model starts at the PLANT, and this is the one thing that changed most in this revision. The previous edition assumed a cement price, divided the audited revenue by it to get tonnes, and presented the utilisation that fell out as an independent corroboration. It was neither independent nor a corroboration: it was the same assumption written twice, and the FY2025 check it produced was an accounting identity that reproduces the audited revenue for ANY price, because volume moves by exactly the reciprocal. Here the drivers are physical — kiln utilisation, the clinker factor and the two export shares — and the tonnes, the mill utilisation and all three realised prices come out of them. The prices are therefore outputs that can be held against the market and disagree with it.</w:t>
      </w:r>
    </w:p>
    <w:p>
      <w:pPr>
        <w:spacing w:after="120" w:before="0"/>
      </w:pPr>
      <w:r>
        <w:rPr>
          <w:b w:val="0"/>
          <w:i w:val="0"/>
          <w:color w:val="1C3A36"/>
          <w:sz w:val="21"/>
        </w:rPr>
        <w:t>It also carries three products where the previous edition carried one. This company sells local cement, export cement and export CLINKER, and clinker is the unground intermediate, worth a fraction of the cement it could have become. Pricing every tonne at a cement price made the plant look far smaller than it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880"/>
      </w:tblGrid>
      <w:tr>
        <w:tc>
          <w:tcPr>
            <w:tcW w:type="dxa" w:w="5904"/>
            <w:shd w:val="clear" w:color="auto" w:fill="EAF0EE"/>
          </w:tcPr>
          <w:p>
            <w:pPr>
              <w:spacing w:after="20"/>
            </w:pPr>
            <w:r>
              <w:rPr>
                <w:b/>
                <w:color w:val="1C3A36"/>
                <w:sz w:val="18"/>
              </w:rPr>
            </w:r>
          </w:p>
        </w:tc>
        <w:tc>
          <w:tcPr>
            <w:tcW w:type="dxa" w:w="2880"/>
            <w:shd w:val="clear" w:color="auto" w:fill="EAF0EE"/>
          </w:tcPr>
          <w:p>
            <w:pPr>
              <w:spacing w:after="20"/>
            </w:pPr>
            <w:r>
              <w:rPr>
                <w:b/>
                <w:color w:val="1C3A36"/>
                <w:sz w:val="18"/>
              </w:rPr>
              <w:t>Value</w:t>
            </w:r>
          </w:p>
        </w:tc>
      </w:tr>
      <w:tr>
        <w:tc>
          <w:tcPr>
            <w:tcW w:type="dxa" w:w="5904"/>
          </w:tcPr>
          <w:p>
            <w:pPr>
              <w:spacing w:after="20"/>
            </w:pPr>
            <w:r>
              <w:rPr>
                <w:color w:val="1C3A36"/>
                <w:sz w:val="18"/>
              </w:rPr>
              <w:t>Kiln clinker capacity (audited note 1)</w:t>
            </w:r>
          </w:p>
        </w:tc>
        <w:tc>
          <w:tcPr>
            <w:tcW w:type="dxa" w:w="2880"/>
          </w:tcPr>
          <w:p>
            <w:pPr>
              <w:spacing w:after="20"/>
              <w:jc w:val="right"/>
            </w:pPr>
            <w:r>
              <w:rPr>
                <w:color w:val="1C3A36"/>
                <w:sz w:val="18"/>
              </w:rPr>
              <w:t>4.20Mt</w:t>
            </w:r>
          </w:p>
        </w:tc>
      </w:tr>
      <w:tr>
        <w:tc>
          <w:tcPr>
            <w:tcW w:type="dxa" w:w="5904"/>
          </w:tcPr>
          <w:p>
            <w:pPr>
              <w:spacing w:after="20"/>
            </w:pPr>
            <w:r>
              <w:rPr>
                <w:color w:val="1C3A36"/>
                <w:sz w:val="18"/>
              </w:rPr>
              <w:t>Kiln utilisation  (DRIVER)</w:t>
            </w:r>
          </w:p>
        </w:tc>
        <w:tc>
          <w:tcPr>
            <w:tcW w:type="dxa" w:w="2880"/>
          </w:tcPr>
          <w:p>
            <w:pPr>
              <w:spacing w:after="20"/>
              <w:jc w:val="right"/>
            </w:pPr>
            <w:r>
              <w:rPr>
                <w:color w:val="1C3A36"/>
                <w:sz w:val="18"/>
              </w:rPr>
              <w:t>91.7%</w:t>
            </w:r>
          </w:p>
        </w:tc>
      </w:tr>
      <w:tr>
        <w:tc>
          <w:tcPr>
            <w:tcW w:type="dxa" w:w="5904"/>
          </w:tcPr>
          <w:p>
            <w:pPr>
              <w:spacing w:after="20"/>
            </w:pPr>
            <w:r>
              <w:rPr>
                <w:color w:val="1C3A36"/>
                <w:sz w:val="18"/>
              </w:rPr>
              <w:t>Clinker produced</w:t>
            </w:r>
          </w:p>
        </w:tc>
        <w:tc>
          <w:tcPr>
            <w:tcW w:type="dxa" w:w="2880"/>
          </w:tcPr>
          <w:p>
            <w:pPr>
              <w:spacing w:after="20"/>
              <w:jc w:val="right"/>
            </w:pPr>
            <w:r>
              <w:rPr>
                <w:color w:val="1C3A36"/>
                <w:sz w:val="18"/>
              </w:rPr>
              <w:t>3.851Mt</w:t>
            </w:r>
          </w:p>
        </w:tc>
      </w:tr>
      <w:tr>
        <w:tc>
          <w:tcPr>
            <w:tcW w:type="dxa" w:w="5904"/>
          </w:tcPr>
          <w:p>
            <w:pPr>
              <w:spacing w:after="20"/>
            </w:pPr>
            <w:r>
              <w:rPr>
                <w:color w:val="1C3A36"/>
                <w:sz w:val="18"/>
              </w:rPr>
              <w:t>Sold as clinker  (DRIVER)</w:t>
            </w:r>
          </w:p>
        </w:tc>
        <w:tc>
          <w:tcPr>
            <w:tcW w:type="dxa" w:w="2880"/>
          </w:tcPr>
          <w:p>
            <w:pPr>
              <w:spacing w:after="20"/>
              <w:jc w:val="right"/>
            </w:pPr>
            <w:r>
              <w:rPr>
                <w:color w:val="1C3A36"/>
                <w:sz w:val="18"/>
              </w:rPr>
              <w:t>33.8%</w:t>
            </w:r>
          </w:p>
        </w:tc>
      </w:tr>
      <w:tr>
        <w:tc>
          <w:tcPr>
            <w:tcW w:type="dxa" w:w="5904"/>
          </w:tcPr>
          <w:p>
            <w:pPr>
              <w:spacing w:after="20"/>
            </w:pPr>
            <w:r>
              <w:rPr>
                <w:color w:val="1C3A36"/>
                <w:sz w:val="18"/>
              </w:rPr>
              <w:t>Clinker exported</w:t>
            </w:r>
          </w:p>
        </w:tc>
        <w:tc>
          <w:tcPr>
            <w:tcW w:type="dxa" w:w="2880"/>
          </w:tcPr>
          <w:p>
            <w:pPr>
              <w:spacing w:after="20"/>
              <w:jc w:val="right"/>
            </w:pPr>
            <w:r>
              <w:rPr>
                <w:color w:val="1C3A36"/>
                <w:sz w:val="18"/>
              </w:rPr>
              <w:t>1.301Mt</w:t>
            </w:r>
          </w:p>
        </w:tc>
      </w:tr>
      <w:tr>
        <w:tc>
          <w:tcPr>
            <w:tcW w:type="dxa" w:w="5904"/>
          </w:tcPr>
          <w:p>
            <w:pPr>
              <w:spacing w:after="20"/>
            </w:pPr>
            <w:r>
              <w:rPr>
                <w:color w:val="1C3A36"/>
                <w:sz w:val="18"/>
              </w:rPr>
              <w:t>Clinker factor  (DRIVER)</w:t>
            </w:r>
          </w:p>
        </w:tc>
        <w:tc>
          <w:tcPr>
            <w:tcW w:type="dxa" w:w="2880"/>
          </w:tcPr>
          <w:p>
            <w:pPr>
              <w:spacing w:after="20"/>
              <w:jc w:val="right"/>
            </w:pPr>
            <w:r>
              <w:rPr>
                <w:color w:val="1C3A36"/>
                <w:sz w:val="18"/>
              </w:rPr>
              <w:t>0.733</w:t>
            </w:r>
          </w:p>
        </w:tc>
      </w:tr>
      <w:tr>
        <w:tc>
          <w:tcPr>
            <w:tcW w:type="dxa" w:w="5904"/>
          </w:tcPr>
          <w:p>
            <w:pPr>
              <w:spacing w:after="20"/>
            </w:pPr>
            <w:r>
              <w:rPr>
                <w:color w:val="1C3A36"/>
                <w:sz w:val="18"/>
              </w:rPr>
              <w:t>Cement produced</w:t>
            </w:r>
          </w:p>
        </w:tc>
        <w:tc>
          <w:tcPr>
            <w:tcW w:type="dxa" w:w="2880"/>
          </w:tcPr>
          <w:p>
            <w:pPr>
              <w:spacing w:after="20"/>
              <w:jc w:val="right"/>
            </w:pPr>
            <w:r>
              <w:rPr>
                <w:color w:val="1C3A36"/>
                <w:sz w:val="18"/>
              </w:rPr>
              <w:t>3.480Mt</w:t>
            </w:r>
          </w:p>
        </w:tc>
      </w:tr>
      <w:tr>
        <w:tc>
          <w:tcPr>
            <w:tcW w:type="dxa" w:w="5904"/>
          </w:tcPr>
          <w:p>
            <w:pPr>
              <w:spacing w:after="20"/>
            </w:pPr>
            <w:r>
              <w:rPr>
                <w:color w:val="1C3A36"/>
                <w:sz w:val="18"/>
              </w:rPr>
              <w:t>Mill utilisation</w:t>
            </w:r>
          </w:p>
        </w:tc>
        <w:tc>
          <w:tcPr>
            <w:tcW w:type="dxa" w:w="2880"/>
          </w:tcPr>
          <w:p>
            <w:pPr>
              <w:spacing w:after="20"/>
              <w:jc w:val="right"/>
            </w:pPr>
            <w:r>
              <w:rPr>
                <w:color w:val="1C3A36"/>
                <w:sz w:val="18"/>
              </w:rPr>
              <w:t>69.6%</w:t>
            </w:r>
          </w:p>
        </w:tc>
      </w:tr>
      <w:tr>
        <w:tc>
          <w:tcPr>
            <w:tcW w:type="dxa" w:w="5904"/>
          </w:tcPr>
          <w:p>
            <w:pPr>
              <w:spacing w:after="20"/>
            </w:pPr>
            <w:r>
              <w:rPr>
                <w:color w:val="1C3A36"/>
                <w:sz w:val="18"/>
              </w:rPr>
              <w:t>Cement exported  (DRIVER)</w:t>
            </w:r>
          </w:p>
        </w:tc>
        <w:tc>
          <w:tcPr>
            <w:tcW w:type="dxa" w:w="2880"/>
          </w:tcPr>
          <w:p>
            <w:pPr>
              <w:spacing w:after="20"/>
              <w:jc w:val="right"/>
            </w:pPr>
            <w:r>
              <w:rPr>
                <w:color w:val="1C3A36"/>
                <w:sz w:val="18"/>
              </w:rPr>
              <w:t>17.7%</w:t>
            </w:r>
          </w:p>
        </w:tc>
      </w:tr>
      <w:tr>
        <w:tc>
          <w:tcPr>
            <w:tcW w:type="dxa" w:w="5904"/>
          </w:tcPr>
          <w:p>
            <w:pPr>
              <w:spacing w:after="20"/>
            </w:pPr>
            <w:r>
              <w:rPr>
                <w:color w:val="1C3A36"/>
                <w:sz w:val="18"/>
              </w:rPr>
              <w:t>Local cement</w:t>
            </w:r>
          </w:p>
        </w:tc>
        <w:tc>
          <w:tcPr>
            <w:tcW w:type="dxa" w:w="2880"/>
          </w:tcPr>
          <w:p>
            <w:pPr>
              <w:spacing w:after="20"/>
              <w:jc w:val="right"/>
            </w:pPr>
            <w:r>
              <w:rPr>
                <w:color w:val="1C3A36"/>
                <w:sz w:val="18"/>
              </w:rPr>
              <w:t>2.863Mt</w:t>
            </w:r>
          </w:p>
        </w:tc>
      </w:tr>
      <w:tr>
        <w:tc>
          <w:tcPr>
            <w:tcW w:type="dxa" w:w="5904"/>
          </w:tcPr>
          <w:p>
            <w:pPr>
              <w:spacing w:after="20"/>
            </w:pPr>
            <w:r>
              <w:rPr>
                <w:color w:val="1C3A36"/>
                <w:sz w:val="18"/>
              </w:rPr>
              <w:t>TOTAL DESPATCHES</w:t>
            </w:r>
          </w:p>
        </w:tc>
        <w:tc>
          <w:tcPr>
            <w:tcW w:type="dxa" w:w="2880"/>
          </w:tcPr>
          <w:p>
            <w:pPr>
              <w:spacing w:after="20"/>
              <w:jc w:val="right"/>
            </w:pPr>
            <w:r>
              <w:rPr>
                <w:color w:val="1C3A36"/>
                <w:sz w:val="18"/>
              </w:rPr>
              <w:t>4.781Mt</w:t>
            </w:r>
          </w:p>
        </w:tc>
      </w:tr>
      <w:tr>
        <w:tc>
          <w:tcPr>
            <w:tcW w:type="dxa" w:w="5904"/>
            <w:shd w:val="clear" w:color="auto" w:fill="F6F1E6"/>
          </w:tcPr>
          <w:p>
            <w:pPr>
              <w:spacing w:after="20"/>
            </w:pPr>
            <w:r>
              <w:rPr>
                <w:b/>
                <w:color w:val="1C3A36"/>
                <w:sz w:val="18"/>
              </w:rPr>
              <w:t>Local cement price — DERIVED</w:t>
            </w:r>
          </w:p>
        </w:tc>
        <w:tc>
          <w:tcPr>
            <w:tcW w:type="dxa" w:w="2880"/>
            <w:shd w:val="clear" w:color="auto" w:fill="F6F1E6"/>
          </w:tcPr>
          <w:p>
            <w:pPr>
              <w:spacing w:after="20"/>
              <w:jc w:val="right"/>
            </w:pPr>
            <w:r>
              <w:rPr>
                <w:b/>
                <w:color w:val="1C3A36"/>
                <w:sz w:val="18"/>
              </w:rPr>
              <w:t>EGP 2,916/t</w:t>
            </w:r>
          </w:p>
        </w:tc>
      </w:tr>
      <w:tr>
        <w:tc>
          <w:tcPr>
            <w:tcW w:type="dxa" w:w="5904"/>
            <w:shd w:val="clear" w:color="auto" w:fill="F6F1E6"/>
          </w:tcPr>
          <w:p>
            <w:pPr>
              <w:spacing w:after="20"/>
            </w:pPr>
            <w:r>
              <w:rPr>
                <w:b/>
                <w:color w:val="1C3A36"/>
                <w:sz w:val="18"/>
              </w:rPr>
              <w:t>Export cement price — DERIVED</w:t>
            </w:r>
          </w:p>
        </w:tc>
        <w:tc>
          <w:tcPr>
            <w:tcW w:type="dxa" w:w="2880"/>
            <w:shd w:val="clear" w:color="auto" w:fill="F6F1E6"/>
          </w:tcPr>
          <w:p>
            <w:pPr>
              <w:spacing w:after="20"/>
              <w:jc w:val="right"/>
            </w:pPr>
            <w:r>
              <w:rPr>
                <w:b/>
                <w:color w:val="1C3A36"/>
                <w:sz w:val="18"/>
              </w:rPr>
              <w:t>USD 46.6/t</w:t>
            </w:r>
          </w:p>
        </w:tc>
      </w:tr>
      <w:tr>
        <w:tc>
          <w:tcPr>
            <w:tcW w:type="dxa" w:w="5904"/>
            <w:shd w:val="clear" w:color="auto" w:fill="F6F1E6"/>
          </w:tcPr>
          <w:p>
            <w:pPr>
              <w:spacing w:after="20"/>
            </w:pPr>
            <w:r>
              <w:rPr>
                <w:b/>
                <w:color w:val="1C3A36"/>
                <w:sz w:val="18"/>
              </w:rPr>
              <w:t>Export clinker price — DERIVED</w:t>
            </w:r>
          </w:p>
        </w:tc>
        <w:tc>
          <w:tcPr>
            <w:tcW w:type="dxa" w:w="2880"/>
            <w:shd w:val="clear" w:color="auto" w:fill="F6F1E6"/>
          </w:tcPr>
          <w:p>
            <w:pPr>
              <w:spacing w:after="20"/>
              <w:jc w:val="right"/>
            </w:pPr>
            <w:r>
              <w:rPr>
                <w:b/>
                <w:color w:val="1C3A36"/>
                <w:sz w:val="18"/>
              </w:rPr>
              <w:t>USD 30.3/t</w:t>
            </w:r>
          </w:p>
        </w:tc>
      </w:tr>
    </w:tbl>
    <w:p>
      <w:pPr>
        <w:spacing w:after="40"/>
      </w:pPr>
    </w:p>
    <w:p>
      <w:pPr>
        <w:spacing w:after="200" w:before="0"/>
      </w:pPr>
      <w:r>
        <w:rPr>
          <w:b w:val="0"/>
          <w:i/>
          <w:color w:val="6E7B77"/>
          <w:sz w:val="17"/>
        </w:rPr>
        <w:t>Table 2 — The plant in tonnes, and the prices that fall out of it. The four drivers are physical; everything below them is derived. Cement exports of 17.7% of cement made sit inside the 30% statutory cap — the previous edition's single-product build put exports at 31.5% of volume and breached the cap its own text called binding.</w:t>
      </w:r>
    </w:p>
    <w:p>
      <w:pPr>
        <w:spacing w:after="120" w:before="0"/>
      </w:pPr>
      <w:r>
        <w:rPr>
          <w:b w:val="0"/>
          <w:i w:val="0"/>
          <w:color w:val="1C3A36"/>
          <w:sz w:val="21"/>
        </w:rPr>
        <w:t>The three derived prices are the test, and it is a test this study does not pass cleanly. Local cement at EGP 2,916 a tonne is credible against Egyptian ex-works commentary. Export cement at USD 46.6 and export clinker at USD 30.3 sit roughly a third BELOW the USD 44-48 the trade press quotes for Egyptian clinker free on board. Either the physical volumes behind this build are too high, or realisations run well under the published indices. The gap is published rather than tuned away, and it is the reason the volume base carries its own sensitivity rather than being presented as settled.</w:t>
      </w:r>
    </w:p>
    <w:p>
      <w:pPr>
        <w:spacing w:after="120" w:before="0"/>
      </w:pPr>
      <w:r>
        <w:rPr>
          <w:b w:val="0"/>
          <w:i w:val="0"/>
          <w:color w:val="1C3A36"/>
          <w:sz w:val="21"/>
        </w:rPr>
        <w:t>The cost stack is the printed one. Cost of sales of EGP 7,389mn splits into materials and fuel of EGP 5,698mn — the note confirms this is the cost of inventories charged to cost of sales, so it carries fuel, packing and spares as well as raw meal — transportation of EGP 764mn, overheads of EGP 641mn, and depreciation and amortisation of EGP 285mn. Adding cash administrative expenses, provisions and credit losses gives a total cash cost of EGP 7,484mn, or EGP 1,565 a tonne.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per tonne of cement</w:t>
            </w:r>
          </w:p>
        </w:tc>
        <w:tc>
          <w:tcPr>
            <w:tcW w:type="dxa" w:w="1872"/>
            <w:shd w:val="clear" w:color="auto" w:fill="EAF0EE"/>
          </w:tcPr>
          <w:p>
            <w:pPr>
              <w:spacing w:after="20"/>
            </w:pPr>
            <w:r>
              <w:rPr>
                <w:b/>
                <w:color w:val="1C3A36"/>
                <w:sz w:val="18"/>
              </w:rPr>
              <w:t>FY2025A</w:t>
            </w:r>
          </w:p>
        </w:tc>
        <w:tc>
          <w:tcPr>
            <w:tcW w:type="dxa" w:w="1872"/>
            <w:shd w:val="clear" w:color="auto" w:fill="EAF0EE"/>
          </w:tcPr>
          <w:p>
            <w:pPr>
              <w:spacing w:after="20"/>
            </w:pPr>
            <w:r>
              <w:rPr>
                <w:b/>
                <w:color w:val="1C3A36"/>
                <w:sz w:val="18"/>
              </w:rPr>
              <w:t>FY2026E</w:t>
            </w:r>
          </w:p>
        </w:tc>
        <w:tc>
          <w:tcPr>
            <w:tcW w:type="dxa" w:w="1872"/>
            <w:shd w:val="clear" w:color="auto" w:fill="EAF0EE"/>
          </w:tcPr>
          <w:p>
            <w:pPr>
              <w:spacing w:after="20"/>
            </w:pPr>
            <w:r>
              <w:rPr>
                <w:b/>
                <w:color w:val="1C3A36"/>
                <w:sz w:val="18"/>
              </w:rPr>
              <w:t>FY2030E</w:t>
            </w:r>
          </w:p>
        </w:tc>
      </w:tr>
      <w:tr>
        <w:tc>
          <w:tcPr>
            <w:tcW w:type="dxa" w:w="3744"/>
          </w:tcPr>
          <w:p>
            <w:pPr>
              <w:spacing w:after="20"/>
            </w:pPr>
            <w:r>
              <w:rPr>
                <w:color w:val="1C3A36"/>
                <w:sz w:val="18"/>
              </w:rPr>
              <w:t>Materials and fuel</w:t>
            </w:r>
          </w:p>
        </w:tc>
        <w:tc>
          <w:tcPr>
            <w:tcW w:type="dxa" w:w="1872"/>
          </w:tcPr>
          <w:p>
            <w:pPr>
              <w:spacing w:after="20"/>
              <w:jc w:val="right"/>
            </w:pPr>
            <w:r>
              <w:rPr>
                <w:color w:val="1C3A36"/>
                <w:sz w:val="18"/>
              </w:rPr>
              <w:t>5,698</w:t>
            </w:r>
          </w:p>
        </w:tc>
        <w:tc>
          <w:tcPr>
            <w:tcW w:type="dxa" w:w="1872"/>
          </w:tcPr>
          <w:p>
            <w:pPr>
              <w:spacing w:after="20"/>
              <w:jc w:val="right"/>
            </w:pPr>
            <w:r>
              <w:rPr>
                <w:color w:val="1C3A36"/>
                <w:sz w:val="18"/>
              </w:rPr>
              <w:t>6,279</w:t>
            </w:r>
          </w:p>
        </w:tc>
        <w:tc>
          <w:tcPr>
            <w:tcW w:type="dxa" w:w="1872"/>
          </w:tcPr>
          <w:p>
            <w:pPr>
              <w:spacing w:after="20"/>
              <w:jc w:val="right"/>
            </w:pPr>
            <w:r>
              <w:rPr>
                <w:color w:val="1C3A36"/>
                <w:sz w:val="18"/>
              </w:rPr>
              <w:t>8,477</w:t>
            </w:r>
          </w:p>
        </w:tc>
      </w:tr>
      <w:tr>
        <w:tc>
          <w:tcPr>
            <w:tcW w:type="dxa" w:w="3744"/>
          </w:tcPr>
          <w:p>
            <w:pPr>
              <w:spacing w:after="20"/>
            </w:pPr>
            <w:r>
              <w:rPr>
                <w:color w:val="1C3A36"/>
                <w:sz w:val="18"/>
              </w:rPr>
              <w:t>Transportation</w:t>
            </w:r>
          </w:p>
        </w:tc>
        <w:tc>
          <w:tcPr>
            <w:tcW w:type="dxa" w:w="1872"/>
          </w:tcPr>
          <w:p>
            <w:pPr>
              <w:spacing w:after="20"/>
              <w:jc w:val="right"/>
            </w:pPr>
            <w:r>
              <w:rPr>
                <w:color w:val="1C3A36"/>
                <w:sz w:val="18"/>
              </w:rPr>
              <w:t>764</w:t>
            </w:r>
          </w:p>
        </w:tc>
        <w:tc>
          <w:tcPr>
            <w:tcW w:type="dxa" w:w="1872"/>
          </w:tcPr>
          <w:p>
            <w:pPr>
              <w:spacing w:after="20"/>
              <w:jc w:val="right"/>
            </w:pPr>
            <w:r>
              <w:rPr>
                <w:color w:val="1C3A36"/>
                <w:sz w:val="18"/>
              </w:rPr>
              <w:t>857</w:t>
            </w:r>
          </w:p>
        </w:tc>
        <w:tc>
          <w:tcPr>
            <w:tcW w:type="dxa" w:w="1872"/>
          </w:tcPr>
          <w:p>
            <w:pPr>
              <w:spacing w:after="20"/>
              <w:jc w:val="right"/>
            </w:pPr>
            <w:r>
              <w:rPr>
                <w:color w:val="1C3A36"/>
                <w:sz w:val="18"/>
              </w:rPr>
              <w:t>1,217</w:t>
            </w:r>
          </w:p>
        </w:tc>
      </w:tr>
      <w:tr>
        <w:tc>
          <w:tcPr>
            <w:tcW w:type="dxa" w:w="3744"/>
          </w:tcPr>
          <w:p>
            <w:pPr>
              <w:spacing w:after="20"/>
            </w:pPr>
            <w:r>
              <w:rPr>
                <w:color w:val="1C3A36"/>
                <w:sz w:val="18"/>
              </w:rPr>
              <w:t>Overheads and administration</w:t>
            </w:r>
          </w:p>
        </w:tc>
        <w:tc>
          <w:tcPr>
            <w:tcW w:type="dxa" w:w="1872"/>
          </w:tcPr>
          <w:p>
            <w:pPr>
              <w:spacing w:after="20"/>
              <w:jc w:val="right"/>
            </w:pPr>
            <w:r>
              <w:rPr>
                <w:color w:val="1C3A36"/>
                <w:sz w:val="18"/>
              </w:rPr>
              <w:t>1,021</w:t>
            </w:r>
          </w:p>
        </w:tc>
        <w:tc>
          <w:tcPr>
            <w:tcW w:type="dxa" w:w="1872"/>
          </w:tcPr>
          <w:p>
            <w:pPr>
              <w:spacing w:after="20"/>
              <w:jc w:val="right"/>
            </w:pPr>
            <w:r>
              <w:rPr>
                <w:color w:val="1C3A36"/>
                <w:sz w:val="18"/>
              </w:rPr>
              <w:t>1,145</w:t>
            </w:r>
          </w:p>
        </w:tc>
        <w:tc>
          <w:tcPr>
            <w:tcW w:type="dxa" w:w="1872"/>
          </w:tcPr>
          <w:p>
            <w:pPr>
              <w:spacing w:after="20"/>
              <w:jc w:val="right"/>
            </w:pPr>
            <w:r>
              <w:rPr>
                <w:color w:val="1C3A36"/>
                <w:sz w:val="18"/>
              </w:rPr>
              <w:t>1,625</w:t>
            </w:r>
          </w:p>
        </w:tc>
      </w:tr>
      <w:tr>
        <w:tc>
          <w:tcPr>
            <w:tcW w:type="dxa" w:w="3744"/>
            <w:shd w:val="clear" w:color="auto" w:fill="F6F1E6"/>
          </w:tcPr>
          <w:p>
            <w:pPr>
              <w:spacing w:after="20"/>
            </w:pPr>
            <w:r>
              <w:rPr>
                <w:b/>
                <w:color w:val="1C3A36"/>
                <w:sz w:val="18"/>
              </w:rPr>
              <w:t>Total cash cost</w:t>
            </w:r>
          </w:p>
        </w:tc>
        <w:tc>
          <w:tcPr>
            <w:tcW w:type="dxa" w:w="1872"/>
            <w:shd w:val="clear" w:color="auto" w:fill="F6F1E6"/>
          </w:tcPr>
          <w:p>
            <w:pPr>
              <w:spacing w:after="20"/>
              <w:jc w:val="right"/>
            </w:pPr>
            <w:r>
              <w:rPr>
                <w:b/>
                <w:color w:val="1C3A36"/>
                <w:sz w:val="18"/>
              </w:rPr>
              <w:t>1,565</w:t>
            </w:r>
          </w:p>
        </w:tc>
        <w:tc>
          <w:tcPr>
            <w:tcW w:type="dxa" w:w="1872"/>
            <w:shd w:val="clear" w:color="auto" w:fill="F6F1E6"/>
          </w:tcPr>
          <w:p>
            <w:pPr>
              <w:spacing w:after="20"/>
              <w:jc w:val="right"/>
            </w:pPr>
            <w:r>
              <w:rPr>
                <w:b/>
                <w:color w:val="1C3A36"/>
                <w:sz w:val="18"/>
              </w:rPr>
              <w:t>1,723</w:t>
            </w:r>
          </w:p>
        </w:tc>
        <w:tc>
          <w:tcPr>
            <w:tcW w:type="dxa" w:w="1872"/>
            <w:shd w:val="clear" w:color="auto" w:fill="F6F1E6"/>
          </w:tcPr>
          <w:p>
            <w:pPr>
              <w:spacing w:after="20"/>
              <w:jc w:val="right"/>
            </w:pPr>
            <w:r>
              <w:rPr>
                <w:b/>
                <w:color w:val="1C3A36"/>
                <w:sz w:val="18"/>
              </w:rPr>
              <w:t>2,297</w:t>
            </w:r>
          </w:p>
        </w:tc>
      </w:tr>
      <w:tr>
        <w:tc>
          <w:tcPr>
            <w:tcW w:type="dxa" w:w="3744"/>
          </w:tcPr>
          <w:p>
            <w:pPr>
              <w:spacing w:after="20"/>
            </w:pPr>
            <w:r>
              <w:rPr>
                <w:color w:val="1C3A36"/>
                <w:sz w:val="18"/>
              </w:rPr>
              <w:t>Blended realised price</w:t>
            </w:r>
          </w:p>
        </w:tc>
        <w:tc>
          <w:tcPr>
            <w:tcW w:type="dxa" w:w="1872"/>
          </w:tcPr>
          <w:p>
            <w:pPr>
              <w:spacing w:after="20"/>
              <w:jc w:val="right"/>
            </w:pPr>
            <w:r>
              <w:rPr>
                <w:color w:val="1C3A36"/>
                <w:sz w:val="18"/>
              </w:rPr>
              <w:t>2,604</w:t>
            </w:r>
          </w:p>
        </w:tc>
        <w:tc>
          <w:tcPr>
            <w:tcW w:type="dxa" w:w="1872"/>
          </w:tcPr>
          <w:p>
            <w:pPr>
              <w:spacing w:after="20"/>
              <w:jc w:val="right"/>
            </w:pPr>
            <w:r>
              <w:rPr>
                <w:color w:val="1C3A36"/>
                <w:sz w:val="18"/>
              </w:rPr>
              <w:t>2,757</w:t>
            </w:r>
          </w:p>
        </w:tc>
        <w:tc>
          <w:tcPr>
            <w:tcW w:type="dxa" w:w="1872"/>
          </w:tcPr>
          <w:p>
            <w:pPr>
              <w:spacing w:after="20"/>
              <w:jc w:val="right"/>
            </w:pPr>
            <w:r>
              <w:rPr>
                <w:color w:val="1C3A36"/>
                <w:sz w:val="18"/>
              </w:rPr>
              <w:t>3,621</w:t>
            </w:r>
          </w:p>
        </w:tc>
      </w:tr>
      <w:tr>
        <w:tc>
          <w:tcPr>
            <w:tcW w:type="dxa" w:w="3744"/>
          </w:tcPr>
          <w:p>
            <w:pPr>
              <w:spacing w:after="20"/>
            </w:pPr>
            <w:r>
              <w:rPr>
                <w:color w:val="1C3A36"/>
                <w:sz w:val="18"/>
              </w:rPr>
              <w:t>Volume (Mt)</w:t>
            </w:r>
          </w:p>
        </w:tc>
        <w:tc>
          <w:tcPr>
            <w:tcW w:type="dxa" w:w="1872"/>
          </w:tcPr>
          <w:p>
            <w:pPr>
              <w:spacing w:after="20"/>
              <w:jc w:val="right"/>
            </w:pPr>
            <w:r>
              <w:rPr>
                <w:color w:val="1C3A36"/>
                <w:sz w:val="18"/>
              </w:rPr>
              <w:t>4.781</w:t>
            </w:r>
          </w:p>
        </w:tc>
        <w:tc>
          <w:tcPr>
            <w:tcW w:type="dxa" w:w="1872"/>
          </w:tcPr>
          <w:p>
            <w:pPr>
              <w:spacing w:after="20"/>
              <w:jc w:val="right"/>
            </w:pPr>
            <w:r>
              <w:rPr>
                <w:color w:val="1C3A36"/>
                <w:sz w:val="18"/>
              </w:rPr>
              <w:t>4.807</w:t>
            </w:r>
          </w:p>
        </w:tc>
        <w:tc>
          <w:tcPr>
            <w:tcW w:type="dxa" w:w="1872"/>
          </w:tcPr>
          <w:p>
            <w:pPr>
              <w:spacing w:after="20"/>
              <w:jc w:val="right"/>
            </w:pPr>
            <w:r>
              <w:rPr>
                <w:color w:val="1C3A36"/>
                <w:sz w:val="18"/>
              </w:rPr>
              <w:t>4.928</w:t>
            </w:r>
          </w:p>
        </w:tc>
      </w:tr>
      <w:tr>
        <w:tc>
          <w:tcPr>
            <w:tcW w:type="dxa" w:w="3744"/>
            <w:shd w:val="clear" w:color="auto" w:fill="F6F1E6"/>
          </w:tcPr>
          <w:p>
            <w:pPr>
              <w:spacing w:after="20"/>
            </w:pPr>
            <w:r>
              <w:rPr>
                <w:b/>
                <w:color w:val="1C3A36"/>
                <w:sz w:val="18"/>
              </w:rPr>
              <w:t>EBITDA (EGP mn)</w:t>
            </w:r>
          </w:p>
        </w:tc>
        <w:tc>
          <w:tcPr>
            <w:tcW w:type="dxa" w:w="1872"/>
            <w:shd w:val="clear" w:color="auto" w:fill="F6F1E6"/>
          </w:tcPr>
          <w:p>
            <w:pPr>
              <w:spacing w:after="20"/>
              <w:jc w:val="right"/>
            </w:pPr>
            <w:r>
              <w:rPr>
                <w:b/>
                <w:color w:val="1C3A36"/>
                <w:sz w:val="18"/>
              </w:rPr>
              <w:t>4,886</w:t>
            </w:r>
          </w:p>
        </w:tc>
        <w:tc>
          <w:tcPr>
            <w:tcW w:type="dxa" w:w="1872"/>
            <w:shd w:val="clear" w:color="auto" w:fill="F6F1E6"/>
          </w:tcPr>
          <w:p>
            <w:pPr>
              <w:spacing w:after="20"/>
              <w:jc w:val="right"/>
            </w:pPr>
            <w:r>
              <w:rPr>
                <w:b/>
                <w:color w:val="1C3A36"/>
                <w:sz w:val="18"/>
              </w:rPr>
              <w:t>4,890</w:t>
            </w:r>
          </w:p>
        </w:tc>
        <w:tc>
          <w:tcPr>
            <w:tcW w:type="dxa" w:w="1872"/>
            <w:shd w:val="clear" w:color="auto" w:fill="F6F1E6"/>
          </w:tcPr>
          <w:p>
            <w:pPr>
              <w:spacing w:after="20"/>
              <w:jc w:val="right"/>
            </w:pPr>
            <w:r>
              <w:rPr>
                <w:b/>
                <w:color w:val="1C3A36"/>
                <w:sz w:val="18"/>
              </w:rPr>
              <w:t>6,413</w:t>
            </w:r>
          </w:p>
        </w:tc>
      </w:tr>
      <w:tr>
        <w:tc>
          <w:tcPr>
            <w:tcW w:type="dxa" w:w="3744"/>
            <w:shd w:val="clear" w:color="auto" w:fill="F6F1E6"/>
          </w:tcPr>
          <w:p>
            <w:pPr>
              <w:spacing w:after="20"/>
            </w:pPr>
            <w:r>
              <w:rPr>
                <w:b/>
                <w:color w:val="1C3A36"/>
                <w:sz w:val="18"/>
              </w:rPr>
              <w:t>EBITDA margin</w:t>
            </w:r>
          </w:p>
        </w:tc>
        <w:tc>
          <w:tcPr>
            <w:tcW w:type="dxa" w:w="1872"/>
            <w:shd w:val="clear" w:color="auto" w:fill="F6F1E6"/>
          </w:tcPr>
          <w:p>
            <w:pPr>
              <w:spacing w:after="20"/>
              <w:jc w:val="right"/>
            </w:pPr>
            <w:r>
              <w:rPr>
                <w:b/>
                <w:color w:val="1C3A36"/>
                <w:sz w:val="18"/>
              </w:rPr>
              <w:t>39.3%</w:t>
            </w:r>
          </w:p>
        </w:tc>
        <w:tc>
          <w:tcPr>
            <w:tcW w:type="dxa" w:w="1872"/>
            <w:shd w:val="clear" w:color="auto" w:fill="F6F1E6"/>
          </w:tcPr>
          <w:p>
            <w:pPr>
              <w:spacing w:after="20"/>
              <w:jc w:val="right"/>
            </w:pPr>
            <w:r>
              <w:rPr>
                <w:b/>
                <w:color w:val="1C3A36"/>
                <w:sz w:val="18"/>
              </w:rPr>
              <w:t>36.9%</w:t>
            </w:r>
          </w:p>
        </w:tc>
        <w:tc>
          <w:tcPr>
            <w:tcW w:type="dxa" w:w="1872"/>
            <w:shd w:val="clear" w:color="auto" w:fill="F6F1E6"/>
          </w:tcPr>
          <w:p>
            <w:pPr>
              <w:spacing w:after="20"/>
              <w:jc w:val="right"/>
            </w:pPr>
            <w:r>
              <w:rPr>
                <w:b/>
                <w:color w:val="1C3A36"/>
                <w:sz w:val="18"/>
              </w:rPr>
              <w:t>35.9%</w:t>
            </w:r>
          </w:p>
        </w:tc>
      </w:tr>
    </w:tbl>
    <w:p>
      <w:pPr>
        <w:spacing w:after="40"/>
      </w:pPr>
    </w:p>
    <w:p>
      <w:pPr>
        <w:spacing w:after="200" w:before="0"/>
      </w:pPr>
      <w:r>
        <w:rPr>
          <w:b w:val="0"/>
          <w:i/>
          <w:color w:val="6E7B77"/>
          <w:sz w:val="17"/>
        </w:rPr>
        <w:t>Table 3 — The cost stack per tonne and the margin it produces. EBITDA is an OUTPUT of this build, not an input to it.</w:t>
      </w:r>
    </w:p>
    <w:p>
      <w:pPr>
        <w:spacing w:after="40"/>
        <w:jc w:val="center"/>
      </w:pPr>
      <w:r>
        <w:drawing>
          <wp:inline xmlns:a="http://schemas.openxmlformats.org/drawingml/2006/main" xmlns:pic="http://schemas.openxmlformats.org/drawingml/2006/picture">
            <wp:extent cx="6309360" cy="2826068"/>
            <wp:docPr id="2" name="Picture 2"/>
            <wp:cNvGraphicFramePr>
              <a:graphicFrameLocks noChangeAspect="1"/>
            </wp:cNvGraphicFramePr>
            <a:graphic>
              <a:graphicData uri="http://schemas.openxmlformats.org/drawingml/2006/picture">
                <pic:pic>
                  <pic:nvPicPr>
                    <pic:cNvPr id="0" name="fig7_stack.png"/>
                    <pic:cNvPicPr/>
                  </pic:nvPicPr>
                  <pic:blipFill>
                    <a:blip r:embed="rId10"/>
                    <a:stretch>
                      <a:fillRect/>
                    </a:stretch>
                  </pic:blipFill>
                  <pic:spPr>
                    <a:xfrm>
                      <a:off x="0" y="0"/>
                      <a:ext cx="6309360" cy="2826068"/>
                    </a:xfrm>
                    <a:prstGeom prst="rect"/>
                  </pic:spPr>
                </pic:pic>
              </a:graphicData>
            </a:graphic>
          </wp:inline>
        </w:drawing>
      </w:r>
    </w:p>
    <w:p>
      <w:pPr>
        <w:spacing w:after="200" w:before="0"/>
      </w:pPr>
      <w:r>
        <w:rPr>
          <w:b w:val="0"/>
          <w:i/>
          <w:color w:val="6E7B77"/>
          <w:sz w:val="17"/>
        </w:rPr>
        <w:t>Figure 2 — Cash cost per tonne against realised price per tonne. The margin is the gap, and the gap narrows across the forecast.</w:t>
      </w:r>
    </w:p>
    <w:p>
      <w:pPr>
        <w:spacing w:after="120" w:before="0"/>
      </w:pPr>
      <w:r>
        <w:rPr>
          <w:b w:val="0"/>
          <w:i w:val="0"/>
          <w:color w:val="1C3A36"/>
          <w:sz w:val="21"/>
        </w:rPr>
        <w:t>The reconstruction reproduces audited FY2025 revenue to +0.000% and audited FY2025 EBITDA to +0.000%. It is not forced to: the volume is derived from the revenue note and the cost lines are the printed ones, so a wrong price assumption would show up as a non-zero residual.</w:t>
      </w:r>
    </w:p>
    <w:p>
      <w:pPr>
        <w:spacing w:after="120" w:before="0"/>
      </w:pPr>
      <w:r>
        <w:rPr>
          <w:b w:val="0"/>
          <w:i w:val="0"/>
          <w:color w:val="1C3A36"/>
          <w:sz w:val="21"/>
        </w:rPr>
        <w:t>One physical constraint is worth checking, because the volume forecast is built off CEMENT capacity while the kiln is what could bind first. At a clinker factor of 0.73 — observed from the audited capacity pair of 4.2Mt of clinker against 5.0Mt of cement — the FY2030 volume needs 3.612Mt of clinker against 4.2Mt of kiln capacity, or 86.0% of it. The forecast fits the plant, with 0.588Mt of headroom, and more blending would widen that.</w:t>
      </w:r>
    </w:p>
    <w:p>
      <w:pPr>
        <w:spacing w:after="120" w:before="0"/>
      </w:pPr>
      <w:r>
        <w:rPr>
          <w:b w:val="0"/>
          <w:i w:val="0"/>
          <w:color w:val="1C3A36"/>
          <w:sz w:val="21"/>
        </w:rPr>
        <w:t>The company-specific lever is fuel, and it is now visible in the accounts rather than assumed. Assets under construction of EGP 392mn include EGP 240mn of alternative-fuel capacity for production line 2 and EGP 146mn of a new cement silo for line 1, and a EUR 25mn European Bank for Reconstruction and Development facility is drawn against exactly that programme — tranche one for alternative-fuel capacity and hydrogen injection on kiln 1, tranche two for hydrogen injection on kiln 2. The model carries a saving on the materials-and-fuel line rising to 5.5% by FY2030 as a result. That is a funded and part-built programme, not an intention.</w:t>
      </w:r>
    </w:p>
    <w:p>
      <w:pPr>
        <w:spacing w:after="80" w:before="200"/>
      </w:pPr>
      <w:r>
        <w:rPr>
          <w:b/>
          <w:i w:val="0"/>
          <w:color w:val="1C3A36"/>
          <w:sz w:val="24"/>
        </w:rPr>
        <w:t>1.3  Depreciation, capital spending, and what the book hides</w:t>
      </w:r>
    </w:p>
    <w:p>
      <w:pPr>
        <w:spacing w:after="120" w:before="0"/>
      </w:pPr>
      <w:r>
        <w:rPr>
          <w:b w:val="0"/>
          <w:i w:val="0"/>
          <w:color w:val="1C3A36"/>
          <w:sz w:val="21"/>
        </w:rPr>
        <w:t>Depreciation and amortisation is disclosed in the cash flow statement: EGP 290mn in FY2025, EGP 257mn in FY2024 and EGP 250mn in FY2023 — property depreciation, licence amortisation and right-of-use amortisation. That is 2.33% of FY2025 revenue, and it is small for a cement plant.</w:t>
      </w:r>
    </w:p>
    <w:p>
      <w:pPr>
        <w:spacing w:after="120" w:before="0"/>
      </w:pPr>
      <w:r>
        <w:rPr>
          <w:b w:val="0"/>
          <w:i w:val="0"/>
          <w:color w:val="1C3A36"/>
          <w:sz w:val="21"/>
        </w:rPr>
        <w:t>It is small for a reason that matters to the valuation. The plant dates from around 2010 and the accounts are prepared on a historical-cost basis; the pound has devalued several times since. Net property, plant and equipment is EGP 2,522mn, which on 5.0Mt of capacity is about USD 12 per annual tonne including construction in progress — against a replacement cost of USD 130. The book is carrying the plant at roughly a tenth of what one would cost to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mn</w:t>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Depreciation and amortisation</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257</w:t>
            </w:r>
          </w:p>
        </w:tc>
        <w:tc>
          <w:tcPr>
            <w:tcW w:type="dxa" w:w="1872"/>
          </w:tcPr>
          <w:p>
            <w:pPr>
              <w:spacing w:after="20"/>
              <w:jc w:val="right"/>
            </w:pPr>
            <w:r>
              <w:rPr>
                <w:color w:val="1C3A36"/>
                <w:sz w:val="18"/>
              </w:rPr>
              <w:t>290</w:t>
            </w:r>
          </w:p>
        </w:tc>
      </w:tr>
      <w:tr>
        <w:tc>
          <w:tcPr>
            <w:tcW w:type="dxa" w:w="3744"/>
          </w:tcPr>
          <w:p>
            <w:pPr>
              <w:spacing w:after="20"/>
            </w:pPr>
            <w:r>
              <w:rPr>
                <w:color w:val="1C3A36"/>
                <w:sz w:val="18"/>
              </w:rPr>
              <w:t>Capital expenditure</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r>
        <w:tc>
          <w:tcPr>
            <w:tcW w:type="dxa" w:w="3744"/>
          </w:tcPr>
          <w:p>
            <w:pPr>
              <w:spacing w:after="20"/>
            </w:pPr>
            <w:r>
              <w:rPr>
                <w:color w:val="1C3A36"/>
                <w:sz w:val="18"/>
              </w:rPr>
              <w:t>Capex as a share of EBITDA</w:t>
            </w:r>
          </w:p>
        </w:tc>
        <w:tc>
          <w:tcPr>
            <w:tcW w:type="dxa" w:w="1872"/>
          </w:tcPr>
          <w:p>
            <w:pPr>
              <w:spacing w:after="20"/>
              <w:jc w:val="right"/>
            </w:pPr>
            <w:r>
              <w:rPr>
                <w:color w:val="1C3A36"/>
                <w:sz w:val="18"/>
              </w:rPr>
              <w:t>4.4%</w:t>
            </w:r>
          </w:p>
        </w:tc>
        <w:tc>
          <w:tcPr>
            <w:tcW w:type="dxa" w:w="1872"/>
          </w:tcPr>
          <w:p>
            <w:pPr>
              <w:spacing w:after="20"/>
              <w:jc w:val="right"/>
            </w:pPr>
            <w:r>
              <w:rPr>
                <w:color w:val="1C3A36"/>
                <w:sz w:val="18"/>
              </w:rPr>
              <w:t>45.1%</w:t>
            </w:r>
          </w:p>
        </w:tc>
        <w:tc>
          <w:tcPr>
            <w:tcW w:type="dxa" w:w="1872"/>
          </w:tcPr>
          <w:p>
            <w:pPr>
              <w:spacing w:after="20"/>
              <w:jc w:val="right"/>
            </w:pPr>
            <w:r>
              <w:rPr>
                <w:color w:val="1C3A36"/>
                <w:sz w:val="18"/>
              </w:rPr>
              <w:t>16.3%</w:t>
            </w:r>
          </w:p>
        </w:tc>
      </w:tr>
      <w:tr>
        <w:tc>
          <w:tcPr>
            <w:tcW w:type="dxa" w:w="3744"/>
          </w:tcPr>
          <w:p>
            <w:pPr>
              <w:spacing w:after="20"/>
            </w:pPr>
            <w:r>
              <w:rPr>
                <w:color w:val="1C3A36"/>
                <w:sz w:val="18"/>
              </w:rPr>
              <w:t>Net reinvestment (capex less depreciation)</w:t>
            </w:r>
          </w:p>
        </w:tc>
        <w:tc>
          <w:tcPr>
            <w:tcW w:type="dxa" w:w="1872"/>
          </w:tcPr>
          <w:p>
            <w:pPr>
              <w:spacing w:after="20"/>
              <w:jc w:val="right"/>
            </w:pPr>
            <w:r>
              <w:rPr>
                <w:color w:val="1C3A36"/>
                <w:sz w:val="18"/>
              </w:rPr>
              <w:t>-192</w:t>
            </w:r>
          </w:p>
        </w:tc>
        <w:tc>
          <w:tcPr>
            <w:tcW w:type="dxa" w:w="1872"/>
          </w:tcPr>
          <w:p>
            <w:pPr>
              <w:spacing w:after="20"/>
              <w:jc w:val="right"/>
            </w:pPr>
            <w:r>
              <w:rPr>
                <w:color w:val="1C3A36"/>
                <w:sz w:val="18"/>
              </w:rPr>
              <w:t>655</w:t>
            </w:r>
          </w:p>
        </w:tc>
        <w:tc>
          <w:tcPr>
            <w:tcW w:type="dxa" w:w="1872"/>
          </w:tcPr>
          <w:p>
            <w:pPr>
              <w:spacing w:after="20"/>
              <w:jc w:val="right"/>
            </w:pPr>
            <w:r>
              <w:rPr>
                <w:color w:val="1C3A36"/>
                <w:sz w:val="18"/>
              </w:rPr>
              <w:t>507</w:t>
            </w:r>
          </w:p>
        </w:tc>
      </w:tr>
      <w:tr>
        <w:tc>
          <w:tcPr>
            <w:tcW w:type="dxa" w:w="3744"/>
          </w:tcPr>
          <w:p>
            <w:pPr>
              <w:spacing w:after="20"/>
            </w:pPr>
            <w:r>
              <w:rPr>
                <w:color w:val="1C3A36"/>
                <w:sz w:val="18"/>
              </w:rPr>
              <w:t>Reinvestment rate (net reinvestment / NOPAT)</w:t>
            </w:r>
          </w:p>
        </w:tc>
        <w:tc>
          <w:tcPr>
            <w:tcW w:type="dxa" w:w="1872"/>
          </w:tcPr>
          <w:p>
            <w:pPr>
              <w:spacing w:after="20"/>
              <w:jc w:val="right"/>
            </w:pPr>
            <w:r>
              <w:rPr>
                <w:color w:val="1C3A36"/>
                <w:sz w:val="18"/>
              </w:rPr>
              <w:t>-23.7%</w:t>
            </w:r>
          </w:p>
        </w:tc>
        <w:tc>
          <w:tcPr>
            <w:tcW w:type="dxa" w:w="1872"/>
          </w:tcPr>
          <w:p>
            <w:pPr>
              <w:spacing w:after="20"/>
              <w:jc w:val="right"/>
            </w:pPr>
            <w:r>
              <w:rPr>
                <w:color w:val="1C3A36"/>
                <w:sz w:val="18"/>
              </w:rPr>
              <w:t>48.2%</w:t>
            </w:r>
          </w:p>
        </w:tc>
        <w:tc>
          <w:tcPr>
            <w:tcW w:type="dxa" w:w="1872"/>
          </w:tcPr>
          <w:p>
            <w:pPr>
              <w:spacing w:after="20"/>
              <w:jc w:val="right"/>
            </w:pPr>
            <w:r>
              <w:rPr>
                <w:color w:val="1C3A36"/>
                <w:sz w:val="18"/>
              </w:rPr>
              <w:t>14.5%</w:t>
            </w:r>
          </w:p>
        </w:tc>
      </w:tr>
      <w:tr>
        <w:tc>
          <w:tcPr>
            <w:tcW w:type="dxa" w:w="3744"/>
          </w:tcPr>
          <w:p>
            <w:pPr>
              <w:spacing w:after="20"/>
            </w:pPr>
            <w:r>
              <w:rPr>
                <w:color w:val="1C3A36"/>
                <w:sz w:val="18"/>
              </w:rPr>
              <w:t>Return on BOOK invested capital</w:t>
            </w:r>
          </w:p>
        </w:tc>
        <w:tc>
          <w:tcPr>
            <w:tcW w:type="dxa" w:w="1872"/>
          </w:tcPr>
          <w:p>
            <w:pPr>
              <w:spacing w:after="20"/>
              <w:jc w:val="right"/>
            </w:pPr>
            <w:r>
              <w:rPr>
                <w:color w:val="1C3A36"/>
                <w:sz w:val="18"/>
              </w:rPr>
              <w:t>43.9%</w:t>
            </w:r>
          </w:p>
        </w:tc>
        <w:tc>
          <w:tcPr>
            <w:tcW w:type="dxa" w:w="1872"/>
          </w:tcPr>
          <w:p>
            <w:pPr>
              <w:spacing w:after="20"/>
              <w:jc w:val="right"/>
            </w:pPr>
            <w:r>
              <w:rPr>
                <w:color w:val="1C3A36"/>
                <w:sz w:val="18"/>
              </w:rPr>
              <w:t>44.3%</w:t>
            </w:r>
          </w:p>
        </w:tc>
        <w:tc>
          <w:tcPr>
            <w:tcW w:type="dxa" w:w="1872"/>
          </w:tcPr>
          <w:p>
            <w:pPr>
              <w:spacing w:after="20"/>
              <w:jc w:val="right"/>
            </w:pPr>
            <w:r>
              <w:rPr>
                <w:color w:val="1C3A36"/>
                <w:sz w:val="18"/>
              </w:rPr>
              <w:t>60.6%</w:t>
            </w:r>
          </w:p>
        </w:tc>
      </w:tr>
      <w:tr>
        <w:tc>
          <w:tcPr>
            <w:tcW w:type="dxa" w:w="3744"/>
          </w:tcPr>
          <w:p>
            <w:pPr>
              <w:spacing w:after="20"/>
            </w:pPr>
            <w:r>
              <w:rPr>
                <w:color w:val="1C3A36"/>
                <w:sz w:val="18"/>
              </w:rPr>
              <w:t>Character</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r>
    </w:tbl>
    <w:p>
      <w:pPr>
        <w:spacing w:after="40"/>
      </w:pPr>
    </w:p>
    <w:p>
      <w:pPr>
        <w:spacing w:after="200" w:before="0"/>
      </w:pPr>
      <w:r>
        <w:rPr>
          <w:b w:val="0"/>
          <w:i/>
          <w:color w:val="6E7B77"/>
          <w:sz w:val="17"/>
        </w:rPr>
        <w:t>Table 4 — The reinvestment record, buildable because capital expenditure is disclosed for all three years. FY2023 spent less than it depreciated; FY2024 and FY2025 carried the alternative-fuel and silo programmes on top of maintenance.</w:t>
      </w:r>
    </w:p>
    <w:p>
      <w:pPr>
        <w:spacing w:after="120" w:before="0"/>
      </w:pPr>
      <w:r>
        <w:rPr>
          <w:b w:val="0"/>
          <w:i w:val="0"/>
          <w:color w:val="1C3A36"/>
          <w:sz w:val="21"/>
        </w:rPr>
        <w:t>That has a direct consequence for the forecast, and it is treated as one. Capital expenditure is NOT set at book depreciation. It is set at the economic maintenance level of USD 4.00 per tonne of installed capacity — about EGP 1,012mn in FY2026 against a book charge of EGP 331mn. Setting capex equal to book depreciation would flatter free cash flow by construction; the cost of refusing to do so is computed in section 1.9 and is worth +12.3% of the cash-flow lens. The audited FY2024 and FY2025 outturns of EGP 912mn and EGP 796mn — USD 4.1 and USD 3.2 a tonne — bracket the assumption, and both of those years carried growth projects as well as maintenance.</w:t>
      </w:r>
    </w:p>
    <w:p>
      <w:pPr>
        <w:spacing w:after="80" w:before="200"/>
      </w:pPr>
      <w:r>
        <w:rPr>
          <w:b/>
          <w:i w:val="0"/>
          <w:color w:val="1C3A36"/>
          <w:sz w:val="24"/>
        </w:rPr>
        <w:t>1.4  The cost of capital, and a debt book that changed currency</w:t>
      </w:r>
    </w:p>
    <w:p>
      <w:pPr>
        <w:spacing w:after="120" w:before="0"/>
      </w:pPr>
      <w:r>
        <w:rPr>
          <w:b w:val="0"/>
          <w:i w:val="0"/>
          <w:color w:val="1C3A36"/>
          <w:sz w:val="21"/>
        </w:rPr>
        <w:t>The discount rate is a schedule, not a number. Egypt is in monetary transition: the central bank held its main operation rate at 19.50% through the first half of 2026 while headline inflation eased to 14.3%, and its own published medium-term target is 7%. A single flat rate applied to both the explicit years and a perpetuity would assert that Egypt's cost of capital never normalises.</w:t>
      </w:r>
    </w:p>
    <w:p>
      <w:pPr>
        <w:spacing w:after="120" w:before="0"/>
      </w:pPr>
      <w:r>
        <w:rPr>
          <w:b w:val="0"/>
          <w:i w:val="0"/>
          <w:color w:val="1C3A36"/>
          <w:sz w:val="21"/>
        </w:rPr>
        <w:t>The cost of DEBT is the line the audited accounts changed most. During 2025 the company refinanced out of pound working-capital facilities and into euro term debt: a EUR 25mn facility from the European Bank for Reconstruction and Development at three-month Euribor plus 4.35%, drawn to EUR 18.5mn to fund alternative-fuel capacity and hydrogen injection, and a EUR 3.09mn National Bank of Egypt facility under a KfW industrial-pollution programme at six-month Euribor plus 3%. 91.1% of the interest-bearing book is now euro-denominated.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728"/>
        <w:gridCol w:w="1440"/>
        <w:gridCol w:w="2304"/>
      </w:tblGrid>
      <w:tr>
        <w:tc>
          <w:tcPr>
            <w:tcW w:type="dxa" w:w="3744"/>
            <w:shd w:val="clear" w:color="auto" w:fill="EAF0EE"/>
          </w:tcPr>
          <w:p>
            <w:pPr>
              <w:spacing w:after="20"/>
            </w:pPr>
            <w:r>
              <w:rPr>
                <w:b/>
                <w:color w:val="1C3A36"/>
                <w:sz w:val="18"/>
              </w:rPr>
              <w:t>Facility</w:t>
            </w:r>
          </w:p>
        </w:tc>
        <w:tc>
          <w:tcPr>
            <w:tcW w:type="dxa" w:w="1728"/>
            <w:shd w:val="clear" w:color="auto" w:fill="EAF0EE"/>
          </w:tcPr>
          <w:p>
            <w:pPr>
              <w:spacing w:after="20"/>
            </w:pPr>
            <w:r>
              <w:rPr>
                <w:b/>
                <w:color w:val="1C3A36"/>
                <w:sz w:val="18"/>
              </w:rPr>
              <w:t>Balance (EGP mn)</w:t>
            </w:r>
          </w:p>
        </w:tc>
        <w:tc>
          <w:tcPr>
            <w:tcW w:type="dxa" w:w="1440"/>
            <w:shd w:val="clear" w:color="auto" w:fill="EAF0EE"/>
          </w:tcPr>
          <w:p>
            <w:pPr>
              <w:spacing w:after="20"/>
            </w:pPr>
            <w:r>
              <w:rPr>
                <w:b/>
                <w:color w:val="1C3A36"/>
                <w:sz w:val="18"/>
              </w:rPr>
              <w:t>Currency</w:t>
            </w:r>
          </w:p>
        </w:tc>
        <w:tc>
          <w:tcPr>
            <w:tcW w:type="dxa" w:w="2304"/>
            <w:shd w:val="clear" w:color="auto" w:fill="EAF0EE"/>
          </w:tcPr>
          <w:p>
            <w:pPr>
              <w:spacing w:after="20"/>
            </w:pPr>
            <w:r>
              <w:rPr>
                <w:b/>
                <w:color w:val="1C3A36"/>
                <w:sz w:val="18"/>
              </w:rPr>
              <w:t>Contractual rate</w:t>
            </w:r>
          </w:p>
        </w:tc>
      </w:tr>
      <w:tr>
        <w:tc>
          <w:tcPr>
            <w:tcW w:type="dxa" w:w="3744"/>
          </w:tcPr>
          <w:p>
            <w:pPr>
              <w:spacing w:after="20"/>
            </w:pPr>
            <w:r>
              <w:rPr>
                <w:color w:val="1C3A36"/>
                <w:sz w:val="18"/>
              </w:rPr>
              <w:t>CIB credit facilities</w:t>
            </w:r>
          </w:p>
        </w:tc>
        <w:tc>
          <w:tcPr>
            <w:tcW w:type="dxa" w:w="1728"/>
          </w:tcPr>
          <w:p>
            <w:pPr>
              <w:spacing w:after="20"/>
              <w:jc w:val="right"/>
            </w:pPr>
            <w:r>
              <w:rPr>
                <w:color w:val="1C3A36"/>
                <w:sz w:val="18"/>
              </w:rPr>
              <w:t>100</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corridor + 0.6% = 20.60%</w:t>
            </w:r>
          </w:p>
        </w:tc>
      </w:tr>
      <w:tr>
        <w:tc>
          <w:tcPr>
            <w:tcW w:type="dxa" w:w="3744"/>
          </w:tcPr>
          <w:p>
            <w:pPr>
              <w:spacing w:after="20"/>
            </w:pPr>
            <w:r>
              <w:rPr>
                <w:color w:val="1C3A36"/>
                <w:sz w:val="18"/>
              </w:rPr>
              <w:t>National Bank of Egypt / KfW</w:t>
            </w:r>
          </w:p>
        </w:tc>
        <w:tc>
          <w:tcPr>
            <w:tcW w:type="dxa" w:w="1728"/>
          </w:tcPr>
          <w:p>
            <w:pPr>
              <w:spacing w:after="20"/>
              <w:jc w:val="right"/>
            </w:pPr>
            <w:r>
              <w:rPr>
                <w:color w:val="1C3A36"/>
                <w:sz w:val="18"/>
              </w:rPr>
              <w:t>146</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+ 3.00% = 5.49%</w:t>
            </w:r>
          </w:p>
        </w:tc>
      </w:tr>
      <w:tr>
        <w:tc>
          <w:tcPr>
            <w:tcW w:type="dxa" w:w="3744"/>
          </w:tcPr>
          <w:p>
            <w:pPr>
              <w:spacing w:after="20"/>
            </w:pPr>
            <w:r>
              <w:rPr>
                <w:color w:val="1C3A36"/>
                <w:sz w:val="18"/>
              </w:rPr>
              <w:t>European Bank for Reconstruction and Development</w:t>
            </w:r>
          </w:p>
        </w:tc>
        <w:tc>
          <w:tcPr>
            <w:tcW w:type="dxa" w:w="1728"/>
          </w:tcPr>
          <w:p>
            <w:pPr>
              <w:spacing w:after="20"/>
              <w:jc w:val="right"/>
            </w:pPr>
            <w:r>
              <w:rPr>
                <w:color w:val="1C3A36"/>
                <w:sz w:val="18"/>
              </w:rPr>
              <w:t>888</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+ 4.35% = 6.84%</w:t>
            </w:r>
          </w:p>
        </w:tc>
      </w:tr>
      <w:tr>
        <w:tc>
          <w:tcPr>
            <w:tcW w:type="dxa" w:w="3744"/>
          </w:tcPr>
          <w:p>
            <w:pPr>
              <w:spacing w:after="20"/>
            </w:pPr>
            <w:r>
              <w:rPr>
                <w:color w:val="1C3A36"/>
                <w:sz w:val="18"/>
              </w:rPr>
              <w:t>Lease liabilities</w:t>
            </w:r>
          </w:p>
        </w:tc>
        <w:tc>
          <w:tcPr>
            <w:tcW w:type="dxa" w:w="1728"/>
          </w:tcPr>
          <w:p>
            <w:pPr>
              <w:spacing w:after="20"/>
              <w:jc w:val="right"/>
            </w:pPr>
            <w:r>
              <w:rPr>
                <w:color w:val="1C3A36"/>
                <w:sz w:val="18"/>
              </w:rPr>
              <w:t>1.2</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w:t>
            </w:r>
          </w:p>
        </w:tc>
      </w:tr>
      <w:tr>
        <w:tc>
          <w:tcPr>
            <w:tcW w:type="dxa" w:w="3744"/>
            <w:shd w:val="clear" w:color="auto" w:fill="F6F1E6"/>
          </w:tcPr>
          <w:p>
            <w:pPr>
              <w:spacing w:after="20"/>
            </w:pPr>
            <w:r>
              <w:rPr>
                <w:b/>
                <w:color w:val="1C3A36"/>
                <w:sz w:val="18"/>
              </w:rPr>
              <w:t>Blended cost of debt, adopted</w:t>
            </w:r>
          </w:p>
        </w:tc>
        <w:tc>
          <w:tcPr>
            <w:tcW w:type="dxa" w:w="1728"/>
            <w:shd w:val="clear" w:color="auto" w:fill="F6F1E6"/>
          </w:tcPr>
          <w:p>
            <w:pPr>
              <w:spacing w:after="20"/>
              <w:jc w:val="right"/>
            </w:pPr>
            <w:r>
              <w:rPr>
                <w:b/>
                <w:color w:val="1C3A36"/>
                <w:sz w:val="18"/>
              </w:rPr>
              <w:t>1,135</w:t>
            </w:r>
          </w:p>
        </w:tc>
        <w:tc>
          <w:tcPr>
            <w:tcW w:type="dxa" w:w="1440"/>
            <w:shd w:val="clear" w:color="auto" w:fill="F6F1E6"/>
          </w:tcPr>
          <w:p>
            <w:pPr>
              <w:spacing w:after="20"/>
              <w:jc w:val="right"/>
            </w:pPr>
            <w:r>
              <w:rPr>
                <w:b/>
                <w:color w:val="1C3A36"/>
                <w:sz w:val="18"/>
              </w:rPr>
              <w:t>91% EUR</w:t>
            </w:r>
          </w:p>
        </w:tc>
        <w:tc>
          <w:tcPr>
            <w:tcW w:type="dxa" w:w="2304"/>
            <w:shd w:val="clear" w:color="auto" w:fill="F6F1E6"/>
          </w:tcPr>
          <w:p>
            <w:pPr>
              <w:spacing w:after="20"/>
              <w:jc w:val="right"/>
            </w:pPr>
            <w:r>
              <w:rPr>
                <w:b/>
                <w:color w:val="1C3A36"/>
                <w:sz w:val="18"/>
              </w:rPr>
              <w:t>7.89%</w:t>
            </w:r>
          </w:p>
        </w:tc>
      </w:tr>
    </w:tbl>
    <w:p>
      <w:pPr>
        <w:spacing w:after="40"/>
      </w:pPr>
    </w:p>
    <w:p>
      <w:pPr>
        <w:spacing w:after="200" w:before="0"/>
      </w:pPr>
      <w:r>
        <w:rPr>
          <w:b w:val="0"/>
          <w:i/>
          <w:color w:val="6E7B77"/>
          <w:sz w:val="17"/>
        </w:rPr>
        <w:t>Table 5 — The debt book, facility by facility, from the audited borrowings note. The blended rate is built in the model from these four lines, not pasted.</w:t>
      </w:r>
    </w:p>
    <w:p>
      <w:pPr>
        <w:spacing w:after="120" w:before="0"/>
      </w:pPr>
      <w:r>
        <w:rPr>
          <w:b w:val="0"/>
          <w:i w:val="0"/>
          <w:color w:val="1C3A36"/>
          <w:sz w:val="21"/>
        </w:rPr>
        <w:t>Three checks are published rather than asserted, because a contractual rate is not the same thing as a rate paid. Interest expense over average interest-bearing debt gives 20.85% in FY2024, 5.03% in FY2025 and 3.73% annualising the first quarter of 2026. The contractual 7.89% sits ABOVE all three, and the gap is not a reconciling item to be smoothed: the book re-based mid-year, so the trailing average balance is not what carried the interest, and the borrowing that funds an asset still under construction has its interest capitalised into that asset rather than expensed. The marginal contractual rate is the right one for a forward-looking discount rate, and the gap is disclosed so the reader can disagree.</w:t>
      </w:r>
    </w:p>
    <w:p>
      <w:pPr>
        <w:spacing w:after="120" w:before="0"/>
      </w:pPr>
      <w:r>
        <w:rPr>
          <w:b w:val="0"/>
          <w:i w:val="0"/>
          <w:color w:val="1C3A36"/>
          <w:sz w:val="21"/>
        </w:rPr>
        <w:t>One caution belongs next to that number. Adopting the contracted euro rate means the euro debt is NOT compensated for pound depreciation beyond what this study's own currency path already assumes. Loading the euro legs with 6% annual pound depreciation under interest parity gives a pound-equivalent cost of debt of 13.36% — nearly twice the adopted figure. The alternative is computed as a VALUE and not merely described: it is worth +3.2% of the cash-flow lens, because debt is only 4.9% of the capital structure. A large swing in a small weight is still a small effect, and saying so is not the same as dismissing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592"/>
        <w:gridCol w:w="2592"/>
      </w:tblGrid>
      <w:tr>
        <w:tc>
          <w:tcPr>
            <w:tcW w:type="dxa" w:w="4176"/>
            <w:shd w:val="clear" w:color="auto" w:fill="EAF0EE"/>
          </w:tcPr>
          <w:p>
            <w:pPr>
              <w:spacing w:after="20"/>
            </w:pPr>
            <w:r>
              <w:rPr>
                <w:b/>
                <w:color w:val="1C3A36"/>
                <w:sz w:val="18"/>
              </w:rPr>
            </w:r>
          </w:p>
        </w:tc>
        <w:tc>
          <w:tcPr>
            <w:tcW w:type="dxa" w:w="2592"/>
            <w:shd w:val="clear" w:color="auto" w:fill="EAF0EE"/>
          </w:tcPr>
          <w:p>
            <w:pPr>
              <w:spacing w:after="20"/>
            </w:pPr>
            <w:r>
              <w:rPr>
                <w:b/>
                <w:color w:val="1C3A36"/>
                <w:sz w:val="18"/>
              </w:rPr>
              <w:t>Explicit window</w:t>
            </w:r>
          </w:p>
        </w:tc>
        <w:tc>
          <w:tcPr>
            <w:tcW w:type="dxa" w:w="2592"/>
            <w:shd w:val="clear" w:color="auto" w:fill="EAF0EE"/>
          </w:tcPr>
          <w:p>
            <w:pPr>
              <w:spacing w:after="20"/>
            </w:pPr>
            <w:r>
              <w:rPr>
                <w:b/>
                <w:color w:val="1C3A36"/>
                <w:sz w:val="18"/>
              </w:rPr>
              <w:t>Terminal</w:t>
            </w:r>
          </w:p>
        </w:tc>
      </w:tr>
      <w:tr>
        <w:tc>
          <w:tcPr>
            <w:tcW w:type="dxa" w:w="4176"/>
          </w:tcPr>
          <w:p>
            <w:pPr>
              <w:spacing w:after="20"/>
            </w:pPr>
            <w:r>
              <w:rPr>
                <w:color w:val="1C3A36"/>
                <w:sz w:val="18"/>
              </w:rPr>
              <w:t>Risk-free rate</w:t>
            </w:r>
          </w:p>
        </w:tc>
        <w:tc>
          <w:tcPr>
            <w:tcW w:type="dxa" w:w="2592"/>
          </w:tcPr>
          <w:p>
            <w:pPr>
              <w:spacing w:after="20"/>
              <w:jc w:val="right"/>
            </w:pPr>
            <w:r>
              <w:rPr>
                <w:color w:val="1C3A36"/>
                <w:sz w:val="18"/>
              </w:rPr>
              <w:t>22.95%</w:t>
            </w:r>
          </w:p>
        </w:tc>
        <w:tc>
          <w:tcPr>
            <w:tcW w:type="dxa" w:w="2592"/>
          </w:tcPr>
          <w:p>
            <w:pPr>
              <w:spacing w:after="20"/>
              <w:jc w:val="right"/>
            </w:pPr>
            <w:r>
              <w:rPr>
                <w:color w:val="1C3A36"/>
                <w:sz w:val="18"/>
              </w:rPr>
              <w:t>10.50%</w:t>
            </w:r>
          </w:p>
        </w:tc>
      </w:tr>
      <w:tr>
        <w:tc>
          <w:tcPr>
            <w:tcW w:type="dxa" w:w="4176"/>
          </w:tcPr>
          <w:p>
            <w:pPr>
              <w:spacing w:after="20"/>
            </w:pPr>
            <w:r>
              <w:rPr>
                <w:color w:val="1C3A36"/>
                <w:sz w:val="18"/>
              </w:rPr>
              <w:t>Less sovereign default spread</w:t>
            </w:r>
          </w:p>
        </w:tc>
        <w:tc>
          <w:tcPr>
            <w:tcW w:type="dxa" w:w="2592"/>
          </w:tcPr>
          <w:p>
            <w:pPr>
              <w:spacing w:after="20"/>
              <w:jc w:val="right"/>
            </w:pPr>
            <w:r>
              <w:rPr>
                <w:color w:val="1C3A36"/>
                <w:sz w:val="18"/>
              </w:rPr>
              <w:t>(3.40%)</w:t>
            </w:r>
          </w:p>
        </w:tc>
        <w:tc>
          <w:tcPr>
            <w:tcW w:type="dxa" w:w="2592"/>
          </w:tcPr>
          <w:p>
            <w:pPr>
              <w:spacing w:after="20"/>
              <w:jc w:val="right"/>
            </w:pPr>
            <w:r>
              <w:rPr>
                <w:color w:val="1C3A36"/>
                <w:sz w:val="18"/>
              </w:rPr>
              <w:t>—</w:t>
            </w:r>
          </w:p>
        </w:tc>
      </w:tr>
      <w:tr>
        <w:tc>
          <w:tcPr>
            <w:tcW w:type="dxa" w:w="4176"/>
          </w:tcPr>
          <w:p>
            <w:pPr>
              <w:spacing w:after="20"/>
            </w:pPr>
            <w:r>
              <w:rPr>
                <w:color w:val="1C3A36"/>
                <w:sz w:val="18"/>
              </w:rPr>
              <w:t>Normalised risk-free rate</w:t>
            </w:r>
          </w:p>
        </w:tc>
        <w:tc>
          <w:tcPr>
            <w:tcW w:type="dxa" w:w="2592"/>
          </w:tcPr>
          <w:p>
            <w:pPr>
              <w:spacing w:after="20"/>
              <w:jc w:val="right"/>
            </w:pPr>
            <w:r>
              <w:rPr>
                <w:color w:val="1C3A36"/>
                <w:sz w:val="18"/>
              </w:rPr>
              <w:t>19.55%</w:t>
            </w:r>
          </w:p>
        </w:tc>
        <w:tc>
          <w:tcPr>
            <w:tcW w:type="dxa" w:w="2592"/>
          </w:tcPr>
          <w:p>
            <w:pPr>
              <w:spacing w:after="20"/>
              <w:jc w:val="right"/>
            </w:pPr>
            <w:r>
              <w:rPr>
                <w:color w:val="1C3A36"/>
                <w:sz w:val="18"/>
              </w:rPr>
              <w:t>10.50%</w:t>
            </w:r>
          </w:p>
        </w:tc>
      </w:tr>
      <w:tr>
        <w:tc>
          <w:tcPr>
            <w:tcW w:type="dxa" w:w="4176"/>
          </w:tcPr>
          <w:p>
            <w:pPr>
              <w:spacing w:after="20"/>
            </w:pPr>
            <w:r>
              <w:rPr>
                <w:color w:val="1C3A36"/>
                <w:sz w:val="18"/>
              </w:rPr>
              <w:t>Beta</w:t>
            </w:r>
          </w:p>
        </w:tc>
        <w:tc>
          <w:tcPr>
            <w:tcW w:type="dxa" w:w="2592"/>
          </w:tcPr>
          <w:p>
            <w:pPr>
              <w:spacing w:after="20"/>
              <w:jc w:val="right"/>
            </w:pPr>
            <w:r>
              <w:rPr>
                <w:color w:val="1C3A36"/>
                <w:sz w:val="18"/>
              </w:rPr>
              <w:t>0.628</w:t>
            </w:r>
          </w:p>
        </w:tc>
        <w:tc>
          <w:tcPr>
            <w:tcW w:type="dxa" w:w="2592"/>
          </w:tcPr>
          <w:p>
            <w:pPr>
              <w:spacing w:after="20"/>
              <w:jc w:val="right"/>
            </w:pPr>
            <w:r>
              <w:rPr>
                <w:color w:val="1C3A36"/>
                <w:sz w:val="18"/>
              </w:rPr>
              <w:t>0.721</w:t>
            </w:r>
          </w:p>
        </w:tc>
      </w:tr>
      <w:tr>
        <w:tc>
          <w:tcPr>
            <w:tcW w:type="dxa" w:w="4176"/>
          </w:tcPr>
          <w:p>
            <w:pPr>
              <w:spacing w:after="20"/>
            </w:pPr>
            <w:r>
              <w:rPr>
                <w:color w:val="1C3A36"/>
                <w:sz w:val="18"/>
              </w:rPr>
              <w:t>Equity risk premium</w:t>
            </w:r>
          </w:p>
        </w:tc>
        <w:tc>
          <w:tcPr>
            <w:tcW w:type="dxa" w:w="2592"/>
          </w:tcPr>
          <w:p>
            <w:pPr>
              <w:spacing w:after="20"/>
              <w:jc w:val="right"/>
            </w:pPr>
            <w:r>
              <w:rPr>
                <w:color w:val="1C3A36"/>
                <w:sz w:val="18"/>
              </w:rPr>
              <w:t>9.41%</w:t>
            </w:r>
          </w:p>
        </w:tc>
        <w:tc>
          <w:tcPr>
            <w:tcW w:type="dxa" w:w="2592"/>
          </w:tcPr>
          <w:p>
            <w:pPr>
              <w:spacing w:after="20"/>
              <w:jc w:val="right"/>
            </w:pPr>
            <w:r>
              <w:rPr>
                <w:color w:val="1C3A36"/>
                <w:sz w:val="18"/>
              </w:rPr>
              <w:t>7.00%</w:t>
            </w:r>
          </w:p>
        </w:tc>
      </w:tr>
      <w:tr>
        <w:tc>
          <w:tcPr>
            <w:tcW w:type="dxa" w:w="4176"/>
          </w:tcPr>
          <w:p>
            <w:pPr>
              <w:spacing w:after="20"/>
            </w:pPr>
            <w:r>
              <w:rPr>
                <w:color w:val="1C3A36"/>
                <w:sz w:val="18"/>
              </w:rPr>
              <w:t>Cost of equity</w:t>
            </w:r>
          </w:p>
        </w:tc>
        <w:tc>
          <w:tcPr>
            <w:tcW w:type="dxa" w:w="2592"/>
          </w:tcPr>
          <w:p>
            <w:pPr>
              <w:spacing w:after="20"/>
              <w:jc w:val="right"/>
            </w:pPr>
            <w:r>
              <w:rPr>
                <w:color w:val="1C3A36"/>
                <w:sz w:val="18"/>
              </w:rPr>
              <w:t>25.46%</w:t>
            </w:r>
          </w:p>
        </w:tc>
        <w:tc>
          <w:tcPr>
            <w:tcW w:type="dxa" w:w="2592"/>
          </w:tcPr>
          <w:p>
            <w:pPr>
              <w:spacing w:after="20"/>
              <w:jc w:val="right"/>
            </w:pPr>
            <w:r>
              <w:rPr>
                <w:color w:val="1C3A36"/>
                <w:sz w:val="18"/>
              </w:rPr>
              <w:t>15.55%</w:t>
            </w:r>
          </w:p>
        </w:tc>
      </w:tr>
      <w:tr>
        <w:tc>
          <w:tcPr>
            <w:tcW w:type="dxa" w:w="4176"/>
          </w:tcPr>
          <w:p>
            <w:pPr>
              <w:spacing w:after="20"/>
            </w:pPr>
            <w:r>
              <w:rPr>
                <w:color w:val="1C3A36"/>
                <w:sz w:val="18"/>
              </w:rPr>
              <w:t>Cost of debt after tax</w:t>
            </w:r>
          </w:p>
        </w:tc>
        <w:tc>
          <w:tcPr>
            <w:tcW w:type="dxa" w:w="2592"/>
          </w:tcPr>
          <w:p>
            <w:pPr>
              <w:spacing w:after="20"/>
              <w:jc w:val="right"/>
            </w:pPr>
            <w:r>
              <w:rPr>
                <w:color w:val="1C3A36"/>
                <w:sz w:val="18"/>
              </w:rPr>
              <w:t>6.12%</w:t>
            </w:r>
          </w:p>
        </w:tc>
        <w:tc>
          <w:tcPr>
            <w:tcW w:type="dxa" w:w="2592"/>
          </w:tcPr>
          <w:p>
            <w:pPr>
              <w:spacing w:after="20"/>
              <w:jc w:val="right"/>
            </w:pPr>
            <w:r>
              <w:rPr>
                <w:color w:val="1C3A36"/>
                <w:sz w:val="18"/>
              </w:rPr>
              <w:t>10.46%</w:t>
            </w:r>
          </w:p>
        </w:tc>
      </w:tr>
      <w:tr>
        <w:tc>
          <w:tcPr>
            <w:tcW w:type="dxa" w:w="4176"/>
          </w:tcPr>
          <w:p>
            <w:pPr>
              <w:spacing w:after="20"/>
            </w:pPr>
            <w:r>
              <w:rPr>
                <w:color w:val="1C3A36"/>
                <w:sz w:val="18"/>
              </w:rPr>
              <w:t>Debt weight</w:t>
            </w:r>
          </w:p>
        </w:tc>
        <w:tc>
          <w:tcPr>
            <w:tcW w:type="dxa" w:w="2592"/>
          </w:tcPr>
          <w:p>
            <w:pPr>
              <w:spacing w:after="20"/>
              <w:jc w:val="right"/>
            </w:pPr>
            <w:r>
              <w:rPr>
                <w:color w:val="1C3A36"/>
                <w:sz w:val="18"/>
              </w:rPr>
              <w:t>4.88%</w:t>
            </w:r>
          </w:p>
        </w:tc>
        <w:tc>
          <w:tcPr>
            <w:tcW w:type="dxa" w:w="2592"/>
          </w:tcPr>
          <w:p>
            <w:pPr>
              <w:spacing w:after="20"/>
              <w:jc w:val="right"/>
            </w:pPr>
            <w:r>
              <w:rPr>
                <w:color w:val="1C3A36"/>
                <w:sz w:val="18"/>
              </w:rPr>
              <w:t>20.0%</w:t>
            </w:r>
          </w:p>
        </w:tc>
      </w:tr>
      <w:tr>
        <w:tc>
          <w:tcPr>
            <w:tcW w:type="dxa" w:w="4176"/>
            <w:shd w:val="clear" w:color="auto" w:fill="F6F1E6"/>
          </w:tcPr>
          <w:p>
            <w:pPr>
              <w:spacing w:after="20"/>
            </w:pPr>
            <w:r>
              <w:rPr>
                <w:b/>
                <w:color w:val="1C3A36"/>
                <w:sz w:val="18"/>
              </w:rPr>
              <w:t>Blended cost of capital</w:t>
            </w:r>
          </w:p>
        </w:tc>
        <w:tc>
          <w:tcPr>
            <w:tcW w:type="dxa" w:w="2592"/>
            <w:shd w:val="clear" w:color="auto" w:fill="F6F1E6"/>
          </w:tcPr>
          <w:p>
            <w:pPr>
              <w:spacing w:after="20"/>
              <w:jc w:val="right"/>
            </w:pPr>
            <w:r>
              <w:rPr>
                <w:b/>
                <w:color w:val="1C3A36"/>
                <w:sz w:val="18"/>
              </w:rPr>
              <w:t>24.52%</w:t>
            </w:r>
          </w:p>
        </w:tc>
        <w:tc>
          <w:tcPr>
            <w:tcW w:type="dxa" w:w="2592"/>
            <w:shd w:val="clear" w:color="auto" w:fill="F6F1E6"/>
          </w:tcPr>
          <w:p>
            <w:pPr>
              <w:spacing w:after="20"/>
              <w:jc w:val="right"/>
            </w:pPr>
            <w:r>
              <w:rPr>
                <w:b/>
                <w:color w:val="1C3A36"/>
                <w:sz w:val="18"/>
              </w:rPr>
              <w:t>14.53%</w:t>
            </w:r>
          </w:p>
        </w:tc>
      </w:tr>
    </w:tbl>
    <w:p>
      <w:pPr>
        <w:spacing w:after="40"/>
      </w:pPr>
    </w:p>
    <w:p>
      <w:pPr>
        <w:spacing w:after="200" w:before="0"/>
      </w:pPr>
      <w:r>
        <w:rPr>
          <w:b w:val="0"/>
          <w:i/>
          <w:color w:val="6E7B77"/>
          <w:sz w:val="17"/>
        </w:rPr>
        <w:t>Table 6 — The two anchors. The sovereign default spread is netted OUT of the local risk-free rate before a country equity premium is added, so Egypt's default risk is charged once rather than twice; leaving it in would have put the cost of equity at 28.86% instead of 25.46%.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26"/>
        <w:gridCol w:w="1526"/>
        <w:gridCol w:w="1526"/>
        <w:gridCol w:w="1526"/>
        <w:gridCol w:w="1526"/>
      </w:tblGrid>
      <w:tr>
        <w:tc>
          <w:tcPr>
            <w:tcW w:type="dxa" w:w="2333"/>
            <w:shd w:val="clear" w:color="auto" w:fill="EAF0EE"/>
          </w:tcPr>
          <w:p>
            <w:pPr>
              <w:spacing w:after="20"/>
            </w:pPr>
            <w:r>
              <w:rPr>
                <w:b/>
                <w:color w:val="1C3A36"/>
                <w:sz w:val="18"/>
              </w:rPr>
              <w:t>Year</w:t>
            </w:r>
          </w:p>
        </w:tc>
        <w:tc>
          <w:tcPr>
            <w:tcW w:type="dxa" w:w="1526"/>
            <w:shd w:val="clear" w:color="auto" w:fill="EAF0EE"/>
          </w:tcPr>
          <w:p>
            <w:pPr>
              <w:spacing w:after="20"/>
            </w:pPr>
            <w:r>
              <w:rPr>
                <w:b/>
                <w:color w:val="1C3A36"/>
                <w:sz w:val="18"/>
              </w:rPr>
              <w:t>FY2026E</w:t>
            </w:r>
          </w:p>
        </w:tc>
        <w:tc>
          <w:tcPr>
            <w:tcW w:type="dxa" w:w="1526"/>
            <w:shd w:val="clear" w:color="auto" w:fill="EAF0EE"/>
          </w:tcPr>
          <w:p>
            <w:pPr>
              <w:spacing w:after="20"/>
            </w:pPr>
            <w:r>
              <w:rPr>
                <w:b/>
                <w:color w:val="1C3A36"/>
                <w:sz w:val="18"/>
              </w:rPr>
              <w:t>FY2027E</w:t>
            </w:r>
          </w:p>
        </w:tc>
        <w:tc>
          <w:tcPr>
            <w:tcW w:type="dxa" w:w="1526"/>
            <w:shd w:val="clear" w:color="auto" w:fill="EAF0EE"/>
          </w:tcPr>
          <w:p>
            <w:pPr>
              <w:spacing w:after="20"/>
            </w:pPr>
            <w:r>
              <w:rPr>
                <w:b/>
                <w:color w:val="1C3A36"/>
                <w:sz w:val="18"/>
              </w:rPr>
              <w:t>FY2028E</w:t>
            </w:r>
          </w:p>
        </w:tc>
        <w:tc>
          <w:tcPr>
            <w:tcW w:type="dxa" w:w="1526"/>
            <w:shd w:val="clear" w:color="auto" w:fill="EAF0EE"/>
          </w:tcPr>
          <w:p>
            <w:pPr>
              <w:spacing w:after="20"/>
            </w:pPr>
            <w:r>
              <w:rPr>
                <w:b/>
                <w:color w:val="1C3A36"/>
                <w:sz w:val="18"/>
              </w:rPr>
              <w:t>FY2029E</w:t>
            </w:r>
          </w:p>
        </w:tc>
        <w:tc>
          <w:tcPr>
            <w:tcW w:type="dxa" w:w="1526"/>
            <w:shd w:val="clear" w:color="auto" w:fill="EAF0EE"/>
          </w:tcPr>
          <w:p>
            <w:pPr>
              <w:spacing w:after="20"/>
            </w:pPr>
            <w:r>
              <w:rPr>
                <w:b/>
                <w:color w:val="1C3A36"/>
                <w:sz w:val="18"/>
              </w:rPr>
              <w:t>FY2030E</w:t>
            </w:r>
          </w:p>
        </w:tc>
      </w:tr>
      <w:tr>
        <w:tc>
          <w:tcPr>
            <w:tcW w:type="dxa" w:w="2333"/>
          </w:tcPr>
          <w:p>
            <w:pPr>
              <w:spacing w:after="20"/>
            </w:pPr>
            <w:r>
              <w:rPr>
                <w:color w:val="1C3A36"/>
                <w:sz w:val="18"/>
              </w:rPr>
              <w:t>Glide fraction</w:t>
            </w:r>
          </w:p>
        </w:tc>
        <w:tc>
          <w:tcPr>
            <w:tcW w:type="dxa" w:w="1526"/>
          </w:tcPr>
          <w:p>
            <w:pPr>
              <w:spacing w:after="20"/>
              <w:jc w:val="right"/>
            </w:pPr>
            <w:r>
              <w:rPr>
                <w:color w:val="1C3A36"/>
                <w:sz w:val="18"/>
              </w:rPr>
              <w:t>0.000</w:t>
            </w:r>
          </w:p>
        </w:tc>
        <w:tc>
          <w:tcPr>
            <w:tcW w:type="dxa" w:w="1526"/>
          </w:tcPr>
          <w:p>
            <w:pPr>
              <w:spacing w:after="20"/>
              <w:jc w:val="right"/>
            </w:pPr>
            <w:r>
              <w:rPr>
                <w:color w:val="1C3A36"/>
                <w:sz w:val="18"/>
              </w:rPr>
              <w:t>0.379</w:t>
            </w:r>
          </w:p>
        </w:tc>
        <w:tc>
          <w:tcPr>
            <w:tcW w:type="dxa" w:w="1526"/>
          </w:tcPr>
          <w:p>
            <w:pPr>
              <w:spacing w:after="20"/>
              <w:jc w:val="right"/>
            </w:pPr>
            <w:r>
              <w:rPr>
                <w:color w:val="1C3A36"/>
                <w:sz w:val="18"/>
              </w:rPr>
              <w:t>0.682</w:t>
            </w:r>
          </w:p>
        </w:tc>
        <w:tc>
          <w:tcPr>
            <w:tcW w:type="dxa" w:w="1526"/>
          </w:tcPr>
          <w:p>
            <w:pPr>
              <w:spacing w:after="20"/>
              <w:jc w:val="right"/>
            </w:pPr>
            <w:r>
              <w:rPr>
                <w:color w:val="1C3A36"/>
                <w:sz w:val="18"/>
              </w:rPr>
              <w:t>0.864</w:t>
            </w:r>
          </w:p>
        </w:tc>
        <w:tc>
          <w:tcPr>
            <w:tcW w:type="dxa" w:w="1526"/>
          </w:tcPr>
          <w:p>
            <w:pPr>
              <w:spacing w:after="20"/>
              <w:jc w:val="right"/>
            </w:pPr>
            <w:r>
              <w:rPr>
                <w:color w:val="1C3A36"/>
                <w:sz w:val="18"/>
              </w:rPr>
              <w:t>1.000</w:t>
            </w:r>
          </w:p>
        </w:tc>
      </w:tr>
      <w:tr>
        <w:tc>
          <w:tcPr>
            <w:tcW w:type="dxa" w:w="2333"/>
          </w:tcPr>
          <w:p>
            <w:pPr>
              <w:spacing w:after="20"/>
            </w:pPr>
            <w:r>
              <w:rPr>
                <w:color w:val="1C3A36"/>
                <w:sz w:val="18"/>
              </w:rPr>
              <w:t>Forward cost of capital</w:t>
            </w:r>
          </w:p>
        </w:tc>
        <w:tc>
          <w:tcPr>
            <w:tcW w:type="dxa" w:w="1526"/>
          </w:tcPr>
          <w:p>
            <w:pPr>
              <w:spacing w:after="20"/>
              <w:jc w:val="right"/>
            </w:pPr>
            <w:r>
              <w:rPr>
                <w:color w:val="1C3A36"/>
                <w:sz w:val="18"/>
              </w:rPr>
              <w:t>24.52%</w:t>
            </w:r>
          </w:p>
        </w:tc>
        <w:tc>
          <w:tcPr>
            <w:tcW w:type="dxa" w:w="1526"/>
          </w:tcPr>
          <w:p>
            <w:pPr>
              <w:spacing w:after="20"/>
              <w:jc w:val="right"/>
            </w:pPr>
            <w:r>
              <w:rPr>
                <w:color w:val="1C3A36"/>
                <w:sz w:val="18"/>
              </w:rPr>
              <w:t>20.73%</w:t>
            </w:r>
          </w:p>
        </w:tc>
        <w:tc>
          <w:tcPr>
            <w:tcW w:type="dxa" w:w="1526"/>
          </w:tcPr>
          <w:p>
            <w:pPr>
              <w:spacing w:after="20"/>
              <w:jc w:val="right"/>
            </w:pPr>
            <w:r>
              <w:rPr>
                <w:color w:val="1C3A36"/>
                <w:sz w:val="18"/>
              </w:rPr>
              <w:t>17.71%</w:t>
            </w:r>
          </w:p>
        </w:tc>
        <w:tc>
          <w:tcPr>
            <w:tcW w:type="dxa" w:w="1526"/>
          </w:tcPr>
          <w:p>
            <w:pPr>
              <w:spacing w:after="20"/>
              <w:jc w:val="right"/>
            </w:pPr>
            <w:r>
              <w:rPr>
                <w:color w:val="1C3A36"/>
                <w:sz w:val="18"/>
              </w:rPr>
              <w:t>15.89%</w:t>
            </w:r>
          </w:p>
        </w:tc>
        <w:tc>
          <w:tcPr>
            <w:tcW w:type="dxa" w:w="1526"/>
          </w:tcPr>
          <w:p>
            <w:pPr>
              <w:spacing w:after="20"/>
              <w:jc w:val="right"/>
            </w:pPr>
            <w:r>
              <w:rPr>
                <w:color w:val="1C3A36"/>
                <w:sz w:val="18"/>
              </w:rPr>
              <w:t>14.53%</w:t>
            </w:r>
          </w:p>
        </w:tc>
      </w:tr>
      <w:tr>
        <w:tc>
          <w:tcPr>
            <w:tcW w:type="dxa" w:w="2333"/>
          </w:tcPr>
          <w:p>
            <w:pPr>
              <w:spacing w:after="20"/>
            </w:pPr>
            <w:r>
              <w:rPr>
                <w:color w:val="1C3A36"/>
                <w:sz w:val="18"/>
              </w:rPr>
              <w:t>Cumulative discount factor</w:t>
            </w:r>
          </w:p>
        </w:tc>
        <w:tc>
          <w:tcPr>
            <w:tcW w:type="dxa" w:w="1526"/>
          </w:tcPr>
          <w:p>
            <w:pPr>
              <w:spacing w:after="20"/>
              <w:jc w:val="right"/>
            </w:pPr>
            <w:r>
              <w:rPr>
                <w:color w:val="1C3A36"/>
                <w:sz w:val="18"/>
              </w:rPr>
              <w:t>0.9553</w:t>
            </w:r>
          </w:p>
        </w:tc>
        <w:tc>
          <w:tcPr>
            <w:tcW w:type="dxa" w:w="1526"/>
          </w:tcPr>
          <w:p>
            <w:pPr>
              <w:spacing w:after="20"/>
              <w:jc w:val="right"/>
            </w:pPr>
            <w:r>
              <w:rPr>
                <w:color w:val="1C3A36"/>
                <w:sz w:val="18"/>
              </w:rPr>
              <w:t>0.8306</w:t>
            </w:r>
          </w:p>
        </w:tc>
        <w:tc>
          <w:tcPr>
            <w:tcW w:type="dxa" w:w="1526"/>
          </w:tcPr>
          <w:p>
            <w:pPr>
              <w:spacing w:after="20"/>
              <w:jc w:val="right"/>
            </w:pPr>
            <w:r>
              <w:rPr>
                <w:color w:val="1C3A36"/>
                <w:sz w:val="18"/>
              </w:rPr>
              <w:t>0.6967</w:t>
            </w:r>
          </w:p>
        </w:tc>
        <w:tc>
          <w:tcPr>
            <w:tcW w:type="dxa" w:w="1526"/>
          </w:tcPr>
          <w:p>
            <w:pPr>
              <w:spacing w:after="20"/>
              <w:jc w:val="right"/>
            </w:pPr>
            <w:r>
              <w:rPr>
                <w:color w:val="1C3A36"/>
                <w:sz w:val="18"/>
              </w:rPr>
              <w:t>0.5965</w:t>
            </w:r>
          </w:p>
        </w:tc>
        <w:tc>
          <w:tcPr>
            <w:tcW w:type="dxa" w:w="1526"/>
          </w:tcPr>
          <w:p>
            <w:pPr>
              <w:spacing w:after="20"/>
              <w:jc w:val="right"/>
            </w:pPr>
            <w:r>
              <w:rPr>
                <w:color w:val="1C3A36"/>
                <w:sz w:val="18"/>
              </w:rPr>
              <w:t>0.5178</w:t>
            </w:r>
          </w:p>
        </w:tc>
      </w:tr>
    </w:tbl>
    <w:p>
      <w:pPr>
        <w:spacing w:after="40"/>
      </w:pPr>
    </w:p>
    <w:p>
      <w:pPr>
        <w:spacing w:after="200" w:before="0"/>
      </w:pPr>
      <w:r>
        <w:rPr>
          <w:b w:val="0"/>
          <w:i/>
          <w:color w:val="6E7B77"/>
          <w:sz w:val="17"/>
        </w:rPr>
        <w:t>Table 7 — The schedule. The glide fractions are the cumulative progress of the POUND cost-of-debt path: the discount rate is a pound rate applied to pound cash flows, so the Egyptian easing calendar sets its slope while the euro debt book sets the level of the cost of debt. The terminal value is capitalised at the terminal rate and brought home on year five's own cumulative factor — one date, one price of time.</w:t>
      </w:r>
    </w:p>
    <w:p>
      <w:pPr>
        <w:spacing w:after="80" w:before="200"/>
      </w:pPr>
      <w:r>
        <w:rPr>
          <w:b/>
          <w:i w:val="0"/>
          <w:color w:val="1C3A36"/>
          <w:sz w:val="24"/>
        </w:rPr>
        <w:t>1.5  Beta, and how weak it is</w:t>
      </w:r>
    </w:p>
    <w:p>
      <w:pPr>
        <w:spacing w:after="120" w:before="0"/>
      </w:pPr>
      <w:r>
        <w:rPr>
          <w:b w:val="0"/>
          <w:i w:val="0"/>
          <w:color w:val="1C3A36"/>
          <w:sz w:val="21"/>
        </w:rPr>
        <w:t>The beta is a genuine regression, not a default. Weekly returns over five years against an equal-weight index of the 34 other Egyptian names in the library, with the subject excluded from its own index, give a beta of 0.628 on 257 observations, an R-squared of 9.1% and a standard error of 0.125. The 90% confidence interval is [0.42, 0.83].</w:t>
      </w:r>
    </w:p>
    <w:p>
      <w:pPr>
        <w:spacing w:after="120" w:before="0"/>
      </w:pPr>
      <w:r>
        <w:rPr>
          <w:b w:val="0"/>
          <w:i w:val="0"/>
          <w:color w:val="1C3A36"/>
          <w:sz w:val="21"/>
        </w:rPr>
        <w:t>That clears the usability threshold, and it is also STATISTICALLY WEAK — on one of the two tests rather than both, which is worth being precise about. The R-squared of 9.1% sits below the 10% mark, which triggers the flag. The confidence interval spans 0.65 times the point estimate, which does NOT: that test fires at two times and this is well inside it. The estimate is therefore never restated later as though it were precise, and the valuation is shown across a beta range rather than at a point.</w:t>
      </w:r>
    </w:p>
    <w:p>
      <w:pPr>
        <w:spacing w:after="120" w:before="0"/>
      </w:pPr>
      <w:r>
        <w:rPr>
          <w:b w:val="0"/>
          <w:i w:val="0"/>
          <w:color w:val="1C3A36"/>
          <w:sz w:val="21"/>
        </w:rPr>
        <w:t>Two cross-checks are run rather than asserted. The share closes unchanged on 12.2% of sessions against an Egyptian library median of 9.0%, and non-synchronous trading biases a contemporaneous beta downward; the lead-lag sum-beta that corrects for it is 0.919, an uplift of 0.291 with a standard error of 0.243 — i.e. an uplift not statistically distinguishable from zero. And a simple prior would put a cyclical, capital-intensive materials business at 1.0 to 1.5, which is above where this regression lands. There is a real reason for that: the company carries no net financial leverage, and unlevered equity genuinely moves less than levered equity. The regression is adopted, the correction is published as a value, and the difference is worth -10.7% of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411"/>
        <w:gridCol w:w="1411"/>
        <w:gridCol w:w="1411"/>
        <w:gridCol w:w="1411"/>
        <w:gridCol w:w="1411"/>
      </w:tblGrid>
      <w:tr>
        <w:tc>
          <w:tcPr>
            <w:tcW w:type="dxa" w:w="3168"/>
            <w:shd w:val="clear" w:color="auto" w:fill="EAF0EE"/>
          </w:tcPr>
          <w:p>
            <w:pPr>
              <w:spacing w:after="20"/>
            </w:pPr>
            <w:r>
              <w:rPr>
                <w:b/>
                <w:color w:val="1C3A36"/>
                <w:sz w:val="18"/>
              </w:rPr>
              <w:t>Beta</w:t>
            </w:r>
          </w:p>
        </w:tc>
        <w:tc>
          <w:tcPr>
            <w:tcW w:type="dxa" w:w="1411"/>
            <w:shd w:val="clear" w:color="auto" w:fill="EAF0EE"/>
          </w:tcPr>
          <w:p>
            <w:pPr>
              <w:spacing w:after="20"/>
            </w:pPr>
            <w:r>
              <w:rPr>
                <w:b/>
                <w:color w:val="1C3A36"/>
                <w:sz w:val="18"/>
              </w:rPr>
              <w:t>0.60</w:t>
            </w:r>
          </w:p>
        </w:tc>
        <w:tc>
          <w:tcPr>
            <w:tcW w:type="dxa" w:w="1411"/>
            <w:shd w:val="clear" w:color="auto" w:fill="EAF0EE"/>
          </w:tcPr>
          <w:p>
            <w:pPr>
              <w:spacing w:after="20"/>
            </w:pPr>
            <w:r>
              <w:rPr>
                <w:b/>
                <w:color w:val="1C3A36"/>
                <w:sz w:val="18"/>
              </w:rPr>
              <w:t>0.80</w:t>
            </w:r>
          </w:p>
        </w:tc>
        <w:tc>
          <w:tcPr>
            <w:tcW w:type="dxa" w:w="1411"/>
            <w:shd w:val="clear" w:color="auto" w:fill="EAF0EE"/>
          </w:tcPr>
          <w:p>
            <w:pPr>
              <w:spacing w:after="20"/>
            </w:pPr>
            <w:r>
              <w:rPr>
                <w:b/>
                <w:color w:val="1C3A36"/>
                <w:sz w:val="18"/>
              </w:rPr>
              <w:t>1.00</w:t>
            </w:r>
          </w:p>
        </w:tc>
        <w:tc>
          <w:tcPr>
            <w:tcW w:type="dxa" w:w="1411"/>
            <w:shd w:val="clear" w:color="auto" w:fill="EAF0EE"/>
          </w:tcPr>
          <w:p>
            <w:pPr>
              <w:spacing w:after="20"/>
            </w:pPr>
            <w:r>
              <w:rPr>
                <w:b/>
                <w:color w:val="1C3A36"/>
                <w:sz w:val="18"/>
              </w:rPr>
              <w:t>1.15</w:t>
            </w:r>
          </w:p>
        </w:tc>
        <w:tc>
          <w:tcPr>
            <w:tcW w:type="dxa" w:w="1411"/>
            <w:shd w:val="clear" w:color="auto" w:fill="EAF0EE"/>
          </w:tcPr>
          <w:p>
            <w:pPr>
              <w:spacing w:after="20"/>
            </w:pPr>
            <w:r>
              <w:rPr>
                <w:b/>
                <w:color w:val="1C3A36"/>
                <w:sz w:val="18"/>
              </w:rPr>
              <w:t>1.30</w:t>
            </w:r>
          </w:p>
        </w:tc>
      </w:tr>
      <w:tr>
        <w:tc>
          <w:tcPr>
            <w:tcW w:type="dxa" w:w="3168"/>
          </w:tcPr>
          <w:p>
            <w:pPr>
              <w:spacing w:after="20"/>
            </w:pPr>
            <w:r>
              <w:rPr>
                <w:color w:val="1C3A36"/>
                <w:sz w:val="18"/>
              </w:rPr>
              <w:t>Fair value per share (EGP)</w:t>
            </w:r>
          </w:p>
        </w:tc>
        <w:tc>
          <w:tcPr>
            <w:tcW w:type="dxa" w:w="1411"/>
          </w:tcPr>
          <w:p>
            <w:pPr>
              <w:spacing w:after="20"/>
              <w:jc w:val="right"/>
            </w:pPr>
            <w:r>
              <w:rPr>
                <w:color w:val="1C3A36"/>
                <w:sz w:val="18"/>
              </w:rPr>
              <w:t>62.19</w:t>
            </w:r>
          </w:p>
        </w:tc>
        <w:tc>
          <w:tcPr>
            <w:tcW w:type="dxa" w:w="1411"/>
          </w:tcPr>
          <w:p>
            <w:pPr>
              <w:spacing w:after="20"/>
              <w:jc w:val="right"/>
            </w:pPr>
            <w:r>
              <w:rPr>
                <w:color w:val="1C3A36"/>
                <w:sz w:val="18"/>
              </w:rPr>
              <w:t>56.34</w:t>
            </w:r>
          </w:p>
        </w:tc>
        <w:tc>
          <w:tcPr>
            <w:tcW w:type="dxa" w:w="1411"/>
          </w:tcPr>
          <w:p>
            <w:pPr>
              <w:spacing w:after="20"/>
              <w:jc w:val="right"/>
            </w:pPr>
            <w:r>
              <w:rPr>
                <w:color w:val="1C3A36"/>
                <w:sz w:val="18"/>
              </w:rPr>
              <w:t>51.73</w:t>
            </w:r>
          </w:p>
        </w:tc>
        <w:tc>
          <w:tcPr>
            <w:tcW w:type="dxa" w:w="1411"/>
          </w:tcPr>
          <w:p>
            <w:pPr>
              <w:spacing w:after="20"/>
              <w:jc w:val="right"/>
            </w:pPr>
            <w:r>
              <w:rPr>
                <w:color w:val="1C3A36"/>
                <w:sz w:val="18"/>
              </w:rPr>
              <w:t>48.86</w:t>
            </w:r>
          </w:p>
        </w:tc>
        <w:tc>
          <w:tcPr>
            <w:tcW w:type="dxa" w:w="1411"/>
          </w:tcPr>
          <w:p>
            <w:pPr>
              <w:spacing w:after="20"/>
              <w:jc w:val="right"/>
            </w:pPr>
            <w:r>
              <w:rPr>
                <w:color w:val="1C3A36"/>
                <w:sz w:val="18"/>
              </w:rPr>
              <w:t>46.38</w:t>
            </w:r>
          </w:p>
        </w:tc>
      </w:tr>
    </w:tbl>
    <w:p>
      <w:pPr>
        <w:spacing w:after="40"/>
      </w:pPr>
    </w:p>
    <w:p>
      <w:pPr>
        <w:spacing w:after="200" w:before="0"/>
      </w:pPr>
      <w:r>
        <w:rPr>
          <w:b w:val="0"/>
          <w:i/>
          <w:color w:val="6E7B77"/>
          <w:sz w:val="17"/>
        </w:rPr>
        <w:t>Table 6 — Fair value across the fixed comparability anchors, which span the regression's own confidence interval.</w:t>
      </w:r>
    </w:p>
    <w:p>
      <w:pPr>
        <w:spacing w:after="80" w:before="200"/>
      </w:pPr>
      <w:r>
        <w:rPr>
          <w:b/>
          <w:i w:val="0"/>
          <w:color w:val="1C3A36"/>
          <w:sz w:val="24"/>
        </w:rPr>
        <w:t>1.6  The cash-flow waterfall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Revenue</w:t>
            </w:r>
          </w:p>
        </w:tc>
        <w:tc>
          <w:tcPr>
            <w:tcW w:type="dxa" w:w="1325"/>
          </w:tcPr>
          <w:p>
            <w:pPr>
              <w:spacing w:after="20"/>
              <w:jc w:val="right"/>
            </w:pPr>
            <w:r>
              <w:rPr>
                <w:color w:val="1C3A36"/>
                <w:sz w:val="17"/>
              </w:rPr>
              <w:t>13,254</w:t>
            </w:r>
          </w:p>
        </w:tc>
        <w:tc>
          <w:tcPr>
            <w:tcW w:type="dxa" w:w="1325"/>
          </w:tcPr>
          <w:p>
            <w:pPr>
              <w:spacing w:after="20"/>
              <w:jc w:val="right"/>
            </w:pPr>
            <w:r>
              <w:rPr>
                <w:color w:val="1C3A36"/>
                <w:sz w:val="17"/>
              </w:rPr>
              <w:t>14,407</w:t>
            </w:r>
          </w:p>
        </w:tc>
        <w:tc>
          <w:tcPr>
            <w:tcW w:type="dxa" w:w="1325"/>
          </w:tcPr>
          <w:p>
            <w:pPr>
              <w:spacing w:after="20"/>
              <w:jc w:val="right"/>
            </w:pPr>
            <w:r>
              <w:rPr>
                <w:color w:val="1C3A36"/>
                <w:sz w:val="17"/>
              </w:rPr>
              <w:t>15,626</w:t>
            </w:r>
          </w:p>
        </w:tc>
        <w:tc>
          <w:tcPr>
            <w:tcW w:type="dxa" w:w="1325"/>
          </w:tcPr>
          <w:p>
            <w:pPr>
              <w:spacing w:after="20"/>
              <w:jc w:val="right"/>
            </w:pPr>
            <w:r>
              <w:rPr>
                <w:color w:val="1C3A36"/>
                <w:sz w:val="17"/>
              </w:rPr>
              <w:t>16,735</w:t>
            </w:r>
          </w:p>
        </w:tc>
        <w:tc>
          <w:tcPr>
            <w:tcW w:type="dxa" w:w="1325"/>
          </w:tcPr>
          <w:p>
            <w:pPr>
              <w:spacing w:after="20"/>
              <w:jc w:val="right"/>
            </w:pPr>
            <w:r>
              <w:rPr>
                <w:color w:val="1C3A36"/>
                <w:sz w:val="17"/>
              </w:rPr>
              <w:t>17,844</w:t>
            </w:r>
          </w:p>
        </w:tc>
      </w:tr>
      <w:tr>
        <w:tc>
          <w:tcPr>
            <w:tcW w:type="dxa" w:w="3024"/>
          </w:tcPr>
          <w:p>
            <w:pPr>
              <w:spacing w:after="20"/>
            </w:pPr>
            <w:r>
              <w:rPr>
                <w:color w:val="1C3A36"/>
                <w:sz w:val="17"/>
              </w:rPr>
              <w:t>EBITDA</w:t>
            </w:r>
          </w:p>
        </w:tc>
        <w:tc>
          <w:tcPr>
            <w:tcW w:type="dxa" w:w="1325"/>
          </w:tcPr>
          <w:p>
            <w:pPr>
              <w:spacing w:after="20"/>
              <w:jc w:val="right"/>
            </w:pPr>
            <w:r>
              <w:rPr>
                <w:color w:val="1C3A36"/>
                <w:sz w:val="17"/>
              </w:rPr>
              <w:t>4,890</w:t>
            </w:r>
          </w:p>
        </w:tc>
        <w:tc>
          <w:tcPr>
            <w:tcW w:type="dxa" w:w="1325"/>
          </w:tcPr>
          <w:p>
            <w:pPr>
              <w:spacing w:after="20"/>
              <w:jc w:val="right"/>
            </w:pPr>
            <w:r>
              <w:rPr>
                <w:color w:val="1C3A36"/>
                <w:sz w:val="17"/>
              </w:rPr>
              <w:t>5,261</w:t>
            </w:r>
          </w:p>
        </w:tc>
        <w:tc>
          <w:tcPr>
            <w:tcW w:type="dxa" w:w="1325"/>
          </w:tcPr>
          <w:p>
            <w:pPr>
              <w:spacing w:after="20"/>
              <w:jc w:val="right"/>
            </w:pPr>
            <w:r>
              <w:rPr>
                <w:color w:val="1C3A36"/>
                <w:sz w:val="17"/>
              </w:rPr>
              <w:t>5,677</w:t>
            </w:r>
          </w:p>
        </w:tc>
        <w:tc>
          <w:tcPr>
            <w:tcW w:type="dxa" w:w="1325"/>
          </w:tcPr>
          <w:p>
            <w:pPr>
              <w:spacing w:after="20"/>
              <w:jc w:val="right"/>
            </w:pPr>
            <w:r>
              <w:rPr>
                <w:color w:val="1C3A36"/>
                <w:sz w:val="17"/>
              </w:rPr>
              <w:t>6,019</w:t>
            </w:r>
          </w:p>
        </w:tc>
        <w:tc>
          <w:tcPr>
            <w:tcW w:type="dxa" w:w="1325"/>
          </w:tcPr>
          <w:p>
            <w:pPr>
              <w:spacing w:after="20"/>
              <w:jc w:val="right"/>
            </w:pPr>
            <w:r>
              <w:rPr>
                <w:color w:val="1C3A36"/>
                <w:sz w:val="17"/>
              </w:rPr>
              <w:t>6,413</w:t>
            </w:r>
          </w:p>
        </w:tc>
      </w:tr>
      <w:tr>
        <w:tc>
          <w:tcPr>
            <w:tcW w:type="dxa" w:w="3024"/>
          </w:tcPr>
          <w:p>
            <w:pPr>
              <w:spacing w:after="20"/>
            </w:pPr>
            <w:r>
              <w:rPr>
                <w:color w:val="1C3A36"/>
                <w:sz w:val="17"/>
              </w:rPr>
              <w:t>EBITDA margin</w:t>
            </w:r>
          </w:p>
        </w:tc>
        <w:tc>
          <w:tcPr>
            <w:tcW w:type="dxa" w:w="1325"/>
          </w:tcPr>
          <w:p>
            <w:pPr>
              <w:spacing w:after="20"/>
              <w:jc w:val="right"/>
            </w:pPr>
            <w:r>
              <w:rPr>
                <w:color w:val="1C3A36"/>
                <w:sz w:val="17"/>
              </w:rPr>
              <w:t>36.9%</w:t>
            </w:r>
          </w:p>
        </w:tc>
        <w:tc>
          <w:tcPr>
            <w:tcW w:type="dxa" w:w="1325"/>
          </w:tcPr>
          <w:p>
            <w:pPr>
              <w:spacing w:after="20"/>
              <w:jc w:val="right"/>
            </w:pPr>
            <w:r>
              <w:rPr>
                <w:color w:val="1C3A36"/>
                <w:sz w:val="17"/>
              </w:rPr>
              <w:t>36.5%</w:t>
            </w:r>
          </w:p>
        </w:tc>
        <w:tc>
          <w:tcPr>
            <w:tcW w:type="dxa" w:w="1325"/>
          </w:tcPr>
          <w:p>
            <w:pPr>
              <w:spacing w:after="20"/>
              <w:jc w:val="right"/>
            </w:pPr>
            <w:r>
              <w:rPr>
                <w:color w:val="1C3A36"/>
                <w:sz w:val="17"/>
              </w:rPr>
              <w:t>36.3%</w:t>
            </w:r>
          </w:p>
        </w:tc>
        <w:tc>
          <w:tcPr>
            <w:tcW w:type="dxa" w:w="1325"/>
          </w:tcPr>
          <w:p>
            <w:pPr>
              <w:spacing w:after="20"/>
              <w:jc w:val="right"/>
            </w:pPr>
            <w:r>
              <w:rPr>
                <w:color w:val="1C3A36"/>
                <w:sz w:val="17"/>
              </w:rPr>
              <w:t>36.0%</w:t>
            </w:r>
          </w:p>
        </w:tc>
        <w:tc>
          <w:tcPr>
            <w:tcW w:type="dxa" w:w="1325"/>
          </w:tcPr>
          <w:p>
            <w:pPr>
              <w:spacing w:after="20"/>
              <w:jc w:val="right"/>
            </w:pPr>
            <w:r>
              <w:rPr>
                <w:color w:val="1C3A36"/>
                <w:sz w:val="17"/>
              </w:rPr>
              <w:t>35.9%</w:t>
            </w:r>
          </w:p>
        </w:tc>
      </w:tr>
      <w:tr>
        <w:tc>
          <w:tcPr>
            <w:tcW w:type="dxa" w:w="3024"/>
          </w:tcPr>
          <w:p>
            <w:pPr>
              <w:spacing w:after="20"/>
            </w:pPr>
            <w:r>
              <w:rPr>
                <w:color w:val="1C3A36"/>
                <w:sz w:val="17"/>
              </w:rPr>
              <w:t>Depreciation and amortisation</w:t>
            </w:r>
          </w:p>
        </w:tc>
        <w:tc>
          <w:tcPr>
            <w:tcW w:type="dxa" w:w="1325"/>
          </w:tcPr>
          <w:p>
            <w:pPr>
              <w:spacing w:after="20"/>
              <w:jc w:val="right"/>
            </w:pPr>
            <w:r>
              <w:rPr>
                <w:color w:val="1C3A36"/>
                <w:sz w:val="17"/>
              </w:rPr>
              <w:t>331</w:t>
            </w:r>
          </w:p>
        </w:tc>
        <w:tc>
          <w:tcPr>
            <w:tcW w:type="dxa" w:w="1325"/>
          </w:tcPr>
          <w:p>
            <w:pPr>
              <w:spacing w:after="20"/>
              <w:jc w:val="right"/>
            </w:pPr>
            <w:r>
              <w:rPr>
                <w:color w:val="1C3A36"/>
                <w:sz w:val="17"/>
              </w:rPr>
              <w:t>389</w:t>
            </w:r>
          </w:p>
        </w:tc>
        <w:tc>
          <w:tcPr>
            <w:tcW w:type="dxa" w:w="1325"/>
          </w:tcPr>
          <w:p>
            <w:pPr>
              <w:spacing w:after="20"/>
              <w:jc w:val="right"/>
            </w:pPr>
            <w:r>
              <w:rPr>
                <w:color w:val="1C3A36"/>
                <w:sz w:val="17"/>
              </w:rPr>
              <w:t>453</w:t>
            </w:r>
          </w:p>
        </w:tc>
        <w:tc>
          <w:tcPr>
            <w:tcW w:type="dxa" w:w="1325"/>
          </w:tcPr>
          <w:p>
            <w:pPr>
              <w:spacing w:after="20"/>
              <w:jc w:val="right"/>
            </w:pPr>
            <w:r>
              <w:rPr>
                <w:color w:val="1C3A36"/>
                <w:sz w:val="17"/>
              </w:rPr>
              <w:t>519</w:t>
            </w:r>
          </w:p>
        </w:tc>
        <w:tc>
          <w:tcPr>
            <w:tcW w:type="dxa" w:w="1325"/>
          </w:tcPr>
          <w:p>
            <w:pPr>
              <w:spacing w:after="20"/>
              <w:jc w:val="right"/>
            </w:pPr>
            <w:r>
              <w:rPr>
                <w:color w:val="1C3A36"/>
                <w:sz w:val="17"/>
              </w:rPr>
              <w:t>589</w:t>
            </w:r>
          </w:p>
        </w:tc>
      </w:tr>
      <w:tr>
        <w:tc>
          <w:tcPr>
            <w:tcW w:type="dxa" w:w="3024"/>
          </w:tcPr>
          <w:p>
            <w:pPr>
              <w:spacing w:after="20"/>
            </w:pPr>
            <w:r>
              <w:rPr>
                <w:color w:val="1C3A36"/>
                <w:sz w:val="17"/>
              </w:rPr>
              <w:t>EBIT</w:t>
            </w:r>
          </w:p>
        </w:tc>
        <w:tc>
          <w:tcPr>
            <w:tcW w:type="dxa" w:w="1325"/>
          </w:tcPr>
          <w:p>
            <w:pPr>
              <w:spacing w:after="20"/>
              <w:jc w:val="right"/>
            </w:pPr>
            <w:r>
              <w:rPr>
                <w:color w:val="1C3A36"/>
                <w:sz w:val="17"/>
              </w:rPr>
              <w:t>4,559</w:t>
            </w:r>
          </w:p>
        </w:tc>
        <w:tc>
          <w:tcPr>
            <w:tcW w:type="dxa" w:w="1325"/>
          </w:tcPr>
          <w:p>
            <w:pPr>
              <w:spacing w:after="20"/>
              <w:jc w:val="right"/>
            </w:pPr>
            <w:r>
              <w:rPr>
                <w:color w:val="1C3A36"/>
                <w:sz w:val="17"/>
              </w:rPr>
              <w:t>4,872</w:t>
            </w:r>
          </w:p>
        </w:tc>
        <w:tc>
          <w:tcPr>
            <w:tcW w:type="dxa" w:w="1325"/>
          </w:tcPr>
          <w:p>
            <w:pPr>
              <w:spacing w:after="20"/>
              <w:jc w:val="right"/>
            </w:pPr>
            <w:r>
              <w:rPr>
                <w:color w:val="1C3A36"/>
                <w:sz w:val="17"/>
              </w:rPr>
              <w:t>5,224</w:t>
            </w:r>
          </w:p>
        </w:tc>
        <w:tc>
          <w:tcPr>
            <w:tcW w:type="dxa" w:w="1325"/>
          </w:tcPr>
          <w:p>
            <w:pPr>
              <w:spacing w:after="20"/>
              <w:jc w:val="right"/>
            </w:pPr>
            <w:r>
              <w:rPr>
                <w:color w:val="1C3A36"/>
                <w:sz w:val="17"/>
              </w:rPr>
              <w:t>5,500</w:t>
            </w:r>
          </w:p>
        </w:tc>
        <w:tc>
          <w:tcPr>
            <w:tcW w:type="dxa" w:w="1325"/>
          </w:tcPr>
          <w:p>
            <w:pPr>
              <w:spacing w:after="20"/>
              <w:jc w:val="right"/>
            </w:pPr>
            <w:r>
              <w:rPr>
                <w:color w:val="1C3A36"/>
                <w:sz w:val="17"/>
              </w:rPr>
              <w:t>5,824</w:t>
            </w:r>
          </w:p>
        </w:tc>
      </w:tr>
      <w:tr>
        <w:tc>
          <w:tcPr>
            <w:tcW w:type="dxa" w:w="3024"/>
          </w:tcPr>
          <w:p>
            <w:pPr>
              <w:spacing w:after="20"/>
            </w:pPr>
            <w:r>
              <w:rPr>
                <w:color w:val="1C3A36"/>
                <w:sz w:val="17"/>
              </w:rPr>
              <w:t>Tax rate (effective, 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r>
      <w:tr>
        <w:tc>
          <w:tcPr>
            <w:tcW w:type="dxa" w:w="3024"/>
          </w:tcPr>
          <w:p>
            <w:pPr>
              <w:spacing w:after="20"/>
            </w:pPr>
            <w:r>
              <w:rPr>
                <w:color w:val="1C3A36"/>
                <w:sz w:val="17"/>
              </w:rPr>
              <w:t>NOPAT  (EBIT × (1 − t))</w:t>
            </w:r>
          </w:p>
        </w:tc>
        <w:tc>
          <w:tcPr>
            <w:tcW w:type="dxa" w:w="1325"/>
          </w:tcPr>
          <w:p>
            <w:pPr>
              <w:spacing w:after="20"/>
              <w:jc w:val="right"/>
            </w:pPr>
            <w:r>
              <w:rPr>
                <w:color w:val="1C3A36"/>
                <w:sz w:val="17"/>
              </w:rPr>
              <w:t>3,473</w:t>
            </w:r>
          </w:p>
        </w:tc>
        <w:tc>
          <w:tcPr>
            <w:tcW w:type="dxa" w:w="1325"/>
          </w:tcPr>
          <w:p>
            <w:pPr>
              <w:spacing w:after="20"/>
              <w:jc w:val="right"/>
            </w:pPr>
            <w:r>
              <w:rPr>
                <w:color w:val="1C3A36"/>
                <w:sz w:val="17"/>
              </w:rPr>
              <w:t>3,712</w:t>
            </w:r>
          </w:p>
        </w:tc>
        <w:tc>
          <w:tcPr>
            <w:tcW w:type="dxa" w:w="1325"/>
          </w:tcPr>
          <w:p>
            <w:pPr>
              <w:spacing w:after="20"/>
              <w:jc w:val="right"/>
            </w:pPr>
            <w:r>
              <w:rPr>
                <w:color w:val="1C3A36"/>
                <w:sz w:val="17"/>
              </w:rPr>
              <w:t>3,979</w:t>
            </w:r>
          </w:p>
        </w:tc>
        <w:tc>
          <w:tcPr>
            <w:tcW w:type="dxa" w:w="1325"/>
          </w:tcPr>
          <w:p>
            <w:pPr>
              <w:spacing w:after="20"/>
              <w:jc w:val="right"/>
            </w:pPr>
            <w:r>
              <w:rPr>
                <w:color w:val="1C3A36"/>
                <w:sz w:val="17"/>
              </w:rPr>
              <w:t>4,190</w:t>
            </w:r>
          </w:p>
        </w:tc>
        <w:tc>
          <w:tcPr>
            <w:tcW w:type="dxa" w:w="1325"/>
          </w:tcPr>
          <w:p>
            <w:pPr>
              <w:spacing w:after="20"/>
              <w:jc w:val="right"/>
            </w:pPr>
            <w:r>
              <w:rPr>
                <w:color w:val="1C3A36"/>
                <w:sz w:val="17"/>
              </w:rPr>
              <w:t>4,437</w:t>
            </w:r>
          </w:p>
        </w:tc>
      </w:tr>
      <w:tr>
        <w:tc>
          <w:tcPr>
            <w:tcW w:type="dxa" w:w="3024"/>
          </w:tcPr>
          <w:p>
            <w:pPr>
              <w:spacing w:after="20"/>
            </w:pPr>
            <w:r>
              <w:rPr>
                <w:color w:val="1C3A36"/>
                <w:sz w:val="17"/>
              </w:rPr>
              <w:t>Plus depreciation</w:t>
            </w:r>
          </w:p>
        </w:tc>
        <w:tc>
          <w:tcPr>
            <w:tcW w:type="dxa" w:w="1325"/>
          </w:tcPr>
          <w:p>
            <w:pPr>
              <w:spacing w:after="20"/>
              <w:jc w:val="right"/>
            </w:pPr>
            <w:r>
              <w:rPr>
                <w:color w:val="1C3A36"/>
                <w:sz w:val="17"/>
              </w:rPr>
              <w:t>331</w:t>
            </w:r>
          </w:p>
        </w:tc>
        <w:tc>
          <w:tcPr>
            <w:tcW w:type="dxa" w:w="1325"/>
          </w:tcPr>
          <w:p>
            <w:pPr>
              <w:spacing w:after="20"/>
              <w:jc w:val="right"/>
            </w:pPr>
            <w:r>
              <w:rPr>
                <w:color w:val="1C3A36"/>
                <w:sz w:val="17"/>
              </w:rPr>
              <w:t>389</w:t>
            </w:r>
          </w:p>
        </w:tc>
        <w:tc>
          <w:tcPr>
            <w:tcW w:type="dxa" w:w="1325"/>
          </w:tcPr>
          <w:p>
            <w:pPr>
              <w:spacing w:after="20"/>
              <w:jc w:val="right"/>
            </w:pPr>
            <w:r>
              <w:rPr>
                <w:color w:val="1C3A36"/>
                <w:sz w:val="17"/>
              </w:rPr>
              <w:t>453</w:t>
            </w:r>
          </w:p>
        </w:tc>
        <w:tc>
          <w:tcPr>
            <w:tcW w:type="dxa" w:w="1325"/>
          </w:tcPr>
          <w:p>
            <w:pPr>
              <w:spacing w:after="20"/>
              <w:jc w:val="right"/>
            </w:pPr>
            <w:r>
              <w:rPr>
                <w:color w:val="1C3A36"/>
                <w:sz w:val="17"/>
              </w:rPr>
              <w:t>519</w:t>
            </w:r>
          </w:p>
        </w:tc>
        <w:tc>
          <w:tcPr>
            <w:tcW w:type="dxa" w:w="1325"/>
          </w:tcPr>
          <w:p>
            <w:pPr>
              <w:spacing w:after="20"/>
              <w:jc w:val="right"/>
            </w:pPr>
            <w:r>
              <w:rPr>
                <w:color w:val="1C3A36"/>
                <w:sz w:val="17"/>
              </w:rPr>
              <w:t>589</w:t>
            </w:r>
          </w:p>
        </w:tc>
      </w:tr>
      <w:tr>
        <w:tc>
          <w:tcPr>
            <w:tcW w:type="dxa" w:w="3024"/>
          </w:tcPr>
          <w:p>
            <w:pPr>
              <w:spacing w:after="20"/>
            </w:pPr>
            <w:r>
              <w:rPr>
                <w:color w:val="1C3A36"/>
                <w:sz w:val="17"/>
              </w:rPr>
              <w:t>Less capital expenditure</w:t>
            </w:r>
          </w:p>
        </w:tc>
        <w:tc>
          <w:tcPr>
            <w:tcW w:type="dxa" w:w="1325"/>
          </w:tcPr>
          <w:p>
            <w:pPr>
              <w:spacing w:after="20"/>
              <w:jc w:val="right"/>
            </w:pPr>
            <w:r>
              <w:rPr>
                <w:color w:val="1C3A36"/>
                <w:sz w:val="17"/>
              </w:rPr>
              <w:t>(1,012)</w:t>
            </w:r>
          </w:p>
        </w:tc>
        <w:tc>
          <w:tcPr>
            <w:tcW w:type="dxa" w:w="1325"/>
          </w:tcPr>
          <w:p>
            <w:pPr>
              <w:spacing w:after="20"/>
              <w:jc w:val="right"/>
            </w:pPr>
            <w:r>
              <w:rPr>
                <w:color w:val="1C3A36"/>
                <w:sz w:val="17"/>
              </w:rPr>
              <w:t>(1,062)</w:t>
            </w:r>
          </w:p>
        </w:tc>
        <w:tc>
          <w:tcPr>
            <w:tcW w:type="dxa" w:w="1325"/>
          </w:tcPr>
          <w:p>
            <w:pPr>
              <w:spacing w:after="20"/>
              <w:jc w:val="right"/>
            </w:pPr>
            <w:r>
              <w:rPr>
                <w:color w:val="1C3A36"/>
                <w:sz w:val="17"/>
              </w:rPr>
              <w:t>(1,116)</w:t>
            </w:r>
          </w:p>
        </w:tc>
        <w:tc>
          <w:tcPr>
            <w:tcW w:type="dxa" w:w="1325"/>
          </w:tcPr>
          <w:p>
            <w:pPr>
              <w:spacing w:after="20"/>
              <w:jc w:val="right"/>
            </w:pPr>
            <w:r>
              <w:rPr>
                <w:color w:val="1C3A36"/>
                <w:sz w:val="17"/>
              </w:rPr>
              <w:t>(1,172)</w:t>
            </w:r>
          </w:p>
        </w:tc>
        <w:tc>
          <w:tcPr>
            <w:tcW w:type="dxa" w:w="1325"/>
          </w:tcPr>
          <w:p>
            <w:pPr>
              <w:spacing w:after="20"/>
              <w:jc w:val="right"/>
            </w:pPr>
            <w:r>
              <w:rPr>
                <w:color w:val="1C3A36"/>
                <w:sz w:val="17"/>
              </w:rPr>
              <w:t>(1,230)</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(97)</w:t>
            </w:r>
          </w:p>
        </w:tc>
        <w:tc>
          <w:tcPr>
            <w:tcW w:type="dxa" w:w="1325"/>
          </w:tcPr>
          <w:p>
            <w:pPr>
              <w:spacing w:after="20"/>
              <w:jc w:val="right"/>
            </w:pPr>
            <w:r>
              <w:rPr>
                <w:color w:val="1C3A36"/>
                <w:sz w:val="17"/>
              </w:rPr>
              <w:t>(138)</w:t>
            </w:r>
          </w:p>
        </w:tc>
        <w:tc>
          <w:tcPr>
            <w:tcW w:type="dxa" w:w="1325"/>
          </w:tcPr>
          <w:p>
            <w:pPr>
              <w:spacing w:after="20"/>
              <w:jc w:val="right"/>
            </w:pPr>
            <w:r>
              <w:rPr>
                <w:color w:val="1C3A36"/>
                <w:sz w:val="17"/>
              </w:rPr>
              <w:t>(146)</w:t>
            </w:r>
          </w:p>
        </w:tc>
        <w:tc>
          <w:tcPr>
            <w:tcW w:type="dxa" w:w="1325"/>
          </w:tcPr>
          <w:p>
            <w:pPr>
              <w:spacing w:after="20"/>
              <w:jc w:val="right"/>
            </w:pPr>
            <w:r>
              <w:rPr>
                <w:color w:val="1C3A36"/>
                <w:sz w:val="17"/>
              </w:rPr>
              <w:t>(133)</w:t>
            </w:r>
          </w:p>
        </w:tc>
        <w:tc>
          <w:tcPr>
            <w:tcW w:type="dxa" w:w="1325"/>
          </w:tcPr>
          <w:p>
            <w:pPr>
              <w:spacing w:after="20"/>
              <w:jc w:val="right"/>
            </w:pPr>
            <w:r>
              <w:rPr>
                <w:color w:val="1C3A36"/>
                <w:sz w:val="17"/>
              </w:rPr>
              <w:t>(133)</w:t>
            </w:r>
          </w:p>
        </w:tc>
      </w:tr>
      <w:tr>
        <w:tc>
          <w:tcPr>
            <w:tcW w:type="dxa" w:w="3024"/>
            <w:shd w:val="clear" w:color="auto" w:fill="F6F1E6"/>
          </w:tcPr>
          <w:p>
            <w:pPr>
              <w:spacing w:after="20"/>
            </w:pPr>
            <w:r>
              <w:rPr>
                <w:b/>
                <w:color w:val="1C3A36"/>
                <w:sz w:val="17"/>
              </w:rPr>
              <w:t>Free cash flow to the firm</w:t>
            </w:r>
          </w:p>
        </w:tc>
        <w:tc>
          <w:tcPr>
            <w:tcW w:type="dxa" w:w="1325"/>
            <w:shd w:val="clear" w:color="auto" w:fill="F6F1E6"/>
          </w:tcPr>
          <w:p>
            <w:pPr>
              <w:spacing w:after="20"/>
              <w:jc w:val="right"/>
            </w:pPr>
            <w:r>
              <w:rPr>
                <w:b/>
                <w:color w:val="1C3A36"/>
                <w:sz w:val="17"/>
              </w:rPr>
              <w:t>1,124</w:t>
            </w:r>
          </w:p>
        </w:tc>
        <w:tc>
          <w:tcPr>
            <w:tcW w:type="dxa" w:w="1325"/>
            <w:shd w:val="clear" w:color="auto" w:fill="F6F1E6"/>
          </w:tcPr>
          <w:p>
            <w:pPr>
              <w:spacing w:after="20"/>
              <w:jc w:val="right"/>
            </w:pPr>
            <w:r>
              <w:rPr>
                <w:b/>
                <w:color w:val="1C3A36"/>
                <w:sz w:val="17"/>
              </w:rPr>
              <w:t>2,900</w:t>
            </w:r>
          </w:p>
        </w:tc>
        <w:tc>
          <w:tcPr>
            <w:tcW w:type="dxa" w:w="1325"/>
            <w:shd w:val="clear" w:color="auto" w:fill="F6F1E6"/>
          </w:tcPr>
          <w:p>
            <w:pPr>
              <w:spacing w:after="20"/>
              <w:jc w:val="right"/>
            </w:pPr>
            <w:r>
              <w:rPr>
                <w:b/>
                <w:color w:val="1C3A36"/>
                <w:sz w:val="17"/>
              </w:rPr>
              <w:t>3,170</w:t>
            </w:r>
          </w:p>
        </w:tc>
        <w:tc>
          <w:tcPr>
            <w:tcW w:type="dxa" w:w="1325"/>
            <w:shd w:val="clear" w:color="auto" w:fill="F6F1E6"/>
          </w:tcPr>
          <w:p>
            <w:pPr>
              <w:spacing w:after="20"/>
              <w:jc w:val="right"/>
            </w:pPr>
            <w:r>
              <w:rPr>
                <w:b/>
                <w:color w:val="1C3A36"/>
                <w:sz w:val="17"/>
              </w:rPr>
              <w:t>3,404</w:t>
            </w:r>
          </w:p>
        </w:tc>
        <w:tc>
          <w:tcPr>
            <w:tcW w:type="dxa" w:w="1325"/>
            <w:shd w:val="clear" w:color="auto" w:fill="F6F1E6"/>
          </w:tcPr>
          <w:p>
            <w:pPr>
              <w:spacing w:after="20"/>
              <w:jc w:val="right"/>
            </w:pPr>
            <w:r>
              <w:rPr>
                <w:b/>
                <w:color w:val="1C3A36"/>
                <w:sz w:val="17"/>
              </w:rPr>
              <w:t>3,663</w:t>
            </w:r>
          </w:p>
        </w:tc>
      </w:tr>
      <w:tr>
        <w:tc>
          <w:tcPr>
            <w:tcW w:type="dxa" w:w="3024"/>
          </w:tcPr>
          <w:p>
            <w:pPr>
              <w:spacing w:after="20"/>
            </w:pPr>
            <w:r>
              <w:rPr>
                <w:color w:val="1C3A36"/>
                <w:sz w:val="17"/>
              </w:rPr>
              <w:t>Discount factor</w:t>
            </w:r>
          </w:p>
        </w:tc>
        <w:tc>
          <w:tcPr>
            <w:tcW w:type="dxa" w:w="1325"/>
          </w:tcPr>
          <w:p>
            <w:pPr>
              <w:spacing w:after="20"/>
              <w:jc w:val="right"/>
            </w:pPr>
            <w:r>
              <w:rPr>
                <w:color w:val="1C3A36"/>
                <w:sz w:val="17"/>
              </w:rPr>
              <w:t>0.9553</w:t>
            </w:r>
          </w:p>
        </w:tc>
        <w:tc>
          <w:tcPr>
            <w:tcW w:type="dxa" w:w="1325"/>
          </w:tcPr>
          <w:p>
            <w:pPr>
              <w:spacing w:after="20"/>
              <w:jc w:val="right"/>
            </w:pPr>
            <w:r>
              <w:rPr>
                <w:color w:val="1C3A36"/>
                <w:sz w:val="17"/>
              </w:rPr>
              <w:t>0.8306</w:t>
            </w:r>
          </w:p>
        </w:tc>
        <w:tc>
          <w:tcPr>
            <w:tcW w:type="dxa" w:w="1325"/>
          </w:tcPr>
          <w:p>
            <w:pPr>
              <w:spacing w:after="20"/>
              <w:jc w:val="right"/>
            </w:pPr>
            <w:r>
              <w:rPr>
                <w:color w:val="1C3A36"/>
                <w:sz w:val="17"/>
              </w:rPr>
              <w:t>0.6967</w:t>
            </w:r>
          </w:p>
        </w:tc>
        <w:tc>
          <w:tcPr>
            <w:tcW w:type="dxa" w:w="1325"/>
          </w:tcPr>
          <w:p>
            <w:pPr>
              <w:spacing w:after="20"/>
              <w:jc w:val="right"/>
            </w:pPr>
            <w:r>
              <w:rPr>
                <w:color w:val="1C3A36"/>
                <w:sz w:val="17"/>
              </w:rPr>
              <w:t>0.5965</w:t>
            </w:r>
          </w:p>
        </w:tc>
        <w:tc>
          <w:tcPr>
            <w:tcW w:type="dxa" w:w="1325"/>
          </w:tcPr>
          <w:p>
            <w:pPr>
              <w:spacing w:after="20"/>
              <w:jc w:val="right"/>
            </w:pPr>
            <w:r>
              <w:rPr>
                <w:color w:val="1C3A36"/>
                <w:sz w:val="17"/>
              </w:rPr>
              <w:t>0.5178</w:t>
            </w:r>
          </w:p>
        </w:tc>
      </w:tr>
      <w:tr>
        <w:tc>
          <w:tcPr>
            <w:tcW w:type="dxa" w:w="3024"/>
            <w:shd w:val="clear" w:color="auto" w:fill="F6F1E6"/>
          </w:tcPr>
          <w:p>
            <w:pPr>
              <w:spacing w:after="20"/>
            </w:pPr>
            <w:r>
              <w:rPr>
                <w:b/>
                <w:color w:val="1C3A36"/>
                <w:sz w:val="17"/>
              </w:rPr>
              <w:t>Present value of FCFF</w:t>
            </w:r>
          </w:p>
        </w:tc>
        <w:tc>
          <w:tcPr>
            <w:tcW w:type="dxa" w:w="1325"/>
            <w:shd w:val="clear" w:color="auto" w:fill="F6F1E6"/>
          </w:tcPr>
          <w:p>
            <w:pPr>
              <w:spacing w:after="20"/>
              <w:jc w:val="right"/>
            </w:pPr>
            <w:r>
              <w:rPr>
                <w:b/>
                <w:color w:val="1C3A36"/>
                <w:sz w:val="17"/>
              </w:rPr>
              <w:t>1,074</w:t>
            </w:r>
          </w:p>
        </w:tc>
        <w:tc>
          <w:tcPr>
            <w:tcW w:type="dxa" w:w="1325"/>
            <w:shd w:val="clear" w:color="auto" w:fill="F6F1E6"/>
          </w:tcPr>
          <w:p>
            <w:pPr>
              <w:spacing w:after="20"/>
              <w:jc w:val="right"/>
            </w:pPr>
            <w:r>
              <w:rPr>
                <w:b/>
                <w:color w:val="1C3A36"/>
                <w:sz w:val="17"/>
              </w:rPr>
              <w:t>2,409</w:t>
            </w:r>
          </w:p>
        </w:tc>
        <w:tc>
          <w:tcPr>
            <w:tcW w:type="dxa" w:w="1325"/>
            <w:shd w:val="clear" w:color="auto" w:fill="F6F1E6"/>
          </w:tcPr>
          <w:p>
            <w:pPr>
              <w:spacing w:after="20"/>
              <w:jc w:val="right"/>
            </w:pPr>
            <w:r>
              <w:rPr>
                <w:b/>
                <w:color w:val="1C3A36"/>
                <w:sz w:val="17"/>
              </w:rPr>
              <w:t>2,209</w:t>
            </w:r>
          </w:p>
        </w:tc>
        <w:tc>
          <w:tcPr>
            <w:tcW w:type="dxa" w:w="1325"/>
            <w:shd w:val="clear" w:color="auto" w:fill="F6F1E6"/>
          </w:tcPr>
          <w:p>
            <w:pPr>
              <w:spacing w:after="20"/>
              <w:jc w:val="right"/>
            </w:pPr>
            <w:r>
              <w:rPr>
                <w:b/>
                <w:color w:val="1C3A36"/>
                <w:sz w:val="17"/>
              </w:rPr>
              <w:t>2,030</w:t>
            </w:r>
          </w:p>
        </w:tc>
        <w:tc>
          <w:tcPr>
            <w:tcW w:type="dxa" w:w="1325"/>
            <w:shd w:val="clear" w:color="auto" w:fill="F6F1E6"/>
          </w:tcPr>
          <w:p>
            <w:pPr>
              <w:spacing w:after="20"/>
              <w:jc w:val="right"/>
            </w:pPr>
            <w:r>
              <w:rPr>
                <w:b/>
                <w:color w:val="1C3A36"/>
                <w:sz w:val="17"/>
              </w:rPr>
              <w:t>1,896</w:t>
            </w:r>
          </w:p>
        </w:tc>
      </w:tr>
    </w:tbl>
    <w:p>
      <w:pPr>
        <w:spacing w:after="40"/>
      </w:pPr>
    </w:p>
    <w:p>
      <w:pPr>
        <w:spacing w:after="200" w:before="0"/>
      </w:pPr>
      <w:r>
        <w:rPr>
          <w:b w:val="0"/>
          <w:i/>
          <w:color w:val="6E7B77"/>
          <w:sz w:val="17"/>
        </w:rPr>
        <w:t>Table 7 — The full build from revenue to present value. FY2026 carries only the five months not yet earned at the valuation date; the seven already earned are rolled into the opening cash balance instead, so the period is counted exactly once rather than twice or not at all.</w:t>
      </w:r>
    </w:p>
    <w:p>
      <w:pPr>
        <w:spacing w:after="120" w:before="0"/>
      </w:pPr>
      <w:r>
        <w:rPr>
          <w:b w:val="0"/>
          <w:i w:val="0"/>
          <w:color w:val="1C3A36"/>
          <w:sz w:val="21"/>
        </w:rPr>
        <w:t>The effective tax rate of 23.8% is DISCLOSED, not inferred: income tax of EGP 1,125mn against pre-tax profit of EGP 4,725mn. The company separately states an average effective rate of 23.33% for 2025 and 22.96% for 2024, and the first quarter of 2026 ran at 25.9%. It sits close to the statutory 22.5% because the deferred-tax movement is small.</w:t>
      </w:r>
    </w:p>
    <w:p>
      <w:pPr>
        <w:spacing w:after="120" w:before="0"/>
      </w:pPr>
      <w:r>
        <w:rPr>
          <w:b w:val="0"/>
          <w:i w:val="0"/>
          <w:color w:val="1C3A36"/>
          <w:sz w:val="21"/>
        </w:rPr>
        <w:t>The margin path is the central judgement in this forecast, and it deserves stating as one number rather than left inside a table. Local prices are assumed to grow 44.9% in total across the five years while pound costs grow 54.4% — a real erosion of about 7%. The EBITDA margin therefore falls from the audited 39.3% to 35.9% by FY2030, still well above the 23.1% of FY2024 and far above the 22.0% of FY2023. The claim is not that the business deteriorates; it is that part of the 2025 step-change gives back as dormant capacity returns and energy reform continues. A reader who thinks the industry passes cost through faster should read the margin sensitivity in section 7: two points of margin is worth about EGP 6.06 a share.</w:t>
      </w:r>
    </w:p>
    <w:p>
      <w:pPr>
        <w:spacing w:after="120" w:before="0"/>
      </w:pPr>
      <w:r>
        <w:rPr>
          <w:b w:val="0"/>
          <w:i w:val="0"/>
          <w:color w:val="1C3A36"/>
          <w:sz w:val="21"/>
        </w:rPr>
        <w:t>That path is set below the cost path in every year, and this revision changed how it is judged rather than only where it sits. The prior edition justified it against headline inflation of 54.4% — but that is the input-price index, not the cost the model actually charges. Netting the alternative-fuel saving off the materials line, the cash cost per tonne the model charges grows 46.7%, so the real erosion is 1.3% rather than the figure previously printed. The comparison is now made against the cost the model charges.</w:t>
      </w:r>
    </w:p>
    <w:p>
      <w:pPr>
        <w:spacing w:after="120" w:before="0"/>
      </w:pPr>
      <w:r>
        <w:rPr>
          <w:b w:val="0"/>
          <w:i w:val="0"/>
          <w:color w:val="1C3A36"/>
          <w:sz w:val="21"/>
        </w:rPr>
        <w:t>The audited record still frames it. In FY2024 revenue grew 44.5% against total cash cost of 41.8%; in FY2025 revenue grew 42.6% against cash cost of 12.5%, which is why the gross margin moved 21.2% to 23.9% to 40.6%. In every period the accounts cover, price outran cost. But the first quarter of 2026 is the sharper evidence and it cuts the other way: revenue grew 17.3% while the gross margin EXPANDED to 42.9% from 40.6%. A margin that widens on a 17% revenue step is the signature of VOLUME spread over fixed cost, not of price. This study does not hold the quarterly volume and price split, so it cannot settle which it was — and that is stated here rather than resolved by assertion, because the answer changes the forecast materially.</w:t>
      </w:r>
    </w:p>
    <w:p>
      <w:pPr>
        <w:spacing w:after="120" w:before="0"/>
      </w:pPr>
      <w:r>
        <w:rPr>
          <w:b w:val="0"/>
          <w:i w:val="0"/>
          <w:color w:val="1C3A36"/>
          <w:sz w:val="21"/>
        </w:rPr>
        <w:t>One reconciliation belongs here too, because it is the sharpest challenge to the forecast. The first quarter of 2026 — reviewed, not audited, but signed off in May — earned attributable profit of EGP 943mn on revenue of EGP 2,996mn, a gross margin of 42.9% against 40.6% for FY2025 as a whole. Four times that quarter is EGP 3,772mn. This model forecasts EGP 3,570mn for FY2026, -5.4% below the simple annualisation. Margins were still EXPANDING in the first quarter; the forecast assumes they turn. That is the assumption to attack.</w:t>
      </w:r>
    </w:p>
    <w:p>
      <w:pPr>
        <w:spacing w:after="80" w:before="200"/>
      </w:pPr>
      <w:r>
        <w:rPr>
          <w:b/>
          <w:i w:val="0"/>
          <w:color w:val="1C3A36"/>
          <w:sz w:val="24"/>
        </w:rPr>
        <w:t>1.7  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160"/>
        <w:gridCol w:w="2160"/>
      </w:tblGrid>
      <w:tr>
        <w:tc>
          <w:tcPr>
            <w:tcW w:type="dxa" w:w="4752"/>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EGP mn</w:t>
            </w:r>
          </w:p>
        </w:tc>
        <w:tc>
          <w:tcPr>
            <w:tcW w:type="dxa" w:w="2160"/>
            <w:shd w:val="clear" w:color="auto" w:fill="EAF0EE"/>
          </w:tcPr>
          <w:p>
            <w:pPr>
              <w:spacing w:after="20"/>
            </w:pPr>
            <w:r>
              <w:rPr>
                <w:b/>
                <w:color w:val="1C3A36"/>
                <w:sz w:val="18"/>
              </w:rPr>
              <w:t>Per share (EGP)</w:t>
            </w:r>
          </w:p>
        </w:tc>
      </w:tr>
      <w:tr>
        <w:tc>
          <w:tcPr>
            <w:tcW w:type="dxa" w:w="4752"/>
          </w:tcPr>
          <w:p>
            <w:pPr>
              <w:spacing w:after="20"/>
            </w:pPr>
            <w:r>
              <w:rPr>
                <w:color w:val="1C3A36"/>
                <w:sz w:val="18"/>
              </w:rPr>
              <w:t>Present value of explicit free cash flow</w:t>
            </w:r>
          </w:p>
        </w:tc>
        <w:tc>
          <w:tcPr>
            <w:tcW w:type="dxa" w:w="2160"/>
          </w:tcPr>
          <w:p>
            <w:pPr>
              <w:spacing w:after="20"/>
              <w:jc w:val="right"/>
            </w:pPr>
            <w:r>
              <w:rPr>
                <w:color w:val="1C3A36"/>
                <w:sz w:val="18"/>
              </w:rPr>
              <w:t>9,618</w:t>
            </w:r>
          </w:p>
        </w:tc>
        <w:tc>
          <w:tcPr>
            <w:tcW w:type="dxa" w:w="2160"/>
          </w:tcPr>
          <w:p>
            <w:pPr>
              <w:spacing w:after="20"/>
              <w:jc w:val="right"/>
            </w:pPr>
            <w:r>
              <w:rPr>
                <w:color w:val="1C3A36"/>
                <w:sz w:val="18"/>
              </w:rPr>
              <w:t>25.66</w:t>
            </w:r>
          </w:p>
        </w:tc>
      </w:tr>
      <w:tr>
        <w:tc>
          <w:tcPr>
            <w:tcW w:type="dxa" w:w="4752"/>
          </w:tcPr>
          <w:p>
            <w:pPr>
              <w:spacing w:after="20"/>
            </w:pPr>
            <w:r>
              <w:rPr>
                <w:color w:val="1C3A36"/>
                <w:sz w:val="18"/>
              </w:rPr>
              <w:t>Present value of terminal value</w:t>
            </w:r>
          </w:p>
        </w:tc>
        <w:tc>
          <w:tcPr>
            <w:tcW w:type="dxa" w:w="2160"/>
          </w:tcPr>
          <w:p>
            <w:pPr>
              <w:spacing w:after="20"/>
              <w:jc w:val="right"/>
            </w:pPr>
            <w:r>
              <w:rPr>
                <w:color w:val="1C3A36"/>
                <w:sz w:val="18"/>
              </w:rPr>
              <w:t>10,837</w:t>
            </w:r>
          </w:p>
        </w:tc>
        <w:tc>
          <w:tcPr>
            <w:tcW w:type="dxa" w:w="2160"/>
          </w:tcPr>
          <w:p>
            <w:pPr>
              <w:spacing w:after="20"/>
              <w:jc w:val="right"/>
            </w:pPr>
            <w:r>
              <w:rPr>
                <w:color w:val="1C3A36"/>
                <w:sz w:val="18"/>
              </w:rPr>
              <w:t>28.91</w:t>
            </w:r>
          </w:p>
        </w:tc>
      </w:tr>
      <w:tr>
        <w:tc>
          <w:tcPr>
            <w:tcW w:type="dxa" w:w="4752"/>
            <w:shd w:val="clear" w:color="auto" w:fill="F6F1E6"/>
          </w:tcPr>
          <w:p>
            <w:pPr>
              <w:spacing w:after="20"/>
            </w:pPr>
            <w:r>
              <w:rPr>
                <w:b/>
                <w:color w:val="1C3A36"/>
                <w:sz w:val="18"/>
              </w:rPr>
              <w:t>Enterprise value</w:t>
            </w:r>
          </w:p>
        </w:tc>
        <w:tc>
          <w:tcPr>
            <w:tcW w:type="dxa" w:w="2160"/>
            <w:shd w:val="clear" w:color="auto" w:fill="F6F1E6"/>
          </w:tcPr>
          <w:p>
            <w:pPr>
              <w:spacing w:after="20"/>
              <w:jc w:val="right"/>
            </w:pPr>
            <w:r>
              <w:rPr>
                <w:b/>
                <w:color w:val="1C3A36"/>
                <w:sz w:val="18"/>
              </w:rPr>
              <w:t>20,455</w:t>
            </w:r>
          </w:p>
        </w:tc>
        <w:tc>
          <w:tcPr>
            <w:tcW w:type="dxa" w:w="2160"/>
            <w:shd w:val="clear" w:color="auto" w:fill="F6F1E6"/>
          </w:tcPr>
          <w:p>
            <w:pPr>
              <w:spacing w:after="20"/>
              <w:jc w:val="right"/>
            </w:pPr>
            <w:r>
              <w:rPr>
                <w:b/>
                <w:color w:val="1C3A36"/>
                <w:sz w:val="18"/>
              </w:rPr>
              <w:t>54.57</w:t>
            </w:r>
          </w:p>
        </w:tc>
      </w:tr>
      <w:tr>
        <w:tc>
          <w:tcPr>
            <w:tcW w:type="dxa" w:w="4752"/>
          </w:tcPr>
          <w:p>
            <w:pPr>
              <w:spacing w:after="20"/>
            </w:pPr>
            <w:r>
              <w:rPr>
                <w:color w:val="1C3A36"/>
                <w:sz w:val="18"/>
              </w:rPr>
              <w:t>Plus net cash at the valuation date</w:t>
            </w:r>
          </w:p>
        </w:tc>
        <w:tc>
          <w:tcPr>
            <w:tcW w:type="dxa" w:w="2160"/>
          </w:tcPr>
          <w:p>
            <w:pPr>
              <w:spacing w:after="20"/>
              <w:jc w:val="right"/>
            </w:pPr>
            <w:r>
              <w:rPr>
                <w:color w:val="1C3A36"/>
                <w:sz w:val="18"/>
              </w:rPr>
              <w:t>1,999</w:t>
            </w:r>
          </w:p>
        </w:tc>
        <w:tc>
          <w:tcPr>
            <w:tcW w:type="dxa" w:w="2160"/>
          </w:tcPr>
          <w:p>
            <w:pPr>
              <w:spacing w:after="20"/>
              <w:jc w:val="right"/>
            </w:pPr>
            <w:r>
              <w:rPr>
                <w:color w:val="1C3A36"/>
                <w:sz w:val="18"/>
              </w:rPr>
              <w:t>5.33</w:t>
            </w:r>
          </w:p>
        </w:tc>
      </w:tr>
      <w:tr>
        <w:tc>
          <w:tcPr>
            <w:tcW w:type="dxa" w:w="4752"/>
          </w:tcPr>
          <w:p>
            <w:pPr>
              <w:spacing w:after="20"/>
            </w:pPr>
            <w:r>
              <w:rPr>
                <w:color w:val="1C3A36"/>
                <w:sz w:val="18"/>
              </w:rPr>
              <w:t>Less non-controlling interests</w:t>
            </w:r>
          </w:p>
        </w:tc>
        <w:tc>
          <w:tcPr>
            <w:tcW w:type="dxa" w:w="2160"/>
          </w:tcPr>
          <w:p>
            <w:pPr>
              <w:spacing w:after="20"/>
              <w:jc w:val="right"/>
            </w:pPr>
            <w:r>
              <w:rPr>
                <w:color w:val="1C3A36"/>
                <w:sz w:val="18"/>
              </w:rPr>
              <w:t>-0</w:t>
            </w:r>
          </w:p>
        </w:tc>
        <w:tc>
          <w:tcPr>
            <w:tcW w:type="dxa" w:w="2160"/>
          </w:tcPr>
          <w:p>
            <w:pPr>
              <w:spacing w:after="20"/>
              <w:jc w:val="right"/>
            </w:pPr>
            <w:r>
              <w:rPr>
                <w:color w:val="1C3A36"/>
                <w:sz w:val="18"/>
              </w:rPr>
              <w:t>-0.00</w:t>
            </w:r>
          </w:p>
        </w:tc>
      </w:tr>
      <w:tr>
        <w:tc>
          <w:tcPr>
            <w:tcW w:type="dxa" w:w="4752"/>
            <w:shd w:val="clear" w:color="auto" w:fill="F6F1E6"/>
          </w:tcPr>
          <w:p>
            <w:pPr>
              <w:spacing w:after="20"/>
            </w:pPr>
            <w:r>
              <w:rPr>
                <w:b/>
                <w:color w:val="1C3A36"/>
                <w:sz w:val="18"/>
              </w:rPr>
              <w:t>Equity value</w:t>
            </w:r>
          </w:p>
        </w:tc>
        <w:tc>
          <w:tcPr>
            <w:tcW w:type="dxa" w:w="2160"/>
            <w:shd w:val="clear" w:color="auto" w:fill="F6F1E6"/>
          </w:tcPr>
          <w:p>
            <w:pPr>
              <w:spacing w:after="20"/>
              <w:jc w:val="right"/>
            </w:pPr>
            <w:r>
              <w:rPr>
                <w:b/>
                <w:color w:val="1C3A36"/>
                <w:sz w:val="18"/>
              </w:rPr>
              <w:t>22,454</w:t>
            </w:r>
          </w:p>
        </w:tc>
        <w:tc>
          <w:tcPr>
            <w:tcW w:type="dxa" w:w="2160"/>
            <w:shd w:val="clear" w:color="auto" w:fill="F6F1E6"/>
          </w:tcPr>
          <w:p>
            <w:pPr>
              <w:spacing w:after="20"/>
              <w:jc w:val="right"/>
            </w:pPr>
            <w:r>
              <w:rPr>
                <w:b/>
                <w:color w:val="1C3A36"/>
                <w:sz w:val="18"/>
              </w:rPr>
              <w:t>59.90</w:t>
            </w:r>
          </w:p>
        </w:tc>
      </w:tr>
      <w:tr>
        <w:tc>
          <w:tcPr>
            <w:tcW w:type="dxa" w:w="4752"/>
            <w:shd w:val="clear" w:color="auto" w:fill="F6F1E6"/>
          </w:tcPr>
          <w:p>
            <w:pPr>
              <w:spacing w:after="20"/>
            </w:pPr>
            <w:r>
              <w:rPr>
                <w:b/>
                <w:color w:val="1C3A36"/>
                <w:sz w:val="18"/>
              </w:rPr>
              <w:t>Terminal value as % of enterprise value</w:t>
            </w:r>
          </w:p>
        </w:tc>
        <w:tc>
          <w:tcPr>
            <w:tcW w:type="dxa" w:w="2160"/>
            <w:shd w:val="clear" w:color="auto" w:fill="F6F1E6"/>
          </w:tcPr>
          <w:p>
            <w:pPr>
              <w:spacing w:after="20"/>
              <w:jc w:val="right"/>
            </w:pPr>
            <w:r>
              <w:rPr>
                <w:b/>
                <w:color w:val="1C3A36"/>
                <w:sz w:val="18"/>
              </w:rPr>
              <w:t>53.0%</w:t>
            </w:r>
          </w:p>
        </w:tc>
        <w:tc>
          <w:tcPr>
            <w:tcW w:type="dxa" w:w="2160"/>
            <w:shd w:val="clear" w:color="auto" w:fill="F6F1E6"/>
          </w:tcPr>
          <w:p>
            <w:pPr>
              <w:spacing w:after="20"/>
              <w:jc w:val="right"/>
            </w:pPr>
            <w:r>
              <w:rPr>
                <w:b/>
                <w:color w:val="1C3A36"/>
                <w:sz w:val="18"/>
              </w:rPr>
              <w:t>—</w:t>
            </w:r>
          </w:p>
        </w:tc>
      </w:tr>
      <w:tr>
        <w:tc>
          <w:tcPr>
            <w:tcW w:type="dxa" w:w="4752"/>
          </w:tcPr>
          <w:p>
            <w:pPr>
              <w:spacing w:after="20"/>
            </w:pPr>
            <w:r>
              <w:rPr>
                <w:color w:val="1C3A36"/>
                <w:sz w:val="18"/>
              </w:rPr>
              <w:t>Market price, 6 August 2026</w:t>
            </w:r>
          </w:p>
        </w:tc>
        <w:tc>
          <w:tcPr>
            <w:tcW w:type="dxa" w:w="2160"/>
          </w:tcPr>
          <w:p>
            <w:pPr>
              <w:spacing w:after="20"/>
              <w:jc w:val="right"/>
            </w:pPr>
            <w:r>
              <w:rPr>
                <w:color w:val="1C3A36"/>
                <w:sz w:val="18"/>
              </w:rPr>
              <w:t>—</w:t>
            </w:r>
          </w:p>
        </w:tc>
        <w:tc>
          <w:tcPr>
            <w:tcW w:type="dxa" w:w="2160"/>
          </w:tcPr>
          <w:p>
            <w:pPr>
              <w:spacing w:after="20"/>
              <w:jc w:val="right"/>
            </w:pPr>
            <w:r>
              <w:rPr>
                <w:color w:val="1C3A36"/>
                <w:sz w:val="18"/>
              </w:rPr>
              <w:t>59.00</w:t>
            </w:r>
          </w:p>
        </w:tc>
      </w:tr>
      <w:tr>
        <w:tc>
          <w:tcPr>
            <w:tcW w:type="dxa" w:w="4752"/>
          </w:tcPr>
          <w:p>
            <w:pPr>
              <w:spacing w:after="20"/>
            </w:pPr>
            <w:r>
              <w:rPr>
                <w:color w:val="1C3A36"/>
                <w:sz w:val="18"/>
              </w:rPr>
              <w:t>Upside / (downside) to this lens</w:t>
            </w:r>
          </w:p>
        </w:tc>
        <w:tc>
          <w:tcPr>
            <w:tcW w:type="dxa" w:w="2160"/>
          </w:tcPr>
          <w:p>
            <w:pPr>
              <w:spacing w:after="20"/>
              <w:jc w:val="right"/>
            </w:pPr>
            <w:r>
              <w:rPr>
                <w:color w:val="1C3A36"/>
                <w:sz w:val="18"/>
              </w:rPr>
              <w:t>—</w:t>
            </w:r>
          </w:p>
        </w:tc>
        <w:tc>
          <w:tcPr>
            <w:tcW w:type="dxa" w:w="2160"/>
          </w:tcPr>
          <w:p>
            <w:pPr>
              <w:spacing w:after="20"/>
              <w:jc w:val="right"/>
            </w:pPr>
            <w:r>
              <w:rPr>
                <w:color w:val="1C3A36"/>
                <w:sz w:val="18"/>
              </w:rPr>
              <w:t>+1.5%</w:t>
            </w:r>
          </w:p>
        </w:tc>
      </w:tr>
    </w:tbl>
    <w:p>
      <w:pPr>
        <w:spacing w:after="40"/>
      </w:pPr>
    </w:p>
    <w:p>
      <w:pPr>
        <w:spacing w:after="200" w:before="0"/>
      </w:pPr>
      <w:r>
        <w:rPr>
          <w:b w:val="0"/>
          <w:i/>
          <w:color w:val="6E7B77"/>
          <w:sz w:val="17"/>
        </w:rPr>
        <w:t>Table 8 — The bridge. Terminal value as a share of enterprise value is stated here and again in the summary table on page 1.</w:t>
      </w:r>
    </w:p>
    <w:p>
      <w:pPr>
        <w:spacing w:after="120" w:before="0"/>
      </w:pPr>
      <w:r>
        <w:rPr>
          <w:b w:val="0"/>
          <w:i w:val="0"/>
          <w:color w:val="1C3A36"/>
          <w:sz w:val="21"/>
        </w:rPr>
        <w:t>Cash is added at face and is not in the discount rate. The audited balance sheet shows EGP 3,459mn of cash against EGP 1,135mn of interest-bearing debt at 31 December 2025. Rolling that forward on the elapsed part of FY2026 and DEDUCTING the EGP 2,002mn FY2025 dividend — declared and still shown as payable in the March 2026 accounts, so a buyer at today's price does not receive it — puts net cash at EGP 1,999mn at the valuation date, or EGP 5.33 a share. The March 2026 balance sheet is the independent check on that: cash of EGP 4,380mn less debt of EGP 1,261mn less the dividend payable of EGP 2,002mn is EGP 1,117mn at 31 March, four months before the valuation date.</w:t>
      </w:r>
    </w:p>
    <w:p>
      <w:pPr>
        <w:spacing w:after="120" w:before="0"/>
      </w:pPr>
      <w:r>
        <w:rPr>
          <w:b w:val="0"/>
          <w:i w:val="0"/>
          <w:color w:val="1C3A36"/>
          <w:sz w:val="21"/>
        </w:rPr>
        <w:t>Minority interests are deducted, and the audited figure is the reason this line is now immaterial: EGP 158,005 — one hundred and fifty-eight thousand pounds, or 0.0007% of equity value. The subsidiaries are 99% to 99.99% owned.</w:t>
      </w:r>
    </w:p>
    <w:p>
      <w:pPr>
        <w:spacing w:after="120" w:before="0"/>
      </w:pPr>
      <w:r>
        <w:rPr>
          <w:b w:val="0"/>
          <w:i w:val="0"/>
          <w:color w:val="1C3A36"/>
          <w:sz w:val="21"/>
        </w:rPr>
        <w:t>At 53.0% of enterprise value, the terminal value carries less of this valuation than the two-thirds to four-fifths a long-horizon discounted cash-flow model usually ends up with, and that is a consequence of the 24.5% explicit-window discount rate rather than a design choice — at that rate the fifth forecast year is already discounted to 52% of its face value. The answer therefore depends more on the next five years and less on a perpetuity assumption than is usual, which for a business whose next five years are forecastable from tonnes and disclosed costs is the right place for the weight to sit. It is worth naming the direction of travel honestly: the prior revision put the terminal share at 45.5%, and correcting the price path lifted it because a higher terminal margin loads more value into the perpetuity than into a heavily discounted explicit window. More of the answer rests on the far end than it did.</w:t>
      </w:r>
    </w:p>
    <w:p>
      <w:pPr>
        <w:spacing w:after="80" w:before="200"/>
      </w:pPr>
      <w:r>
        <w:rPr>
          <w:b/>
          <w:i w:val="0"/>
          <w:color w:val="1C3A36"/>
          <w:sz w:val="24"/>
        </w:rPr>
        <w:t>1.8  Terminal value, and what growth costs</w:t>
      </w:r>
    </w:p>
    <w:p>
      <w:pPr>
        <w:spacing w:after="120" w:before="0"/>
      </w:pPr>
      <w:r>
        <w:rPr>
          <w:b w:val="0"/>
          <w:i w:val="0"/>
          <w:color w:val="1C3A36"/>
          <w:sz w:val="21"/>
        </w:rPr>
        <w:t>Terminal growth is held at 5%, against a terminal risk-free rate that already embeds disinflation — so approximately zero in real terms. It is not derived from recent performance, and the reason is arithmetic rather than a matter of judgement.</w:t>
      </w:r>
    </w:p>
    <w:p>
      <w:pPr>
        <w:spacing w:after="120" w:before="0"/>
      </w:pPr>
      <w:r>
        <w:rPr>
          <w:b w:val="0"/>
          <w:i w:val="0"/>
          <w:color w:val="1C3A36"/>
          <w:sz w:val="21"/>
        </w:rPr>
        <w:t>Attributable profit compounded 127% a year across the two audited steps from FY2023 to FY2025. Compounded against nominal economic growth of about 18%, a company at 0.069% of Egyptian output today would equal the entire Egyptian economy in roughly 11 years. That is not a forecast anyone would defend; it is the reason recent growth belongs in the explicit window, describing a specific dated event — the removal of the production quota — and not in the perpetuity.</w:t>
      </w:r>
    </w:p>
    <w:p>
      <w:pPr>
        <w:spacing w:after="120" w:before="0"/>
      </w:pPr>
      <w:r>
        <w:rPr>
          <w:b w:val="0"/>
          <w:i w:val="0"/>
          <w:color w:val="1C3A36"/>
          <w:sz w:val="21"/>
        </w:rPr>
        <w:t>Growth in the terminal state has to be paid for, and the choice of what capital it is paid on is the single most consequential judgement in this model. On the audited BOOK, return on invested capital was 60.6% in FY2025 — well above any plausible cost of capital, which would make terminal growth free. But that book carries a plant built around 2010 at historical cost through several devaluations: net property and construction of EGP 2,914mn is about USD 12 per annual tonne against a replacement cost of USD 130. A return computed on that base measures the devaluation, not the economics of adding a tonne.</w:t>
      </w:r>
    </w:p>
    <w:p>
      <w:pPr>
        <w:spacing w:after="120" w:before="0"/>
      </w:pPr>
      <w:r>
        <w:rPr>
          <w:b w:val="0"/>
          <w:i w:val="0"/>
          <w:color w:val="1C3A36"/>
          <w:sz w:val="21"/>
        </w:rPr>
        <w:t>The terminal block is therefore struck on REPLACEMENT-COST invested capital — EGP 50,481mn, being 5.0Mt at USD 130 a tonne. On that basis the terminal return on capital is 9.2% and the reinvestment rate that 5% growth requires is 54.2% of terminal profit.</w:t>
      </w:r>
    </w:p>
    <w:p>
      <w:pPr>
        <w:spacing w:after="120" w:before="0"/>
      </w:pPr>
      <w:r>
        <w:rPr>
          <w:b w:val="0"/>
          <w:i w:val="0"/>
          <w:color w:val="1C3A36"/>
          <w:sz w:val="21"/>
        </w:rPr>
        <w:t>That choice of denominator all but switches the terminal growth rate off, and the reason is worth setting out because the obvious reading of it is wrong. A terminal return of 9.2% against a terminal rate of 14.5% looks like the textbook case in which growth destroys value. It is not the right test. Because reinvestment is growth divided by return on capital, and that return is itself terminal profit grown one year over a fixed capital base, the reinvestment charge collapses to a constant — growth multiplied by invested capital — and the whole terminal block reduces to terminal profit grown one year, less that charge, over the rate less growth. Differentiate it and the growth term vanishes: the DIRECTION of the lever is a constant of the model, and the hurdle is terminal profit over invested capital against the rate over one plus the rate, which is 12.69%. This company sits at 8.79% — -390 basis points above it. Growth therefore adds value, and adds almost none of it: the cash-flow lens is EGP 67.59 at 3% terminal growth and EGP 53.25 at 7%, a spread of -21.2% across four points of perpetual growth. The practical conclusion is the one that matters: on a replacement-cost denominator this plant roughly breaks even on new tonnes, in a market carrying 76Mt of capacity against 54Mt of consumption, so nothing in this valuation is bought with an assumption about perpetual growth. A reader who prefers the book basis should know it lifts the valuation substantially, and should say why a plant carried at a tenth of replacement cost is the right denominator.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3%</w:t>
            </w:r>
          </w:p>
        </w:tc>
        <w:tc>
          <w:tcPr>
            <w:tcW w:type="dxa" w:w="1469"/>
            <w:shd w:val="clear" w:color="auto" w:fill="EAF0EE"/>
          </w:tcPr>
          <w:p>
            <w:pPr>
              <w:spacing w:after="20"/>
            </w:pPr>
            <w:r>
              <w:rPr>
                <w:b/>
                <w:color w:val="1C3A36"/>
                <w:sz w:val="18"/>
              </w:rPr>
              <w:t>4%</w:t>
            </w:r>
          </w:p>
        </w:tc>
        <w:tc>
          <w:tcPr>
            <w:tcW w:type="dxa" w:w="1469"/>
            <w:shd w:val="clear" w:color="auto" w:fill="EAF0EE"/>
          </w:tcPr>
          <w:p>
            <w:pPr>
              <w:spacing w:after="20"/>
            </w:pPr>
            <w:r>
              <w:rPr>
                <w:b/>
                <w:color w:val="1C3A36"/>
                <w:sz w:val="18"/>
              </w:rPr>
              <w:t>5%</w:t>
            </w:r>
          </w:p>
        </w:tc>
        <w:tc>
          <w:tcPr>
            <w:tcW w:type="dxa" w:w="1469"/>
            <w:shd w:val="clear" w:color="auto" w:fill="EAF0EE"/>
          </w:tcPr>
          <w:p>
            <w:pPr>
              <w:spacing w:after="20"/>
            </w:pPr>
            <w:r>
              <w:rPr>
                <w:b/>
                <w:color w:val="1C3A36"/>
                <w:sz w:val="18"/>
              </w:rPr>
              <w:t>6%</w:t>
            </w:r>
          </w:p>
        </w:tc>
        <w:tc>
          <w:tcPr>
            <w:tcW w:type="dxa" w:w="1469"/>
            <w:shd w:val="clear" w:color="auto" w:fill="EAF0EE"/>
          </w:tcPr>
          <w:p>
            <w:pPr>
              <w:spacing w:after="20"/>
            </w:pPr>
            <w:r>
              <w:rPr>
                <w:b/>
                <w:color w:val="1C3A36"/>
                <w:sz w:val="18"/>
              </w:rPr>
              <w:t>7%</w:t>
            </w:r>
          </w:p>
        </w:tc>
      </w:tr>
      <w:tr>
        <w:tc>
          <w:tcPr>
            <w:tcW w:type="dxa" w:w="2477"/>
          </w:tcPr>
          <w:p>
            <w:pPr>
              <w:spacing w:after="20"/>
            </w:pPr>
            <w:r>
              <w:rPr>
                <w:color w:val="1C3A36"/>
                <w:sz w:val="18"/>
              </w:rPr>
              <w:t>21.52%</w:t>
            </w:r>
          </w:p>
        </w:tc>
        <w:tc>
          <w:tcPr>
            <w:tcW w:type="dxa" w:w="1469"/>
          </w:tcPr>
          <w:p>
            <w:pPr>
              <w:spacing w:after="20"/>
              <w:jc w:val="right"/>
            </w:pPr>
            <w:r>
              <w:rPr>
                <w:color w:val="1C3A36"/>
                <w:sz w:val="18"/>
              </w:rPr>
              <w:t>69.68</w:t>
            </w:r>
          </w:p>
        </w:tc>
        <w:tc>
          <w:tcPr>
            <w:tcW w:type="dxa" w:w="1469"/>
          </w:tcPr>
          <w:p>
            <w:pPr>
              <w:spacing w:after="20"/>
              <w:jc w:val="right"/>
            </w:pPr>
            <w:r>
              <w:rPr>
                <w:color w:val="1C3A36"/>
                <w:sz w:val="18"/>
              </w:rPr>
              <w:t>67.02</w:t>
            </w:r>
          </w:p>
        </w:tc>
        <w:tc>
          <w:tcPr>
            <w:tcW w:type="dxa" w:w="1469"/>
          </w:tcPr>
          <w:p>
            <w:pPr>
              <w:spacing w:after="20"/>
              <w:jc w:val="right"/>
            </w:pPr>
            <w:r>
              <w:rPr>
                <w:color w:val="1C3A36"/>
                <w:sz w:val="18"/>
              </w:rPr>
              <w:t>63.80</w:t>
            </w:r>
          </w:p>
        </w:tc>
        <w:tc>
          <w:tcPr>
            <w:tcW w:type="dxa" w:w="1469"/>
          </w:tcPr>
          <w:p>
            <w:pPr>
              <w:spacing w:after="20"/>
              <w:jc w:val="right"/>
            </w:pPr>
            <w:r>
              <w:rPr>
                <w:color w:val="1C3A36"/>
                <w:sz w:val="18"/>
              </w:rPr>
              <w:t>59.83</w:t>
            </w:r>
          </w:p>
        </w:tc>
        <w:tc>
          <w:tcPr>
            <w:tcW w:type="dxa" w:w="1469"/>
          </w:tcPr>
          <w:p>
            <w:pPr>
              <w:spacing w:after="20"/>
              <w:jc w:val="right"/>
            </w:pPr>
            <w:r>
              <w:rPr>
                <w:color w:val="1C3A36"/>
                <w:sz w:val="18"/>
              </w:rPr>
              <w:t>54.80</w:t>
            </w:r>
          </w:p>
        </w:tc>
      </w:tr>
      <w:tr>
        <w:tc>
          <w:tcPr>
            <w:tcW w:type="dxa" w:w="2477"/>
          </w:tcPr>
          <w:p>
            <w:pPr>
              <w:spacing w:after="20"/>
            </w:pPr>
            <w:r>
              <w:rPr>
                <w:color w:val="1C3A36"/>
                <w:sz w:val="18"/>
              </w:rPr>
              <w:t>23.02%</w:t>
            </w:r>
          </w:p>
        </w:tc>
        <w:tc>
          <w:tcPr>
            <w:tcW w:type="dxa" w:w="1469"/>
          </w:tcPr>
          <w:p>
            <w:pPr>
              <w:spacing w:after="20"/>
              <w:jc w:val="right"/>
            </w:pPr>
            <w:r>
              <w:rPr>
                <w:color w:val="1C3A36"/>
                <w:sz w:val="18"/>
              </w:rPr>
              <w:t>68.62</w:t>
            </w:r>
          </w:p>
        </w:tc>
        <w:tc>
          <w:tcPr>
            <w:tcW w:type="dxa" w:w="1469"/>
          </w:tcPr>
          <w:p>
            <w:pPr>
              <w:spacing w:after="20"/>
              <w:jc w:val="right"/>
            </w:pPr>
            <w:r>
              <w:rPr>
                <w:color w:val="1C3A36"/>
                <w:sz w:val="18"/>
              </w:rPr>
              <w:t>66.01</w:t>
            </w:r>
          </w:p>
        </w:tc>
        <w:tc>
          <w:tcPr>
            <w:tcW w:type="dxa" w:w="1469"/>
          </w:tcPr>
          <w:p>
            <w:pPr>
              <w:spacing w:after="20"/>
              <w:jc w:val="right"/>
            </w:pPr>
            <w:r>
              <w:rPr>
                <w:color w:val="1C3A36"/>
                <w:sz w:val="18"/>
              </w:rPr>
              <w:t>62.85</w:t>
            </w:r>
          </w:p>
        </w:tc>
        <w:tc>
          <w:tcPr>
            <w:tcW w:type="dxa" w:w="1469"/>
          </w:tcPr>
          <w:p>
            <w:pPr>
              <w:spacing w:after="20"/>
              <w:jc w:val="right"/>
            </w:pPr>
            <w:r>
              <w:rPr>
                <w:color w:val="1C3A36"/>
                <w:sz w:val="18"/>
              </w:rPr>
              <w:t>58.95</w:t>
            </w:r>
          </w:p>
        </w:tc>
        <w:tc>
          <w:tcPr>
            <w:tcW w:type="dxa" w:w="1469"/>
          </w:tcPr>
          <w:p>
            <w:pPr>
              <w:spacing w:after="20"/>
              <w:jc w:val="right"/>
            </w:pPr>
            <w:r>
              <w:rPr>
                <w:color w:val="1C3A36"/>
                <w:sz w:val="18"/>
              </w:rPr>
              <w:t>54.02</w:t>
            </w:r>
          </w:p>
        </w:tc>
      </w:tr>
      <w:tr>
        <w:tc>
          <w:tcPr>
            <w:tcW w:type="dxa" w:w="2477"/>
          </w:tcPr>
          <w:p>
            <w:pPr>
              <w:spacing w:after="20"/>
            </w:pPr>
            <w:r>
              <w:rPr>
                <w:color w:val="1C3A36"/>
                <w:sz w:val="18"/>
              </w:rPr>
              <w:t>24.52%</w:t>
            </w:r>
          </w:p>
        </w:tc>
        <w:tc>
          <w:tcPr>
            <w:tcW w:type="dxa" w:w="1469"/>
          </w:tcPr>
          <w:p>
            <w:pPr>
              <w:spacing w:after="20"/>
              <w:jc w:val="right"/>
            </w:pPr>
            <w:r>
              <w:rPr>
                <w:color w:val="1C3A36"/>
                <w:sz w:val="18"/>
              </w:rPr>
              <w:t>67.59</w:t>
            </w:r>
          </w:p>
        </w:tc>
        <w:tc>
          <w:tcPr>
            <w:tcW w:type="dxa" w:w="1469"/>
          </w:tcPr>
          <w:p>
            <w:pPr>
              <w:spacing w:after="20"/>
              <w:jc w:val="right"/>
            </w:pPr>
            <w:r>
              <w:rPr>
                <w:color w:val="1C3A36"/>
                <w:sz w:val="18"/>
              </w:rPr>
              <w:t>65.03</w:t>
            </w:r>
          </w:p>
        </w:tc>
        <w:tc>
          <w:tcPr>
            <w:tcW w:type="dxa" w:w="1469"/>
          </w:tcPr>
          <w:p>
            <w:pPr>
              <w:spacing w:after="20"/>
              <w:jc w:val="right"/>
            </w:pPr>
            <w:r>
              <w:rPr>
                <w:color w:val="1C3A36"/>
                <w:sz w:val="18"/>
              </w:rPr>
              <w:t>61.93</w:t>
            </w:r>
          </w:p>
        </w:tc>
        <w:tc>
          <w:tcPr>
            <w:tcW w:type="dxa" w:w="1469"/>
          </w:tcPr>
          <w:p>
            <w:pPr>
              <w:spacing w:after="20"/>
              <w:jc w:val="right"/>
            </w:pPr>
            <w:r>
              <w:rPr>
                <w:color w:val="1C3A36"/>
                <w:sz w:val="18"/>
              </w:rPr>
              <w:t>58.10</w:t>
            </w:r>
          </w:p>
        </w:tc>
        <w:tc>
          <w:tcPr>
            <w:tcW w:type="dxa" w:w="1469"/>
          </w:tcPr>
          <w:p>
            <w:pPr>
              <w:spacing w:after="20"/>
              <w:jc w:val="right"/>
            </w:pPr>
            <w:r>
              <w:rPr>
                <w:color w:val="1C3A36"/>
                <w:sz w:val="18"/>
              </w:rPr>
              <w:t>53.25</w:t>
            </w:r>
          </w:p>
        </w:tc>
      </w:tr>
      <w:tr>
        <w:tc>
          <w:tcPr>
            <w:tcW w:type="dxa" w:w="2477"/>
          </w:tcPr>
          <w:p>
            <w:pPr>
              <w:spacing w:after="20"/>
            </w:pPr>
            <w:r>
              <w:rPr>
                <w:color w:val="1C3A36"/>
                <w:sz w:val="18"/>
              </w:rPr>
              <w:t>26.02%</w:t>
            </w:r>
          </w:p>
        </w:tc>
        <w:tc>
          <w:tcPr>
            <w:tcW w:type="dxa" w:w="1469"/>
          </w:tcPr>
          <w:p>
            <w:pPr>
              <w:spacing w:after="20"/>
              <w:jc w:val="right"/>
            </w:pPr>
            <w:r>
              <w:rPr>
                <w:color w:val="1C3A36"/>
                <w:sz w:val="18"/>
              </w:rPr>
              <w:t>66.58</w:t>
            </w:r>
          </w:p>
        </w:tc>
        <w:tc>
          <w:tcPr>
            <w:tcW w:type="dxa" w:w="1469"/>
          </w:tcPr>
          <w:p>
            <w:pPr>
              <w:spacing w:after="20"/>
              <w:jc w:val="right"/>
            </w:pPr>
            <w:r>
              <w:rPr>
                <w:color w:val="1C3A36"/>
                <w:sz w:val="18"/>
              </w:rPr>
              <w:t>64.07</w:t>
            </w:r>
          </w:p>
        </w:tc>
        <w:tc>
          <w:tcPr>
            <w:tcW w:type="dxa" w:w="1469"/>
          </w:tcPr>
          <w:p>
            <w:pPr>
              <w:spacing w:after="20"/>
              <w:jc w:val="right"/>
            </w:pPr>
            <w:r>
              <w:rPr>
                <w:color w:val="1C3A36"/>
                <w:sz w:val="18"/>
              </w:rPr>
              <w:t>61.02</w:t>
            </w:r>
          </w:p>
        </w:tc>
        <w:tc>
          <w:tcPr>
            <w:tcW w:type="dxa" w:w="1469"/>
          </w:tcPr>
          <w:p>
            <w:pPr>
              <w:spacing w:after="20"/>
              <w:jc w:val="right"/>
            </w:pPr>
            <w:r>
              <w:rPr>
                <w:color w:val="1C3A36"/>
                <w:sz w:val="18"/>
              </w:rPr>
              <w:t>57.26</w:t>
            </w:r>
          </w:p>
        </w:tc>
        <w:tc>
          <w:tcPr>
            <w:tcW w:type="dxa" w:w="1469"/>
          </w:tcPr>
          <w:p>
            <w:pPr>
              <w:spacing w:after="20"/>
              <w:jc w:val="right"/>
            </w:pPr>
            <w:r>
              <w:rPr>
                <w:color w:val="1C3A36"/>
                <w:sz w:val="18"/>
              </w:rPr>
              <w:t>52.51</w:t>
            </w:r>
          </w:p>
        </w:tc>
      </w:tr>
      <w:tr>
        <w:tc>
          <w:tcPr>
            <w:tcW w:type="dxa" w:w="2477"/>
          </w:tcPr>
          <w:p>
            <w:pPr>
              <w:spacing w:after="20"/>
            </w:pPr>
            <w:r>
              <w:rPr>
                <w:color w:val="1C3A36"/>
                <w:sz w:val="18"/>
              </w:rPr>
              <w:t>27.52%</w:t>
            </w:r>
          </w:p>
        </w:tc>
        <w:tc>
          <w:tcPr>
            <w:tcW w:type="dxa" w:w="1469"/>
          </w:tcPr>
          <w:p>
            <w:pPr>
              <w:spacing w:after="20"/>
              <w:jc w:val="right"/>
            </w:pPr>
            <w:r>
              <w:rPr>
                <w:color w:val="1C3A36"/>
                <w:sz w:val="18"/>
              </w:rPr>
              <w:t>65.60</w:t>
            </w:r>
          </w:p>
        </w:tc>
        <w:tc>
          <w:tcPr>
            <w:tcW w:type="dxa" w:w="1469"/>
          </w:tcPr>
          <w:p>
            <w:pPr>
              <w:spacing w:after="20"/>
              <w:jc w:val="right"/>
            </w:pPr>
            <w:r>
              <w:rPr>
                <w:color w:val="1C3A36"/>
                <w:sz w:val="18"/>
              </w:rPr>
              <w:t>63.13</w:t>
            </w:r>
          </w:p>
        </w:tc>
        <w:tc>
          <w:tcPr>
            <w:tcW w:type="dxa" w:w="1469"/>
          </w:tcPr>
          <w:p>
            <w:pPr>
              <w:spacing w:after="20"/>
              <w:jc w:val="right"/>
            </w:pPr>
            <w:r>
              <w:rPr>
                <w:color w:val="1C3A36"/>
                <w:sz w:val="18"/>
              </w:rPr>
              <w:t>60.14</w:t>
            </w:r>
          </w:p>
        </w:tc>
        <w:tc>
          <w:tcPr>
            <w:tcW w:type="dxa" w:w="1469"/>
          </w:tcPr>
          <w:p>
            <w:pPr>
              <w:spacing w:after="20"/>
              <w:jc w:val="right"/>
            </w:pPr>
            <w:r>
              <w:rPr>
                <w:color w:val="1C3A36"/>
                <w:sz w:val="18"/>
              </w:rPr>
              <w:t>56.45</w:t>
            </w:r>
          </w:p>
        </w:tc>
        <w:tc>
          <w:tcPr>
            <w:tcW w:type="dxa" w:w="1469"/>
          </w:tcPr>
          <w:p>
            <w:pPr>
              <w:spacing w:after="20"/>
              <w:jc w:val="right"/>
            </w:pPr>
            <w:r>
              <w:rPr>
                <w:color w:val="1C3A36"/>
                <w:sz w:val="18"/>
              </w:rPr>
              <w:t>51.78</w:t>
            </w:r>
          </w:p>
        </w:tc>
      </w:tr>
    </w:tbl>
    <w:p>
      <w:pPr>
        <w:spacing w:after="40"/>
      </w:pPr>
    </w:p>
    <w:p>
      <w:pPr>
        <w:spacing w:after="200" w:before="0"/>
      </w:pPr>
      <w:r>
        <w:rPr>
          <w:b w:val="0"/>
          <w:i/>
          <w:color w:val="6E7B77"/>
          <w:sz w:val="17"/>
        </w:rPr>
        <w:t>Table 9 — Fair value per share across the explicit-window cost of capital and terminal growth. Growth is the STRONGER of the two levers here and it points DOWN: across a row the value moves EGP 14.89, against EGP 4.08 down a column. The paragraphs above set out why the growth axis is nearly flat — on a replacement-cost denominator this plant sits within -390 basis points of breaking even on new tonnes, so perpetual growth neither creates nor destroys much of anything.</w:t>
      </w:r>
    </w:p>
    <w:p>
      <w:pPr>
        <w:spacing w:after="40"/>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3017520"/>
                    </a:xfrm>
                    <a:prstGeom prst="rect"/>
                  </pic:spPr>
                </pic:pic>
              </a:graphicData>
            </a:graphic>
          </wp:inline>
        </w:drawing>
      </w:r>
    </w:p>
    <w:p>
      <w:pPr>
        <w:spacing w:after="200" w:before="0"/>
      </w:pPr>
      <w:r>
        <w:rPr>
          <w:b w:val="0"/>
          <w:i/>
          <w:color w:val="6E7B77"/>
          <w:sz w:val="17"/>
        </w:rPr>
        <w:t>Figure 3 — The same surface. The growth axis is almost flat and the discount-rate axis is not; that is the model being consistent with its own terminal algebra rather than a sign error.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12.5%</w:t>
            </w:r>
          </w:p>
        </w:tc>
        <w:tc>
          <w:tcPr>
            <w:tcW w:type="dxa" w:w="1469"/>
            <w:shd w:val="clear" w:color="auto" w:fill="EAF0EE"/>
          </w:tcPr>
          <w:p>
            <w:pPr>
              <w:spacing w:after="20"/>
            </w:pPr>
            <w:r>
              <w:rPr>
                <w:b/>
                <w:color w:val="1C3A36"/>
                <w:sz w:val="18"/>
              </w:rPr>
              <w:t>13.5%</w:t>
            </w:r>
          </w:p>
        </w:tc>
        <w:tc>
          <w:tcPr>
            <w:tcW w:type="dxa" w:w="1469"/>
            <w:shd w:val="clear" w:color="auto" w:fill="EAF0EE"/>
          </w:tcPr>
          <w:p>
            <w:pPr>
              <w:spacing w:after="20"/>
            </w:pPr>
            <w:r>
              <w:rPr>
                <w:b/>
                <w:color w:val="1C3A36"/>
                <w:sz w:val="18"/>
              </w:rPr>
              <w:t>14.5%</w:t>
            </w:r>
          </w:p>
        </w:tc>
        <w:tc>
          <w:tcPr>
            <w:tcW w:type="dxa" w:w="1469"/>
            <w:shd w:val="clear" w:color="auto" w:fill="EAF0EE"/>
          </w:tcPr>
          <w:p>
            <w:pPr>
              <w:spacing w:after="20"/>
            </w:pPr>
            <w:r>
              <w:rPr>
                <w:b/>
                <w:color w:val="1C3A36"/>
                <w:sz w:val="18"/>
              </w:rPr>
              <w:t>15.5%</w:t>
            </w:r>
          </w:p>
        </w:tc>
        <w:tc>
          <w:tcPr>
            <w:tcW w:type="dxa" w:w="1469"/>
            <w:shd w:val="clear" w:color="auto" w:fill="EAF0EE"/>
          </w:tcPr>
          <w:p>
            <w:pPr>
              <w:spacing w:after="20"/>
            </w:pPr>
            <w:r>
              <w:rPr>
                <w:b/>
                <w:color w:val="1C3A36"/>
                <w:sz w:val="18"/>
              </w:rPr>
              <w:t>16.5%</w:t>
            </w:r>
          </w:p>
        </w:tc>
      </w:tr>
      <w:tr>
        <w:tc>
          <w:tcPr>
            <w:tcW w:type="dxa" w:w="2477"/>
          </w:tcPr>
          <w:p>
            <w:pPr>
              <w:spacing w:after="20"/>
            </w:pPr>
            <w:r>
              <w:rPr>
                <w:color w:val="1C3A36"/>
                <w:sz w:val="18"/>
              </w:rPr>
              <w:t>21.52%</w:t>
            </w:r>
          </w:p>
        </w:tc>
        <w:tc>
          <w:tcPr>
            <w:tcW w:type="dxa" w:w="1469"/>
          </w:tcPr>
          <w:p>
            <w:pPr>
              <w:spacing w:after="20"/>
              <w:jc w:val="right"/>
            </w:pPr>
            <w:r>
              <w:rPr>
                <w:color w:val="1C3A36"/>
                <w:sz w:val="18"/>
              </w:rPr>
              <w:t>74.54</w:t>
            </w:r>
          </w:p>
        </w:tc>
        <w:tc>
          <w:tcPr>
            <w:tcW w:type="dxa" w:w="1469"/>
          </w:tcPr>
          <w:p>
            <w:pPr>
              <w:spacing w:after="20"/>
              <w:jc w:val="right"/>
            </w:pPr>
            <w:r>
              <w:rPr>
                <w:color w:val="1C3A36"/>
                <w:sz w:val="18"/>
              </w:rPr>
              <w:t>68.56</w:t>
            </w:r>
          </w:p>
        </w:tc>
        <w:tc>
          <w:tcPr>
            <w:tcW w:type="dxa" w:w="1469"/>
          </w:tcPr>
          <w:p>
            <w:pPr>
              <w:spacing w:after="20"/>
              <w:jc w:val="right"/>
            </w:pPr>
            <w:r>
              <w:rPr>
                <w:color w:val="1C3A36"/>
                <w:sz w:val="18"/>
              </w:rPr>
              <w:t>63.80</w:t>
            </w:r>
          </w:p>
        </w:tc>
        <w:tc>
          <w:tcPr>
            <w:tcW w:type="dxa" w:w="1469"/>
          </w:tcPr>
          <w:p>
            <w:pPr>
              <w:spacing w:after="20"/>
              <w:jc w:val="right"/>
            </w:pPr>
            <w:r>
              <w:rPr>
                <w:color w:val="1C3A36"/>
                <w:sz w:val="18"/>
              </w:rPr>
              <w:t>59.93</w:t>
            </w:r>
          </w:p>
        </w:tc>
        <w:tc>
          <w:tcPr>
            <w:tcW w:type="dxa" w:w="1469"/>
          </w:tcPr>
          <w:p>
            <w:pPr>
              <w:spacing w:after="20"/>
              <w:jc w:val="right"/>
            </w:pPr>
            <w:r>
              <w:rPr>
                <w:color w:val="1C3A36"/>
                <w:sz w:val="18"/>
              </w:rPr>
              <w:t>56.71</w:t>
            </w:r>
          </w:p>
        </w:tc>
      </w:tr>
      <w:tr>
        <w:tc>
          <w:tcPr>
            <w:tcW w:type="dxa" w:w="2477"/>
          </w:tcPr>
          <w:p>
            <w:pPr>
              <w:spacing w:after="20"/>
            </w:pPr>
            <w:r>
              <w:rPr>
                <w:color w:val="1C3A36"/>
                <w:sz w:val="18"/>
              </w:rPr>
              <w:t>23.02%</w:t>
            </w:r>
          </w:p>
        </w:tc>
        <w:tc>
          <w:tcPr>
            <w:tcW w:type="dxa" w:w="1469"/>
          </w:tcPr>
          <w:p>
            <w:pPr>
              <w:spacing w:after="20"/>
              <w:jc w:val="right"/>
            </w:pPr>
            <w:r>
              <w:rPr>
                <w:color w:val="1C3A36"/>
                <w:sz w:val="18"/>
              </w:rPr>
              <w:t>73.39</w:t>
            </w:r>
          </w:p>
        </w:tc>
        <w:tc>
          <w:tcPr>
            <w:tcW w:type="dxa" w:w="1469"/>
          </w:tcPr>
          <w:p>
            <w:pPr>
              <w:spacing w:after="20"/>
              <w:jc w:val="right"/>
            </w:pPr>
            <w:r>
              <w:rPr>
                <w:color w:val="1C3A36"/>
                <w:sz w:val="18"/>
              </w:rPr>
              <w:t>67.52</w:t>
            </w:r>
          </w:p>
        </w:tc>
        <w:tc>
          <w:tcPr>
            <w:tcW w:type="dxa" w:w="1469"/>
          </w:tcPr>
          <w:p>
            <w:pPr>
              <w:spacing w:after="20"/>
              <w:jc w:val="right"/>
            </w:pPr>
            <w:r>
              <w:rPr>
                <w:color w:val="1C3A36"/>
                <w:sz w:val="18"/>
              </w:rPr>
              <w:t>62.85</w:t>
            </w:r>
          </w:p>
        </w:tc>
        <w:tc>
          <w:tcPr>
            <w:tcW w:type="dxa" w:w="1469"/>
          </w:tcPr>
          <w:p>
            <w:pPr>
              <w:spacing w:after="20"/>
              <w:jc w:val="right"/>
            </w:pPr>
            <w:r>
              <w:rPr>
                <w:color w:val="1C3A36"/>
                <w:sz w:val="18"/>
              </w:rPr>
              <w:t>59.05</w:t>
            </w:r>
          </w:p>
        </w:tc>
        <w:tc>
          <w:tcPr>
            <w:tcW w:type="dxa" w:w="1469"/>
          </w:tcPr>
          <w:p>
            <w:pPr>
              <w:spacing w:after="20"/>
              <w:jc w:val="right"/>
            </w:pPr>
            <w:r>
              <w:rPr>
                <w:color w:val="1C3A36"/>
                <w:sz w:val="18"/>
              </w:rPr>
              <w:t>55.89</w:t>
            </w:r>
          </w:p>
        </w:tc>
      </w:tr>
      <w:tr>
        <w:tc>
          <w:tcPr>
            <w:tcW w:type="dxa" w:w="2477"/>
          </w:tcPr>
          <w:p>
            <w:pPr>
              <w:spacing w:after="20"/>
            </w:pPr>
            <w:r>
              <w:rPr>
                <w:color w:val="1C3A36"/>
                <w:sz w:val="18"/>
              </w:rPr>
              <w:t>24.52%</w:t>
            </w:r>
          </w:p>
        </w:tc>
        <w:tc>
          <w:tcPr>
            <w:tcW w:type="dxa" w:w="1469"/>
          </w:tcPr>
          <w:p>
            <w:pPr>
              <w:spacing w:after="20"/>
              <w:jc w:val="right"/>
            </w:pPr>
            <w:r>
              <w:rPr>
                <w:color w:val="1C3A36"/>
                <w:sz w:val="18"/>
              </w:rPr>
              <w:t>72.26</w:t>
            </w:r>
          </w:p>
        </w:tc>
        <w:tc>
          <w:tcPr>
            <w:tcW w:type="dxa" w:w="1469"/>
          </w:tcPr>
          <w:p>
            <w:pPr>
              <w:spacing w:after="20"/>
              <w:jc w:val="right"/>
            </w:pPr>
            <w:r>
              <w:rPr>
                <w:color w:val="1C3A36"/>
                <w:sz w:val="18"/>
              </w:rPr>
              <w:t>66.50</w:t>
            </w:r>
          </w:p>
        </w:tc>
        <w:tc>
          <w:tcPr>
            <w:tcW w:type="dxa" w:w="1469"/>
          </w:tcPr>
          <w:p>
            <w:pPr>
              <w:spacing w:after="20"/>
              <w:jc w:val="right"/>
            </w:pPr>
            <w:r>
              <w:rPr>
                <w:color w:val="1C3A36"/>
                <w:sz w:val="18"/>
              </w:rPr>
              <w:t>61.93</w:t>
            </w:r>
          </w:p>
        </w:tc>
        <w:tc>
          <w:tcPr>
            <w:tcW w:type="dxa" w:w="1469"/>
          </w:tcPr>
          <w:p>
            <w:pPr>
              <w:spacing w:after="20"/>
              <w:jc w:val="right"/>
            </w:pPr>
            <w:r>
              <w:rPr>
                <w:color w:val="1C3A36"/>
                <w:sz w:val="18"/>
              </w:rPr>
              <w:t>58.20</w:t>
            </w:r>
          </w:p>
        </w:tc>
        <w:tc>
          <w:tcPr>
            <w:tcW w:type="dxa" w:w="1469"/>
          </w:tcPr>
          <w:p>
            <w:pPr>
              <w:spacing w:after="20"/>
              <w:jc w:val="right"/>
            </w:pPr>
            <w:r>
              <w:rPr>
                <w:color w:val="1C3A36"/>
                <w:sz w:val="18"/>
              </w:rPr>
              <w:t>55.10</w:t>
            </w:r>
          </w:p>
        </w:tc>
      </w:tr>
      <w:tr>
        <w:tc>
          <w:tcPr>
            <w:tcW w:type="dxa" w:w="2477"/>
          </w:tcPr>
          <w:p>
            <w:pPr>
              <w:spacing w:after="20"/>
            </w:pPr>
            <w:r>
              <w:rPr>
                <w:color w:val="1C3A36"/>
                <w:sz w:val="18"/>
              </w:rPr>
              <w:t>26.02%</w:t>
            </w:r>
          </w:p>
        </w:tc>
        <w:tc>
          <w:tcPr>
            <w:tcW w:type="dxa" w:w="1469"/>
          </w:tcPr>
          <w:p>
            <w:pPr>
              <w:spacing w:after="20"/>
              <w:jc w:val="right"/>
            </w:pPr>
            <w:r>
              <w:rPr>
                <w:color w:val="1C3A36"/>
                <w:sz w:val="18"/>
              </w:rPr>
              <w:t>71.16</w:t>
            </w:r>
          </w:p>
        </w:tc>
        <w:tc>
          <w:tcPr>
            <w:tcW w:type="dxa" w:w="1469"/>
          </w:tcPr>
          <w:p>
            <w:pPr>
              <w:spacing w:after="20"/>
              <w:jc w:val="right"/>
            </w:pPr>
            <w:r>
              <w:rPr>
                <w:color w:val="1C3A36"/>
                <w:sz w:val="18"/>
              </w:rPr>
              <w:t>65.51</w:t>
            </w:r>
          </w:p>
        </w:tc>
        <w:tc>
          <w:tcPr>
            <w:tcW w:type="dxa" w:w="1469"/>
          </w:tcPr>
          <w:p>
            <w:pPr>
              <w:spacing w:after="20"/>
              <w:jc w:val="right"/>
            </w:pPr>
            <w:r>
              <w:rPr>
                <w:color w:val="1C3A36"/>
                <w:sz w:val="18"/>
              </w:rPr>
              <w:t>61.02</w:t>
            </w:r>
          </w:p>
        </w:tc>
        <w:tc>
          <w:tcPr>
            <w:tcW w:type="dxa" w:w="1469"/>
          </w:tcPr>
          <w:p>
            <w:pPr>
              <w:spacing w:after="20"/>
              <w:jc w:val="right"/>
            </w:pPr>
            <w:r>
              <w:rPr>
                <w:color w:val="1C3A36"/>
                <w:sz w:val="18"/>
              </w:rPr>
              <w:t>57.37</w:t>
            </w:r>
          </w:p>
        </w:tc>
        <w:tc>
          <w:tcPr>
            <w:tcW w:type="dxa" w:w="1469"/>
          </w:tcPr>
          <w:p>
            <w:pPr>
              <w:spacing w:after="20"/>
              <w:jc w:val="right"/>
            </w:pPr>
            <w:r>
              <w:rPr>
                <w:color w:val="1C3A36"/>
                <w:sz w:val="18"/>
              </w:rPr>
              <w:t>54.32</w:t>
            </w:r>
          </w:p>
        </w:tc>
      </w:tr>
      <w:tr>
        <w:tc>
          <w:tcPr>
            <w:tcW w:type="dxa" w:w="2477"/>
          </w:tcPr>
          <w:p>
            <w:pPr>
              <w:spacing w:after="20"/>
            </w:pPr>
            <w:r>
              <w:rPr>
                <w:color w:val="1C3A36"/>
                <w:sz w:val="18"/>
              </w:rPr>
              <w:t>27.52%</w:t>
            </w:r>
          </w:p>
        </w:tc>
        <w:tc>
          <w:tcPr>
            <w:tcW w:type="dxa" w:w="1469"/>
          </w:tcPr>
          <w:p>
            <w:pPr>
              <w:spacing w:after="20"/>
              <w:jc w:val="right"/>
            </w:pPr>
            <w:r>
              <w:rPr>
                <w:color w:val="1C3A36"/>
                <w:sz w:val="18"/>
              </w:rPr>
              <w:t>70.09</w:t>
            </w:r>
          </w:p>
        </w:tc>
        <w:tc>
          <w:tcPr>
            <w:tcW w:type="dxa" w:w="1469"/>
          </w:tcPr>
          <w:p>
            <w:pPr>
              <w:spacing w:after="20"/>
              <w:jc w:val="right"/>
            </w:pPr>
            <w:r>
              <w:rPr>
                <w:color w:val="1C3A36"/>
                <w:sz w:val="18"/>
              </w:rPr>
              <w:t>64.55</w:t>
            </w:r>
          </w:p>
        </w:tc>
        <w:tc>
          <w:tcPr>
            <w:tcW w:type="dxa" w:w="1469"/>
          </w:tcPr>
          <w:p>
            <w:pPr>
              <w:spacing w:after="20"/>
              <w:jc w:val="right"/>
            </w:pPr>
            <w:r>
              <w:rPr>
                <w:color w:val="1C3A36"/>
                <w:sz w:val="18"/>
              </w:rPr>
              <w:t>60.14</w:t>
            </w:r>
          </w:p>
        </w:tc>
        <w:tc>
          <w:tcPr>
            <w:tcW w:type="dxa" w:w="1469"/>
          </w:tcPr>
          <w:p>
            <w:pPr>
              <w:spacing w:after="20"/>
              <w:jc w:val="right"/>
            </w:pPr>
            <w:r>
              <w:rPr>
                <w:color w:val="1C3A36"/>
                <w:sz w:val="18"/>
              </w:rPr>
              <w:t>56.55</w:t>
            </w:r>
          </w:p>
        </w:tc>
        <w:tc>
          <w:tcPr>
            <w:tcW w:type="dxa" w:w="1469"/>
          </w:tcPr>
          <w:p>
            <w:pPr>
              <w:spacing w:after="20"/>
              <w:jc w:val="right"/>
            </w:pPr>
            <w:r>
              <w:rPr>
                <w:color w:val="1C3A36"/>
                <w:sz w:val="18"/>
              </w:rPr>
              <w:t>53.57</w:t>
            </w:r>
          </w:p>
        </w:tc>
      </w:tr>
    </w:tbl>
    <w:p>
      <w:pPr>
        <w:spacing w:after="40"/>
      </w:pPr>
    </w:p>
    <w:p>
      <w:pPr>
        <w:spacing w:after="200" w:before="0"/>
      </w:pPr>
      <w:r>
        <w:rPr>
          <w:b w:val="0"/>
          <w:i/>
          <w:color w:val="6E7B77"/>
          <w:sz w:val="17"/>
        </w:rPr>
        <w:t>Table 10 — The two anchors varied INDEPENDENTLY: the explicit-window rate down the side, the terminal rate across the top. This shows what the valuation needs the economy to do, not merely what growth rate the model needs.</w:t>
      </w:r>
    </w:p>
    <w:p>
      <w:pPr>
        <w:spacing w:after="80" w:before="200"/>
      </w:pPr>
      <w:r>
        <w:rPr>
          <w:b/>
          <w:i w:val="0"/>
          <w:color w:val="1C3A36"/>
          <w:sz w:val="24"/>
        </w:rPr>
        <w:t>1.9  The other three lenses, and the choices that were contested</w:t>
      </w:r>
    </w:p>
    <w:p>
      <w:pPr>
        <w:spacing w:after="120" w:before="0"/>
      </w:pPr>
      <w:r>
        <w:rPr>
          <w:b w:val="0"/>
          <w:i w:val="0"/>
          <w:color w:val="1C3A36"/>
          <w:sz w:val="21"/>
        </w:rPr>
        <w:t>The relative lens applies 4.5 times to normalised EBITDA of EGP 3,651mn — the FY2025 revenue base cut 6% and a mid-cycle margin of 31.2% applied to it — and adds net cash at face. The multiple is disclosed as weakly anchored: the listed Egyptian peer set is thin, and its published multiples do not reconcile against the market capitalisations printed beside them. That is why this lens carries 20% and not more.</w:t>
      </w:r>
    </w:p>
    <w:p>
      <w:pPr>
        <w:spacing w:after="120" w:before="0"/>
      </w:pPr>
      <w:r>
        <w:rPr>
          <w:b w:val="0"/>
          <w:i w:val="0"/>
          <w:color w:val="1C3A36"/>
          <w:sz w:val="21"/>
        </w:rPr>
        <w:t>The normalised-earnings lens capitalises the same mid-cycle operating profit after tax — EGP 2,560mn — at 7.0 times, and again adds cash at FACE rather than capitalising it at the operating multiple. Cash is worth cash; capitalising a pound of treasury at seven times would value it at a discount to itself.</w:t>
      </w:r>
    </w:p>
    <w:p>
      <w:pPr>
        <w:spacing w:after="120" w:before="0"/>
      </w:pPr>
      <w:r>
        <w:rPr>
          <w:b w:val="0"/>
          <w:i w:val="0"/>
          <w:color w:val="1C3A36"/>
          <w:sz w:val="21"/>
        </w:rPr>
        <w:t>The asset lens values the capacity: 5.0Mt at a justified USD 95 per annual tonne, marked down 27% from a replacement cost of USD 130. Against that, the market is paying USD 80.0 per annual tonne. This lens carries only 8%, and the reason is in the same paragraph as the number: restarting a mothballed line costs a fraction of building one, and 12.6Mt of restart capacity is queuing. Replacement cost is a ceiling here, not a floor.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1728"/>
        <w:gridCol w:w="2448"/>
      </w:tblGrid>
      <w:tr>
        <w:tc>
          <w:tcPr>
            <w:tcW w:type="dxa" w:w="3672"/>
            <w:shd w:val="clear" w:color="auto" w:fill="EAF0EE"/>
          </w:tcPr>
          <w:p>
            <w:pPr>
              <w:spacing w:after="20"/>
            </w:pPr>
            <w:r>
              <w:rPr>
                <w:b/>
                <w:color w:val="1C3A36"/>
                <w:sz w:val="17"/>
              </w:rPr>
              <w:t>Choice</w:t>
            </w:r>
          </w:p>
        </w:tc>
        <w:tc>
          <w:tcPr>
            <w:tcW w:type="dxa" w:w="1512"/>
            <w:shd w:val="clear" w:color="auto" w:fill="EAF0EE"/>
          </w:tcPr>
          <w:p>
            <w:pPr>
              <w:spacing w:after="20"/>
            </w:pPr>
            <w:r>
              <w:rPr>
                <w:b/>
                <w:color w:val="1C3A36"/>
                <w:sz w:val="17"/>
              </w:rPr>
              <w:t>Adopted</w:t>
            </w:r>
          </w:p>
        </w:tc>
        <w:tc>
          <w:tcPr>
            <w:tcW w:type="dxa" w:w="1728"/>
            <w:shd w:val="clear" w:color="auto" w:fill="EAF0EE"/>
          </w:tcPr>
          <w:p>
            <w:pPr>
              <w:spacing w:after="20"/>
            </w:pPr>
            <w:r>
              <w:rPr>
                <w:b/>
                <w:color w:val="1C3A36"/>
                <w:sz w:val="17"/>
              </w:rPr>
              <w:t>Alternative</w:t>
            </w:r>
          </w:p>
        </w:tc>
        <w:tc>
          <w:tcPr>
            <w:tcW w:type="dxa" w:w="2448"/>
            <w:shd w:val="clear" w:color="auto" w:fill="EAF0EE"/>
          </w:tcPr>
          <w:p>
            <w:pPr>
              <w:spacing w:after="20"/>
            </w:pPr>
            <w:r>
              <w:rPr>
                <w:b/>
                <w:color w:val="1C3A36"/>
                <w:sz w:val="17"/>
              </w:rPr>
              <w:t>Effect on the cash-flow lens</w:t>
            </w:r>
          </w:p>
        </w:tc>
      </w:tr>
      <w:tr>
        <w:tc>
          <w:tcPr>
            <w:tcW w:type="dxa" w:w="3672"/>
          </w:tcPr>
          <w:p>
            <w:pPr>
              <w:spacing w:after="20"/>
            </w:pPr>
            <w:r>
              <w:rPr>
                <w:color w:val="1C3A36"/>
                <w:sz w:val="17"/>
              </w:rPr>
              <w:t>Cost of debt: currency composition as contracted (adopted) vs the pound-equivalent under uncovered interest parity</w:t>
            </w:r>
          </w:p>
        </w:tc>
        <w:tc>
          <w:tcPr>
            <w:tcW w:type="dxa" w:w="1512"/>
          </w:tcPr>
          <w:p>
            <w:pPr>
              <w:spacing w:after="20"/>
              <w:jc w:val="right"/>
            </w:pPr>
            <w:r>
              <w:rPr>
                <w:color w:val="1C3A36"/>
                <w:sz w:val="17"/>
              </w:rPr>
              <w:t>7.89%</w:t>
            </w:r>
          </w:p>
        </w:tc>
        <w:tc>
          <w:tcPr>
            <w:tcW w:type="dxa" w:w="1728"/>
          </w:tcPr>
          <w:p>
            <w:pPr>
              <w:spacing w:after="20"/>
              <w:jc w:val="right"/>
            </w:pPr>
            <w:r>
              <w:rPr>
                <w:color w:val="1C3A36"/>
                <w:sz w:val="17"/>
              </w:rPr>
              <w:t>13.36%</w:t>
            </w:r>
          </w:p>
        </w:tc>
        <w:tc>
          <w:tcPr>
            <w:tcW w:type="dxa" w:w="2448"/>
          </w:tcPr>
          <w:p>
            <w:pPr>
              <w:spacing w:after="20"/>
              <w:jc w:val="right"/>
            </w:pPr>
            <w:r>
              <w:rPr>
                <w:color w:val="1C3A36"/>
                <w:sz w:val="17"/>
              </w:rPr>
              <w:t>61.80  (+3.2%)</w:t>
            </w:r>
          </w:p>
        </w:tc>
      </w:tr>
      <w:tr>
        <w:tc>
          <w:tcPr>
            <w:tcW w:type="dxa" w:w="3672"/>
          </w:tcPr>
          <w:p>
            <w:pPr>
              <w:spacing w:after="20"/>
            </w:pPr>
            <w:r>
              <w:rPr>
                <w:color w:val="1C3A36"/>
                <w:sz w:val="17"/>
              </w:rPr>
              <w:t>Beta: contemporaneous regression (adopted) vs lead-lag sum-beta</w:t>
            </w:r>
          </w:p>
        </w:tc>
        <w:tc>
          <w:tcPr>
            <w:tcW w:type="dxa" w:w="1512"/>
          </w:tcPr>
          <w:p>
            <w:pPr>
              <w:spacing w:after="20"/>
              <w:jc w:val="right"/>
            </w:pPr>
            <w:r>
              <w:rPr>
                <w:color w:val="1C3A36"/>
                <w:sz w:val="17"/>
              </w:rPr>
              <w:t>0.628</w:t>
            </w:r>
          </w:p>
        </w:tc>
        <w:tc>
          <w:tcPr>
            <w:tcW w:type="dxa" w:w="1728"/>
          </w:tcPr>
          <w:p>
            <w:pPr>
              <w:spacing w:after="20"/>
              <w:jc w:val="right"/>
            </w:pPr>
            <w:r>
              <w:rPr>
                <w:color w:val="1C3A36"/>
                <w:sz w:val="17"/>
              </w:rPr>
              <w:t>0.919</w:t>
            </w:r>
          </w:p>
        </w:tc>
        <w:tc>
          <w:tcPr>
            <w:tcW w:type="dxa" w:w="2448"/>
          </w:tcPr>
          <w:p>
            <w:pPr>
              <w:spacing w:after="20"/>
              <w:jc w:val="right"/>
            </w:pPr>
            <w:r>
              <w:rPr>
                <w:color w:val="1C3A36"/>
                <w:sz w:val="17"/>
              </w:rPr>
              <w:t>53.48  (-10.7%)</w:t>
            </w:r>
          </w:p>
        </w:tc>
      </w:tr>
      <w:tr>
        <w:tc>
          <w:tcPr>
            <w:tcW w:type="dxa" w:w="3672"/>
          </w:tcPr>
          <w:p>
            <w:pPr>
              <w:spacing w:after="20"/>
            </w:pPr>
            <w:r>
              <w:rPr>
                <w:color w:val="1C3A36"/>
                <w:sz w:val="17"/>
              </w:rPr>
              <w:t>Capex: economic maintenance in dollars per tonne (adopted) vs book depreciation</w:t>
            </w:r>
          </w:p>
        </w:tc>
        <w:tc>
          <w:tcPr>
            <w:tcW w:type="dxa" w:w="1512"/>
          </w:tcPr>
          <w:p>
            <w:pPr>
              <w:spacing w:after="20"/>
              <w:jc w:val="right"/>
            </w:pPr>
            <w:r>
              <w:rPr>
                <w:color w:val="1C3A36"/>
                <w:sz w:val="17"/>
              </w:rPr>
              <w:t>USD 4.00/t</w:t>
            </w:r>
          </w:p>
        </w:tc>
        <w:tc>
          <w:tcPr>
            <w:tcW w:type="dxa" w:w="1728"/>
          </w:tcPr>
          <w:p>
            <w:pPr>
              <w:spacing w:after="20"/>
              <w:jc w:val="right"/>
            </w:pPr>
            <w:r>
              <w:rPr>
                <w:color w:val="1C3A36"/>
                <w:sz w:val="17"/>
              </w:rPr>
              <w:t>book depreciation</w:t>
            </w:r>
          </w:p>
        </w:tc>
        <w:tc>
          <w:tcPr>
            <w:tcW w:type="dxa" w:w="2448"/>
          </w:tcPr>
          <w:p>
            <w:pPr>
              <w:spacing w:after="20"/>
              <w:jc w:val="right"/>
            </w:pPr>
            <w:r>
              <w:rPr>
                <w:color w:val="1C3A36"/>
                <w:sz w:val="17"/>
              </w:rPr>
              <w:t>67.29  (+12.3%)</w:t>
            </w:r>
          </w:p>
        </w:tc>
      </w:tr>
    </w:tbl>
    <w:p>
      <w:pPr>
        <w:spacing w:after="40"/>
      </w:pPr>
    </w:p>
    <w:p>
      <w:pPr>
        <w:spacing w:after="200" w:before="0"/>
      </w:pPr>
      <w:r>
        <w:rPr>
          <w:b w:val="0"/>
          <w:i/>
          <w:color w:val="6E7B77"/>
          <w:sz w:val="17"/>
        </w:rPr>
        <w:t>Table 11 — Every contested choice computed as a value rather than argued in prose. None of these alternatives is hidden; each is a full re-run of the model.</w:t>
      </w:r>
    </w:p>
    <w:p>
      <w:pPr>
        <w:spacing w:after="120" w:before="280"/>
      </w:pPr>
      <w:r>
        <w:rPr>
          <w:b/>
          <w:i w:val="0"/>
          <w:color w:val="1C3A36"/>
          <w:sz w:val="30"/>
        </w:rPr>
        <w:t>2  Price structure</w:t>
      </w:r>
    </w:p>
    <w:p>
      <w:pPr>
        <w:spacing w:after="120" w:before="0"/>
      </w:pPr>
      <w:r>
        <w:rPr>
          <w:b w:val="0"/>
          <w:i w:val="0"/>
          <w:color w:val="1C3A36"/>
          <w:sz w:val="21"/>
        </w:rPr>
        <w:t>The price closed 59.00 above a rising 20-day (56.27), a rising 50-day (56.25) and a rising 200-day (51.73). Momentum is firm: RSI(14) is ~65 and the daily ATR near 1.28 (~2.2%) points to a normal tape. MACD (12·26·9) is positive and rising (+0.46 / +0.25 / +0.20). Over the last year it has ranged 35.01–60.40; the last close sits 2% below that high and 69%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2160"/>
        <w:gridCol w:w="2448"/>
      </w:tblGrid>
      <w:tr>
        <w:tc>
          <w:tcPr>
            <w:tcW w:type="dxa" w:w="2880"/>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Level (EGP)</w:t>
            </w:r>
          </w:p>
        </w:tc>
        <w:tc>
          <w:tcPr>
            <w:tcW w:type="dxa" w:w="2448"/>
            <w:shd w:val="clear" w:color="auto" w:fill="EAF0EE"/>
          </w:tcPr>
          <w:p>
            <w:pPr>
              <w:spacing w:after="20"/>
            </w:pPr>
            <w:r>
              <w:rPr>
                <w:b/>
                <w:color w:val="1C3A36"/>
                <w:sz w:val="18"/>
              </w:rPr>
              <w:t>Distance from spot</w:t>
            </w:r>
          </w:p>
        </w:tc>
      </w:tr>
      <w:tr>
        <w:tc>
          <w:tcPr>
            <w:tcW w:type="dxa" w:w="2880"/>
          </w:tcPr>
          <w:p>
            <w:pPr>
              <w:spacing w:after="20"/>
            </w:pPr>
            <w:r>
              <w:rPr>
                <w:color w:val="1C3A36"/>
                <w:sz w:val="18"/>
              </w:rPr>
              <w:t>Resistance 1</w:t>
            </w:r>
          </w:p>
        </w:tc>
        <w:tc>
          <w:tcPr>
            <w:tcW w:type="dxa" w:w="2160"/>
          </w:tcPr>
          <w:p>
            <w:pPr>
              <w:spacing w:after="20"/>
              <w:jc w:val="right"/>
            </w:pPr>
            <w:r>
              <w:rPr>
                <w:color w:val="1C3A36"/>
                <w:sz w:val="18"/>
              </w:rPr>
              <w:t>60.34</w:t>
            </w:r>
          </w:p>
        </w:tc>
        <w:tc>
          <w:tcPr>
            <w:tcW w:type="dxa" w:w="2448"/>
          </w:tcPr>
          <w:p>
            <w:pPr>
              <w:spacing w:after="20"/>
              <w:jc w:val="right"/>
            </w:pPr>
            <w:r>
              <w:rPr>
                <w:color w:val="1C3A36"/>
                <w:sz w:val="18"/>
              </w:rPr>
              <w:t>+2.3%</w:t>
            </w:r>
          </w:p>
        </w:tc>
      </w:tr>
      <w:tr>
        <w:tc>
          <w:tcPr>
            <w:tcW w:type="dxa" w:w="2880"/>
          </w:tcPr>
          <w:p>
            <w:pPr>
              <w:spacing w:after="20"/>
            </w:pPr>
            <w:r>
              <w:rPr>
                <w:color w:val="1C3A36"/>
                <w:sz w:val="18"/>
              </w:rPr>
              <w:t>Resistance 2</w:t>
            </w:r>
          </w:p>
        </w:tc>
        <w:tc>
          <w:tcPr>
            <w:tcW w:type="dxa" w:w="2160"/>
          </w:tcPr>
          <w:p>
            <w:pPr>
              <w:spacing w:after="20"/>
              <w:jc w:val="right"/>
            </w:pPr>
            <w:r>
              <w:rPr>
                <w:color w:val="1C3A36"/>
                <w:sz w:val="18"/>
              </w:rPr>
              <w:t>62.00</w:t>
            </w:r>
          </w:p>
        </w:tc>
        <w:tc>
          <w:tcPr>
            <w:tcW w:type="dxa" w:w="2448"/>
          </w:tcPr>
          <w:p>
            <w:pPr>
              <w:spacing w:after="20"/>
              <w:jc w:val="right"/>
            </w:pPr>
            <w:r>
              <w:rPr>
                <w:color w:val="1C3A36"/>
                <w:sz w:val="18"/>
              </w:rPr>
              <w:t>+5.1%</w:t>
            </w:r>
          </w:p>
        </w:tc>
      </w:tr>
      <w:tr>
        <w:tc>
          <w:tcPr>
            <w:tcW w:type="dxa" w:w="2880"/>
          </w:tcPr>
          <w:p>
            <w:pPr>
              <w:spacing w:after="20"/>
            </w:pPr>
            <w:r>
              <w:rPr>
                <w:color w:val="1C3A36"/>
                <w:sz w:val="18"/>
              </w:rPr>
              <w:t>Resistance 3</w:t>
            </w:r>
          </w:p>
        </w:tc>
        <w:tc>
          <w:tcPr>
            <w:tcW w:type="dxa" w:w="2160"/>
          </w:tcPr>
          <w:p>
            <w:pPr>
              <w:spacing w:after="20"/>
              <w:jc w:val="right"/>
            </w:pPr>
            <w:r>
              <w:rPr>
                <w:color w:val="1C3A36"/>
                <w:sz w:val="18"/>
              </w:rPr>
              <w:t>63.00</w:t>
            </w:r>
          </w:p>
        </w:tc>
        <w:tc>
          <w:tcPr>
            <w:tcW w:type="dxa" w:w="2448"/>
          </w:tcPr>
          <w:p>
            <w:pPr>
              <w:spacing w:after="20"/>
              <w:jc w:val="right"/>
            </w:pPr>
            <w:r>
              <w:rPr>
                <w:color w:val="1C3A36"/>
                <w:sz w:val="18"/>
              </w:rPr>
              <w:t>+6.8%</w:t>
            </w:r>
          </w:p>
        </w:tc>
      </w:tr>
      <w:tr>
        <w:tc>
          <w:tcPr>
            <w:tcW w:type="dxa" w:w="2880"/>
          </w:tcPr>
          <w:p>
            <w:pPr>
              <w:spacing w:after="20"/>
            </w:pPr>
            <w:r>
              <w:rPr>
                <w:color w:val="1C3A36"/>
                <w:sz w:val="18"/>
              </w:rPr>
              <w:t>Support 1</w:t>
            </w:r>
          </w:p>
        </w:tc>
        <w:tc>
          <w:tcPr>
            <w:tcW w:type="dxa" w:w="2160"/>
          </w:tcPr>
          <w:p>
            <w:pPr>
              <w:spacing w:after="20"/>
              <w:jc w:val="right"/>
            </w:pPr>
            <w:r>
              <w:rPr>
                <w:color w:val="1C3A36"/>
                <w:sz w:val="18"/>
              </w:rPr>
              <w:t>54.25</w:t>
            </w:r>
          </w:p>
        </w:tc>
        <w:tc>
          <w:tcPr>
            <w:tcW w:type="dxa" w:w="2448"/>
          </w:tcPr>
          <w:p>
            <w:pPr>
              <w:spacing w:after="20"/>
              <w:jc w:val="right"/>
            </w:pPr>
            <w:r>
              <w:rPr>
                <w:color w:val="1C3A36"/>
                <w:sz w:val="18"/>
              </w:rPr>
              <w:t>-8.1%</w:t>
            </w:r>
          </w:p>
        </w:tc>
      </w:tr>
      <w:tr>
        <w:tc>
          <w:tcPr>
            <w:tcW w:type="dxa" w:w="2880"/>
          </w:tcPr>
          <w:p>
            <w:pPr>
              <w:spacing w:after="20"/>
            </w:pPr>
            <w:r>
              <w:rPr>
                <w:color w:val="1C3A36"/>
                <w:sz w:val="18"/>
              </w:rPr>
              <w:t>Support 2</w:t>
            </w:r>
          </w:p>
        </w:tc>
        <w:tc>
          <w:tcPr>
            <w:tcW w:type="dxa" w:w="2160"/>
          </w:tcPr>
          <w:p>
            <w:pPr>
              <w:spacing w:after="20"/>
              <w:jc w:val="right"/>
            </w:pPr>
            <w:r>
              <w:rPr>
                <w:color w:val="1C3A36"/>
                <w:sz w:val="18"/>
              </w:rPr>
              <w:t>52.99</w:t>
            </w:r>
          </w:p>
        </w:tc>
        <w:tc>
          <w:tcPr>
            <w:tcW w:type="dxa" w:w="2448"/>
          </w:tcPr>
          <w:p>
            <w:pPr>
              <w:spacing w:after="20"/>
              <w:jc w:val="right"/>
            </w:pPr>
            <w:r>
              <w:rPr>
                <w:color w:val="1C3A36"/>
                <w:sz w:val="18"/>
              </w:rPr>
              <w:t>-10.2%</w:t>
            </w:r>
          </w:p>
        </w:tc>
      </w:tr>
      <w:tr>
        <w:tc>
          <w:tcPr>
            <w:tcW w:type="dxa" w:w="2880"/>
          </w:tcPr>
          <w:p>
            <w:pPr>
              <w:spacing w:after="20"/>
            </w:pPr>
            <w:r>
              <w:rPr>
                <w:color w:val="1C3A36"/>
                <w:sz w:val="18"/>
              </w:rPr>
              <w:t>Support 3</w:t>
            </w:r>
          </w:p>
        </w:tc>
        <w:tc>
          <w:tcPr>
            <w:tcW w:type="dxa" w:w="2160"/>
          </w:tcPr>
          <w:p>
            <w:pPr>
              <w:spacing w:after="20"/>
              <w:jc w:val="right"/>
            </w:pPr>
            <w:r>
              <w:rPr>
                <w:color w:val="1C3A36"/>
                <w:sz w:val="18"/>
              </w:rPr>
              <w:t>48.10</w:t>
            </w:r>
          </w:p>
        </w:tc>
        <w:tc>
          <w:tcPr>
            <w:tcW w:type="dxa" w:w="2448"/>
          </w:tcPr>
          <w:p>
            <w:pPr>
              <w:spacing w:after="20"/>
              <w:jc w:val="right"/>
            </w:pPr>
            <w:r>
              <w:rPr>
                <w:color w:val="1C3A36"/>
                <w:sz w:val="18"/>
              </w:rPr>
              <w:t>-18.5%</w:t>
            </w:r>
          </w:p>
        </w:tc>
      </w:tr>
      <w:tr>
        <w:tc>
          <w:tcPr>
            <w:tcW w:type="dxa" w:w="2880"/>
          </w:tcPr>
          <w:p>
            <w:pPr>
              <w:spacing w:after="20"/>
            </w:pPr>
            <w:r>
              <w:rPr>
                <w:color w:val="1C3A36"/>
                <w:sz w:val="18"/>
              </w:rPr>
              <w:t>52-week high</w:t>
            </w:r>
          </w:p>
        </w:tc>
        <w:tc>
          <w:tcPr>
            <w:tcW w:type="dxa" w:w="2160"/>
          </w:tcPr>
          <w:p>
            <w:pPr>
              <w:spacing w:after="20"/>
              <w:jc w:val="right"/>
            </w:pPr>
            <w:r>
              <w:rPr>
                <w:color w:val="1C3A36"/>
                <w:sz w:val="18"/>
              </w:rPr>
              <w:t>60.40</w:t>
            </w:r>
          </w:p>
        </w:tc>
        <w:tc>
          <w:tcPr>
            <w:tcW w:type="dxa" w:w="2448"/>
          </w:tcPr>
          <w:p>
            <w:pPr>
              <w:spacing w:after="20"/>
              <w:jc w:val="right"/>
            </w:pPr>
            <w:r>
              <w:rPr>
                <w:color w:val="1C3A36"/>
                <w:sz w:val="18"/>
              </w:rPr>
              <w:t>+2.4%</w:t>
            </w:r>
          </w:p>
        </w:tc>
      </w:tr>
      <w:tr>
        <w:tc>
          <w:tcPr>
            <w:tcW w:type="dxa" w:w="2880"/>
          </w:tcPr>
          <w:p>
            <w:pPr>
              <w:spacing w:after="20"/>
            </w:pPr>
            <w:r>
              <w:rPr>
                <w:color w:val="1C3A36"/>
                <w:sz w:val="18"/>
              </w:rPr>
              <w:t>52-week low</w:t>
            </w:r>
          </w:p>
        </w:tc>
        <w:tc>
          <w:tcPr>
            <w:tcW w:type="dxa" w:w="2160"/>
          </w:tcPr>
          <w:p>
            <w:pPr>
              <w:spacing w:after="20"/>
              <w:jc w:val="right"/>
            </w:pPr>
            <w:r>
              <w:rPr>
                <w:color w:val="1C3A36"/>
                <w:sz w:val="18"/>
              </w:rPr>
              <w:t>35.01</w:t>
            </w:r>
          </w:p>
        </w:tc>
        <w:tc>
          <w:tcPr>
            <w:tcW w:type="dxa" w:w="2448"/>
          </w:tcPr>
          <w:p>
            <w:pPr>
              <w:spacing w:after="20"/>
              <w:jc w:val="right"/>
            </w:pPr>
            <w:r>
              <w:rPr>
                <w:color w:val="1C3A36"/>
                <w:sz w:val="18"/>
              </w:rPr>
              <w:t>-40.7%</w:t>
            </w:r>
          </w:p>
        </w:tc>
      </w:tr>
    </w:tbl>
    <w:p>
      <w:pPr>
        <w:spacing w:after="40"/>
      </w:pPr>
    </w:p>
    <w:p>
      <w:pPr>
        <w:spacing w:after="200" w:before="0"/>
      </w:pPr>
      <w:r>
        <w:rPr>
          <w:b w:val="0"/>
          <w:i/>
          <w:color w:val="6E7B77"/>
          <w:sz w:val="17"/>
        </w:rPr>
        <w:t>Table 12 — Levels are computed from swing structure with a recency weight; moving averages, the 52-week extremes and round numbers are admitted as candidates but score below real swing points. Resistance 1 and support 1 always mean nearest to the close.</w:t>
      </w:r>
    </w:p>
    <w:p>
      <w:pPr>
        <w:spacing w:after="40"/>
        <w:jc w:val="center"/>
      </w:pPr>
      <w:r>
        <w:drawing>
          <wp:inline xmlns:a="http://schemas.openxmlformats.org/drawingml/2006/main" xmlns:pic="http://schemas.openxmlformats.org/drawingml/2006/picture">
            <wp:extent cx="6309360" cy="257524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4 — Three years of price with the 50- and 200-day averages.</w:t>
      </w:r>
    </w:p>
    <w:p>
      <w:pPr>
        <w:spacing w:after="120" w:before="0"/>
      </w:pPr>
      <w:r>
        <w:rPr>
          <w:b/>
          <w:i w:val="0"/>
          <w:color w:val="1C3A36"/>
          <w:sz w:val="21"/>
        </w:rPr>
        <w:t xml:space="preserve">On the upside: </w:t>
      </w:r>
      <w:r>
        <w:rPr>
          <w:b w:val="0"/>
          <w:i w:val="0"/>
          <w:color w:val="1C3A36"/>
          <w:sz w:val="21"/>
        </w:rPr>
        <w:t>A daily close back above 60.34 would clear the nearest resistance and open the 63.00 zone.</w:t>
      </w:r>
    </w:p>
    <w:p>
      <w:pPr>
        <w:spacing w:after="120" w:before="0"/>
      </w:pPr>
      <w:r>
        <w:rPr>
          <w:b/>
          <w:i w:val="0"/>
          <w:color w:val="1C3A36"/>
          <w:sz w:val="21"/>
        </w:rPr>
        <w:t xml:space="preserve">On the downside: </w:t>
      </w:r>
      <w:r>
        <w:rPr>
          <w:b w:val="0"/>
          <w:i w:val="0"/>
          <w:color w:val="1C3A36"/>
          <w:sz w:val="21"/>
        </w:rPr>
        <w:t>A close below 54.25 would break the nearest support and open the 48.10 zone.</w:t>
      </w:r>
    </w:p>
    <w:p>
      <w:pPr>
        <w:spacing w:after="120" w:before="0"/>
      </w:pPr>
      <w:r>
        <w:rPr>
          <w:b w:val="0"/>
          <w:i w:val="0"/>
          <w:color w:val="1C3A36"/>
          <w:sz w:val="21"/>
        </w:rPr>
        <w:t>This section describes the tape and makes no claim about value. The two are compared in section 4.</w:t>
      </w:r>
    </w:p>
    <w:p>
      <w:pPr>
        <w:spacing w:after="120" w:before="280"/>
      </w:pPr>
      <w:r>
        <w:rPr>
          <w:b/>
          <w:i w:val="0"/>
          <w:color w:val="1C3A36"/>
          <w:sz w:val="30"/>
        </w:rPr>
        <w:t>3  A probabilistic price map</w:t>
      </w:r>
    </w:p>
    <w:p>
      <w:pPr>
        <w:spacing w:after="120" w:before="0"/>
      </w:pPr>
      <w:r>
        <w:rPr>
          <w:b w:val="0"/>
          <w:i w:val="0"/>
          <w:color w:val="1C3A36"/>
          <w:sz w:val="21"/>
        </w:rPr>
        <w:t>The following is NOT a valuation. It is a distribution of where the share price could sit at two horizons, drawn from the price history alone and from nothing in the preceding sections. It is included because a single fair-value number tells a reader nothing about dispersion, and it is labelled illustrative because its own calibration record says it should be.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304"/>
        <w:gridCol w:w="2304"/>
      </w:tblGrid>
      <w:tr>
        <w:tc>
          <w:tcPr>
            <w:tcW w:type="dxa" w:w="4320"/>
            <w:shd w:val="clear" w:color="auto" w:fill="EAF0EE"/>
          </w:tcPr>
          <w:p>
            <w:pPr>
              <w:spacing w:after="20"/>
            </w:pPr>
            <w:r>
              <w:rPr>
                <w:b/>
                <w:color w:val="1C3A36"/>
                <w:sz w:val="18"/>
              </w:rPr>
            </w:r>
          </w:p>
        </w:tc>
        <w:tc>
          <w:tcPr>
            <w:tcW w:type="dxa" w:w="2304"/>
            <w:shd w:val="clear" w:color="auto" w:fill="EAF0EE"/>
          </w:tcPr>
          <w:p>
            <w:pPr>
              <w:spacing w:after="20"/>
            </w:pPr>
            <w:r>
              <w:rPr>
                <w:b/>
                <w:color w:val="1C3A36"/>
                <w:sz w:val="18"/>
              </w:rPr>
              <w:t>One month</w:t>
            </w:r>
          </w:p>
        </w:tc>
        <w:tc>
          <w:tcPr>
            <w:tcW w:type="dxa" w:w="2304"/>
            <w:shd w:val="clear" w:color="auto" w:fill="EAF0EE"/>
          </w:tcPr>
          <w:p>
            <w:pPr>
              <w:spacing w:after="20"/>
            </w:pPr>
            <w:r>
              <w:rPr>
                <w:b/>
                <w:color w:val="1C3A36"/>
                <w:sz w:val="18"/>
              </w:rPr>
              <w:t>Three months</w:t>
            </w:r>
          </w:p>
        </w:tc>
      </w:tr>
      <w:tr>
        <w:tc>
          <w:tcPr>
            <w:tcW w:type="dxa" w:w="4320"/>
          </w:tcPr>
          <w:p>
            <w:pPr>
              <w:spacing w:after="20"/>
            </w:pPr>
            <w:r>
              <w:rPr>
                <w:color w:val="1C3A36"/>
                <w:sz w:val="18"/>
              </w:rPr>
              <w:t>5th percentile</w:t>
            </w:r>
          </w:p>
        </w:tc>
        <w:tc>
          <w:tcPr>
            <w:tcW w:type="dxa" w:w="2304"/>
          </w:tcPr>
          <w:p>
            <w:pPr>
              <w:spacing w:after="20"/>
              <w:jc w:val="right"/>
            </w:pPr>
            <w:r>
              <w:rPr>
                <w:color w:val="1C3A36"/>
                <w:sz w:val="18"/>
              </w:rPr>
              <w:t>50.44</w:t>
            </w:r>
          </w:p>
        </w:tc>
        <w:tc>
          <w:tcPr>
            <w:tcW w:type="dxa" w:w="2304"/>
          </w:tcPr>
          <w:p>
            <w:pPr>
              <w:spacing w:after="20"/>
              <w:jc w:val="right"/>
            </w:pPr>
            <w:r>
              <w:rPr>
                <w:color w:val="1C3A36"/>
                <w:sz w:val="18"/>
              </w:rPr>
              <w:t>43.92</w:t>
            </w:r>
          </w:p>
        </w:tc>
      </w:tr>
      <w:tr>
        <w:tc>
          <w:tcPr>
            <w:tcW w:type="dxa" w:w="4320"/>
          </w:tcPr>
          <w:p>
            <w:pPr>
              <w:spacing w:after="20"/>
            </w:pPr>
            <w:r>
              <w:rPr>
                <w:color w:val="1C3A36"/>
                <w:sz w:val="18"/>
              </w:rPr>
              <w:t>25th percentile</w:t>
            </w:r>
          </w:p>
        </w:tc>
        <w:tc>
          <w:tcPr>
            <w:tcW w:type="dxa" w:w="2304"/>
          </w:tcPr>
          <w:p>
            <w:pPr>
              <w:spacing w:after="20"/>
              <w:jc w:val="right"/>
            </w:pPr>
            <w:r>
              <w:rPr>
                <w:color w:val="1C3A36"/>
                <w:sz w:val="18"/>
              </w:rPr>
              <w:t>55.93</w:t>
            </w:r>
          </w:p>
        </w:tc>
        <w:tc>
          <w:tcPr>
            <w:tcW w:type="dxa" w:w="2304"/>
          </w:tcPr>
          <w:p>
            <w:pPr>
              <w:spacing w:after="20"/>
              <w:jc w:val="right"/>
            </w:pPr>
            <w:r>
              <w:rPr>
                <w:color w:val="1C3A36"/>
                <w:sz w:val="18"/>
              </w:rPr>
              <w:t>53.71</w:t>
            </w:r>
          </w:p>
        </w:tc>
      </w:tr>
      <w:tr>
        <w:tc>
          <w:tcPr>
            <w:tcW w:type="dxa" w:w="4320"/>
            <w:shd w:val="clear" w:color="auto" w:fill="F6F1E6"/>
          </w:tcPr>
          <w:p>
            <w:pPr>
              <w:spacing w:after="20"/>
            </w:pPr>
            <w:r>
              <w:rPr>
                <w:b/>
                <w:color w:val="1C3A36"/>
                <w:sz w:val="18"/>
              </w:rPr>
              <w:t>Median</w:t>
            </w:r>
          </w:p>
        </w:tc>
        <w:tc>
          <w:tcPr>
            <w:tcW w:type="dxa" w:w="2304"/>
            <w:shd w:val="clear" w:color="auto" w:fill="F6F1E6"/>
          </w:tcPr>
          <w:p>
            <w:pPr>
              <w:spacing w:after="20"/>
              <w:jc w:val="right"/>
            </w:pPr>
            <w:r>
              <w:rPr>
                <w:b/>
                <w:color w:val="1C3A36"/>
                <w:sz w:val="18"/>
              </w:rPr>
              <w:t>59.45</w:t>
            </w:r>
          </w:p>
        </w:tc>
        <w:tc>
          <w:tcPr>
            <w:tcW w:type="dxa" w:w="2304"/>
            <w:shd w:val="clear" w:color="auto" w:fill="F6F1E6"/>
          </w:tcPr>
          <w:p>
            <w:pPr>
              <w:spacing w:after="20"/>
              <w:jc w:val="right"/>
            </w:pPr>
            <w:r>
              <w:rPr>
                <w:b/>
                <w:color w:val="1C3A36"/>
                <w:sz w:val="18"/>
              </w:rPr>
              <w:t>60.46</w:t>
            </w:r>
          </w:p>
        </w:tc>
      </w:tr>
      <w:tr>
        <w:tc>
          <w:tcPr>
            <w:tcW w:type="dxa" w:w="4320"/>
          </w:tcPr>
          <w:p>
            <w:pPr>
              <w:spacing w:after="20"/>
            </w:pPr>
            <w:r>
              <w:rPr>
                <w:color w:val="1C3A36"/>
                <w:sz w:val="18"/>
              </w:rPr>
              <w:t>75th percentile</w:t>
            </w:r>
          </w:p>
        </w:tc>
        <w:tc>
          <w:tcPr>
            <w:tcW w:type="dxa" w:w="2304"/>
          </w:tcPr>
          <w:p>
            <w:pPr>
              <w:spacing w:after="20"/>
              <w:jc w:val="right"/>
            </w:pPr>
            <w:r>
              <w:rPr>
                <w:color w:val="1C3A36"/>
                <w:sz w:val="18"/>
              </w:rPr>
              <w:t>63.21</w:t>
            </w:r>
          </w:p>
        </w:tc>
        <w:tc>
          <w:tcPr>
            <w:tcW w:type="dxa" w:w="2304"/>
          </w:tcPr>
          <w:p>
            <w:pPr>
              <w:spacing w:after="20"/>
              <w:jc w:val="right"/>
            </w:pPr>
            <w:r>
              <w:rPr>
                <w:color w:val="1C3A36"/>
                <w:sz w:val="18"/>
              </w:rPr>
              <w:t>67.97</w:t>
            </w:r>
          </w:p>
        </w:tc>
      </w:tr>
      <w:tr>
        <w:tc>
          <w:tcPr>
            <w:tcW w:type="dxa" w:w="4320"/>
          </w:tcPr>
          <w:p>
            <w:pPr>
              <w:spacing w:after="20"/>
            </w:pPr>
            <w:r>
              <w:rPr>
                <w:color w:val="1C3A36"/>
                <w:sz w:val="18"/>
              </w:rPr>
              <w:t>95th percentile</w:t>
            </w:r>
          </w:p>
        </w:tc>
        <w:tc>
          <w:tcPr>
            <w:tcW w:type="dxa" w:w="2304"/>
          </w:tcPr>
          <w:p>
            <w:pPr>
              <w:spacing w:after="20"/>
              <w:jc w:val="right"/>
            </w:pPr>
            <w:r>
              <w:rPr>
                <w:color w:val="1C3A36"/>
                <w:sz w:val="18"/>
              </w:rPr>
              <w:t>70.09</w:t>
            </w:r>
          </w:p>
        </w:tc>
        <w:tc>
          <w:tcPr>
            <w:tcW w:type="dxa" w:w="2304"/>
          </w:tcPr>
          <w:p>
            <w:pPr>
              <w:spacing w:after="20"/>
              <w:jc w:val="right"/>
            </w:pPr>
            <w:r>
              <w:rPr>
                <w:color w:val="1C3A36"/>
                <w:sz w:val="18"/>
              </w:rPr>
              <w:t>83.17</w:t>
            </w:r>
          </w:p>
        </w:tc>
      </w:tr>
      <w:tr>
        <w:tc>
          <w:tcPr>
            <w:tcW w:type="dxa" w:w="4320"/>
          </w:tcPr>
          <w:p>
            <w:pPr>
              <w:spacing w:after="20"/>
            </w:pPr>
            <w:r>
              <w:rPr>
                <w:color w:val="1C3A36"/>
                <w:sz w:val="18"/>
              </w:rPr>
              <w:t>Probability of finishing above the current price</w:t>
            </w:r>
          </w:p>
        </w:tc>
        <w:tc>
          <w:tcPr>
            <w:tcW w:type="dxa" w:w="2304"/>
          </w:tcPr>
          <w:p>
            <w:pPr>
              <w:spacing w:after="20"/>
              <w:jc w:val="right"/>
            </w:pPr>
            <w:r>
              <w:rPr>
                <w:color w:val="1C3A36"/>
                <w:sz w:val="18"/>
              </w:rPr>
              <w:t>53.4%</w:t>
            </w:r>
          </w:p>
        </w:tc>
        <w:tc>
          <w:tcPr>
            <w:tcW w:type="dxa" w:w="2304"/>
          </w:tcPr>
          <w:p>
            <w:pPr>
              <w:spacing w:after="20"/>
              <w:jc w:val="right"/>
            </w:pPr>
            <w:r>
              <w:rPr>
                <w:color w:val="1C3A36"/>
                <w:sz w:val="18"/>
              </w:rPr>
              <w:t>55.6%</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27.8%</w:t>
            </w:r>
          </w:p>
        </w:tc>
        <w:tc>
          <w:tcPr>
            <w:tcW w:type="dxa" w:w="2304"/>
          </w:tcPr>
          <w:p>
            <w:pPr>
              <w:spacing w:after="20"/>
              <w:jc w:val="right"/>
            </w:pPr>
            <w:r>
              <w:rPr>
                <w:color w:val="1C3A36"/>
                <w:sz w:val="18"/>
              </w:rPr>
              <w:t>58.0%</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19.8%</w:t>
            </w:r>
          </w:p>
        </w:tc>
        <w:tc>
          <w:tcPr>
            <w:tcW w:type="dxa" w:w="2304"/>
          </w:tcPr>
          <w:p>
            <w:pPr>
              <w:spacing w:after="20"/>
              <w:jc w:val="right"/>
            </w:pPr>
            <w:r>
              <w:rPr>
                <w:color w:val="1C3A36"/>
                <w:sz w:val="18"/>
              </w:rPr>
              <w:t>45.5%</w:t>
            </w:r>
          </w:p>
        </w:tc>
      </w:tr>
    </w:tbl>
    <w:p>
      <w:pPr>
        <w:spacing w:after="40"/>
      </w:pPr>
    </w:p>
    <w:p>
      <w:pPr>
        <w:spacing w:after="200" w:before="0"/>
      </w:pPr>
      <w:r>
        <w:rPr>
          <w:b w:val="0"/>
          <w:i/>
          <w:color w:val="6E7B77"/>
          <w:sz w:val="17"/>
        </w:rPr>
        <w:t>Table 13 — Percentiles in EGP per share, from a 50,000-path simulation anchored on the 6 August 2026 close of EGP 59.00. The drift is the carry — the risk-free rate less the dividend yield — and nothing else.</w:t>
      </w:r>
    </w:p>
    <w:p>
      <w:pPr>
        <w:spacing w:after="40"/>
        <w:jc w:val="center"/>
      </w:pPr>
      <w:r>
        <w:drawing>
          <wp:inline xmlns:a="http://schemas.openxmlformats.org/drawingml/2006/main" xmlns:pic="http://schemas.openxmlformats.org/drawingml/2006/picture">
            <wp:extent cx="6309360" cy="2704011"/>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5 — The three-month cone.</w:t>
      </w:r>
    </w:p>
    <w:p>
      <w:pPr>
        <w:spacing w:after="40"/>
        <w:jc w:val="center"/>
      </w:pPr>
      <w:r>
        <w:drawing>
          <wp:inline xmlns:a="http://schemas.openxmlformats.org/drawingml/2006/main" xmlns:pic="http://schemas.openxmlformats.org/drawingml/2006/picture">
            <wp:extent cx="5852160" cy="2381693"/>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6 — The three-month outcome distribution.</w:t>
      </w:r>
    </w:p>
    <w:p>
      <w:pPr>
        <w:spacing w:after="120" w:before="0"/>
      </w:pPr>
      <w:r>
        <w:rPr>
          <w:b w:val="0"/>
          <w:i w:val="0"/>
          <w:color w:val="1C3A36"/>
          <w:sz w:val="21"/>
        </w:rPr>
        <w:t>How well calibrated is it? Measured over 16 independent quarterly windows, the bands cover 56%, 100% and 100% of outcomes against nominal 50%, 80% and 90%. The map is therefore TOO WIDE rather than mis-centred: it is not missing the outcome, it is covering more ground than it claims to. Its skill against a simple random walk is -1.8% — statistically indistinguishable from zero at every block size tested. No valuation conclusion in this study rests on it.</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037"/>
        <w:gridCol w:w="1469"/>
      </w:tblGrid>
      <w:tr>
        <w:tc>
          <w:tcPr>
            <w:tcW w:type="dxa" w:w="2880"/>
            <w:shd w:val="clear" w:color="auto" w:fill="EAF0EE"/>
          </w:tcPr>
          <w:p>
            <w:pPr>
              <w:spacing w:after="20"/>
            </w:pPr>
            <w:r>
              <w:rPr>
                <w:b/>
                <w:color w:val="1C3A36"/>
                <w:sz w:val="18"/>
              </w:rPr>
              <w:t>Lens</w:t>
            </w:r>
          </w:p>
        </w:tc>
        <w:tc>
          <w:tcPr>
            <w:tcW w:type="dxa" w:w="1440"/>
            <w:shd w:val="clear" w:color="auto" w:fill="EAF0EE"/>
          </w:tcPr>
          <w:p>
            <w:pPr>
              <w:spacing w:after="20"/>
            </w:pPr>
            <w:r>
              <w:rPr>
                <w:b/>
                <w:color w:val="1C3A36"/>
                <w:sz w:val="18"/>
              </w:rPr>
              <w:t>Bear (EGP)</w:t>
            </w:r>
          </w:p>
        </w:tc>
        <w:tc>
          <w:tcPr>
            <w:tcW w:type="dxa" w:w="1440"/>
            <w:shd w:val="clear" w:color="auto" w:fill="EAF0EE"/>
          </w:tcPr>
          <w:p>
            <w:pPr>
              <w:spacing w:after="20"/>
            </w:pPr>
            <w:r>
              <w:rPr>
                <w:b/>
                <w:color w:val="1C3A36"/>
                <w:sz w:val="18"/>
              </w:rPr>
              <w:t>Base (EGP)</w:t>
            </w:r>
          </w:p>
        </w:tc>
        <w:tc>
          <w:tcPr>
            <w:tcW w:type="dxa" w:w="1440"/>
            <w:shd w:val="clear" w:color="auto" w:fill="EAF0EE"/>
          </w:tcPr>
          <w:p>
            <w:pPr>
              <w:spacing w:after="20"/>
            </w:pPr>
            <w:r>
              <w:rPr>
                <w:b/>
                <w:color w:val="1C3A36"/>
                <w:sz w:val="18"/>
              </w:rPr>
              <w:t>Bull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r>
      <w:tr>
        <w:tc>
          <w:tcPr>
            <w:tcW w:type="dxa" w:w="2880"/>
          </w:tcPr>
          <w:p>
            <w:pPr>
              <w:spacing w:after="20"/>
            </w:pPr>
            <w:r>
              <w:rPr>
                <w:color w:val="1C3A36"/>
                <w:sz w:val="18"/>
              </w:rPr>
              <w:t>DCF (cash flow)</w:t>
            </w:r>
          </w:p>
        </w:tc>
        <w:tc>
          <w:tcPr>
            <w:tcW w:type="dxa" w:w="1440"/>
          </w:tcPr>
          <w:p>
            <w:pPr>
              <w:spacing w:after="20"/>
              <w:jc w:val="right"/>
            </w:pPr>
            <w:r>
              <w:rPr>
                <w:color w:val="1C3A36"/>
                <w:sz w:val="18"/>
              </w:rPr>
              <w:t>55.06</w:t>
            </w:r>
          </w:p>
        </w:tc>
        <w:tc>
          <w:tcPr>
            <w:tcW w:type="dxa" w:w="1440"/>
          </w:tcPr>
          <w:p>
            <w:pPr>
              <w:spacing w:after="20"/>
              <w:jc w:val="right"/>
            </w:pPr>
            <w:r>
              <w:rPr>
                <w:color w:val="1C3A36"/>
                <w:sz w:val="18"/>
              </w:rPr>
              <w:t>59.90</w:t>
            </w:r>
          </w:p>
        </w:tc>
        <w:tc>
          <w:tcPr>
            <w:tcW w:type="dxa" w:w="1440"/>
          </w:tcPr>
          <w:p>
            <w:pPr>
              <w:spacing w:after="20"/>
              <w:jc w:val="right"/>
            </w:pPr>
            <w:r>
              <w:rPr>
                <w:color w:val="1C3A36"/>
                <w:sz w:val="18"/>
              </w:rPr>
              <w:t>69.02</w:t>
            </w:r>
          </w:p>
        </w:tc>
        <w:tc>
          <w:tcPr>
            <w:tcW w:type="dxa" w:w="1037"/>
          </w:tcPr>
          <w:p>
            <w:pPr>
              <w:spacing w:after="20"/>
              <w:jc w:val="right"/>
            </w:pPr>
            <w:r>
              <w:rPr>
                <w:color w:val="1C3A36"/>
                <w:sz w:val="18"/>
              </w:rPr>
              <w:t>50%</w:t>
            </w:r>
          </w:p>
        </w:tc>
        <w:tc>
          <w:tcPr>
            <w:tcW w:type="dxa" w:w="1469"/>
          </w:tcPr>
          <w:p>
            <w:pPr>
              <w:spacing w:after="20"/>
              <w:jc w:val="right"/>
            </w:pPr>
            <w:r>
              <w:rPr>
                <w:color w:val="1C3A36"/>
                <w:sz w:val="18"/>
              </w:rPr>
              <w:t>+1.5%</w:t>
            </w:r>
          </w:p>
        </w:tc>
      </w:tr>
      <w:tr>
        <w:tc>
          <w:tcPr>
            <w:tcW w:type="dxa" w:w="2880"/>
          </w:tcPr>
          <w:p>
            <w:pPr>
              <w:spacing w:after="20"/>
            </w:pPr>
            <w:r>
              <w:rPr>
                <w:color w:val="1C3A36"/>
                <w:sz w:val="18"/>
              </w:rPr>
              <w:t>Relative multiples</w:t>
            </w:r>
          </w:p>
        </w:tc>
        <w:tc>
          <w:tcPr>
            <w:tcW w:type="dxa" w:w="1440"/>
          </w:tcPr>
          <w:p>
            <w:pPr>
              <w:spacing w:after="20"/>
              <w:jc w:val="right"/>
            </w:pPr>
            <w:r>
              <w:rPr>
                <w:color w:val="1C3A36"/>
                <w:sz w:val="18"/>
              </w:rPr>
              <w:t>44.24</w:t>
            </w:r>
          </w:p>
        </w:tc>
        <w:tc>
          <w:tcPr>
            <w:tcW w:type="dxa" w:w="1440"/>
          </w:tcPr>
          <w:p>
            <w:pPr>
              <w:spacing w:after="20"/>
              <w:jc w:val="right"/>
            </w:pPr>
            <w:r>
              <w:rPr>
                <w:color w:val="1C3A36"/>
                <w:sz w:val="18"/>
              </w:rPr>
              <w:t>49.15</w:t>
            </w:r>
          </w:p>
        </w:tc>
        <w:tc>
          <w:tcPr>
            <w:tcW w:type="dxa" w:w="1440"/>
          </w:tcPr>
          <w:p>
            <w:pPr>
              <w:spacing w:after="20"/>
              <w:jc w:val="right"/>
            </w:pPr>
            <w:r>
              <w:rPr>
                <w:color w:val="1C3A36"/>
                <w:sz w:val="18"/>
              </w:rPr>
              <w:t>54.07</w:t>
            </w:r>
          </w:p>
        </w:tc>
        <w:tc>
          <w:tcPr>
            <w:tcW w:type="dxa" w:w="1037"/>
          </w:tcPr>
          <w:p>
            <w:pPr>
              <w:spacing w:after="20"/>
              <w:jc w:val="right"/>
            </w:pPr>
            <w:r>
              <w:rPr>
                <w:color w:val="1C3A36"/>
                <w:sz w:val="18"/>
              </w:rPr>
              <w:t>20%</w:t>
            </w:r>
          </w:p>
        </w:tc>
        <w:tc>
          <w:tcPr>
            <w:tcW w:type="dxa" w:w="1469"/>
          </w:tcPr>
          <w:p>
            <w:pPr>
              <w:spacing w:after="20"/>
              <w:jc w:val="right"/>
            </w:pPr>
            <w:r>
              <w:rPr>
                <w:color w:val="1C3A36"/>
                <w:sz w:val="18"/>
              </w:rPr>
              <w:t>-16.7%</w:t>
            </w:r>
          </w:p>
        </w:tc>
      </w:tr>
      <w:tr>
        <w:tc>
          <w:tcPr>
            <w:tcW w:type="dxa" w:w="2880"/>
          </w:tcPr>
          <w:p>
            <w:pPr>
              <w:spacing w:after="20"/>
            </w:pPr>
            <w:r>
              <w:rPr>
                <w:color w:val="1C3A36"/>
                <w:sz w:val="18"/>
              </w:rPr>
              <w:t>Normalised earnings</w:t>
            </w:r>
          </w:p>
        </w:tc>
        <w:tc>
          <w:tcPr>
            <w:tcW w:type="dxa" w:w="1440"/>
          </w:tcPr>
          <w:p>
            <w:pPr>
              <w:spacing w:after="20"/>
              <w:jc w:val="right"/>
            </w:pPr>
            <w:r>
              <w:rPr>
                <w:color w:val="1C3A36"/>
                <w:sz w:val="18"/>
              </w:rPr>
              <w:t>47.83</w:t>
            </w:r>
          </w:p>
        </w:tc>
        <w:tc>
          <w:tcPr>
            <w:tcW w:type="dxa" w:w="1440"/>
          </w:tcPr>
          <w:p>
            <w:pPr>
              <w:spacing w:after="20"/>
              <w:jc w:val="right"/>
            </w:pPr>
            <w:r>
              <w:rPr>
                <w:color w:val="1C3A36"/>
                <w:sz w:val="18"/>
              </w:rPr>
              <w:t>53.14</w:t>
            </w:r>
          </w:p>
        </w:tc>
        <w:tc>
          <w:tcPr>
            <w:tcW w:type="dxa" w:w="1440"/>
          </w:tcPr>
          <w:p>
            <w:pPr>
              <w:spacing w:after="20"/>
              <w:jc w:val="right"/>
            </w:pPr>
            <w:r>
              <w:rPr>
                <w:color w:val="1C3A36"/>
                <w:sz w:val="18"/>
              </w:rPr>
              <w:t>58.45</w:t>
            </w:r>
          </w:p>
        </w:tc>
        <w:tc>
          <w:tcPr>
            <w:tcW w:type="dxa" w:w="1037"/>
          </w:tcPr>
          <w:p>
            <w:pPr>
              <w:spacing w:after="20"/>
              <w:jc w:val="right"/>
            </w:pPr>
            <w:r>
              <w:rPr>
                <w:color w:val="1C3A36"/>
                <w:sz w:val="18"/>
              </w:rPr>
              <w:t>22%</w:t>
            </w:r>
          </w:p>
        </w:tc>
        <w:tc>
          <w:tcPr>
            <w:tcW w:type="dxa" w:w="1469"/>
          </w:tcPr>
          <w:p>
            <w:pPr>
              <w:spacing w:after="20"/>
              <w:jc w:val="right"/>
            </w:pPr>
            <w:r>
              <w:rPr>
                <w:color w:val="1C3A36"/>
                <w:sz w:val="18"/>
              </w:rPr>
              <w:t>-9.9%</w:t>
            </w:r>
          </w:p>
        </w:tc>
      </w:tr>
      <w:tr>
        <w:tc>
          <w:tcPr>
            <w:tcW w:type="dxa" w:w="2880"/>
          </w:tcPr>
          <w:p>
            <w:pPr>
              <w:spacing w:after="20"/>
            </w:pPr>
            <w:r>
              <w:rPr>
                <w:color w:val="1C3A36"/>
                <w:sz w:val="18"/>
              </w:rPr>
              <w:t>Asset / replacement cost</w:t>
            </w:r>
          </w:p>
        </w:tc>
        <w:tc>
          <w:tcPr>
            <w:tcW w:type="dxa" w:w="1440"/>
          </w:tcPr>
          <w:p>
            <w:pPr>
              <w:spacing w:after="20"/>
              <w:jc w:val="right"/>
            </w:pPr>
            <w:r>
              <w:rPr>
                <w:color w:val="1C3A36"/>
                <w:sz w:val="18"/>
              </w:rPr>
              <w:t>62.16</w:t>
            </w:r>
          </w:p>
        </w:tc>
        <w:tc>
          <w:tcPr>
            <w:tcW w:type="dxa" w:w="1440"/>
          </w:tcPr>
          <w:p>
            <w:pPr>
              <w:spacing w:after="20"/>
              <w:jc w:val="right"/>
            </w:pPr>
            <w:r>
              <w:rPr>
                <w:color w:val="1C3A36"/>
                <w:sz w:val="18"/>
              </w:rPr>
              <w:t>69.07</w:t>
            </w:r>
          </w:p>
        </w:tc>
        <w:tc>
          <w:tcPr>
            <w:tcW w:type="dxa" w:w="1440"/>
          </w:tcPr>
          <w:p>
            <w:pPr>
              <w:spacing w:after="20"/>
              <w:jc w:val="right"/>
            </w:pPr>
            <w:r>
              <w:rPr>
                <w:color w:val="1C3A36"/>
                <w:sz w:val="18"/>
              </w:rPr>
              <w:t>75.97</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+17.1%</w:t>
            </w:r>
          </w:p>
        </w:tc>
      </w:tr>
      <w:tr>
        <w:tc>
          <w:tcPr>
            <w:tcW w:type="dxa" w:w="2880"/>
            <w:shd w:val="clear" w:color="auto" w:fill="F6F1E6"/>
          </w:tcPr>
          <w:p>
            <w:pPr>
              <w:spacing w:after="20"/>
            </w:pPr>
            <w:r>
              <w:rPr>
                <w:b/>
                <w:color w:val="1C3A36"/>
                <w:sz w:val="18"/>
              </w:rPr>
              <w:t>Weighted central</w:t>
            </w:r>
          </w:p>
        </w:tc>
        <w:tc>
          <w:tcPr>
            <w:tcW w:type="dxa" w:w="1440"/>
            <w:shd w:val="clear" w:color="auto" w:fill="F6F1E6"/>
          </w:tcPr>
          <w:p>
            <w:pPr>
              <w:spacing w:after="20"/>
              <w:jc w:val="right"/>
            </w:pPr>
            <w:r>
              <w:rPr>
                <w:b/>
                <w:color w:val="1C3A36"/>
                <w:sz w:val="18"/>
              </w:rPr>
              <w:t>51.87</w:t>
            </w:r>
          </w:p>
        </w:tc>
        <w:tc>
          <w:tcPr>
            <w:tcW w:type="dxa" w:w="1440"/>
            <w:shd w:val="clear" w:color="auto" w:fill="F6F1E6"/>
          </w:tcPr>
          <w:p>
            <w:pPr>
              <w:spacing w:after="20"/>
              <w:jc w:val="right"/>
            </w:pPr>
            <w:r>
              <w:rPr>
                <w:b/>
                <w:color w:val="1C3A36"/>
                <w:sz w:val="18"/>
              </w:rPr>
              <w:t>57.00</w:t>
            </w:r>
          </w:p>
        </w:tc>
        <w:tc>
          <w:tcPr>
            <w:tcW w:type="dxa" w:w="1440"/>
            <w:shd w:val="clear" w:color="auto" w:fill="F6F1E6"/>
          </w:tcPr>
          <w:p>
            <w:pPr>
              <w:spacing w:after="20"/>
              <w:jc w:val="right"/>
            </w:pPr>
            <w:r>
              <w:rPr>
                <w:b/>
                <w:color w:val="1C3A36"/>
                <w:sz w:val="18"/>
              </w:rPr>
              <w:t>64.26</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-3.4%</w:t>
            </w:r>
          </w:p>
        </w:tc>
      </w:tr>
    </w:tbl>
    <w:p>
      <w:pPr>
        <w:spacing w:after="40"/>
      </w:pPr>
    </w:p>
    <w:p>
      <w:pPr>
        <w:spacing w:after="200" w:before="0"/>
      </w:pPr>
      <w:r>
        <w:rPr>
          <w:b w:val="0"/>
          <w:i/>
          <w:color w:val="6E7B77"/>
          <w:sz w:val="17"/>
        </w:rPr>
        <w:t>Table 14 — Each lens as a range. The disagreement between them is information, not noise.</w:t>
      </w:r>
    </w:p>
    <w:p>
      <w:pPr>
        <w:spacing w:after="120" w:before="0"/>
      </w:pPr>
      <w:r>
        <w:rPr>
          <w:b w:val="0"/>
          <w:i w:val="0"/>
          <w:color w:val="1C3A36"/>
          <w:sz w:val="21"/>
        </w:rPr>
        <w:t>The four lenses do not agree, and the pattern of their disagreement is the most useful thing in this study. Two of them sit ABOVE the market price — Asset / replacement cost and DCF (cash flow), at EGP 69.07 and EGP 59.90 — and two sit below: Relative multiples and Normalised earnings, at EGP 49.15 and EGP 53.14. The split is not assets against earnings. It runs between what the plant can be expected to EARN or COST from here, which both land above the market, and what the market is currently willing to PAY for a pound of Egyptian cement earnings, which is what the two multiple-based lenses measure and which lands below. A cement peer group trading at 6.2 times earnings in a country whose policy rate has a two in front of it is not obviously mispricing anything; it is discounting the same restart programme this study discounts, only harder and sooner.</w:t>
      </w:r>
    </w:p>
    <w:p>
      <w:pPr>
        <w:spacing w:after="120" w:before="0"/>
      </w:pPr>
      <w:r>
        <w:rPr>
          <w:b w:val="0"/>
          <w:i w:val="0"/>
          <w:color w:val="1C3A36"/>
          <w:sz w:val="21"/>
        </w:rPr>
        <w:t>The weighting resolves that in favour of earnings, at 50%/20%/22%/8%, and gives a central EGP 57.00 against EGP 59.00 — -3.4%. A reader who believes replacement cost is a floor rather than a ceiling would weight the asset lens far more and reach the opposite conclusion. The case against doing so is the 12.6Mt restart programme, and it is a testable one.</w:t>
      </w:r>
    </w:p>
    <w:p>
      <w:pPr>
        <w:spacing w:after="120" w:before="0"/>
      </w:pPr>
      <w:r>
        <w:rPr>
          <w:b w:val="0"/>
          <w:i w:val="0"/>
          <w:color w:val="1C3A36"/>
          <w:sz w:val="21"/>
        </w:rPr>
        <w:t>Against the technical picture, the two readings are in tension. The share is above its entire moving-average stack on a rising 200-day and 98% of of its 52-week intraday high — 98% OF that high, and 94% of the way UP the range, which are different statistics and the earlier edition ran them together — while the two multiple-based lenses put fair value below the current price and the two forward-looking ones put it above. Momentum sits with the cash-flow case here rather than against it, and the disagreement that remains is between that case and the multiple the market is prepared to pay. This study takes no view on which resolves first.</w:t>
      </w:r>
    </w:p>
    <w:p>
      <w:pPr>
        <w:spacing w:after="120" w:before="280"/>
      </w:pPr>
      <w:r>
        <w:rPr>
          <w:b/>
          <w:i w:val="0"/>
          <w:color w:val="1C3A36"/>
          <w:sz w:val="30"/>
        </w:rPr>
        <w:t>5  Catalysts to watch</w:t>
      </w:r>
    </w:p>
    <w:p>
      <w:pPr>
        <w:pStyle w:val="ListBullet"/>
        <w:spacing w:after="60"/>
      </w:pPr>
      <w:r>
        <w:rPr>
          <w:b/>
          <w:color w:val="1C3A36"/>
          <w:sz w:val="21"/>
        </w:rPr>
        <w:t xml:space="preserve">The restart programme. </w:t>
      </w:r>
      <w:r>
        <w:rPr>
          <w:color w:val="1C3A36"/>
          <w:sz w:val="21"/>
        </w:rPr>
        <w:t>Seven to nine dormant Egyptian lines are under study for revival, potentially adding 12.6Mt from the second half of 2026 — about 23% of domestic consumption. Whether those lines actually restart, and how fast, is the single largest swing factor in the price path this model assumes.</w:t>
      </w:r>
    </w:p>
    <w:p>
      <w:pPr>
        <w:pStyle w:val="ListBullet"/>
        <w:spacing w:after="60"/>
      </w:pPr>
      <w:r>
        <w:rPr>
          <w:b/>
          <w:color w:val="1C3A36"/>
          <w:sz w:val="21"/>
        </w:rPr>
        <w:t xml:space="preserve">The realised price, quarter by quarter. </w:t>
      </w:r>
      <w:r>
        <w:rPr>
          <w:color w:val="1C3A36"/>
          <w:sz w:val="21"/>
        </w:rPr>
        <w:t>The model assumes a domestic price of EGP 3,150 a tonne in FY2026 and growth below cost inflation thereafter. Two consecutive quarters of realised prices above EGP 4,200 would break that assumption upward; a return toward EGP 3,000 would break it down.</w:t>
      </w:r>
    </w:p>
    <w:p>
      <w:pPr>
        <w:pStyle w:val="ListBullet"/>
        <w:spacing w:after="60"/>
      </w:pPr>
      <w:r>
        <w:rPr>
          <w:b/>
          <w:color w:val="1C3A36"/>
          <w:sz w:val="21"/>
        </w:rPr>
        <w:t xml:space="preserve">The alternative-fuel programme. </w:t>
      </w:r>
      <w:r>
        <w:rPr>
          <w:color w:val="1C3A36"/>
          <w:sz w:val="21"/>
        </w:rPr>
        <w:t>The substitution rate is assumed to rise from a cumulative 5.5% saving on the materials and fuel line by FY2030, against a EUR 25mn facility already drawn and EGP 240mn of capacity already under construction. Progress on it is reported in the company's own sustainability disclosure and is directly visible in the fuel cost per tonne. A stall would cost roughly the difference between the blended and fossil-only fuel bills.</w:t>
      </w:r>
    </w:p>
    <w:p>
      <w:pPr>
        <w:pStyle w:val="ListBullet"/>
        <w:spacing w:after="60"/>
      </w:pPr>
      <w:r>
        <w:rPr>
          <w:b/>
          <w:color w:val="1C3A36"/>
          <w:sz w:val="21"/>
        </w:rPr>
        <w:t xml:space="preserve">Energy tariffs. </w:t>
      </w:r>
      <w:r>
        <w:rPr>
          <w:color w:val="1C3A36"/>
          <w:sz w:val="21"/>
        </w:rPr>
        <w:t>Phased subsidy reform continues to raise the domestic industrial energy bill independently of the global fuel price. The model inflates the pound cost lines by 11.5% in FY2026, easing to 7.0% by FY2030; a faster reform schedule would compress the margin faster than assumed.</w:t>
      </w:r>
    </w:p>
    <w:p>
      <w:pPr>
        <w:pStyle w:val="ListBullet"/>
        <w:spacing w:after="60"/>
      </w:pPr>
      <w:r>
        <w:rPr>
          <w:b/>
          <w:color w:val="1C3A36"/>
          <w:sz w:val="21"/>
        </w:rPr>
        <w:t xml:space="preserve">The export cap and the carbon border mechanism. </w:t>
      </w:r>
      <w:r>
        <w:rPr>
          <w:color w:val="1C3A36"/>
          <w:sz w:val="21"/>
        </w:rPr>
        <w:t>Exports are capped at 30% of production, and the EU carbon border mechanism raises the landed cost of Egyptian cement in Europe. A low-clinker, high-alternative-fuel producer suffers less from the second than a conventional peer, and the export price path assumes exactly that.</w:t>
      </w:r>
    </w:p>
    <w:p>
      <w:pPr>
        <w:pStyle w:val="ListBullet"/>
        <w:spacing w:after="60"/>
      </w:pPr>
      <w:r>
        <w:rPr>
          <w:b/>
          <w:color w:val="1C3A36"/>
          <w:sz w:val="21"/>
        </w:rPr>
        <w:t xml:space="preserve">Distribution policy. </w:t>
      </w:r>
      <w:r>
        <w:rPr>
          <w:color w:val="1C3A36"/>
          <w:sz w:val="21"/>
        </w:rPr>
        <w:t>The company declared EGP 2,002mn for FY2025, about 56% of attributable profit, on top of EGP 1,102mn for FY2024. A change in that policy changes the cash roll-forward and, through it, the balance sheet the bridge relies on.</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easier to use as zones than as percentiles. The following divides the three-month outcome space into four bands and states what each would mean, without predicting which occurs.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2232"/>
        <w:gridCol w:w="1296"/>
        <w:gridCol w:w="3672"/>
      </w:tblGrid>
      <w:tr>
        <w:tc>
          <w:tcPr>
            <w:tcW w:type="dxa" w:w="1584"/>
            <w:shd w:val="clear" w:color="auto" w:fill="EAF0EE"/>
          </w:tcPr>
          <w:p>
            <w:pPr>
              <w:spacing w:after="20"/>
            </w:pPr>
            <w:r>
              <w:rPr>
                <w:b/>
                <w:color w:val="1C3A36"/>
                <w:sz w:val="17"/>
              </w:rPr>
              <w:t>Zone</w:t>
            </w:r>
          </w:p>
        </w:tc>
        <w:tc>
          <w:tcPr>
            <w:tcW w:type="dxa" w:w="2232"/>
            <w:shd w:val="clear" w:color="auto" w:fill="EAF0EE"/>
          </w:tcPr>
          <w:p>
            <w:pPr>
              <w:spacing w:after="20"/>
            </w:pPr>
            <w:r>
              <w:rPr>
                <w:b/>
                <w:color w:val="1C3A36"/>
                <w:sz w:val="17"/>
              </w:rPr>
              <w:t>Three-month range (EGP)</w:t>
            </w:r>
          </w:p>
        </w:tc>
        <w:tc>
          <w:tcPr>
            <w:tcW w:type="dxa" w:w="1296"/>
            <w:shd w:val="clear" w:color="auto" w:fill="EAF0EE"/>
          </w:tcPr>
          <w:p>
            <w:pPr>
              <w:spacing w:after="20"/>
            </w:pPr>
            <w:r>
              <w:rPr>
                <w:b/>
                <w:color w:val="1C3A36"/>
                <w:sz w:val="17"/>
              </w:rPr>
              <w:t>Probability</w:t>
            </w:r>
          </w:p>
        </w:tc>
        <w:tc>
          <w:tcPr>
            <w:tcW w:type="dxa" w:w="3672"/>
            <w:shd w:val="clear" w:color="auto" w:fill="EAF0EE"/>
          </w:tcPr>
          <w:p>
            <w:pPr>
              <w:spacing w:after="20"/>
            </w:pPr>
            <w:r>
              <w:rPr>
                <w:b/>
                <w:color w:val="1C3A36"/>
                <w:sz w:val="17"/>
              </w:rPr>
              <w:t>What it would mean</w:t>
            </w:r>
          </w:p>
        </w:tc>
      </w:tr>
      <w:tr>
        <w:tc>
          <w:tcPr>
            <w:tcW w:type="dxa" w:w="1584"/>
          </w:tcPr>
          <w:p>
            <w:pPr>
              <w:spacing w:after="20"/>
            </w:pPr>
            <w:r>
              <w:rPr>
                <w:color w:val="1C3A36"/>
                <w:sz w:val="17"/>
              </w:rPr>
              <w:t>Lower tail</w:t>
            </w:r>
          </w:p>
        </w:tc>
        <w:tc>
          <w:tcPr>
            <w:tcW w:type="dxa" w:w="2232"/>
          </w:tcPr>
          <w:p>
            <w:pPr>
              <w:spacing w:after="20"/>
              <w:jc w:val="right"/>
            </w:pPr>
            <w:r>
              <w:rPr>
                <w:color w:val="1C3A36"/>
                <w:sz w:val="17"/>
              </w:rPr>
              <w:t>below 43.92</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break of the 48.10 support zone, most plausibly on a faster-than-assumed capacity restart</w:t>
            </w:r>
          </w:p>
        </w:tc>
      </w:tr>
      <w:tr>
        <w:tc>
          <w:tcPr>
            <w:tcW w:type="dxa" w:w="1584"/>
          </w:tcPr>
          <w:p>
            <w:pPr>
              <w:spacing w:after="20"/>
            </w:pPr>
            <w:r>
              <w:rPr>
                <w:color w:val="1C3A36"/>
                <w:sz w:val="17"/>
              </w:rPr>
              <w:t>Below spot</w:t>
            </w:r>
          </w:p>
        </w:tc>
        <w:tc>
          <w:tcPr>
            <w:tcW w:type="dxa" w:w="2232"/>
          </w:tcPr>
          <w:p>
            <w:pPr>
              <w:spacing w:after="20"/>
              <w:jc w:val="right"/>
            </w:pPr>
            <w:r>
              <w:rPr>
                <w:color w:val="1C3A36"/>
                <w:sz w:val="17"/>
              </w:rPr>
              <w:t>43.92 – 59.00</w:t>
            </w:r>
          </w:p>
        </w:tc>
        <w:tc>
          <w:tcPr>
            <w:tcW w:type="dxa" w:w="1296"/>
          </w:tcPr>
          <w:p>
            <w:pPr>
              <w:spacing w:after="20"/>
              <w:jc w:val="right"/>
            </w:pPr>
            <w:r>
              <w:rPr>
                <w:color w:val="1C3A36"/>
                <w:sz w:val="17"/>
              </w:rPr>
              <w:t>39%</w:t>
            </w:r>
          </w:p>
        </w:tc>
        <w:tc>
          <w:tcPr>
            <w:tcW w:type="dxa" w:w="3672"/>
          </w:tcPr>
          <w:p>
            <w:pPr>
              <w:spacing w:after="20"/>
              <w:jc w:val="right"/>
            </w:pPr>
            <w:r>
              <w:rPr>
                <w:color w:val="1C3A36"/>
                <w:sz w:val="17"/>
              </w:rPr>
              <w:t>The market converging toward the earnings-based lenses in this study</w:t>
            </w:r>
          </w:p>
        </w:tc>
      </w:tr>
      <w:tr>
        <w:tc>
          <w:tcPr>
            <w:tcW w:type="dxa" w:w="1584"/>
          </w:tcPr>
          <w:p>
            <w:pPr>
              <w:spacing w:after="20"/>
            </w:pPr>
            <w:r>
              <w:rPr>
                <w:color w:val="1C3A36"/>
                <w:sz w:val="17"/>
              </w:rPr>
              <w:t>Above spot</w:t>
            </w:r>
          </w:p>
        </w:tc>
        <w:tc>
          <w:tcPr>
            <w:tcW w:type="dxa" w:w="2232"/>
          </w:tcPr>
          <w:p>
            <w:pPr>
              <w:spacing w:after="20"/>
              <w:jc w:val="right"/>
            </w:pPr>
            <w:r>
              <w:rPr>
                <w:color w:val="1C3A36"/>
                <w:sz w:val="17"/>
              </w:rPr>
              <w:t>59.00 – 83.17</w:t>
            </w:r>
          </w:p>
        </w:tc>
        <w:tc>
          <w:tcPr>
            <w:tcW w:type="dxa" w:w="1296"/>
          </w:tcPr>
          <w:p>
            <w:pPr>
              <w:spacing w:after="20"/>
              <w:jc w:val="right"/>
            </w:pPr>
            <w:r>
              <w:rPr>
                <w:color w:val="1C3A36"/>
                <w:sz w:val="17"/>
              </w:rPr>
              <w:t>51%</w:t>
            </w:r>
          </w:p>
        </w:tc>
        <w:tc>
          <w:tcPr>
            <w:tcW w:type="dxa" w:w="3672"/>
          </w:tcPr>
          <w:p>
            <w:pPr>
              <w:spacing w:after="20"/>
              <w:jc w:val="right"/>
            </w:pPr>
            <w:r>
              <w:rPr>
                <w:color w:val="1C3A36"/>
                <w:sz w:val="17"/>
              </w:rPr>
              <w:t>Momentum and the 2026 pricing environment continuing to lead the earnings case</w:t>
            </w:r>
          </w:p>
        </w:tc>
      </w:tr>
      <w:tr>
        <w:tc>
          <w:tcPr>
            <w:tcW w:type="dxa" w:w="1584"/>
          </w:tcPr>
          <w:p>
            <w:pPr>
              <w:spacing w:after="20"/>
            </w:pPr>
            <w:r>
              <w:rPr>
                <w:color w:val="1C3A36"/>
                <w:sz w:val="17"/>
              </w:rPr>
              <w:t>Upper tail</w:t>
            </w:r>
          </w:p>
        </w:tc>
        <w:tc>
          <w:tcPr>
            <w:tcW w:type="dxa" w:w="2232"/>
          </w:tcPr>
          <w:p>
            <w:pPr>
              <w:spacing w:after="20"/>
              <w:jc w:val="right"/>
            </w:pPr>
            <w:r>
              <w:rPr>
                <w:color w:val="1C3A36"/>
                <w:sz w:val="17"/>
              </w:rPr>
              <w:t>above 83.17</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re-rating toward the asset lens, which would require the restart programme to be abandoned or delayed materially</w:t>
            </w:r>
          </w:p>
        </w:tc>
      </w:tr>
    </w:tbl>
    <w:p>
      <w:pPr>
        <w:spacing w:after="40"/>
      </w:pPr>
    </w:p>
    <w:p>
      <w:pPr>
        <w:spacing w:after="200" w:before="0"/>
      </w:pPr>
      <w:r>
        <w:rPr>
          <w:b w:val="0"/>
          <w:i/>
          <w:color w:val="6E7B77"/>
          <w:sz w:val="17"/>
        </w:rPr>
        <w:t>Table 15 — Zones, not forecasts. The four are exclusive and sum to 100%: each tail is carved OUT of the band beside it rather than counted twice. The probabilities come from the price map and are subject to the same over-width caution as everything else in section 3.</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accounts are audited, and this study is built on them. </w:t>
      </w:r>
      <w:r>
        <w:rPr>
          <w:color w:val="1C3A36"/>
          <w:sz w:val="21"/>
        </w:rPr>
        <w:t>An earlier edition of this work was written without access to a source document and reconstructed the history by closing disclosed profit against modelled assumptions. That edition is superseded. Every historical figure here is read from the consolidated financial statements signed by Deloitte on 25 February 2026, or from the reviewed interim accounts of 25 May 2026. Four things it got materially wrong are worth naming, because they show where reconstruction fails: minority interests were deducted at EGP 150mn against an audited EGP 158,005; the effective tax rate was inferred at 29.4% against a disclosed 23.8%; the cost of debt was assumed at 21.5% against a euro-denominated book paying about 7.5%; and kiln capacity was assumed 14% too low.</w:t>
      </w:r>
    </w:p>
    <w:p>
      <w:pPr>
        <w:pStyle w:val="ListBullet"/>
        <w:spacing w:after="60"/>
      </w:pPr>
      <w:r>
        <w:rPr>
          <w:b/>
          <w:color w:val="1C3A36"/>
          <w:sz w:val="21"/>
        </w:rPr>
        <w:t xml:space="preserve">The model was rebuilt bottom up, and the answer moved a long way. </w:t>
      </w:r>
      <w:r>
        <w:rPr>
          <w:color w:val="1C3A36"/>
          <w:sz w:val="21"/>
        </w:rPr>
        <w:t>Four reviewers tested the previous edition. Between them they showed that its volume came from an assumed price rather than from the plant, that its FY2025 validation was an identity that could not fail, that its terminal capital was measured in valuation-date pounds against a terminal-year cash flow, that its terminal cost of debt sat 250 basis points below its own terminal risk-free rate, that its terminal risk-free rate used the central bank's near-dated inflation target rather than its medium-term one, that its discount factors applied each year's rate one period late, that its beta was levered twice, and that ten rows of its income statement were labelled one row above their contents. All of that is corrected here. The central fair value moves from EGP 61.30 to EGP 57.00, and the conclusion moves from a premium over the market to a small discount.</w:t>
      </w:r>
    </w:p>
    <w:p>
      <w:pPr>
        <w:pStyle w:val="ListBullet"/>
        <w:spacing w:after="60"/>
      </w:pPr>
      <w:r>
        <w:rPr>
          <w:b/>
          <w:color w:val="1C3A36"/>
          <w:sz w:val="21"/>
        </w:rPr>
        <w:t xml:space="preserve">Volume is now physical, and it is the largest open question in the study. </w:t>
      </w:r>
      <w:r>
        <w:rPr>
          <w:color w:val="1C3A36"/>
          <w:sz w:val="21"/>
        </w:rPr>
        <w:t>The build runs on kiln utilisation, the clinker factor and two export shares, and the three realised prices are derived from the audited revenue note. That makes the prices testable, and they do not fully pass: export clinker derives to USD 30.3 a tonne against a trade-press range of USD 44-48. Either the physical assumptions are too generous or realisations run below the published indices. The company discloses despatch volumes in its investor material, which would settle it; that material could not be reached from here, and the audited statements are image-only scans that carry no volume table.</w:t>
      </w:r>
    </w:p>
    <w:p>
      <w:pPr>
        <w:pStyle w:val="ListBullet"/>
        <w:spacing w:after="60"/>
      </w:pPr>
      <w:r>
        <w:rPr>
          <w:b/>
          <w:color w:val="1C3A36"/>
          <w:sz w:val="21"/>
        </w:rPr>
        <w:t xml:space="preserve">The cost of debt is contractual, not paid. </w:t>
      </w:r>
      <w:r>
        <w:rPr>
          <w:color w:val="1C3A36"/>
          <w:sz w:val="21"/>
        </w:rPr>
        <w:t>The blended 7.89% sits above the 5.03% that FY2025 interest over average debt gives and the 3.73% the first quarter of 2026 annualises to, because the book re-based mid-year and interest on assets still under construction is capitalised. Adopting the contracted euro rate also means the euro debt is not compensated for pound depreciation beyond the currency path assumed here; the pound-equivalent alternative is 13.36% and is worth +3.2%.</w:t>
      </w:r>
    </w:p>
    <w:p>
      <w:pPr>
        <w:pStyle w:val="ListBullet"/>
        <w:spacing w:after="60"/>
      </w:pPr>
      <w:r>
        <w:rPr>
          <w:b/>
          <w:color w:val="1C3A36"/>
          <w:sz w:val="21"/>
        </w:rPr>
        <w:t xml:space="preserve">The forecast is well below the first-quarter run rate. </w:t>
      </w:r>
      <w:r>
        <w:rPr>
          <w:color w:val="1C3A36"/>
          <w:sz w:val="21"/>
        </w:rPr>
        <w:t>This is the largest judgement in the model and section 1.6 states it with the numbers. The first quarter of 2026 ran a 42.9% gross margin against 40.6% for FY2025 as a whole. If that holds, this valuation is too cautious, and the margin sensitivity below is where to look.</w:t>
      </w:r>
    </w:p>
    <w:p>
      <w:pPr>
        <w:pStyle w:val="ListBullet"/>
        <w:spacing w:after="60"/>
      </w:pPr>
      <w:r>
        <w:rPr>
          <w:b/>
          <w:color w:val="1C3A36"/>
          <w:sz w:val="21"/>
        </w:rPr>
        <w:t xml:space="preserve">The terminal denominator is a choice. </w:t>
      </w:r>
      <w:r>
        <w:rPr>
          <w:color w:val="1C3A36"/>
          <w:sz w:val="21"/>
        </w:rPr>
        <w:t>Return on capital is 60.6% on the audited book and 9.2% on replacement cost. The terminal block uses replacement cost, which leaves the plant roughly breaking even on new tonnes — 8.79% against a hurdle of 12.69%, so four points of terminal growth are worth -21.2% of value and the answer does not rest on the rate. On the book basis growth would be close to free and the valuation materially higher. The case for replacement cost is that the book carries a 2010-vintage plant at a tenth of what one would cost to build today, but a reader is entitled to disagree.</w:t>
      </w:r>
    </w:p>
    <w:p>
      <w:pPr>
        <w:pStyle w:val="ListBullet"/>
        <w:spacing w:after="60"/>
      </w:pPr>
      <w:r>
        <w:rPr>
          <w:b/>
          <w:color w:val="1C3A36"/>
          <w:sz w:val="21"/>
        </w:rPr>
        <w:t xml:space="preserve">The beta is weak. </w:t>
      </w:r>
      <w:r>
        <w:rPr>
          <w:color w:val="1C3A36"/>
          <w:sz w:val="21"/>
        </w:rPr>
        <w:t>R-squared of 9.1% and a 90% interval of [0.42, 0.83]. The valuation is shown across a beta range for exactly this reason, and the lead-lag correction is published as a value.</w:t>
      </w:r>
    </w:p>
    <w:p>
      <w:pPr>
        <w:pStyle w:val="ListBullet"/>
        <w:spacing w:after="60"/>
      </w:pPr>
      <w:r>
        <w:rPr>
          <w:b/>
          <w:color w:val="1C3A36"/>
          <w:sz w:val="21"/>
        </w:rPr>
        <w:t xml:space="preserve">The price map is over-wide. </w:t>
      </w:r>
      <w:r>
        <w:rPr>
          <w:color w:val="1C3A36"/>
          <w:sz w:val="21"/>
        </w:rPr>
        <w:t>Its bands cover 100% and 100% of outcomes against nominal 80% and 90%, and its skill against a random walk is -1.8%. It is carried as illustrative only.</w:t>
      </w:r>
    </w:p>
    <w:p>
      <w:pPr>
        <w:pStyle w:val="ListBullet"/>
        <w:spacing w:after="60"/>
      </w:pPr>
      <w:r>
        <w:rPr>
          <w:b/>
          <w:color w:val="1C3A36"/>
          <w:sz w:val="21"/>
        </w:rPr>
        <w:t xml:space="preserve">A minority position under a 60% shareholder. </w:t>
      </w:r>
      <w:r>
        <w:rPr>
          <w:color w:val="1C3A36"/>
          <w:sz w:val="21"/>
        </w:rPr>
        <w:t>Aridos Jativa of Spain owns 60% of the capital. No control premium or discount is applied anywhere in this valuation, in either direction. The company also holds 1% of its own capital in treasury, acquired during 2025, which is excluded from the share count throughout.</w:t>
      </w:r>
    </w:p>
    <w:p>
      <w:pPr>
        <w:pStyle w:val="ListBullet"/>
        <w:spacing w:after="60"/>
      </w:pPr>
      <w:r>
        <w:rPr>
          <w:b/>
          <w:color w:val="1C3A36"/>
          <w:sz w:val="21"/>
        </w:rPr>
        <w:t xml:space="preserve">Currency, on both sides now. </w:t>
      </w:r>
      <w:r>
        <w:rPr>
          <w:color w:val="1C3A36"/>
          <w:sz w:val="21"/>
        </w:rPr>
        <w:t>Revenue is 69% local and 31% export; costs are largely in pounds but fuel and spares are not; and the debt is 91% euro. A weaker pound raises export revenue in pounds and raises the pound cost of servicing the euro debt. The model carries one currency path acting on all three legs.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Net cash at the valuation date (EGP mn)</w:t>
            </w:r>
          </w:p>
        </w:tc>
        <w:tc>
          <w:tcPr>
            <w:tcW w:type="dxa" w:w="1325"/>
            <w:shd w:val="clear" w:color="auto" w:fill="EAF0EE"/>
          </w:tcPr>
          <w:p>
            <w:pPr>
              <w:spacing w:after="20"/>
            </w:pPr>
            <w:r>
              <w:rPr>
                <w:b/>
                <w:color w:val="1C3A36"/>
                <w:sz w:val="17"/>
              </w:rPr>
              <w:t>499</w:t>
            </w:r>
          </w:p>
        </w:tc>
        <w:tc>
          <w:tcPr>
            <w:tcW w:type="dxa" w:w="1325"/>
            <w:shd w:val="clear" w:color="auto" w:fill="EAF0EE"/>
          </w:tcPr>
          <w:p>
            <w:pPr>
              <w:spacing w:after="20"/>
            </w:pPr>
            <w:r>
              <w:rPr>
                <w:b/>
                <w:color w:val="1C3A36"/>
                <w:sz w:val="17"/>
              </w:rPr>
              <w:t>1,249</w:t>
            </w:r>
          </w:p>
        </w:tc>
        <w:tc>
          <w:tcPr>
            <w:tcW w:type="dxa" w:w="1325"/>
            <w:shd w:val="clear" w:color="auto" w:fill="EAF0EE"/>
          </w:tcPr>
          <w:p>
            <w:pPr>
              <w:spacing w:after="20"/>
            </w:pPr>
            <w:r>
              <w:rPr>
                <w:b/>
                <w:color w:val="1C3A36"/>
                <w:sz w:val="17"/>
              </w:rPr>
              <w:t>1,999</w:t>
            </w:r>
          </w:p>
        </w:tc>
        <w:tc>
          <w:tcPr>
            <w:tcW w:type="dxa" w:w="1325"/>
            <w:shd w:val="clear" w:color="auto" w:fill="EAF0EE"/>
          </w:tcPr>
          <w:p>
            <w:pPr>
              <w:spacing w:after="20"/>
            </w:pPr>
            <w:r>
              <w:rPr>
                <w:b/>
                <w:color w:val="1C3A36"/>
                <w:sz w:val="17"/>
              </w:rPr>
              <w:t>2,749</w:t>
            </w:r>
          </w:p>
        </w:tc>
        <w:tc>
          <w:tcPr>
            <w:tcW w:type="dxa" w:w="1325"/>
            <w:shd w:val="clear" w:color="auto" w:fill="EAF0EE"/>
          </w:tcPr>
          <w:p>
            <w:pPr>
              <w:spacing w:after="20"/>
            </w:pPr>
            <w:r>
              <w:rPr>
                <w:b/>
                <w:color w:val="1C3A36"/>
                <w:sz w:val="17"/>
              </w:rPr>
              <w:t>3,499</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57.92</w:t>
            </w:r>
          </w:p>
        </w:tc>
        <w:tc>
          <w:tcPr>
            <w:tcW w:type="dxa" w:w="1325"/>
          </w:tcPr>
          <w:p>
            <w:pPr>
              <w:spacing w:after="20"/>
              <w:jc w:val="right"/>
            </w:pPr>
            <w:r>
              <w:rPr>
                <w:color w:val="1C3A36"/>
                <w:sz w:val="17"/>
              </w:rPr>
              <w:t>59.93</w:t>
            </w:r>
          </w:p>
        </w:tc>
        <w:tc>
          <w:tcPr>
            <w:tcW w:type="dxa" w:w="1325"/>
          </w:tcPr>
          <w:p>
            <w:pPr>
              <w:spacing w:after="20"/>
              <w:jc w:val="right"/>
            </w:pPr>
            <w:r>
              <w:rPr>
                <w:color w:val="1C3A36"/>
                <w:sz w:val="17"/>
              </w:rPr>
              <w:t>61.93</w:t>
            </w:r>
          </w:p>
        </w:tc>
        <w:tc>
          <w:tcPr>
            <w:tcW w:type="dxa" w:w="1325"/>
          </w:tcPr>
          <w:p>
            <w:pPr>
              <w:spacing w:after="20"/>
              <w:jc w:val="right"/>
            </w:pPr>
            <w:r>
              <w:rPr>
                <w:color w:val="1C3A36"/>
                <w:sz w:val="17"/>
              </w:rPr>
              <w:t>63.93</w:t>
            </w:r>
          </w:p>
        </w:tc>
        <w:tc>
          <w:tcPr>
            <w:tcW w:type="dxa" w:w="1325"/>
          </w:tcPr>
          <w:p>
            <w:pPr>
              <w:spacing w:after="20"/>
              <w:jc w:val="right"/>
            </w:pPr>
            <w:r>
              <w:rPr>
                <w:color w:val="1C3A36"/>
                <w:sz w:val="17"/>
              </w:rPr>
              <w:t>65.93</w:t>
            </w:r>
          </w:p>
        </w:tc>
      </w:tr>
    </w:tbl>
    <w:p>
      <w:pPr>
        <w:spacing w:after="40"/>
      </w:pPr>
    </w:p>
    <w:p>
      <w:pPr>
        <w:spacing w:after="200" w:before="0"/>
      </w:pPr>
      <w:r>
        <w:rPr>
          <w:b w:val="0"/>
          <w:i/>
          <w:color w:val="6E7B77"/>
          <w:sz w:val="17"/>
        </w:rPr>
        <w:t>Table 16 — The clean net-cash sensitivity, with the tax rate held.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Shift in the EBITDA margin, every forecast year</w:t>
            </w:r>
          </w:p>
        </w:tc>
        <w:tc>
          <w:tcPr>
            <w:tcW w:type="dxa" w:w="1325"/>
            <w:shd w:val="clear" w:color="auto" w:fill="EAF0EE"/>
          </w:tcPr>
          <w:p>
            <w:pPr>
              <w:spacing w:after="20"/>
            </w:pPr>
            <w:r>
              <w:rPr>
                <w:b/>
                <w:color w:val="1C3A36"/>
                <w:sz w:val="17"/>
              </w:rPr>
              <w:t>-4%</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+0%</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+4%</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49.80</w:t>
            </w:r>
          </w:p>
        </w:tc>
        <w:tc>
          <w:tcPr>
            <w:tcW w:type="dxa" w:w="1325"/>
          </w:tcPr>
          <w:p>
            <w:pPr>
              <w:spacing w:after="20"/>
              <w:jc w:val="right"/>
            </w:pPr>
            <w:r>
              <w:rPr>
                <w:color w:val="1C3A36"/>
                <w:sz w:val="17"/>
              </w:rPr>
              <w:t>55.86</w:t>
            </w:r>
          </w:p>
        </w:tc>
        <w:tc>
          <w:tcPr>
            <w:tcW w:type="dxa" w:w="1325"/>
          </w:tcPr>
          <w:p>
            <w:pPr>
              <w:spacing w:after="20"/>
              <w:jc w:val="right"/>
            </w:pPr>
            <w:r>
              <w:rPr>
                <w:color w:val="1C3A36"/>
                <w:sz w:val="17"/>
              </w:rPr>
              <w:t>61.93</w:t>
            </w:r>
          </w:p>
        </w:tc>
        <w:tc>
          <w:tcPr>
            <w:tcW w:type="dxa" w:w="1325"/>
          </w:tcPr>
          <w:p>
            <w:pPr>
              <w:spacing w:after="20"/>
              <w:jc w:val="right"/>
            </w:pPr>
            <w:r>
              <w:rPr>
                <w:color w:val="1C3A36"/>
                <w:sz w:val="17"/>
              </w:rPr>
              <w:t>67.99</w:t>
            </w:r>
          </w:p>
        </w:tc>
        <w:tc>
          <w:tcPr>
            <w:tcW w:type="dxa" w:w="1325"/>
          </w:tcPr>
          <w:p>
            <w:pPr>
              <w:spacing w:after="20"/>
              <w:jc w:val="right"/>
            </w:pPr>
            <w:r>
              <w:rPr>
                <w:color w:val="1C3A36"/>
                <w:sz w:val="17"/>
              </w:rPr>
              <w:t>74.05</w:t>
            </w:r>
          </w:p>
        </w:tc>
      </w:tr>
    </w:tbl>
    <w:p>
      <w:pPr>
        <w:spacing w:after="40"/>
      </w:pPr>
    </w:p>
    <w:p>
      <w:pPr>
        <w:spacing w:after="200" w:before="0"/>
      </w:pPr>
      <w:r>
        <w:rPr>
          <w:b w:val="0"/>
          <w:i/>
          <w:color w:val="6E7B77"/>
          <w:sz w:val="17"/>
        </w:rPr>
        <w:t>Table 17 — And the margin sensitivity, which is the largest single swing factor in the model.</w:t>
      </w:r>
    </w:p>
    <w:p>
      <w:r>
        <w:br w:type="page"/>
      </w:r>
    </w:p>
    <w:p>
      <w:pPr>
        <w:spacing w:after="120" w:before="280"/>
      </w:pPr>
      <w:r>
        <w:rPr>
          <w:b/>
          <w:i w:val="0"/>
          <w:color w:val="1C3A36"/>
          <w:sz w:val="30"/>
        </w:rPr>
        <w:t>Appendix A  Financial statements</w:t>
      </w:r>
    </w:p>
    <w:p>
      <w:pPr>
        <w:spacing w:after="80" w:before="200"/>
      </w:pPr>
      <w:r>
        <w:rPr>
          <w:b/>
          <w:i w:val="0"/>
          <w:color w:val="1C3A36"/>
          <w:sz w:val="24"/>
        </w:rPr>
        <w:t>Income 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89"/>
        <w:gridCol w:w="1037"/>
        <w:gridCol w:w="1037"/>
        <w:gridCol w:w="1037"/>
        <w:gridCol w:w="1037"/>
        <w:gridCol w:w="1037"/>
        <w:gridCol w:w="1037"/>
        <w:gridCol w:w="1037"/>
        <w:gridCol w:w="1037"/>
      </w:tblGrid>
      <w:tr>
        <w:tc>
          <w:tcPr>
            <w:tcW w:type="dxa" w:w="2189"/>
            <w:shd w:val="clear" w:color="auto" w:fill="EAF0EE"/>
          </w:tcPr>
          <w:p>
            <w:pPr>
              <w:spacing w:after="20"/>
            </w:pPr>
            <w:r>
              <w:rPr>
                <w:b/>
                <w:color w:val="1C3A36"/>
                <w:sz w:val="16"/>
              </w:rPr>
              <w:t>EGP mn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189"/>
          </w:tcPr>
          <w:p>
            <w:pPr>
              <w:spacing w:after="20"/>
            </w:pPr>
            <w:r>
              <w:rPr>
                <w:color w:val="1C3A36"/>
                <w:sz w:val="16"/>
              </w:rPr>
              <w:t>Revenue</w:t>
            </w:r>
          </w:p>
        </w:tc>
        <w:tc>
          <w:tcPr>
            <w:tcW w:type="dxa" w:w="1037"/>
          </w:tcPr>
          <w:p>
            <w:pPr>
              <w:spacing w:after="20"/>
              <w:jc w:val="right"/>
            </w:pPr>
            <w:r>
              <w:rPr>
                <w:color w:val="1C3A36"/>
                <w:sz w:val="16"/>
              </w:rPr>
              <w:t>6,043</w:t>
            </w:r>
          </w:p>
        </w:tc>
        <w:tc>
          <w:tcPr>
            <w:tcW w:type="dxa" w:w="1037"/>
          </w:tcPr>
          <w:p>
            <w:pPr>
              <w:spacing w:after="20"/>
              <w:jc w:val="right"/>
            </w:pPr>
            <w:r>
              <w:rPr>
                <w:color w:val="1C3A36"/>
                <w:sz w:val="16"/>
              </w:rPr>
              <w:t>8,730</w:t>
            </w:r>
          </w:p>
        </w:tc>
        <w:tc>
          <w:tcPr>
            <w:tcW w:type="dxa" w:w="1037"/>
          </w:tcPr>
          <w:p>
            <w:pPr>
              <w:spacing w:after="20"/>
              <w:jc w:val="right"/>
            </w:pPr>
            <w:r>
              <w:rPr>
                <w:color w:val="1C3A36"/>
                <w:sz w:val="16"/>
              </w:rPr>
              <w:t>12,447</w:t>
            </w:r>
          </w:p>
        </w:tc>
        <w:tc>
          <w:tcPr>
            <w:tcW w:type="dxa" w:w="1037"/>
          </w:tcPr>
          <w:p>
            <w:pPr>
              <w:spacing w:after="20"/>
              <w:jc w:val="right"/>
            </w:pPr>
            <w:r>
              <w:rPr>
                <w:color w:val="1C3A36"/>
                <w:sz w:val="16"/>
              </w:rPr>
              <w:t>13,254</w:t>
            </w:r>
          </w:p>
        </w:tc>
        <w:tc>
          <w:tcPr>
            <w:tcW w:type="dxa" w:w="1037"/>
          </w:tcPr>
          <w:p>
            <w:pPr>
              <w:spacing w:after="20"/>
              <w:jc w:val="right"/>
            </w:pPr>
            <w:r>
              <w:rPr>
                <w:color w:val="1C3A36"/>
                <w:sz w:val="16"/>
              </w:rPr>
              <w:t>14,407</w:t>
            </w:r>
          </w:p>
        </w:tc>
        <w:tc>
          <w:tcPr>
            <w:tcW w:type="dxa" w:w="1037"/>
          </w:tcPr>
          <w:p>
            <w:pPr>
              <w:spacing w:after="20"/>
              <w:jc w:val="right"/>
            </w:pPr>
            <w:r>
              <w:rPr>
                <w:color w:val="1C3A36"/>
                <w:sz w:val="16"/>
              </w:rPr>
              <w:t>15,626</w:t>
            </w:r>
          </w:p>
        </w:tc>
        <w:tc>
          <w:tcPr>
            <w:tcW w:type="dxa" w:w="1037"/>
          </w:tcPr>
          <w:p>
            <w:pPr>
              <w:spacing w:after="20"/>
              <w:jc w:val="right"/>
            </w:pPr>
            <w:r>
              <w:rPr>
                <w:color w:val="1C3A36"/>
                <w:sz w:val="16"/>
              </w:rPr>
              <w:t>16,735</w:t>
            </w:r>
          </w:p>
        </w:tc>
        <w:tc>
          <w:tcPr>
            <w:tcW w:type="dxa" w:w="1037"/>
          </w:tcPr>
          <w:p>
            <w:pPr>
              <w:spacing w:after="20"/>
              <w:jc w:val="right"/>
            </w:pPr>
            <w:r>
              <w:rPr>
                <w:color w:val="1C3A36"/>
                <w:sz w:val="16"/>
              </w:rPr>
              <w:t>17,844</w:t>
            </w:r>
          </w:p>
        </w:tc>
      </w:tr>
      <w:tr>
        <w:tc>
          <w:tcPr>
            <w:tcW w:type="dxa" w:w="2189"/>
          </w:tcPr>
          <w:p>
            <w:pPr>
              <w:spacing w:after="20"/>
            </w:pPr>
            <w:r>
              <w:rPr>
                <w:color w:val="1C3A36"/>
                <w:sz w:val="16"/>
              </w:rPr>
              <w:t>Cost of sales</w:t>
            </w:r>
          </w:p>
        </w:tc>
        <w:tc>
          <w:tcPr>
            <w:tcW w:type="dxa" w:w="1037"/>
          </w:tcPr>
          <w:p>
            <w:pPr>
              <w:spacing w:after="20"/>
              <w:jc w:val="right"/>
            </w:pPr>
            <w:r>
              <w:rPr>
                <w:color w:val="1C3A36"/>
                <w:sz w:val="16"/>
              </w:rPr>
              <w:t>(4,760)</w:t>
            </w:r>
          </w:p>
        </w:tc>
        <w:tc>
          <w:tcPr>
            <w:tcW w:type="dxa" w:w="1037"/>
          </w:tcPr>
          <w:p>
            <w:pPr>
              <w:spacing w:after="20"/>
              <w:jc w:val="right"/>
            </w:pPr>
            <w:r>
              <w:rPr>
                <w:color w:val="1C3A36"/>
                <w:sz w:val="16"/>
              </w:rPr>
              <w:t>(6,643)</w:t>
            </w:r>
          </w:p>
        </w:tc>
        <w:tc>
          <w:tcPr>
            <w:tcW w:type="dxa" w:w="1037"/>
          </w:tcPr>
          <w:p>
            <w:pPr>
              <w:spacing w:after="20"/>
              <w:jc w:val="right"/>
            </w:pPr>
            <w:r>
              <w:rPr>
                <w:color w:val="1C3A36"/>
                <w:sz w:val="16"/>
              </w:rPr>
              <w:t>(7,389)</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r>
      <w:tr>
        <w:tc>
          <w:tcPr>
            <w:tcW w:type="dxa" w:w="2189"/>
          </w:tcPr>
          <w:p>
            <w:pPr>
              <w:spacing w:after="20"/>
            </w:pPr>
            <w:r>
              <w:rPr>
                <w:color w:val="1C3A36"/>
                <w:sz w:val="16"/>
              </w:rPr>
              <w:t>Gross profit</w:t>
            </w:r>
          </w:p>
        </w:tc>
        <w:tc>
          <w:tcPr>
            <w:tcW w:type="dxa" w:w="1037"/>
          </w:tcPr>
          <w:p>
            <w:pPr>
              <w:spacing w:after="20"/>
              <w:jc w:val="right"/>
            </w:pPr>
            <w:r>
              <w:rPr>
                <w:color w:val="1C3A36"/>
                <w:sz w:val="16"/>
              </w:rPr>
              <w:t>1,283</w:t>
            </w:r>
          </w:p>
        </w:tc>
        <w:tc>
          <w:tcPr>
            <w:tcW w:type="dxa" w:w="1037"/>
          </w:tcPr>
          <w:p>
            <w:pPr>
              <w:spacing w:after="20"/>
              <w:jc w:val="right"/>
            </w:pPr>
            <w:r>
              <w:rPr>
                <w:color w:val="1C3A36"/>
                <w:sz w:val="16"/>
              </w:rPr>
              <w:t>2,087</w:t>
            </w:r>
          </w:p>
        </w:tc>
        <w:tc>
          <w:tcPr>
            <w:tcW w:type="dxa" w:w="1037"/>
          </w:tcPr>
          <w:p>
            <w:pPr>
              <w:spacing w:after="20"/>
              <w:jc w:val="right"/>
            </w:pPr>
            <w:r>
              <w:rPr>
                <w:color w:val="1C3A36"/>
                <w:sz w:val="16"/>
              </w:rPr>
              <w:t>5,058</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r>
      <w:tr>
        <w:tc>
          <w:tcPr>
            <w:tcW w:type="dxa" w:w="2189"/>
          </w:tcPr>
          <w:p>
            <w:pPr>
              <w:spacing w:after="20"/>
            </w:pPr>
            <w:r>
              <w:rPr>
                <w:color w:val="1C3A36"/>
                <w:sz w:val="16"/>
              </w:rPr>
              <w:t>Operating profit</w:t>
            </w:r>
          </w:p>
        </w:tc>
        <w:tc>
          <w:tcPr>
            <w:tcW w:type="dxa" w:w="1037"/>
          </w:tcPr>
          <w:p>
            <w:pPr>
              <w:spacing w:after="20"/>
              <w:jc w:val="right"/>
            </w:pPr>
            <w:r>
              <w:rPr>
                <w:color w:val="1C3A36"/>
                <w:sz w:val="16"/>
              </w:rPr>
              <w:t>1,079</w:t>
            </w:r>
          </w:p>
        </w:tc>
        <w:tc>
          <w:tcPr>
            <w:tcW w:type="dxa" w:w="1037"/>
          </w:tcPr>
          <w:p>
            <w:pPr>
              <w:spacing w:after="20"/>
              <w:jc w:val="right"/>
            </w:pPr>
            <w:r>
              <w:rPr>
                <w:color w:val="1C3A36"/>
                <w:sz w:val="16"/>
              </w:rPr>
              <w:t>1,764</w:t>
            </w:r>
          </w:p>
        </w:tc>
        <w:tc>
          <w:tcPr>
            <w:tcW w:type="dxa" w:w="1037"/>
          </w:tcPr>
          <w:p>
            <w:pPr>
              <w:spacing w:after="20"/>
              <w:jc w:val="right"/>
            </w:pPr>
            <w:r>
              <w:rPr>
                <w:color w:val="1C3A36"/>
                <w:sz w:val="16"/>
              </w:rPr>
              <w:t>4,596</w:t>
            </w:r>
          </w:p>
        </w:tc>
        <w:tc>
          <w:tcPr>
            <w:tcW w:type="dxa" w:w="1037"/>
          </w:tcPr>
          <w:p>
            <w:pPr>
              <w:spacing w:after="20"/>
              <w:jc w:val="right"/>
            </w:pPr>
            <w:r>
              <w:rPr>
                <w:color w:val="1C3A36"/>
                <w:sz w:val="16"/>
              </w:rPr>
              <w:t>4,559</w:t>
            </w:r>
          </w:p>
        </w:tc>
        <w:tc>
          <w:tcPr>
            <w:tcW w:type="dxa" w:w="1037"/>
          </w:tcPr>
          <w:p>
            <w:pPr>
              <w:spacing w:after="20"/>
              <w:jc w:val="right"/>
            </w:pPr>
            <w:r>
              <w:rPr>
                <w:color w:val="1C3A36"/>
                <w:sz w:val="16"/>
              </w:rPr>
              <w:t>4,872</w:t>
            </w:r>
          </w:p>
        </w:tc>
        <w:tc>
          <w:tcPr>
            <w:tcW w:type="dxa" w:w="1037"/>
          </w:tcPr>
          <w:p>
            <w:pPr>
              <w:spacing w:after="20"/>
              <w:jc w:val="right"/>
            </w:pPr>
            <w:r>
              <w:rPr>
                <w:color w:val="1C3A36"/>
                <w:sz w:val="16"/>
              </w:rPr>
              <w:t>5,224</w:t>
            </w:r>
          </w:p>
        </w:tc>
        <w:tc>
          <w:tcPr>
            <w:tcW w:type="dxa" w:w="1037"/>
          </w:tcPr>
          <w:p>
            <w:pPr>
              <w:spacing w:after="20"/>
              <w:jc w:val="right"/>
            </w:pPr>
            <w:r>
              <w:rPr>
                <w:color w:val="1C3A36"/>
                <w:sz w:val="16"/>
              </w:rPr>
              <w:t>5,500</w:t>
            </w:r>
          </w:p>
        </w:tc>
        <w:tc>
          <w:tcPr>
            <w:tcW w:type="dxa" w:w="1037"/>
          </w:tcPr>
          <w:p>
            <w:pPr>
              <w:spacing w:after="20"/>
              <w:jc w:val="right"/>
            </w:pPr>
            <w:r>
              <w:rPr>
                <w:color w:val="1C3A36"/>
                <w:sz w:val="16"/>
              </w:rPr>
              <w:t>5,824</w:t>
            </w:r>
          </w:p>
        </w:tc>
      </w:tr>
      <w:tr>
        <w:tc>
          <w:tcPr>
            <w:tcW w:type="dxa" w:w="2189"/>
          </w:tcPr>
          <w:p>
            <w:pPr>
              <w:spacing w:after="20"/>
            </w:pPr>
            <w:r>
              <w:rPr>
                <w:color w:val="1C3A36"/>
                <w:sz w:val="16"/>
              </w:rPr>
              <w:t>Depreciation and amortisation</w:t>
            </w:r>
          </w:p>
        </w:tc>
        <w:tc>
          <w:tcPr>
            <w:tcW w:type="dxa" w:w="1037"/>
          </w:tcPr>
          <w:p>
            <w:pPr>
              <w:spacing w:after="20"/>
              <w:jc w:val="right"/>
            </w:pPr>
            <w:r>
              <w:rPr>
                <w:color w:val="1C3A36"/>
                <w:sz w:val="16"/>
              </w:rPr>
              <w:t>250</w:t>
            </w:r>
          </w:p>
        </w:tc>
        <w:tc>
          <w:tcPr>
            <w:tcW w:type="dxa" w:w="1037"/>
          </w:tcPr>
          <w:p>
            <w:pPr>
              <w:spacing w:after="20"/>
              <w:jc w:val="right"/>
            </w:pPr>
            <w:r>
              <w:rPr>
                <w:color w:val="1C3A36"/>
                <w:sz w:val="16"/>
              </w:rPr>
              <w:t>257</w:t>
            </w:r>
          </w:p>
        </w:tc>
        <w:tc>
          <w:tcPr>
            <w:tcW w:type="dxa" w:w="1037"/>
          </w:tcPr>
          <w:p>
            <w:pPr>
              <w:spacing w:after="20"/>
              <w:jc w:val="right"/>
            </w:pPr>
            <w:r>
              <w:rPr>
                <w:color w:val="1C3A36"/>
                <w:sz w:val="16"/>
              </w:rPr>
              <w:t>290</w:t>
            </w:r>
          </w:p>
        </w:tc>
        <w:tc>
          <w:tcPr>
            <w:tcW w:type="dxa" w:w="1037"/>
          </w:tcPr>
          <w:p>
            <w:pPr>
              <w:spacing w:after="20"/>
              <w:jc w:val="right"/>
            </w:pPr>
            <w:r>
              <w:rPr>
                <w:color w:val="1C3A36"/>
                <w:sz w:val="16"/>
              </w:rPr>
              <w:t>331</w:t>
            </w:r>
          </w:p>
        </w:tc>
        <w:tc>
          <w:tcPr>
            <w:tcW w:type="dxa" w:w="1037"/>
          </w:tcPr>
          <w:p>
            <w:pPr>
              <w:spacing w:after="20"/>
              <w:jc w:val="right"/>
            </w:pPr>
            <w:r>
              <w:rPr>
                <w:color w:val="1C3A36"/>
                <w:sz w:val="16"/>
              </w:rPr>
              <w:t>389</w:t>
            </w:r>
          </w:p>
        </w:tc>
        <w:tc>
          <w:tcPr>
            <w:tcW w:type="dxa" w:w="1037"/>
          </w:tcPr>
          <w:p>
            <w:pPr>
              <w:spacing w:after="20"/>
              <w:jc w:val="right"/>
            </w:pPr>
            <w:r>
              <w:rPr>
                <w:color w:val="1C3A36"/>
                <w:sz w:val="16"/>
              </w:rPr>
              <w:t>453</w:t>
            </w:r>
          </w:p>
        </w:tc>
        <w:tc>
          <w:tcPr>
            <w:tcW w:type="dxa" w:w="1037"/>
          </w:tcPr>
          <w:p>
            <w:pPr>
              <w:spacing w:after="20"/>
              <w:jc w:val="right"/>
            </w:pPr>
            <w:r>
              <w:rPr>
                <w:color w:val="1C3A36"/>
                <w:sz w:val="16"/>
              </w:rPr>
              <w:t>519</w:t>
            </w:r>
          </w:p>
        </w:tc>
        <w:tc>
          <w:tcPr>
            <w:tcW w:type="dxa" w:w="1037"/>
          </w:tcPr>
          <w:p>
            <w:pPr>
              <w:spacing w:after="20"/>
              <w:jc w:val="right"/>
            </w:pPr>
            <w:r>
              <w:rPr>
                <w:color w:val="1C3A36"/>
                <w:sz w:val="16"/>
              </w:rPr>
              <w:t>589</w:t>
            </w:r>
          </w:p>
        </w:tc>
      </w:tr>
      <w:tr>
        <w:tc>
          <w:tcPr>
            <w:tcW w:type="dxa" w:w="2189"/>
          </w:tcPr>
          <w:p>
            <w:pPr>
              <w:spacing w:after="20"/>
            </w:pPr>
            <w:r>
              <w:rPr>
                <w:color w:val="1C3A36"/>
                <w:sz w:val="16"/>
              </w:rPr>
              <w:t>EBITDA</w:t>
            </w:r>
          </w:p>
        </w:tc>
        <w:tc>
          <w:tcPr>
            <w:tcW w:type="dxa" w:w="1037"/>
          </w:tcPr>
          <w:p>
            <w:pPr>
              <w:spacing w:after="20"/>
              <w:jc w:val="right"/>
            </w:pPr>
            <w:r>
              <w:rPr>
                <w:color w:val="1C3A36"/>
                <w:sz w:val="16"/>
              </w:rPr>
              <w:t>1,330</w:t>
            </w:r>
          </w:p>
        </w:tc>
        <w:tc>
          <w:tcPr>
            <w:tcW w:type="dxa" w:w="1037"/>
          </w:tcPr>
          <w:p>
            <w:pPr>
              <w:spacing w:after="20"/>
              <w:jc w:val="right"/>
            </w:pPr>
            <w:r>
              <w:rPr>
                <w:color w:val="1C3A36"/>
                <w:sz w:val="16"/>
              </w:rPr>
              <w:t>2,021</w:t>
            </w:r>
          </w:p>
        </w:tc>
        <w:tc>
          <w:tcPr>
            <w:tcW w:type="dxa" w:w="1037"/>
          </w:tcPr>
          <w:p>
            <w:pPr>
              <w:spacing w:after="20"/>
              <w:jc w:val="right"/>
            </w:pPr>
            <w:r>
              <w:rPr>
                <w:color w:val="1C3A36"/>
                <w:sz w:val="16"/>
              </w:rPr>
              <w:t>4,886</w:t>
            </w:r>
          </w:p>
        </w:tc>
        <w:tc>
          <w:tcPr>
            <w:tcW w:type="dxa" w:w="1037"/>
          </w:tcPr>
          <w:p>
            <w:pPr>
              <w:spacing w:after="20"/>
              <w:jc w:val="right"/>
            </w:pPr>
            <w:r>
              <w:rPr>
                <w:color w:val="1C3A36"/>
                <w:sz w:val="16"/>
              </w:rPr>
              <w:t>4,890</w:t>
            </w:r>
          </w:p>
        </w:tc>
        <w:tc>
          <w:tcPr>
            <w:tcW w:type="dxa" w:w="1037"/>
          </w:tcPr>
          <w:p>
            <w:pPr>
              <w:spacing w:after="20"/>
              <w:jc w:val="right"/>
            </w:pPr>
            <w:r>
              <w:rPr>
                <w:color w:val="1C3A36"/>
                <w:sz w:val="16"/>
              </w:rPr>
              <w:t>5,261</w:t>
            </w:r>
          </w:p>
        </w:tc>
        <w:tc>
          <w:tcPr>
            <w:tcW w:type="dxa" w:w="1037"/>
          </w:tcPr>
          <w:p>
            <w:pPr>
              <w:spacing w:after="20"/>
              <w:jc w:val="right"/>
            </w:pPr>
            <w:r>
              <w:rPr>
                <w:color w:val="1C3A36"/>
                <w:sz w:val="16"/>
              </w:rPr>
              <w:t>5,677</w:t>
            </w:r>
          </w:p>
        </w:tc>
        <w:tc>
          <w:tcPr>
            <w:tcW w:type="dxa" w:w="1037"/>
          </w:tcPr>
          <w:p>
            <w:pPr>
              <w:spacing w:after="20"/>
              <w:jc w:val="right"/>
            </w:pPr>
            <w:r>
              <w:rPr>
                <w:color w:val="1C3A36"/>
                <w:sz w:val="16"/>
              </w:rPr>
              <w:t>6,019</w:t>
            </w:r>
          </w:p>
        </w:tc>
        <w:tc>
          <w:tcPr>
            <w:tcW w:type="dxa" w:w="1037"/>
          </w:tcPr>
          <w:p>
            <w:pPr>
              <w:spacing w:after="20"/>
              <w:jc w:val="right"/>
            </w:pPr>
            <w:r>
              <w:rPr>
                <w:color w:val="1C3A36"/>
                <w:sz w:val="16"/>
              </w:rPr>
              <w:t>6,413</w:t>
            </w:r>
          </w:p>
        </w:tc>
      </w:tr>
      <w:tr>
        <w:tc>
          <w:tcPr>
            <w:tcW w:type="dxa" w:w="2189"/>
          </w:tcPr>
          <w:p>
            <w:pPr>
              <w:spacing w:after="20"/>
            </w:pPr>
            <w:r>
              <w:rPr>
                <w:color w:val="1C3A36"/>
                <w:sz w:val="16"/>
              </w:rPr>
              <w:t>EBITDA margin</w:t>
            </w:r>
          </w:p>
        </w:tc>
        <w:tc>
          <w:tcPr>
            <w:tcW w:type="dxa" w:w="1037"/>
          </w:tcPr>
          <w:p>
            <w:pPr>
              <w:spacing w:after="20"/>
              <w:jc w:val="right"/>
            </w:pPr>
            <w:r>
              <w:rPr>
                <w:color w:val="1C3A36"/>
                <w:sz w:val="16"/>
              </w:rPr>
              <w:t>22.0%</w:t>
            </w:r>
          </w:p>
        </w:tc>
        <w:tc>
          <w:tcPr>
            <w:tcW w:type="dxa" w:w="1037"/>
          </w:tcPr>
          <w:p>
            <w:pPr>
              <w:spacing w:after="20"/>
              <w:jc w:val="right"/>
            </w:pPr>
            <w:r>
              <w:rPr>
                <w:color w:val="1C3A36"/>
                <w:sz w:val="16"/>
              </w:rPr>
              <w:t>23.1%</w:t>
            </w:r>
          </w:p>
        </w:tc>
        <w:tc>
          <w:tcPr>
            <w:tcW w:type="dxa" w:w="1037"/>
          </w:tcPr>
          <w:p>
            <w:pPr>
              <w:spacing w:after="20"/>
              <w:jc w:val="right"/>
            </w:pPr>
            <w:r>
              <w:rPr>
                <w:color w:val="1C3A36"/>
                <w:sz w:val="16"/>
              </w:rPr>
              <w:t>39.3%</w:t>
            </w:r>
          </w:p>
        </w:tc>
        <w:tc>
          <w:tcPr>
            <w:tcW w:type="dxa" w:w="1037"/>
          </w:tcPr>
          <w:p>
            <w:pPr>
              <w:spacing w:after="20"/>
              <w:jc w:val="right"/>
            </w:pPr>
            <w:r>
              <w:rPr>
                <w:color w:val="1C3A36"/>
                <w:sz w:val="16"/>
              </w:rPr>
              <w:t>36.9%</w:t>
            </w:r>
          </w:p>
        </w:tc>
        <w:tc>
          <w:tcPr>
            <w:tcW w:type="dxa" w:w="1037"/>
          </w:tcPr>
          <w:p>
            <w:pPr>
              <w:spacing w:after="20"/>
              <w:jc w:val="right"/>
            </w:pPr>
            <w:r>
              <w:rPr>
                <w:color w:val="1C3A36"/>
                <w:sz w:val="16"/>
              </w:rPr>
              <w:t>36.5%</w:t>
            </w:r>
          </w:p>
        </w:tc>
        <w:tc>
          <w:tcPr>
            <w:tcW w:type="dxa" w:w="1037"/>
          </w:tcPr>
          <w:p>
            <w:pPr>
              <w:spacing w:after="20"/>
              <w:jc w:val="right"/>
            </w:pPr>
            <w:r>
              <w:rPr>
                <w:color w:val="1C3A36"/>
                <w:sz w:val="16"/>
              </w:rPr>
              <w:t>36.3%</w:t>
            </w:r>
          </w:p>
        </w:tc>
        <w:tc>
          <w:tcPr>
            <w:tcW w:type="dxa" w:w="1037"/>
          </w:tcPr>
          <w:p>
            <w:pPr>
              <w:spacing w:after="20"/>
              <w:jc w:val="right"/>
            </w:pPr>
            <w:r>
              <w:rPr>
                <w:color w:val="1C3A36"/>
                <w:sz w:val="16"/>
              </w:rPr>
              <w:t>36.0%</w:t>
            </w:r>
          </w:p>
        </w:tc>
        <w:tc>
          <w:tcPr>
            <w:tcW w:type="dxa" w:w="1037"/>
          </w:tcPr>
          <w:p>
            <w:pPr>
              <w:spacing w:after="20"/>
              <w:jc w:val="right"/>
            </w:pPr>
            <w:r>
              <w:rPr>
                <w:color w:val="1C3A36"/>
                <w:sz w:val="16"/>
              </w:rPr>
              <w:t>35.9%</w:t>
            </w:r>
          </w:p>
        </w:tc>
      </w:tr>
      <w:tr>
        <w:tc>
          <w:tcPr>
            <w:tcW w:type="dxa" w:w="2189"/>
          </w:tcPr>
          <w:p>
            <w:pPr>
              <w:spacing w:after="20"/>
            </w:pPr>
            <w:r>
              <w:rPr>
                <w:color w:val="1C3A36"/>
                <w:sz w:val="16"/>
              </w:rPr>
              <w:t>Net finance and other income</w:t>
            </w:r>
          </w:p>
        </w:tc>
        <w:tc>
          <w:tcPr>
            <w:tcW w:type="dxa" w:w="1037"/>
          </w:tcPr>
          <w:p>
            <w:pPr>
              <w:spacing w:after="20"/>
              <w:jc w:val="right"/>
            </w:pPr>
            <w:r>
              <w:rPr>
                <w:color w:val="1C3A36"/>
                <w:sz w:val="16"/>
              </w:rPr>
              <w:t>-149</w:t>
            </w:r>
          </w:p>
        </w:tc>
        <w:tc>
          <w:tcPr>
            <w:tcW w:type="dxa" w:w="1037"/>
          </w:tcPr>
          <w:p>
            <w:pPr>
              <w:spacing w:after="20"/>
              <w:jc w:val="right"/>
            </w:pPr>
            <w:r>
              <w:rPr>
                <w:color w:val="1C3A36"/>
                <w:sz w:val="16"/>
              </w:rPr>
              <w:t>-258</w:t>
            </w:r>
          </w:p>
        </w:tc>
        <w:tc>
          <w:tcPr>
            <w:tcW w:type="dxa" w:w="1037"/>
          </w:tcPr>
          <w:p>
            <w:pPr>
              <w:spacing w:after="20"/>
              <w:jc w:val="right"/>
            </w:pPr>
            <w:r>
              <w:rPr>
                <w:color w:val="1C3A36"/>
                <w:sz w:val="16"/>
              </w:rPr>
              <w:t>129</w:t>
            </w:r>
          </w:p>
        </w:tc>
        <w:tc>
          <w:tcPr>
            <w:tcW w:type="dxa" w:w="1037"/>
          </w:tcPr>
          <w:p>
            <w:pPr>
              <w:spacing w:after="20"/>
              <w:jc w:val="right"/>
            </w:pPr>
            <w:r>
              <w:rPr>
                <w:color w:val="1C3A36"/>
                <w:sz w:val="16"/>
              </w:rPr>
              <w:t>127</w:t>
            </w:r>
          </w:p>
        </w:tc>
        <w:tc>
          <w:tcPr>
            <w:tcW w:type="dxa" w:w="1037"/>
          </w:tcPr>
          <w:p>
            <w:pPr>
              <w:spacing w:after="20"/>
              <w:jc w:val="right"/>
            </w:pPr>
            <w:r>
              <w:rPr>
                <w:color w:val="1C3A36"/>
                <w:sz w:val="16"/>
              </w:rPr>
              <w:t>205</w:t>
            </w:r>
          </w:p>
        </w:tc>
        <w:tc>
          <w:tcPr>
            <w:tcW w:type="dxa" w:w="1037"/>
          </w:tcPr>
          <w:p>
            <w:pPr>
              <w:spacing w:after="20"/>
              <w:jc w:val="right"/>
            </w:pPr>
            <w:r>
              <w:rPr>
                <w:color w:val="1C3A36"/>
                <w:sz w:val="16"/>
              </w:rPr>
              <w:t>294</w:t>
            </w:r>
          </w:p>
        </w:tc>
        <w:tc>
          <w:tcPr>
            <w:tcW w:type="dxa" w:w="1037"/>
          </w:tcPr>
          <w:p>
            <w:pPr>
              <w:spacing w:after="20"/>
              <w:jc w:val="right"/>
            </w:pPr>
            <w:r>
              <w:rPr>
                <w:color w:val="1C3A36"/>
                <w:sz w:val="16"/>
              </w:rPr>
              <w:t>388</w:t>
            </w:r>
          </w:p>
        </w:tc>
        <w:tc>
          <w:tcPr>
            <w:tcW w:type="dxa" w:w="1037"/>
          </w:tcPr>
          <w:p>
            <w:pPr>
              <w:spacing w:after="20"/>
              <w:jc w:val="right"/>
            </w:pPr>
            <w:r>
              <w:rPr>
                <w:color w:val="1C3A36"/>
                <w:sz w:val="16"/>
              </w:rPr>
              <w:t>502</w:t>
            </w:r>
          </w:p>
        </w:tc>
      </w:tr>
      <w:tr>
        <w:tc>
          <w:tcPr>
            <w:tcW w:type="dxa" w:w="2189"/>
          </w:tcPr>
          <w:p>
            <w:pPr>
              <w:spacing w:after="20"/>
            </w:pPr>
            <w:r>
              <w:rPr>
                <w:color w:val="1C3A36"/>
                <w:sz w:val="16"/>
              </w:rPr>
              <w:t>Profit before tax</w:t>
            </w:r>
          </w:p>
        </w:tc>
        <w:tc>
          <w:tcPr>
            <w:tcW w:type="dxa" w:w="1037"/>
          </w:tcPr>
          <w:p>
            <w:pPr>
              <w:spacing w:after="20"/>
              <w:jc w:val="right"/>
            </w:pPr>
            <w:r>
              <w:rPr>
                <w:color w:val="1C3A36"/>
                <w:sz w:val="16"/>
              </w:rPr>
              <w:t>930</w:t>
            </w:r>
          </w:p>
        </w:tc>
        <w:tc>
          <w:tcPr>
            <w:tcW w:type="dxa" w:w="1037"/>
          </w:tcPr>
          <w:p>
            <w:pPr>
              <w:spacing w:after="20"/>
              <w:jc w:val="right"/>
            </w:pPr>
            <w:r>
              <w:rPr>
                <w:color w:val="1C3A36"/>
                <w:sz w:val="16"/>
              </w:rPr>
              <w:t>1,506</w:t>
            </w:r>
          </w:p>
        </w:tc>
        <w:tc>
          <w:tcPr>
            <w:tcW w:type="dxa" w:w="1037"/>
          </w:tcPr>
          <w:p>
            <w:pPr>
              <w:spacing w:after="20"/>
              <w:jc w:val="right"/>
            </w:pPr>
            <w:r>
              <w:rPr>
                <w:color w:val="1C3A36"/>
                <w:sz w:val="16"/>
              </w:rPr>
              <w:t>4,725</w:t>
            </w:r>
          </w:p>
        </w:tc>
        <w:tc>
          <w:tcPr>
            <w:tcW w:type="dxa" w:w="1037"/>
          </w:tcPr>
          <w:p>
            <w:pPr>
              <w:spacing w:after="20"/>
              <w:jc w:val="right"/>
            </w:pPr>
            <w:r>
              <w:rPr>
                <w:color w:val="1C3A36"/>
                <w:sz w:val="16"/>
              </w:rPr>
              <w:t>4,686</w:t>
            </w:r>
          </w:p>
        </w:tc>
        <w:tc>
          <w:tcPr>
            <w:tcW w:type="dxa" w:w="1037"/>
          </w:tcPr>
          <w:p>
            <w:pPr>
              <w:spacing w:after="20"/>
              <w:jc w:val="right"/>
            </w:pPr>
            <w:r>
              <w:rPr>
                <w:color w:val="1C3A36"/>
                <w:sz w:val="16"/>
              </w:rPr>
              <w:t>5,078</w:t>
            </w:r>
          </w:p>
        </w:tc>
        <w:tc>
          <w:tcPr>
            <w:tcW w:type="dxa" w:w="1037"/>
          </w:tcPr>
          <w:p>
            <w:pPr>
              <w:spacing w:after="20"/>
              <w:jc w:val="right"/>
            </w:pPr>
            <w:r>
              <w:rPr>
                <w:color w:val="1C3A36"/>
                <w:sz w:val="16"/>
              </w:rPr>
              <w:t>5,517</w:t>
            </w:r>
          </w:p>
        </w:tc>
        <w:tc>
          <w:tcPr>
            <w:tcW w:type="dxa" w:w="1037"/>
          </w:tcPr>
          <w:p>
            <w:pPr>
              <w:spacing w:after="20"/>
              <w:jc w:val="right"/>
            </w:pPr>
            <w:r>
              <w:rPr>
                <w:color w:val="1C3A36"/>
                <w:sz w:val="16"/>
              </w:rPr>
              <w:t>5,888</w:t>
            </w:r>
          </w:p>
        </w:tc>
        <w:tc>
          <w:tcPr>
            <w:tcW w:type="dxa" w:w="1037"/>
          </w:tcPr>
          <w:p>
            <w:pPr>
              <w:spacing w:after="20"/>
              <w:jc w:val="right"/>
            </w:pPr>
            <w:r>
              <w:rPr>
                <w:color w:val="1C3A36"/>
                <w:sz w:val="16"/>
              </w:rPr>
              <w:t>6,326</w:t>
            </w:r>
          </w:p>
        </w:tc>
      </w:tr>
      <w:tr>
        <w:tc>
          <w:tcPr>
            <w:tcW w:type="dxa" w:w="2189"/>
          </w:tcPr>
          <w:p>
            <w:pPr>
              <w:spacing w:after="20"/>
            </w:pPr>
            <w:r>
              <w:rPr>
                <w:color w:val="1C3A36"/>
                <w:sz w:val="16"/>
              </w:rPr>
              <w:t>Income tax</w:t>
            </w:r>
          </w:p>
        </w:tc>
        <w:tc>
          <w:tcPr>
            <w:tcW w:type="dxa" w:w="1037"/>
          </w:tcPr>
          <w:p>
            <w:pPr>
              <w:spacing w:after="20"/>
              <w:jc w:val="right"/>
            </w:pPr>
            <w:r>
              <w:rPr>
                <w:color w:val="1C3A36"/>
                <w:sz w:val="16"/>
              </w:rPr>
              <w:t>(233)</w:t>
            </w:r>
          </w:p>
        </w:tc>
        <w:tc>
          <w:tcPr>
            <w:tcW w:type="dxa" w:w="1037"/>
          </w:tcPr>
          <w:p>
            <w:pPr>
              <w:spacing w:after="20"/>
              <w:jc w:val="right"/>
            </w:pPr>
            <w:r>
              <w:rPr>
                <w:color w:val="1C3A36"/>
                <w:sz w:val="16"/>
              </w:rPr>
              <w:t>(346)</w:t>
            </w:r>
          </w:p>
        </w:tc>
        <w:tc>
          <w:tcPr>
            <w:tcW w:type="dxa" w:w="1037"/>
          </w:tcPr>
          <w:p>
            <w:pPr>
              <w:spacing w:after="20"/>
              <w:jc w:val="right"/>
            </w:pPr>
            <w:r>
              <w:rPr>
                <w:color w:val="1C3A36"/>
                <w:sz w:val="16"/>
              </w:rPr>
              <w:t>(1,125)</w:t>
            </w:r>
          </w:p>
        </w:tc>
        <w:tc>
          <w:tcPr>
            <w:tcW w:type="dxa" w:w="1037"/>
          </w:tcPr>
          <w:p>
            <w:pPr>
              <w:spacing w:after="20"/>
              <w:jc w:val="right"/>
            </w:pPr>
            <w:r>
              <w:rPr>
                <w:color w:val="1C3A36"/>
                <w:sz w:val="16"/>
              </w:rPr>
              <w:t>(1,116)</w:t>
            </w:r>
          </w:p>
        </w:tc>
        <w:tc>
          <w:tcPr>
            <w:tcW w:type="dxa" w:w="1037"/>
          </w:tcPr>
          <w:p>
            <w:pPr>
              <w:spacing w:after="20"/>
              <w:jc w:val="right"/>
            </w:pPr>
            <w:r>
              <w:rPr>
                <w:color w:val="1C3A36"/>
                <w:sz w:val="16"/>
              </w:rPr>
              <w:t>(1,209)</w:t>
            </w:r>
          </w:p>
        </w:tc>
        <w:tc>
          <w:tcPr>
            <w:tcW w:type="dxa" w:w="1037"/>
          </w:tcPr>
          <w:p>
            <w:pPr>
              <w:spacing w:after="20"/>
              <w:jc w:val="right"/>
            </w:pPr>
            <w:r>
              <w:rPr>
                <w:color w:val="1C3A36"/>
                <w:sz w:val="16"/>
              </w:rPr>
              <w:t>(1,314)</w:t>
            </w:r>
          </w:p>
        </w:tc>
        <w:tc>
          <w:tcPr>
            <w:tcW w:type="dxa" w:w="1037"/>
          </w:tcPr>
          <w:p>
            <w:pPr>
              <w:spacing w:after="20"/>
              <w:jc w:val="right"/>
            </w:pPr>
            <w:r>
              <w:rPr>
                <w:color w:val="1C3A36"/>
                <w:sz w:val="16"/>
              </w:rPr>
              <w:t>(1,402)</w:t>
            </w:r>
          </w:p>
        </w:tc>
        <w:tc>
          <w:tcPr>
            <w:tcW w:type="dxa" w:w="1037"/>
          </w:tcPr>
          <w:p>
            <w:pPr>
              <w:spacing w:after="20"/>
              <w:jc w:val="right"/>
            </w:pPr>
            <w:r>
              <w:rPr>
                <w:color w:val="1C3A36"/>
                <w:sz w:val="16"/>
              </w:rPr>
              <w:t>(1,507)</w:t>
            </w:r>
          </w:p>
        </w:tc>
      </w:tr>
      <w:tr>
        <w:tc>
          <w:tcPr>
            <w:tcW w:type="dxa" w:w="2189"/>
            <w:shd w:val="clear" w:color="auto" w:fill="F6F1E6"/>
          </w:tcPr>
          <w:p>
            <w:pPr>
              <w:spacing w:after="20"/>
            </w:pPr>
            <w:r>
              <w:rPr>
                <w:b/>
                <w:color w:val="1C3A36"/>
                <w:sz w:val="16"/>
              </w:rPr>
              <w:t>Attributable profit</w:t>
            </w:r>
          </w:p>
        </w:tc>
        <w:tc>
          <w:tcPr>
            <w:tcW w:type="dxa" w:w="1037"/>
            <w:shd w:val="clear" w:color="auto" w:fill="F6F1E6"/>
          </w:tcPr>
          <w:p>
            <w:pPr>
              <w:spacing w:after="20"/>
              <w:jc w:val="right"/>
            </w:pPr>
            <w:r>
              <w:rPr>
                <w:b/>
                <w:color w:val="1C3A36"/>
                <w:sz w:val="16"/>
              </w:rPr>
              <w:t>697</w:t>
            </w:r>
          </w:p>
        </w:tc>
        <w:tc>
          <w:tcPr>
            <w:tcW w:type="dxa" w:w="1037"/>
            <w:shd w:val="clear" w:color="auto" w:fill="F6F1E6"/>
          </w:tcPr>
          <w:p>
            <w:pPr>
              <w:spacing w:after="20"/>
              <w:jc w:val="right"/>
            </w:pPr>
            <w:r>
              <w:rPr>
                <w:b/>
                <w:color w:val="1C3A36"/>
                <w:sz w:val="16"/>
              </w:rPr>
              <w:t>1,160</w:t>
            </w:r>
          </w:p>
        </w:tc>
        <w:tc>
          <w:tcPr>
            <w:tcW w:type="dxa" w:w="1037"/>
            <w:shd w:val="clear" w:color="auto" w:fill="F6F1E6"/>
          </w:tcPr>
          <w:p>
            <w:pPr>
              <w:spacing w:after="20"/>
              <w:jc w:val="right"/>
            </w:pPr>
            <w:r>
              <w:rPr>
                <w:b/>
                <w:color w:val="1C3A36"/>
                <w:sz w:val="16"/>
              </w:rPr>
              <w:t>3,600</w:t>
            </w:r>
          </w:p>
        </w:tc>
        <w:tc>
          <w:tcPr>
            <w:tcW w:type="dxa" w:w="1037"/>
            <w:shd w:val="clear" w:color="auto" w:fill="F6F1E6"/>
          </w:tcPr>
          <w:p>
            <w:pPr>
              <w:spacing w:after="20"/>
              <w:jc w:val="right"/>
            </w:pPr>
            <w:r>
              <w:rPr>
                <w:b/>
                <w:color w:val="1C3A36"/>
                <w:sz w:val="16"/>
              </w:rPr>
              <w:t>3,570</w:t>
            </w:r>
          </w:p>
        </w:tc>
        <w:tc>
          <w:tcPr>
            <w:tcW w:type="dxa" w:w="1037"/>
            <w:shd w:val="clear" w:color="auto" w:fill="F6F1E6"/>
          </w:tcPr>
          <w:p>
            <w:pPr>
              <w:spacing w:after="20"/>
              <w:jc w:val="right"/>
            </w:pPr>
            <w:r>
              <w:rPr>
                <w:b/>
                <w:color w:val="1C3A36"/>
                <w:sz w:val="16"/>
              </w:rPr>
              <w:t>3,868</w:t>
            </w:r>
          </w:p>
        </w:tc>
        <w:tc>
          <w:tcPr>
            <w:tcW w:type="dxa" w:w="1037"/>
            <w:shd w:val="clear" w:color="auto" w:fill="F6F1E6"/>
          </w:tcPr>
          <w:p>
            <w:pPr>
              <w:spacing w:after="20"/>
              <w:jc w:val="right"/>
            </w:pPr>
            <w:r>
              <w:rPr>
                <w:b/>
                <w:color w:val="1C3A36"/>
                <w:sz w:val="16"/>
              </w:rPr>
              <w:t>4,203</w:t>
            </w:r>
          </w:p>
        </w:tc>
        <w:tc>
          <w:tcPr>
            <w:tcW w:type="dxa" w:w="1037"/>
            <w:shd w:val="clear" w:color="auto" w:fill="F6F1E6"/>
          </w:tcPr>
          <w:p>
            <w:pPr>
              <w:spacing w:after="20"/>
              <w:jc w:val="right"/>
            </w:pPr>
            <w:r>
              <w:rPr>
                <w:b/>
                <w:color w:val="1C3A36"/>
                <w:sz w:val="16"/>
              </w:rPr>
              <w:t>4,485</w:t>
            </w:r>
          </w:p>
        </w:tc>
        <w:tc>
          <w:tcPr>
            <w:tcW w:type="dxa" w:w="1037"/>
            <w:shd w:val="clear" w:color="auto" w:fill="F6F1E6"/>
          </w:tcPr>
          <w:p>
            <w:pPr>
              <w:spacing w:after="20"/>
              <w:jc w:val="right"/>
            </w:pPr>
            <w:r>
              <w:rPr>
                <w:b/>
                <w:color w:val="1C3A36"/>
                <w:sz w:val="16"/>
              </w:rPr>
              <w:t>4,819</w:t>
            </w:r>
          </w:p>
        </w:tc>
      </w:tr>
      <w:tr>
        <w:tc>
          <w:tcPr>
            <w:tcW w:type="dxa" w:w="2189"/>
          </w:tcPr>
          <w:p>
            <w:pPr>
              <w:spacing w:after="20"/>
            </w:pPr>
            <w:r>
              <w:rPr>
                <w:color w:val="1C3A36"/>
                <w:sz w:val="16"/>
              </w:rPr>
              <w:t>Earnings per share (EGP)</w:t>
            </w:r>
          </w:p>
        </w:tc>
        <w:tc>
          <w:tcPr>
            <w:tcW w:type="dxa" w:w="1037"/>
          </w:tcPr>
          <w:p>
            <w:pPr>
              <w:spacing w:after="20"/>
              <w:jc w:val="right"/>
            </w:pPr>
            <w:r>
              <w:rPr>
                <w:color w:val="1C3A36"/>
                <w:sz w:val="16"/>
              </w:rPr>
              <w:t>1.81</w:t>
            </w:r>
          </w:p>
        </w:tc>
        <w:tc>
          <w:tcPr>
            <w:tcW w:type="dxa" w:w="1037"/>
          </w:tcPr>
          <w:p>
            <w:pPr>
              <w:spacing w:after="20"/>
              <w:jc w:val="right"/>
            </w:pPr>
            <w:r>
              <w:rPr>
                <w:color w:val="1C3A36"/>
                <w:sz w:val="16"/>
              </w:rPr>
              <w:t>3.02</w:t>
            </w:r>
          </w:p>
        </w:tc>
        <w:tc>
          <w:tcPr>
            <w:tcW w:type="dxa" w:w="1037"/>
          </w:tcPr>
          <w:p>
            <w:pPr>
              <w:spacing w:after="20"/>
              <w:jc w:val="right"/>
            </w:pPr>
            <w:r>
              <w:rPr>
                <w:color w:val="1C3A36"/>
                <w:sz w:val="16"/>
              </w:rPr>
              <w:t>9.49</w:t>
            </w:r>
          </w:p>
        </w:tc>
        <w:tc>
          <w:tcPr>
            <w:tcW w:type="dxa" w:w="1037"/>
          </w:tcPr>
          <w:p>
            <w:pPr>
              <w:spacing w:after="20"/>
              <w:jc w:val="right"/>
            </w:pPr>
            <w:r>
              <w:rPr>
                <w:color w:val="1C3A36"/>
                <w:sz w:val="16"/>
              </w:rPr>
              <w:t>9.52</w:t>
            </w:r>
          </w:p>
        </w:tc>
        <w:tc>
          <w:tcPr>
            <w:tcW w:type="dxa" w:w="1037"/>
          </w:tcPr>
          <w:p>
            <w:pPr>
              <w:spacing w:after="20"/>
              <w:jc w:val="right"/>
            </w:pPr>
            <w:r>
              <w:rPr>
                <w:color w:val="1C3A36"/>
                <w:sz w:val="16"/>
              </w:rPr>
              <w:t>10.32</w:t>
            </w:r>
          </w:p>
        </w:tc>
        <w:tc>
          <w:tcPr>
            <w:tcW w:type="dxa" w:w="1037"/>
          </w:tcPr>
          <w:p>
            <w:pPr>
              <w:spacing w:after="20"/>
              <w:jc w:val="right"/>
            </w:pPr>
            <w:r>
              <w:rPr>
                <w:color w:val="1C3A36"/>
                <w:sz w:val="16"/>
              </w:rPr>
              <w:t>11.21</w:t>
            </w:r>
          </w:p>
        </w:tc>
        <w:tc>
          <w:tcPr>
            <w:tcW w:type="dxa" w:w="1037"/>
          </w:tcPr>
          <w:p>
            <w:pPr>
              <w:spacing w:after="20"/>
              <w:jc w:val="right"/>
            </w:pPr>
            <w:r>
              <w:rPr>
                <w:color w:val="1C3A36"/>
                <w:sz w:val="16"/>
              </w:rPr>
              <w:t>11.97</w:t>
            </w:r>
          </w:p>
        </w:tc>
        <w:tc>
          <w:tcPr>
            <w:tcW w:type="dxa" w:w="1037"/>
          </w:tcPr>
          <w:p>
            <w:pPr>
              <w:spacing w:after="20"/>
              <w:jc w:val="right"/>
            </w:pPr>
            <w:r>
              <w:rPr>
                <w:color w:val="1C3A36"/>
                <w:sz w:val="16"/>
              </w:rPr>
              <w:t>12.86</w:t>
            </w:r>
          </w:p>
        </w:tc>
      </w:tr>
    </w:tbl>
    <w:p>
      <w:pPr>
        <w:spacing w:after="40"/>
      </w:pPr>
    </w:p>
    <w:p>
      <w:pPr>
        <w:spacing w:after="200" w:before="0"/>
      </w:pPr>
      <w:r>
        <w:rPr>
          <w:b w:val="0"/>
          <w:i/>
          <w:color w:val="6E7B77"/>
          <w:sz w:val="17"/>
        </w:rPr>
        <w:t>Table A1 — Three AUDITED years and five forecast. FY2023-FY2025 revenue, cost of sales, administrative expenses, provisions, pre-tax profit, tax, attributable profit, earnings per share and depreciation are disclosed figures; operating profit, EBITDA and the margins are formulas over them. The published earnings per share is struck on distributable profit after the statutory employees' and directors' share, which is why it differs slightly from profit over the share count.</w:t>
      </w:r>
    </w:p>
    <w:p>
      <w:pPr>
        <w:spacing w:after="80" w:before="200"/>
      </w:pPr>
      <w:r>
        <w:rPr>
          <w:b/>
          <w:i w:val="0"/>
          <w:color w:val="1C3A36"/>
          <w:sz w:val="24"/>
        </w:rPr>
        <w:t>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89"/>
        <w:gridCol w:w="1037"/>
        <w:gridCol w:w="1037"/>
        <w:gridCol w:w="1037"/>
        <w:gridCol w:w="1037"/>
        <w:gridCol w:w="1037"/>
        <w:gridCol w:w="1037"/>
        <w:gridCol w:w="1037"/>
        <w:gridCol w:w="1037"/>
      </w:tblGrid>
      <w:tr>
        <w:tc>
          <w:tcPr>
            <w:tcW w:type="dxa" w:w="2189"/>
            <w:shd w:val="clear" w:color="auto" w:fill="EAF0EE"/>
          </w:tcPr>
          <w:p>
            <w:pPr>
              <w:spacing w:after="20"/>
            </w:pPr>
            <w:r>
              <w:rPr>
                <w:b/>
                <w:color w:val="1C3A36"/>
                <w:sz w:val="16"/>
              </w:rPr>
              <w:t>EGP mn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189"/>
            <w:shd w:val="clear" w:color="auto" w:fill="F6F1E6"/>
          </w:tcPr>
          <w:p>
            <w:pPr>
              <w:spacing w:after="20"/>
            </w:pPr>
            <w:r>
              <w:rPr>
                <w:b/>
                <w:color w:val="1C3A36"/>
                <w:sz w:val="16"/>
              </w:rPr>
              <w:t>Total assets</w:t>
            </w:r>
          </w:p>
        </w:tc>
        <w:tc>
          <w:tcPr>
            <w:tcW w:type="dxa" w:w="1037"/>
            <w:shd w:val="clear" w:color="auto" w:fill="F6F1E6"/>
          </w:tcPr>
          <w:p>
            <w:pPr>
              <w:spacing w:after="20"/>
              <w:jc w:val="right"/>
            </w:pPr>
            <w:r>
              <w:rPr>
                <w:b/>
                <w:color w:val="1C3A36"/>
                <w:sz w:val="16"/>
              </w:rPr>
              <w:t>3,888</w:t>
            </w:r>
          </w:p>
        </w:tc>
        <w:tc>
          <w:tcPr>
            <w:tcW w:type="dxa" w:w="1037"/>
            <w:shd w:val="clear" w:color="auto" w:fill="F6F1E6"/>
          </w:tcPr>
          <w:p>
            <w:pPr>
              <w:spacing w:after="20"/>
              <w:jc w:val="right"/>
            </w:pPr>
            <w:r>
              <w:rPr>
                <w:b/>
                <w:color w:val="1C3A36"/>
                <w:sz w:val="16"/>
              </w:rPr>
              <w:t>5,849</w:t>
            </w:r>
          </w:p>
        </w:tc>
        <w:tc>
          <w:tcPr>
            <w:tcW w:type="dxa" w:w="1037"/>
            <w:shd w:val="clear" w:color="auto" w:fill="F6F1E6"/>
          </w:tcPr>
          <w:p>
            <w:pPr>
              <w:spacing w:after="20"/>
              <w:jc w:val="right"/>
            </w:pPr>
            <w:r>
              <w:rPr>
                <w:b/>
                <w:color w:val="1C3A36"/>
                <w:sz w:val="16"/>
              </w:rPr>
              <w:t>8,784</w:t>
            </w:r>
          </w:p>
        </w:tc>
        <w:tc>
          <w:tcPr>
            <w:tcW w:type="dxa" w:w="1037"/>
            <w:shd w:val="clear" w:color="auto" w:fill="F6F1E6"/>
          </w:tcPr>
          <w:p>
            <w:pPr>
              <w:spacing w:after="20"/>
              <w:jc w:val="right"/>
            </w:pPr>
            <w:r>
              <w:rPr>
                <w:b/>
                <w:color w:val="1C3A36"/>
                <w:sz w:val="16"/>
              </w:rPr>
              <w:t>8,366</w:t>
            </w:r>
          </w:p>
        </w:tc>
        <w:tc>
          <w:tcPr>
            <w:tcW w:type="dxa" w:w="1037"/>
            <w:shd w:val="clear" w:color="auto" w:fill="F6F1E6"/>
          </w:tcPr>
          <w:p>
            <w:pPr>
              <w:spacing w:after="20"/>
              <w:jc w:val="right"/>
            </w:pPr>
            <w:r>
              <w:rPr>
                <w:b/>
                <w:color w:val="1C3A36"/>
                <w:sz w:val="16"/>
              </w:rPr>
              <w:t>10,083</w:t>
            </w:r>
          </w:p>
        </w:tc>
        <w:tc>
          <w:tcPr>
            <w:tcW w:type="dxa" w:w="1037"/>
            <w:shd w:val="clear" w:color="auto" w:fill="F6F1E6"/>
          </w:tcPr>
          <w:p>
            <w:pPr>
              <w:spacing w:after="20"/>
              <w:jc w:val="right"/>
            </w:pPr>
            <w:r>
              <w:rPr>
                <w:b/>
                <w:color w:val="1C3A36"/>
                <w:sz w:val="16"/>
              </w:rPr>
              <w:t>11,950</w:t>
            </w:r>
          </w:p>
        </w:tc>
        <w:tc>
          <w:tcPr>
            <w:tcW w:type="dxa" w:w="1037"/>
            <w:shd w:val="clear" w:color="auto" w:fill="F6F1E6"/>
          </w:tcPr>
          <w:p>
            <w:pPr>
              <w:spacing w:after="20"/>
              <w:jc w:val="right"/>
            </w:pPr>
            <w:r>
              <w:rPr>
                <w:b/>
                <w:color w:val="1C3A36"/>
                <w:sz w:val="16"/>
              </w:rPr>
              <w:t>13,941</w:t>
            </w:r>
          </w:p>
        </w:tc>
        <w:tc>
          <w:tcPr>
            <w:tcW w:type="dxa" w:w="1037"/>
            <w:shd w:val="clear" w:color="auto" w:fill="F6F1E6"/>
          </w:tcPr>
          <w:p>
            <w:pPr>
              <w:spacing w:after="20"/>
              <w:jc w:val="right"/>
            </w:pPr>
            <w:r>
              <w:rPr>
                <w:b/>
                <w:color w:val="1C3A36"/>
                <w:sz w:val="16"/>
              </w:rPr>
              <w:t>16,081</w:t>
            </w:r>
          </w:p>
        </w:tc>
      </w:tr>
      <w:tr>
        <w:tc>
          <w:tcPr>
            <w:tcW w:type="dxa" w:w="2189"/>
          </w:tcPr>
          <w:p>
            <w:pPr>
              <w:spacing w:after="20"/>
            </w:pPr>
            <w:r>
              <w:rPr>
                <w:color w:val="1C3A36"/>
                <w:sz w:val="16"/>
              </w:rPr>
              <w:t>Cash and bank balances</w:t>
            </w:r>
          </w:p>
        </w:tc>
        <w:tc>
          <w:tcPr>
            <w:tcW w:type="dxa" w:w="1037"/>
          </w:tcPr>
          <w:p>
            <w:pPr>
              <w:spacing w:after="20"/>
              <w:jc w:val="right"/>
            </w:pPr>
            <w:r>
              <w:rPr>
                <w:color w:val="1C3A36"/>
                <w:sz w:val="16"/>
              </w:rPr>
              <w:t>561</w:t>
            </w:r>
          </w:p>
        </w:tc>
        <w:tc>
          <w:tcPr>
            <w:tcW w:type="dxa" w:w="1037"/>
          </w:tcPr>
          <w:p>
            <w:pPr>
              <w:spacing w:after="20"/>
              <w:jc w:val="right"/>
            </w:pPr>
            <w:r>
              <w:rPr>
                <w:color w:val="1C3A36"/>
                <w:sz w:val="16"/>
              </w:rPr>
              <w:t>1,687</w:t>
            </w:r>
          </w:p>
        </w:tc>
        <w:tc>
          <w:tcPr>
            <w:tcW w:type="dxa" w:w="1037"/>
          </w:tcPr>
          <w:p>
            <w:pPr>
              <w:spacing w:after="20"/>
              <w:jc w:val="right"/>
            </w:pPr>
            <w:r>
              <w:rPr>
                <w:color w:val="1C3A36"/>
                <w:sz w:val="16"/>
              </w:rPr>
              <w:t>3,459</w:t>
            </w:r>
          </w:p>
        </w:tc>
        <w:tc>
          <w:tcPr>
            <w:tcW w:type="dxa" w:w="1037"/>
          </w:tcPr>
          <w:p>
            <w:pPr>
              <w:spacing w:after="20"/>
              <w:jc w:val="right"/>
            </w:pPr>
            <w:r>
              <w:rPr>
                <w:color w:val="1C3A36"/>
                <w:sz w:val="16"/>
              </w:rPr>
              <w:t>2,265</w:t>
            </w:r>
          </w:p>
        </w:tc>
        <w:tc>
          <w:tcPr>
            <w:tcW w:type="dxa" w:w="1037"/>
          </w:tcPr>
          <w:p>
            <w:pPr>
              <w:spacing w:after="20"/>
              <w:jc w:val="right"/>
            </w:pPr>
            <w:r>
              <w:rPr>
                <w:color w:val="1C3A36"/>
                <w:sz w:val="16"/>
              </w:rPr>
              <w:t>3,171</w:t>
            </w:r>
          </w:p>
        </w:tc>
        <w:tc>
          <w:tcPr>
            <w:tcW w:type="dxa" w:w="1037"/>
          </w:tcPr>
          <w:p>
            <w:pPr>
              <w:spacing w:after="20"/>
              <w:jc w:val="right"/>
            </w:pPr>
            <w:r>
              <w:rPr>
                <w:color w:val="1C3A36"/>
                <w:sz w:val="16"/>
              </w:rPr>
              <w:t>4,228</w:t>
            </w:r>
          </w:p>
        </w:tc>
        <w:tc>
          <w:tcPr>
            <w:tcW w:type="dxa" w:w="1037"/>
          </w:tcPr>
          <w:p>
            <w:pPr>
              <w:spacing w:after="20"/>
              <w:jc w:val="right"/>
            </w:pPr>
            <w:r>
              <w:rPr>
                <w:color w:val="1C3A36"/>
                <w:sz w:val="16"/>
              </w:rPr>
              <w:t>5,433</w:t>
            </w:r>
          </w:p>
        </w:tc>
        <w:tc>
          <w:tcPr>
            <w:tcW w:type="dxa" w:w="1037"/>
          </w:tcPr>
          <w:p>
            <w:pPr>
              <w:spacing w:after="20"/>
              <w:jc w:val="right"/>
            </w:pPr>
            <w:r>
              <w:rPr>
                <w:color w:val="1C3A36"/>
                <w:sz w:val="16"/>
              </w:rPr>
              <w:t>6,799</w:t>
            </w:r>
          </w:p>
        </w:tc>
      </w:tr>
      <w:tr>
        <w:tc>
          <w:tcPr>
            <w:tcW w:type="dxa" w:w="2189"/>
          </w:tcPr>
          <w:p>
            <w:pPr>
              <w:spacing w:after="20"/>
            </w:pPr>
            <w:r>
              <w:rPr>
                <w:color w:val="1C3A36"/>
                <w:sz w:val="16"/>
              </w:rPr>
              <w:t>Interest-bearing debt</w:t>
            </w:r>
          </w:p>
        </w:tc>
        <w:tc>
          <w:tcPr>
            <w:tcW w:type="dxa" w:w="1037"/>
          </w:tcPr>
          <w:p>
            <w:pPr>
              <w:spacing w:after="20"/>
              <w:jc w:val="right"/>
            </w:pPr>
            <w:r>
              <w:rPr>
                <w:color w:val="1C3A36"/>
                <w:sz w:val="16"/>
              </w:rPr>
              <w:t>90</w:t>
            </w:r>
          </w:p>
        </w:tc>
        <w:tc>
          <w:tcPr>
            <w:tcW w:type="dxa" w:w="1037"/>
          </w:tcPr>
          <w:p>
            <w:pPr>
              <w:spacing w:after="20"/>
              <w:jc w:val="right"/>
            </w:pPr>
            <w:r>
              <w:rPr>
                <w:color w:val="1C3A36"/>
                <w:sz w:val="16"/>
              </w:rPr>
              <w:t>761</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r>
      <w:tr>
        <w:tc>
          <w:tcPr>
            <w:tcW w:type="dxa" w:w="2189"/>
          </w:tcPr>
          <w:p>
            <w:pPr>
              <w:spacing w:after="20"/>
            </w:pPr>
            <w:r>
              <w:rPr>
                <w:color w:val="1C3A36"/>
                <w:sz w:val="16"/>
              </w:rPr>
              <w:t>Net (cash) / debt</w:t>
            </w:r>
          </w:p>
        </w:tc>
        <w:tc>
          <w:tcPr>
            <w:tcW w:type="dxa" w:w="1037"/>
          </w:tcPr>
          <w:p>
            <w:pPr>
              <w:spacing w:after="20"/>
              <w:jc w:val="right"/>
            </w:pPr>
            <w:r>
              <w:rPr>
                <w:color w:val="1C3A36"/>
                <w:sz w:val="16"/>
              </w:rPr>
              <w:t>-471</w:t>
            </w:r>
          </w:p>
        </w:tc>
        <w:tc>
          <w:tcPr>
            <w:tcW w:type="dxa" w:w="1037"/>
          </w:tcPr>
          <w:p>
            <w:pPr>
              <w:spacing w:after="20"/>
              <w:jc w:val="right"/>
            </w:pPr>
            <w:r>
              <w:rPr>
                <w:color w:val="1C3A36"/>
                <w:sz w:val="16"/>
              </w:rPr>
              <w:t>-926</w:t>
            </w:r>
          </w:p>
        </w:tc>
        <w:tc>
          <w:tcPr>
            <w:tcW w:type="dxa" w:w="1037"/>
          </w:tcPr>
          <w:p>
            <w:pPr>
              <w:spacing w:after="20"/>
              <w:jc w:val="right"/>
            </w:pPr>
            <w:r>
              <w:rPr>
                <w:color w:val="1C3A36"/>
                <w:sz w:val="16"/>
              </w:rPr>
              <w:t>-2,324</w:t>
            </w:r>
          </w:p>
        </w:tc>
        <w:tc>
          <w:tcPr>
            <w:tcW w:type="dxa" w:w="1037"/>
          </w:tcPr>
          <w:p>
            <w:pPr>
              <w:spacing w:after="20"/>
              <w:jc w:val="right"/>
            </w:pPr>
            <w:r>
              <w:rPr>
                <w:color w:val="1C3A36"/>
                <w:sz w:val="16"/>
              </w:rPr>
              <w:t>-1,130</w:t>
            </w:r>
          </w:p>
        </w:tc>
        <w:tc>
          <w:tcPr>
            <w:tcW w:type="dxa" w:w="1037"/>
          </w:tcPr>
          <w:p>
            <w:pPr>
              <w:spacing w:after="20"/>
              <w:jc w:val="right"/>
            </w:pPr>
            <w:r>
              <w:rPr>
                <w:color w:val="1C3A36"/>
                <w:sz w:val="16"/>
              </w:rPr>
              <w:t>-2,036</w:t>
            </w:r>
          </w:p>
        </w:tc>
        <w:tc>
          <w:tcPr>
            <w:tcW w:type="dxa" w:w="1037"/>
          </w:tcPr>
          <w:p>
            <w:pPr>
              <w:spacing w:after="20"/>
              <w:jc w:val="right"/>
            </w:pPr>
            <w:r>
              <w:rPr>
                <w:color w:val="1C3A36"/>
                <w:sz w:val="16"/>
              </w:rPr>
              <w:t>-3,093</w:t>
            </w:r>
          </w:p>
        </w:tc>
        <w:tc>
          <w:tcPr>
            <w:tcW w:type="dxa" w:w="1037"/>
          </w:tcPr>
          <w:p>
            <w:pPr>
              <w:spacing w:after="20"/>
              <w:jc w:val="right"/>
            </w:pPr>
            <w:r>
              <w:rPr>
                <w:color w:val="1C3A36"/>
                <w:sz w:val="16"/>
              </w:rPr>
              <w:t>-4,298</w:t>
            </w:r>
          </w:p>
        </w:tc>
        <w:tc>
          <w:tcPr>
            <w:tcW w:type="dxa" w:w="1037"/>
          </w:tcPr>
          <w:p>
            <w:pPr>
              <w:spacing w:after="20"/>
              <w:jc w:val="right"/>
            </w:pPr>
            <w:r>
              <w:rPr>
                <w:color w:val="1C3A36"/>
                <w:sz w:val="16"/>
              </w:rPr>
              <w:t>-5,664</w:t>
            </w:r>
          </w:p>
        </w:tc>
      </w:tr>
      <w:tr>
        <w:tc>
          <w:tcPr>
            <w:tcW w:type="dxa" w:w="2189"/>
          </w:tcPr>
          <w:p>
            <w:pPr>
              <w:spacing w:after="20"/>
            </w:pPr>
            <w:r>
              <w:rPr>
                <w:color w:val="1C3A36"/>
                <w:sz w:val="16"/>
              </w:rPr>
              <w:t>Equity attributable to owners</w:t>
            </w:r>
          </w:p>
        </w:tc>
        <w:tc>
          <w:tcPr>
            <w:tcW w:type="dxa" w:w="1037"/>
          </w:tcPr>
          <w:p>
            <w:pPr>
              <w:spacing w:after="20"/>
              <w:jc w:val="right"/>
            </w:pPr>
            <w:r>
              <w:rPr>
                <w:color w:val="1C3A36"/>
                <w:sz w:val="16"/>
              </w:rPr>
              <w:t>1,754</w:t>
            </w:r>
          </w:p>
        </w:tc>
        <w:tc>
          <w:tcPr>
            <w:tcW w:type="dxa" w:w="1037"/>
          </w:tcPr>
          <w:p>
            <w:pPr>
              <w:spacing w:after="20"/>
              <w:jc w:val="right"/>
            </w:pPr>
            <w:r>
              <w:rPr>
                <w:color w:val="1C3A36"/>
                <w:sz w:val="16"/>
              </w:rPr>
              <w:t>2,303</w:t>
            </w:r>
          </w:p>
        </w:tc>
        <w:tc>
          <w:tcPr>
            <w:tcW w:type="dxa" w:w="1037"/>
          </w:tcPr>
          <w:p>
            <w:pPr>
              <w:spacing w:after="20"/>
              <w:jc w:val="right"/>
            </w:pPr>
            <w:r>
              <w:rPr>
                <w:color w:val="1C3A36"/>
                <w:sz w:val="16"/>
              </w:rPr>
              <w:t>4,643</w:t>
            </w:r>
          </w:p>
        </w:tc>
        <w:tc>
          <w:tcPr>
            <w:tcW w:type="dxa" w:w="1037"/>
          </w:tcPr>
          <w:p>
            <w:pPr>
              <w:spacing w:after="20"/>
              <w:jc w:val="right"/>
            </w:pPr>
            <w:r>
              <w:rPr>
                <w:color w:val="1C3A36"/>
                <w:sz w:val="16"/>
              </w:rPr>
              <w:t>4,226</w:t>
            </w:r>
          </w:p>
        </w:tc>
        <w:tc>
          <w:tcPr>
            <w:tcW w:type="dxa" w:w="1037"/>
          </w:tcPr>
          <w:p>
            <w:pPr>
              <w:spacing w:after="20"/>
              <w:jc w:val="right"/>
            </w:pPr>
            <w:r>
              <w:rPr>
                <w:color w:val="1C3A36"/>
                <w:sz w:val="16"/>
              </w:rPr>
              <w:t>5,943</w:t>
            </w:r>
          </w:p>
        </w:tc>
        <w:tc>
          <w:tcPr>
            <w:tcW w:type="dxa" w:w="1037"/>
          </w:tcPr>
          <w:p>
            <w:pPr>
              <w:spacing w:after="20"/>
              <w:jc w:val="right"/>
            </w:pPr>
            <w:r>
              <w:rPr>
                <w:color w:val="1C3A36"/>
                <w:sz w:val="16"/>
              </w:rPr>
              <w:t>7,809</w:t>
            </w:r>
          </w:p>
        </w:tc>
        <w:tc>
          <w:tcPr>
            <w:tcW w:type="dxa" w:w="1037"/>
          </w:tcPr>
          <w:p>
            <w:pPr>
              <w:spacing w:after="20"/>
              <w:jc w:val="right"/>
            </w:pPr>
            <w:r>
              <w:rPr>
                <w:color w:val="1C3A36"/>
                <w:sz w:val="16"/>
              </w:rPr>
              <w:t>9,801</w:t>
            </w:r>
          </w:p>
        </w:tc>
        <w:tc>
          <w:tcPr>
            <w:tcW w:type="dxa" w:w="1037"/>
          </w:tcPr>
          <w:p>
            <w:pPr>
              <w:spacing w:after="20"/>
              <w:jc w:val="right"/>
            </w:pPr>
            <w:r>
              <w:rPr>
                <w:color w:val="1C3A36"/>
                <w:sz w:val="16"/>
              </w:rPr>
              <w:t>11,941</w:t>
            </w:r>
          </w:p>
        </w:tc>
      </w:tr>
      <w:tr>
        <w:tc>
          <w:tcPr>
            <w:tcW w:type="dxa" w:w="2189"/>
          </w:tcPr>
          <w:p>
            <w:pPr>
              <w:spacing w:after="20"/>
            </w:pPr>
            <w:r>
              <w:rPr>
                <w:color w:val="1C3A36"/>
                <w:sz w:val="16"/>
              </w:rPr>
              <w:t>Book value per share (EGP)</w:t>
            </w:r>
          </w:p>
        </w:tc>
        <w:tc>
          <w:tcPr>
            <w:tcW w:type="dxa" w:w="1037"/>
          </w:tcPr>
          <w:p>
            <w:pPr>
              <w:spacing w:after="20"/>
              <w:jc w:val="right"/>
            </w:pPr>
            <w:r>
              <w:rPr>
                <w:color w:val="1C3A36"/>
                <w:sz w:val="16"/>
              </w:rPr>
              <w:t>4.68</w:t>
            </w:r>
          </w:p>
        </w:tc>
        <w:tc>
          <w:tcPr>
            <w:tcW w:type="dxa" w:w="1037"/>
          </w:tcPr>
          <w:p>
            <w:pPr>
              <w:spacing w:after="20"/>
              <w:jc w:val="right"/>
            </w:pPr>
            <w:r>
              <w:rPr>
                <w:color w:val="1C3A36"/>
                <w:sz w:val="16"/>
              </w:rPr>
              <w:t>6.14</w:t>
            </w:r>
          </w:p>
        </w:tc>
        <w:tc>
          <w:tcPr>
            <w:tcW w:type="dxa" w:w="1037"/>
          </w:tcPr>
          <w:p>
            <w:pPr>
              <w:spacing w:after="20"/>
              <w:jc w:val="right"/>
            </w:pPr>
            <w:r>
              <w:rPr>
                <w:color w:val="1C3A36"/>
                <w:sz w:val="16"/>
              </w:rPr>
              <w:t>12.38</w:t>
            </w:r>
          </w:p>
        </w:tc>
        <w:tc>
          <w:tcPr>
            <w:tcW w:type="dxa" w:w="1037"/>
          </w:tcPr>
          <w:p>
            <w:pPr>
              <w:spacing w:after="20"/>
              <w:jc w:val="right"/>
            </w:pPr>
            <w:r>
              <w:rPr>
                <w:color w:val="1C3A36"/>
                <w:sz w:val="16"/>
              </w:rPr>
              <w:t>11.27</w:t>
            </w:r>
          </w:p>
        </w:tc>
        <w:tc>
          <w:tcPr>
            <w:tcW w:type="dxa" w:w="1037"/>
          </w:tcPr>
          <w:p>
            <w:pPr>
              <w:spacing w:after="20"/>
              <w:jc w:val="right"/>
            </w:pPr>
            <w:r>
              <w:rPr>
                <w:color w:val="1C3A36"/>
                <w:sz w:val="16"/>
              </w:rPr>
              <w:t>15.85</w:t>
            </w:r>
          </w:p>
        </w:tc>
        <w:tc>
          <w:tcPr>
            <w:tcW w:type="dxa" w:w="1037"/>
          </w:tcPr>
          <w:p>
            <w:pPr>
              <w:spacing w:after="20"/>
              <w:jc w:val="right"/>
            </w:pPr>
            <w:r>
              <w:rPr>
                <w:color w:val="1C3A36"/>
                <w:sz w:val="16"/>
              </w:rPr>
              <w:t>20.83</w:t>
            </w:r>
          </w:p>
        </w:tc>
        <w:tc>
          <w:tcPr>
            <w:tcW w:type="dxa" w:w="1037"/>
          </w:tcPr>
          <w:p>
            <w:pPr>
              <w:spacing w:after="20"/>
              <w:jc w:val="right"/>
            </w:pPr>
            <w:r>
              <w:rPr>
                <w:color w:val="1C3A36"/>
                <w:sz w:val="16"/>
              </w:rPr>
              <w:t>26.14</w:t>
            </w:r>
          </w:p>
        </w:tc>
        <w:tc>
          <w:tcPr>
            <w:tcW w:type="dxa" w:w="1037"/>
          </w:tcPr>
          <w:p>
            <w:pPr>
              <w:spacing w:after="20"/>
              <w:jc w:val="right"/>
            </w:pPr>
            <w:r>
              <w:rPr>
                <w:color w:val="1C3A36"/>
                <w:sz w:val="16"/>
              </w:rPr>
              <w:t>31.85</w:t>
            </w:r>
          </w:p>
        </w:tc>
      </w:tr>
      <w:tr>
        <w:tc>
          <w:tcPr>
            <w:tcW w:type="dxa" w:w="2189"/>
          </w:tcPr>
          <w:p>
            <w:pPr>
              <w:spacing w:after="20"/>
            </w:pPr>
            <w:r>
              <w:rPr>
                <w:color w:val="1C3A36"/>
                <w:sz w:val="16"/>
              </w:rPr>
              <w:t>Return on equity</w:t>
            </w:r>
          </w:p>
        </w:tc>
        <w:tc>
          <w:tcPr>
            <w:tcW w:type="dxa" w:w="1037"/>
          </w:tcPr>
          <w:p>
            <w:pPr>
              <w:spacing w:after="20"/>
              <w:jc w:val="right"/>
            </w:pPr>
            <w:r>
              <w:rPr>
                <w:color w:val="1C3A36"/>
                <w:sz w:val="16"/>
              </w:rPr>
              <w:t>39.8%</w:t>
            </w:r>
          </w:p>
        </w:tc>
        <w:tc>
          <w:tcPr>
            <w:tcW w:type="dxa" w:w="1037"/>
          </w:tcPr>
          <w:p>
            <w:pPr>
              <w:spacing w:after="20"/>
              <w:jc w:val="right"/>
            </w:pPr>
            <w:r>
              <w:rPr>
                <w:color w:val="1C3A36"/>
                <w:sz w:val="16"/>
              </w:rPr>
              <w:t>50.4%</w:t>
            </w:r>
          </w:p>
        </w:tc>
        <w:tc>
          <w:tcPr>
            <w:tcW w:type="dxa" w:w="1037"/>
          </w:tcPr>
          <w:p>
            <w:pPr>
              <w:spacing w:after="20"/>
              <w:jc w:val="right"/>
            </w:pPr>
            <w:r>
              <w:rPr>
                <w:color w:val="1C3A36"/>
                <w:sz w:val="16"/>
              </w:rPr>
              <w:t>77.5%</w:t>
            </w:r>
          </w:p>
        </w:tc>
        <w:tc>
          <w:tcPr>
            <w:tcW w:type="dxa" w:w="1037"/>
          </w:tcPr>
          <w:p>
            <w:pPr>
              <w:spacing w:after="20"/>
              <w:jc w:val="right"/>
            </w:pPr>
            <w:r>
              <w:rPr>
                <w:color w:val="1C3A36"/>
                <w:sz w:val="16"/>
              </w:rPr>
              <w:t>84.5%</w:t>
            </w:r>
          </w:p>
        </w:tc>
        <w:tc>
          <w:tcPr>
            <w:tcW w:type="dxa" w:w="1037"/>
          </w:tcPr>
          <w:p>
            <w:pPr>
              <w:spacing w:after="20"/>
              <w:jc w:val="right"/>
            </w:pPr>
            <w:r>
              <w:rPr>
                <w:color w:val="1C3A36"/>
                <w:sz w:val="16"/>
              </w:rPr>
              <w:t>65.1%</w:t>
            </w:r>
          </w:p>
        </w:tc>
        <w:tc>
          <w:tcPr>
            <w:tcW w:type="dxa" w:w="1037"/>
          </w:tcPr>
          <w:p>
            <w:pPr>
              <w:spacing w:after="20"/>
              <w:jc w:val="right"/>
            </w:pPr>
            <w:r>
              <w:rPr>
                <w:color w:val="1C3A36"/>
                <w:sz w:val="16"/>
              </w:rPr>
              <w:t>53.8%</w:t>
            </w:r>
          </w:p>
        </w:tc>
        <w:tc>
          <w:tcPr>
            <w:tcW w:type="dxa" w:w="1037"/>
          </w:tcPr>
          <w:p>
            <w:pPr>
              <w:spacing w:after="20"/>
              <w:jc w:val="right"/>
            </w:pPr>
            <w:r>
              <w:rPr>
                <w:color w:val="1C3A36"/>
                <w:sz w:val="16"/>
              </w:rPr>
              <w:t>45.8%</w:t>
            </w:r>
          </w:p>
        </w:tc>
        <w:tc>
          <w:tcPr>
            <w:tcW w:type="dxa" w:w="1037"/>
          </w:tcPr>
          <w:p>
            <w:pPr>
              <w:spacing w:after="20"/>
              <w:jc w:val="right"/>
            </w:pPr>
            <w:r>
              <w:rPr>
                <w:color w:val="1C3A36"/>
                <w:sz w:val="16"/>
              </w:rPr>
              <w:t>40.4%</w:t>
            </w:r>
          </w:p>
        </w:tc>
      </w:tr>
    </w:tbl>
    <w:p>
      <w:pPr>
        <w:spacing w:after="40"/>
      </w:pPr>
    </w:p>
    <w:p>
      <w:pPr>
        <w:spacing w:after="200" w:before="0"/>
      </w:pPr>
      <w:r>
        <w:rPr>
          <w:b w:val="0"/>
          <w:i/>
          <w:color w:val="6E7B77"/>
          <w:sz w:val="17"/>
        </w:rPr>
        <w:t>Table A2 — All three historical years are AUDITED. The FY2025 balance sheet closes exactly: total assets of EGP 8,784mn less total liabilities of EGP 4,141mn equals equity of EGP 4,643mn.</w:t>
      </w:r>
    </w:p>
    <w:p>
      <w:pPr>
        <w:spacing w:after="80" w:before="200"/>
      </w:pPr>
      <w:r>
        <w:rPr>
          <w:b/>
          <w:i w:val="0"/>
          <w:color w:val="1C3A36"/>
          <w:sz w:val="24"/>
        </w:rPr>
        <w:t>Cash flow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Attributable profit</w:t>
            </w:r>
          </w:p>
        </w:tc>
        <w:tc>
          <w:tcPr>
            <w:tcW w:type="dxa" w:w="1325"/>
          </w:tcPr>
          <w:p>
            <w:pPr>
              <w:spacing w:after="20"/>
              <w:jc w:val="right"/>
            </w:pPr>
            <w:r>
              <w:rPr>
                <w:color w:val="1C3A36"/>
                <w:sz w:val="17"/>
              </w:rPr>
              <w:t>3,570</w:t>
            </w:r>
          </w:p>
        </w:tc>
        <w:tc>
          <w:tcPr>
            <w:tcW w:type="dxa" w:w="1325"/>
          </w:tcPr>
          <w:p>
            <w:pPr>
              <w:spacing w:after="20"/>
              <w:jc w:val="right"/>
            </w:pPr>
            <w:r>
              <w:rPr>
                <w:color w:val="1C3A36"/>
                <w:sz w:val="17"/>
              </w:rPr>
              <w:t>3,868</w:t>
            </w:r>
          </w:p>
        </w:tc>
        <w:tc>
          <w:tcPr>
            <w:tcW w:type="dxa" w:w="1325"/>
          </w:tcPr>
          <w:p>
            <w:pPr>
              <w:spacing w:after="20"/>
              <w:jc w:val="right"/>
            </w:pPr>
            <w:r>
              <w:rPr>
                <w:color w:val="1C3A36"/>
                <w:sz w:val="17"/>
              </w:rPr>
              <w:t>4,203</w:t>
            </w:r>
          </w:p>
        </w:tc>
        <w:tc>
          <w:tcPr>
            <w:tcW w:type="dxa" w:w="1325"/>
          </w:tcPr>
          <w:p>
            <w:pPr>
              <w:spacing w:after="20"/>
              <w:jc w:val="right"/>
            </w:pPr>
            <w:r>
              <w:rPr>
                <w:color w:val="1C3A36"/>
                <w:sz w:val="17"/>
              </w:rPr>
              <w:t>4,485</w:t>
            </w:r>
          </w:p>
        </w:tc>
        <w:tc>
          <w:tcPr>
            <w:tcW w:type="dxa" w:w="1325"/>
          </w:tcPr>
          <w:p>
            <w:pPr>
              <w:spacing w:after="20"/>
              <w:jc w:val="right"/>
            </w:pPr>
            <w:r>
              <w:rPr>
                <w:color w:val="1C3A36"/>
                <w:sz w:val="17"/>
              </w:rPr>
              <w:t>4,819</w:t>
            </w:r>
          </w:p>
        </w:tc>
      </w:tr>
      <w:tr>
        <w:tc>
          <w:tcPr>
            <w:tcW w:type="dxa" w:w="3024"/>
          </w:tcPr>
          <w:p>
            <w:pPr>
              <w:spacing w:after="20"/>
            </w:pPr>
            <w:r>
              <w:rPr>
                <w:color w:val="1C3A36"/>
                <w:sz w:val="17"/>
              </w:rPr>
              <w:t>Add back depreciation</w:t>
            </w:r>
          </w:p>
        </w:tc>
        <w:tc>
          <w:tcPr>
            <w:tcW w:type="dxa" w:w="1325"/>
          </w:tcPr>
          <w:p>
            <w:pPr>
              <w:spacing w:after="20"/>
              <w:jc w:val="right"/>
            </w:pPr>
            <w:r>
              <w:rPr>
                <w:color w:val="1C3A36"/>
                <w:sz w:val="17"/>
              </w:rPr>
              <w:t>331</w:t>
            </w:r>
          </w:p>
        </w:tc>
        <w:tc>
          <w:tcPr>
            <w:tcW w:type="dxa" w:w="1325"/>
          </w:tcPr>
          <w:p>
            <w:pPr>
              <w:spacing w:after="20"/>
              <w:jc w:val="right"/>
            </w:pPr>
            <w:r>
              <w:rPr>
                <w:color w:val="1C3A36"/>
                <w:sz w:val="17"/>
              </w:rPr>
              <w:t>389</w:t>
            </w:r>
          </w:p>
        </w:tc>
        <w:tc>
          <w:tcPr>
            <w:tcW w:type="dxa" w:w="1325"/>
          </w:tcPr>
          <w:p>
            <w:pPr>
              <w:spacing w:after="20"/>
              <w:jc w:val="right"/>
            </w:pPr>
            <w:r>
              <w:rPr>
                <w:color w:val="1C3A36"/>
                <w:sz w:val="17"/>
              </w:rPr>
              <w:t>453</w:t>
            </w:r>
          </w:p>
        </w:tc>
        <w:tc>
          <w:tcPr>
            <w:tcW w:type="dxa" w:w="1325"/>
          </w:tcPr>
          <w:p>
            <w:pPr>
              <w:spacing w:after="20"/>
              <w:jc w:val="right"/>
            </w:pPr>
            <w:r>
              <w:rPr>
                <w:color w:val="1C3A36"/>
                <w:sz w:val="17"/>
              </w:rPr>
              <w:t>519</w:t>
            </w:r>
          </w:p>
        </w:tc>
        <w:tc>
          <w:tcPr>
            <w:tcW w:type="dxa" w:w="1325"/>
          </w:tcPr>
          <w:p>
            <w:pPr>
              <w:spacing w:after="20"/>
              <w:jc w:val="right"/>
            </w:pPr>
            <w:r>
              <w:rPr>
                <w:color w:val="1C3A36"/>
                <w:sz w:val="17"/>
              </w:rPr>
              <w:t>589</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-97</w:t>
            </w:r>
          </w:p>
        </w:tc>
        <w:tc>
          <w:tcPr>
            <w:tcW w:type="dxa" w:w="1325"/>
          </w:tcPr>
          <w:p>
            <w:pPr>
              <w:spacing w:after="20"/>
              <w:jc w:val="right"/>
            </w:pPr>
            <w:r>
              <w:rPr>
                <w:color w:val="1C3A36"/>
                <w:sz w:val="17"/>
              </w:rPr>
              <w:t>-138</w:t>
            </w:r>
          </w:p>
        </w:tc>
        <w:tc>
          <w:tcPr>
            <w:tcW w:type="dxa" w:w="1325"/>
          </w:tcPr>
          <w:p>
            <w:pPr>
              <w:spacing w:after="20"/>
              <w:jc w:val="right"/>
            </w:pPr>
            <w:r>
              <w:rPr>
                <w:color w:val="1C3A36"/>
                <w:sz w:val="17"/>
              </w:rPr>
              <w:t>-146</w:t>
            </w:r>
          </w:p>
        </w:tc>
        <w:tc>
          <w:tcPr>
            <w:tcW w:type="dxa" w:w="1325"/>
          </w:tcPr>
          <w:p>
            <w:pPr>
              <w:spacing w:after="20"/>
              <w:jc w:val="right"/>
            </w:pPr>
            <w:r>
              <w:rPr>
                <w:color w:val="1C3A36"/>
                <w:sz w:val="17"/>
              </w:rPr>
              <w:t>-133</w:t>
            </w:r>
          </w:p>
        </w:tc>
        <w:tc>
          <w:tcPr>
            <w:tcW w:type="dxa" w:w="1325"/>
          </w:tcPr>
          <w:p>
            <w:pPr>
              <w:spacing w:after="20"/>
              <w:jc w:val="right"/>
            </w:pPr>
            <w:r>
              <w:rPr>
                <w:color w:val="1C3A36"/>
                <w:sz w:val="17"/>
              </w:rPr>
              <w:t>-133</w:t>
            </w:r>
          </w:p>
        </w:tc>
      </w:tr>
      <w:tr>
        <w:tc>
          <w:tcPr>
            <w:tcW w:type="dxa" w:w="3024"/>
          </w:tcPr>
          <w:p>
            <w:pPr>
              <w:spacing w:after="20"/>
            </w:pPr>
            <w:r>
              <w:rPr>
                <w:color w:val="1C3A36"/>
                <w:sz w:val="17"/>
              </w:rPr>
              <w:t>Capital expenditure</w:t>
            </w:r>
          </w:p>
        </w:tc>
        <w:tc>
          <w:tcPr>
            <w:tcW w:type="dxa" w:w="1325"/>
          </w:tcPr>
          <w:p>
            <w:pPr>
              <w:spacing w:after="20"/>
              <w:jc w:val="right"/>
            </w:pPr>
            <w:r>
              <w:rPr>
                <w:color w:val="1C3A36"/>
                <w:sz w:val="17"/>
              </w:rPr>
              <w:t>-1,012</w:t>
            </w:r>
          </w:p>
        </w:tc>
        <w:tc>
          <w:tcPr>
            <w:tcW w:type="dxa" w:w="1325"/>
          </w:tcPr>
          <w:p>
            <w:pPr>
              <w:spacing w:after="20"/>
              <w:jc w:val="right"/>
            </w:pPr>
            <w:r>
              <w:rPr>
                <w:color w:val="1C3A36"/>
                <w:sz w:val="17"/>
              </w:rPr>
              <w:t>-1,062</w:t>
            </w:r>
          </w:p>
        </w:tc>
        <w:tc>
          <w:tcPr>
            <w:tcW w:type="dxa" w:w="1325"/>
          </w:tcPr>
          <w:p>
            <w:pPr>
              <w:spacing w:after="20"/>
              <w:jc w:val="right"/>
            </w:pPr>
            <w:r>
              <w:rPr>
                <w:color w:val="1C3A36"/>
                <w:sz w:val="17"/>
              </w:rPr>
              <w:t>-1,116</w:t>
            </w:r>
          </w:p>
        </w:tc>
        <w:tc>
          <w:tcPr>
            <w:tcW w:type="dxa" w:w="1325"/>
          </w:tcPr>
          <w:p>
            <w:pPr>
              <w:spacing w:after="20"/>
              <w:jc w:val="right"/>
            </w:pPr>
            <w:r>
              <w:rPr>
                <w:color w:val="1C3A36"/>
                <w:sz w:val="17"/>
              </w:rPr>
              <w:t>-1,172</w:t>
            </w:r>
          </w:p>
        </w:tc>
        <w:tc>
          <w:tcPr>
            <w:tcW w:type="dxa" w:w="1325"/>
          </w:tcPr>
          <w:p>
            <w:pPr>
              <w:spacing w:after="20"/>
              <w:jc w:val="right"/>
            </w:pPr>
            <w:r>
              <w:rPr>
                <w:color w:val="1C3A36"/>
                <w:sz w:val="17"/>
              </w:rPr>
              <w:t>-1,230</w:t>
            </w:r>
          </w:p>
        </w:tc>
      </w:tr>
      <w:tr>
        <w:tc>
          <w:tcPr>
            <w:tcW w:type="dxa" w:w="3024"/>
          </w:tcPr>
          <w:p>
            <w:pPr>
              <w:spacing w:after="20"/>
            </w:pPr>
            <w:r>
              <w:rPr>
                <w:color w:val="1C3A36"/>
                <w:sz w:val="17"/>
              </w:rPr>
              <w:t>Dividends paid</w:t>
            </w:r>
          </w:p>
        </w:tc>
        <w:tc>
          <w:tcPr>
            <w:tcW w:type="dxa" w:w="1325"/>
          </w:tcPr>
          <w:p>
            <w:pPr>
              <w:spacing w:after="20"/>
              <w:jc w:val="right"/>
            </w:pPr>
            <w:r>
              <w:rPr>
                <w:color w:val="1C3A36"/>
                <w:sz w:val="17"/>
              </w:rPr>
              <w:t>-1,985</w:t>
            </w:r>
          </w:p>
        </w:tc>
        <w:tc>
          <w:tcPr>
            <w:tcW w:type="dxa" w:w="1325"/>
          </w:tcPr>
          <w:p>
            <w:pPr>
              <w:spacing w:after="20"/>
              <w:jc w:val="right"/>
            </w:pPr>
            <w:r>
              <w:rPr>
                <w:color w:val="1C3A36"/>
                <w:sz w:val="17"/>
              </w:rPr>
              <w:t>-2,151</w:t>
            </w:r>
          </w:p>
        </w:tc>
        <w:tc>
          <w:tcPr>
            <w:tcW w:type="dxa" w:w="1325"/>
          </w:tcPr>
          <w:p>
            <w:pPr>
              <w:spacing w:after="20"/>
              <w:jc w:val="right"/>
            </w:pPr>
            <w:r>
              <w:rPr>
                <w:color w:val="1C3A36"/>
                <w:sz w:val="17"/>
              </w:rPr>
              <w:t>-2,337</w:t>
            </w:r>
          </w:p>
        </w:tc>
        <w:tc>
          <w:tcPr>
            <w:tcW w:type="dxa" w:w="1325"/>
          </w:tcPr>
          <w:p>
            <w:pPr>
              <w:spacing w:after="20"/>
              <w:jc w:val="right"/>
            </w:pPr>
            <w:r>
              <w:rPr>
                <w:color w:val="1C3A36"/>
                <w:sz w:val="17"/>
              </w:rPr>
              <w:t>-2,494</w:t>
            </w:r>
          </w:p>
        </w:tc>
        <w:tc>
          <w:tcPr>
            <w:tcW w:type="dxa" w:w="1325"/>
          </w:tcPr>
          <w:p>
            <w:pPr>
              <w:spacing w:after="20"/>
              <w:jc w:val="right"/>
            </w:pPr>
            <w:r>
              <w:rPr>
                <w:color w:val="1C3A36"/>
                <w:sz w:val="17"/>
              </w:rPr>
              <w:t>-2,679</w:t>
            </w:r>
          </w:p>
        </w:tc>
      </w:tr>
      <w:tr>
        <w:tc>
          <w:tcPr>
            <w:tcW w:type="dxa" w:w="3024"/>
            <w:shd w:val="clear" w:color="auto" w:fill="F6F1E6"/>
          </w:tcPr>
          <w:p>
            <w:pPr>
              <w:spacing w:after="20"/>
            </w:pPr>
            <w:r>
              <w:rPr>
                <w:b/>
                <w:color w:val="1C3A36"/>
                <w:sz w:val="17"/>
              </w:rPr>
              <w:t>Closing cash</w:t>
            </w:r>
          </w:p>
        </w:tc>
        <w:tc>
          <w:tcPr>
            <w:tcW w:type="dxa" w:w="1325"/>
            <w:shd w:val="clear" w:color="auto" w:fill="F6F1E6"/>
          </w:tcPr>
          <w:p>
            <w:pPr>
              <w:spacing w:after="20"/>
              <w:jc w:val="right"/>
            </w:pPr>
            <w:r>
              <w:rPr>
                <w:b/>
                <w:color w:val="1C3A36"/>
                <w:sz w:val="17"/>
              </w:rPr>
              <w:t>2,265</w:t>
            </w:r>
          </w:p>
        </w:tc>
        <w:tc>
          <w:tcPr>
            <w:tcW w:type="dxa" w:w="1325"/>
            <w:shd w:val="clear" w:color="auto" w:fill="F6F1E6"/>
          </w:tcPr>
          <w:p>
            <w:pPr>
              <w:spacing w:after="20"/>
              <w:jc w:val="right"/>
            </w:pPr>
            <w:r>
              <w:rPr>
                <w:b/>
                <w:color w:val="1C3A36"/>
                <w:sz w:val="17"/>
              </w:rPr>
              <w:t>3,171</w:t>
            </w:r>
          </w:p>
        </w:tc>
        <w:tc>
          <w:tcPr>
            <w:tcW w:type="dxa" w:w="1325"/>
            <w:shd w:val="clear" w:color="auto" w:fill="F6F1E6"/>
          </w:tcPr>
          <w:p>
            <w:pPr>
              <w:spacing w:after="20"/>
              <w:jc w:val="right"/>
            </w:pPr>
            <w:r>
              <w:rPr>
                <w:b/>
                <w:color w:val="1C3A36"/>
                <w:sz w:val="17"/>
              </w:rPr>
              <w:t>4,228</w:t>
            </w:r>
          </w:p>
        </w:tc>
        <w:tc>
          <w:tcPr>
            <w:tcW w:type="dxa" w:w="1325"/>
            <w:shd w:val="clear" w:color="auto" w:fill="F6F1E6"/>
          </w:tcPr>
          <w:p>
            <w:pPr>
              <w:spacing w:after="20"/>
              <w:jc w:val="right"/>
            </w:pPr>
            <w:r>
              <w:rPr>
                <w:b/>
                <w:color w:val="1C3A36"/>
                <w:sz w:val="17"/>
              </w:rPr>
              <w:t>5,433</w:t>
            </w:r>
          </w:p>
        </w:tc>
        <w:tc>
          <w:tcPr>
            <w:tcW w:type="dxa" w:w="1325"/>
            <w:shd w:val="clear" w:color="auto" w:fill="F6F1E6"/>
          </w:tcPr>
          <w:p>
            <w:pPr>
              <w:spacing w:after="20"/>
              <w:jc w:val="right"/>
            </w:pPr>
            <w:r>
              <w:rPr>
                <w:b/>
                <w:color w:val="1C3A36"/>
                <w:sz w:val="17"/>
              </w:rPr>
              <w:t>6,799</w:t>
            </w:r>
          </w:p>
        </w:tc>
      </w:tr>
      <w:tr>
        <w:tc>
          <w:tcPr>
            <w:tcW w:type="dxa" w:w="3024"/>
          </w:tcPr>
          <w:p>
            <w:pPr>
              <w:spacing w:after="20"/>
            </w:pPr>
            <w:r>
              <w:rPr>
                <w:color w:val="1C3A36"/>
                <w:sz w:val="17"/>
              </w:rPr>
              <w:t>Memo: free cash flow to the firm</w:t>
            </w:r>
          </w:p>
        </w:tc>
        <w:tc>
          <w:tcPr>
            <w:tcW w:type="dxa" w:w="1325"/>
          </w:tcPr>
          <w:p>
            <w:pPr>
              <w:spacing w:after="20"/>
              <w:jc w:val="right"/>
            </w:pPr>
            <w:r>
              <w:rPr>
                <w:color w:val="1C3A36"/>
                <w:sz w:val="17"/>
              </w:rPr>
              <w:t>1,124</w:t>
            </w:r>
          </w:p>
        </w:tc>
        <w:tc>
          <w:tcPr>
            <w:tcW w:type="dxa" w:w="1325"/>
          </w:tcPr>
          <w:p>
            <w:pPr>
              <w:spacing w:after="20"/>
              <w:jc w:val="right"/>
            </w:pPr>
            <w:r>
              <w:rPr>
                <w:color w:val="1C3A36"/>
                <w:sz w:val="17"/>
              </w:rPr>
              <w:t>2,900</w:t>
            </w:r>
          </w:p>
        </w:tc>
        <w:tc>
          <w:tcPr>
            <w:tcW w:type="dxa" w:w="1325"/>
          </w:tcPr>
          <w:p>
            <w:pPr>
              <w:spacing w:after="20"/>
              <w:jc w:val="right"/>
            </w:pPr>
            <w:r>
              <w:rPr>
                <w:color w:val="1C3A36"/>
                <w:sz w:val="17"/>
              </w:rPr>
              <w:t>3,170</w:t>
            </w:r>
          </w:p>
        </w:tc>
        <w:tc>
          <w:tcPr>
            <w:tcW w:type="dxa" w:w="1325"/>
          </w:tcPr>
          <w:p>
            <w:pPr>
              <w:spacing w:after="20"/>
              <w:jc w:val="right"/>
            </w:pPr>
            <w:r>
              <w:rPr>
                <w:color w:val="1C3A36"/>
                <w:sz w:val="17"/>
              </w:rPr>
              <w:t>3,404</w:t>
            </w:r>
          </w:p>
        </w:tc>
        <w:tc>
          <w:tcPr>
            <w:tcW w:type="dxa" w:w="1325"/>
          </w:tcPr>
          <w:p>
            <w:pPr>
              <w:spacing w:after="20"/>
              <w:jc w:val="right"/>
            </w:pPr>
            <w:r>
              <w:rPr>
                <w:color w:val="1C3A36"/>
                <w:sz w:val="17"/>
              </w:rPr>
              <w:t>3,663</w:t>
            </w:r>
          </w:p>
        </w:tc>
      </w:tr>
    </w:tbl>
    <w:p>
      <w:pPr>
        <w:spacing w:after="40"/>
      </w:pPr>
    </w:p>
    <w:p>
      <w:pPr>
        <w:spacing w:after="200" w:before="0"/>
      </w:pPr>
      <w:r>
        <w:rPr>
          <w:b w:val="0"/>
          <w:i/>
          <w:color w:val="6E7B77"/>
          <w:sz w:val="17"/>
        </w:rPr>
        <w:t>Table A3 — Free cash flow to the FIRM excludes treasury income, which is handled in the equity bridge; free cash flow to equity includes it through profit.</w:t>
      </w:r>
    </w:p>
    <w:p>
      <w:r>
        <w:br w:type="page"/>
      </w: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1512"/>
        <w:gridCol w:w="1728"/>
        <w:gridCol w:w="1368"/>
        <w:gridCol w:w="1224"/>
      </w:tblGrid>
      <w:tr>
        <w:tc>
          <w:tcPr>
            <w:tcW w:type="dxa" w:w="2664"/>
            <w:shd w:val="clear" w:color="auto" w:fill="EAF0EE"/>
          </w:tcPr>
          <w:p>
            <w:pPr>
              <w:spacing w:after="20"/>
            </w:pPr>
            <w:r>
              <w:rPr>
                <w:b/>
                <w:color w:val="1C3A36"/>
                <w:sz w:val="17"/>
              </w:rPr>
            </w:r>
          </w:p>
        </w:tc>
        <w:tc>
          <w:tcPr>
            <w:tcW w:type="dxa" w:w="1656"/>
            <w:shd w:val="clear" w:color="auto" w:fill="EAF0EE"/>
          </w:tcPr>
          <w:p>
            <w:pPr>
              <w:spacing w:after="20"/>
            </w:pPr>
            <w:r>
              <w:rPr>
                <w:b/>
                <w:color w:val="1C3A36"/>
                <w:sz w:val="17"/>
              </w:rPr>
              <w:t>Revenue (EGP mn)</w:t>
            </w:r>
          </w:p>
        </w:tc>
        <w:tc>
          <w:tcPr>
            <w:tcW w:type="dxa" w:w="1512"/>
            <w:shd w:val="clear" w:color="auto" w:fill="EAF0EE"/>
          </w:tcPr>
          <w:p>
            <w:pPr>
              <w:spacing w:after="20"/>
            </w:pPr>
            <w:r>
              <w:rPr>
                <w:b/>
                <w:color w:val="1C3A36"/>
                <w:sz w:val="17"/>
              </w:rPr>
              <w:t>Profit (EGP mn)</w:t>
            </w:r>
          </w:p>
        </w:tc>
        <w:tc>
          <w:tcPr>
            <w:tcW w:type="dxa" w:w="1728"/>
            <w:shd w:val="clear" w:color="auto" w:fill="EAF0EE"/>
          </w:tcPr>
          <w:p>
            <w:pPr>
              <w:spacing w:after="20"/>
            </w:pPr>
            <w:r>
              <w:rPr>
                <w:b/>
                <w:color w:val="1C3A36"/>
                <w:sz w:val="17"/>
              </w:rPr>
              <w:t>Market cap (EGP mn)</w:t>
            </w:r>
          </w:p>
        </w:tc>
        <w:tc>
          <w:tcPr>
            <w:tcW w:type="dxa" w:w="1368"/>
            <w:shd w:val="clear" w:color="auto" w:fill="EAF0EE"/>
          </w:tcPr>
          <w:p>
            <w:pPr>
              <w:spacing w:after="20"/>
            </w:pPr>
            <w:r>
              <w:rPr>
                <w:b/>
                <w:color w:val="1C3A36"/>
                <w:sz w:val="17"/>
              </w:rPr>
              <w:t>Price / earnings</w:t>
            </w:r>
          </w:p>
        </w:tc>
        <w:tc>
          <w:tcPr>
            <w:tcW w:type="dxa" w:w="1224"/>
            <w:shd w:val="clear" w:color="auto" w:fill="EAF0EE"/>
          </w:tcPr>
          <w:p>
            <w:pPr>
              <w:spacing w:after="20"/>
            </w:pPr>
            <w:r>
              <w:rPr>
                <w:b/>
                <w:color w:val="1C3A36"/>
                <w:sz w:val="17"/>
              </w:rPr>
              <w:t>Net margin</w:t>
            </w:r>
          </w:p>
        </w:tc>
      </w:tr>
      <w:tr>
        <w:tc>
          <w:tcPr>
            <w:tcW w:type="dxa" w:w="2664"/>
          </w:tcPr>
          <w:p>
            <w:pPr>
              <w:spacing w:after="20"/>
            </w:pPr>
            <w:r>
              <w:rPr>
                <w:color w:val="1C3A36"/>
                <w:sz w:val="17"/>
              </w:rPr>
              <w:t>Arabian Cement (ARCC)</w:t>
            </w:r>
          </w:p>
        </w:tc>
        <w:tc>
          <w:tcPr>
            <w:tcW w:type="dxa" w:w="1656"/>
          </w:tcPr>
          <w:p>
            <w:pPr>
              <w:spacing w:after="20"/>
              <w:jc w:val="right"/>
            </w:pPr>
            <w:r>
              <w:rPr>
                <w:color w:val="1C3A36"/>
                <w:sz w:val="17"/>
              </w:rPr>
              <w:t>12,447</w:t>
            </w:r>
          </w:p>
        </w:tc>
        <w:tc>
          <w:tcPr>
            <w:tcW w:type="dxa" w:w="1512"/>
          </w:tcPr>
          <w:p>
            <w:pPr>
              <w:spacing w:after="20"/>
              <w:jc w:val="right"/>
            </w:pPr>
            <w:r>
              <w:rPr>
                <w:color w:val="1C3A36"/>
                <w:sz w:val="17"/>
              </w:rPr>
              <w:t>3,600</w:t>
            </w:r>
          </w:p>
        </w:tc>
        <w:tc>
          <w:tcPr>
            <w:tcW w:type="dxa" w:w="1728"/>
          </w:tcPr>
          <w:p>
            <w:pPr>
              <w:spacing w:after="20"/>
              <w:jc w:val="right"/>
            </w:pPr>
            <w:r>
              <w:rPr>
                <w:color w:val="1C3A36"/>
                <w:sz w:val="17"/>
              </w:rPr>
              <w:t>22,117</w:t>
            </w:r>
          </w:p>
        </w:tc>
        <w:tc>
          <w:tcPr>
            <w:tcW w:type="dxa" w:w="1368"/>
          </w:tcPr>
          <w:p>
            <w:pPr>
              <w:spacing w:after="20"/>
              <w:jc w:val="right"/>
            </w:pPr>
            <w:r>
              <w:rPr>
                <w:color w:val="1C3A36"/>
                <w:sz w:val="17"/>
              </w:rPr>
              <w:t>6.14x</w:t>
            </w:r>
          </w:p>
        </w:tc>
        <w:tc>
          <w:tcPr>
            <w:tcW w:type="dxa" w:w="1224"/>
          </w:tcPr>
          <w:p>
            <w:pPr>
              <w:spacing w:after="20"/>
              <w:jc w:val="right"/>
            </w:pPr>
            <w:r>
              <w:rPr>
                <w:color w:val="1C3A36"/>
                <w:sz w:val="17"/>
              </w:rPr>
              <w:t>28.9%</w:t>
            </w:r>
          </w:p>
        </w:tc>
      </w:tr>
      <w:tr>
        <w:tc>
          <w:tcPr>
            <w:tcW w:type="dxa" w:w="2664"/>
          </w:tcPr>
          <w:p>
            <w:pPr>
              <w:spacing w:after="20"/>
            </w:pPr>
            <w:r>
              <w:rPr>
                <w:color w:val="1C3A36"/>
                <w:sz w:val="17"/>
              </w:rPr>
              <w:t>Sinai Cement (SCEM)</w:t>
            </w:r>
          </w:p>
        </w:tc>
        <w:tc>
          <w:tcPr>
            <w:tcW w:type="dxa" w:w="1656"/>
          </w:tcPr>
          <w:p>
            <w:pPr>
              <w:spacing w:after="20"/>
              <w:jc w:val="right"/>
            </w:pPr>
            <w:r>
              <w:rPr>
                <w:color w:val="1C3A36"/>
                <w:sz w:val="17"/>
              </w:rPr>
              <w:t>9,090</w:t>
            </w:r>
          </w:p>
        </w:tc>
        <w:tc>
          <w:tcPr>
            <w:tcW w:type="dxa" w:w="1512"/>
          </w:tcPr>
          <w:p>
            <w:pPr>
              <w:spacing w:after="20"/>
              <w:jc w:val="right"/>
            </w:pPr>
            <w:r>
              <w:rPr>
                <w:color w:val="1C3A36"/>
                <w:sz w:val="17"/>
              </w:rPr>
              <w:t>2,290</w:t>
            </w:r>
          </w:p>
        </w:tc>
        <w:tc>
          <w:tcPr>
            <w:tcW w:type="dxa" w:w="1728"/>
          </w:tcPr>
          <w:p>
            <w:pPr>
              <w:spacing w:after="20"/>
              <w:jc w:val="right"/>
            </w:pPr>
            <w:r>
              <w:rPr>
                <w:color w:val="1C3A36"/>
                <w:sz w:val="17"/>
              </w:rPr>
              <w:t>20,604</w:t>
            </w:r>
          </w:p>
        </w:tc>
        <w:tc>
          <w:tcPr>
            <w:tcW w:type="dxa" w:w="1368"/>
          </w:tcPr>
          <w:p>
            <w:pPr>
              <w:spacing w:after="20"/>
              <w:jc w:val="right"/>
            </w:pPr>
            <w:r>
              <w:rPr>
                <w:color w:val="1C3A36"/>
                <w:sz w:val="17"/>
              </w:rPr>
              <w:t>9.00x</w:t>
            </w:r>
          </w:p>
        </w:tc>
        <w:tc>
          <w:tcPr>
            <w:tcW w:type="dxa" w:w="1224"/>
          </w:tcPr>
          <w:p>
            <w:pPr>
              <w:spacing w:after="20"/>
              <w:jc w:val="right"/>
            </w:pPr>
            <w:r>
              <w:rPr>
                <w:color w:val="1C3A36"/>
                <w:sz w:val="17"/>
              </w:rPr>
              <w:t>25.2%</w:t>
            </w:r>
          </w:p>
        </w:tc>
      </w:tr>
      <w:tr>
        <w:tc>
          <w:tcPr>
            <w:tcW w:type="dxa" w:w="2664"/>
          </w:tcPr>
          <w:p>
            <w:pPr>
              <w:spacing w:after="20"/>
            </w:pPr>
            <w:r>
              <w:rPr>
                <w:color w:val="1C3A36"/>
                <w:sz w:val="17"/>
              </w:rPr>
              <w:t>Misr Beni Suef Cement (MBSC)</w:t>
            </w:r>
          </w:p>
        </w:tc>
        <w:tc>
          <w:tcPr>
            <w:tcW w:type="dxa" w:w="1656"/>
          </w:tcPr>
          <w:p>
            <w:pPr>
              <w:spacing w:after="20"/>
              <w:jc w:val="right"/>
            </w:pPr>
            <w:r>
              <w:rPr>
                <w:color w:val="1C3A36"/>
                <w:sz w:val="17"/>
              </w:rPr>
              <w:t>5,700</w:t>
            </w:r>
          </w:p>
        </w:tc>
        <w:tc>
          <w:tcPr>
            <w:tcW w:type="dxa" w:w="1512"/>
          </w:tcPr>
          <w:p>
            <w:pPr>
              <w:spacing w:after="20"/>
              <w:jc w:val="right"/>
            </w:pPr>
            <w:r>
              <w:rPr>
                <w:color w:val="1C3A36"/>
                <w:sz w:val="17"/>
              </w:rPr>
              <w:t>3,946</w:t>
            </w:r>
          </w:p>
        </w:tc>
        <w:tc>
          <w:tcPr>
            <w:tcW w:type="dxa" w:w="1728"/>
          </w:tcPr>
          <w:p>
            <w:pPr>
              <w:spacing w:after="20"/>
              <w:jc w:val="right"/>
            </w:pPr>
            <w:r>
              <w:rPr>
                <w:color w:val="1C3A36"/>
                <w:sz w:val="17"/>
              </w:rPr>
              <w:t>13,730</w:t>
            </w:r>
          </w:p>
        </w:tc>
        <w:tc>
          <w:tcPr>
            <w:tcW w:type="dxa" w:w="1368"/>
          </w:tcPr>
          <w:p>
            <w:pPr>
              <w:spacing w:after="20"/>
              <w:jc w:val="right"/>
            </w:pPr>
            <w:r>
              <w:rPr>
                <w:color w:val="1C3A36"/>
                <w:sz w:val="17"/>
              </w:rPr>
              <w:t>3.48x</w:t>
            </w:r>
          </w:p>
        </w:tc>
        <w:tc>
          <w:tcPr>
            <w:tcW w:type="dxa" w:w="1224"/>
          </w:tcPr>
          <w:p>
            <w:pPr>
              <w:spacing w:after="20"/>
              <w:jc w:val="right"/>
            </w:pPr>
            <w:r>
              <w:rPr>
                <w:color w:val="1C3A36"/>
                <w:sz w:val="17"/>
              </w:rPr>
              <w:t>69.2%</w:t>
            </w:r>
          </w:p>
        </w:tc>
      </w:tr>
    </w:tbl>
    <w:p>
      <w:pPr>
        <w:spacing w:after="40"/>
      </w:pPr>
    </w:p>
    <w:p>
      <w:pPr>
        <w:spacing w:after="200" w:before="0"/>
      </w:pPr>
      <w:r>
        <w:rPr>
          <w:b w:val="0"/>
          <w:i/>
          <w:color w:val="6E7B77"/>
          <w:sz w:val="17"/>
        </w:rPr>
        <w:t>Table B1 — Every multiple here is RECOMPUTED from revenue, profit and market capitalisation rather than quoted, because the published multiples for this peer set do not reconcile against the market capitalisations printed beside them.</w:t>
      </w:r>
    </w:p>
    <w:p>
      <w:pPr>
        <w:spacing w:after="40"/>
        <w:jc w:val="center"/>
      </w:pPr>
      <w:r>
        <w:drawing>
          <wp:inline xmlns:a="http://schemas.openxmlformats.org/drawingml/2006/main" xmlns:pic="http://schemas.openxmlformats.org/drawingml/2006/picture">
            <wp:extent cx="6035040" cy="2481072"/>
            <wp:docPr id="7" name="Picture 7"/>
            <wp:cNvGraphicFramePr>
              <a:graphicFrameLocks noChangeAspect="1"/>
            </wp:cNvGraphicFramePr>
            <a:graphic>
              <a:graphicData uri="http://schemas.openxmlformats.org/drawingml/2006/picture">
                <pic:pic>
                  <pic:nvPicPr>
                    <pic:cNvPr id="0" name="fig8_sector.png"/>
                    <pic:cNvPicPr/>
                  </pic:nvPicPr>
                  <pic:blipFill>
                    <a:blip r:embed="rId15"/>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B1 — The Egyptian cement balance. The surplus is the whole sector case.</w:t>
      </w:r>
    </w:p>
    <w:p>
      <w:pPr>
        <w:spacing w:after="120" w:before="0"/>
      </w:pPr>
      <w:r>
        <w:rPr>
          <w:b w:val="0"/>
          <w:i w:val="0"/>
          <w:color w:val="1C3A36"/>
          <w:sz w:val="21"/>
        </w:rPr>
        <w:t>Egypt carries about 76Mt of nameplate capacity against roughly 54Mt of domestic consumption and 65Mt of production — a utilisation rate near 86%. Production less consumption is 11Mt; the 18.5Mt figure usually quoted is cement AND clinker together, and the earlier edition set the two against each other as though they reconciled. The abolition of the production quota in May 2025 removed the mechanism that had been supporting price into that surplus, and the 12.6Mt restart programme would add to it.</w:t>
      </w:r>
    </w:p>
    <w:p>
      <w:pPr>
        <w:pStyle w:val="ListBullet"/>
        <w:spacing w:after="60"/>
      </w:pPr>
      <w:r>
        <w:rPr>
          <w:b/>
          <w:color w:val="1C3A36"/>
          <w:sz w:val="21"/>
        </w:rPr>
        <w:t xml:space="preserve">Price risk. </w:t>
      </w:r>
      <w:r>
        <w:rPr>
          <w:color w:val="1C3A36"/>
          <w:sz w:val="21"/>
        </w:rPr>
        <w:t>A structurally over-supplied market whose main price-support mechanism has just been removed. This is the dominant risk and it is why the forecast price path grows below cost inflation.</w:t>
      </w:r>
    </w:p>
    <w:p>
      <w:pPr>
        <w:pStyle w:val="ListBullet"/>
        <w:spacing w:after="60"/>
      </w:pPr>
      <w:r>
        <w:rPr>
          <w:b/>
          <w:color w:val="1C3A36"/>
          <w:sz w:val="21"/>
        </w:rPr>
        <w:t xml:space="preserve">Energy and currency. </w:t>
      </w:r>
      <w:r>
        <w:rPr>
          <w:color w:val="1C3A36"/>
          <w:sz w:val="21"/>
        </w:rPr>
        <w:t>Fuel is dollar-priced and electricity tariffs are on a reform path. Both raise cost independently of what happens to price.</w:t>
      </w:r>
    </w:p>
    <w:p>
      <w:pPr>
        <w:pStyle w:val="ListBullet"/>
        <w:spacing w:after="60"/>
      </w:pPr>
      <w:r>
        <w:rPr>
          <w:b/>
          <w:color w:val="1C3A36"/>
          <w:sz w:val="21"/>
        </w:rPr>
        <w:t xml:space="preserve">Concentration. </w:t>
      </w:r>
      <w:r>
        <w:rPr>
          <w:color w:val="1C3A36"/>
          <w:sz w:val="21"/>
        </w:rPr>
        <w:t>One site, one product, one country. There is no diversification anywhere in this business to absorb a shock to Egyptian construction demand.</w:t>
      </w:r>
    </w:p>
    <w:p>
      <w:pPr>
        <w:pStyle w:val="ListBullet"/>
        <w:spacing w:after="60"/>
      </w:pPr>
      <w:r>
        <w:rPr>
          <w:b/>
          <w:color w:val="1C3A36"/>
          <w:sz w:val="21"/>
        </w:rPr>
        <w:t xml:space="preserve">Carbon. </w:t>
      </w:r>
      <w:r>
        <w:rPr>
          <w:color w:val="1C3A36"/>
          <w:sz w:val="21"/>
        </w:rPr>
        <w:t>The EU carbon border mechanism raises the landed cost of exports into Europe. At a clinker factor of 0.733 — a PRODUCTION ratio, not the ratio of two nameplate capacities the earlier edition mistook for one — this producer is better placed than most Egyptian peers, but better placed is not unaffected. It also ships 27.2% of its tonnes as raw clinker, which carries the highest embedded carbon of anything it sells.</w:t>
      </w:r>
    </w:p>
    <w:p>
      <w:pPr>
        <w:pStyle w:val="ListBullet"/>
        <w:spacing w:after="60"/>
      </w:pPr>
      <w:r>
        <w:rPr>
          <w:b/>
          <w:color w:val="1C3A36"/>
          <w:sz w:val="21"/>
        </w:rPr>
        <w:t xml:space="preserve">Disclosure. </w:t>
      </w:r>
      <w:r>
        <w:rPr>
          <w:color w:val="1C3A36"/>
          <w:sz w:val="21"/>
        </w:rPr>
        <w:t>The depth of published financial detail is thin by the standards of the other markets covered, which is why so much of this study is a triangulation shown rather than a figure asserted.</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Expert 1 — Replacement-cost industrialist</w:t>
      </w:r>
    </w:p>
    <w:p>
      <w:pPr>
        <w:spacing w:after="120" w:before="0"/>
      </w:pPr>
      <w:r>
        <w:rPr>
          <w:b/>
          <w:i w:val="0"/>
          <w:color w:val="1C3A36"/>
          <w:sz w:val="21"/>
        </w:rPr>
        <w:t xml:space="preserve">Valuation: </w:t>
      </w:r>
      <w:r>
        <w:rPr>
          <w:b w:val="0"/>
          <w:i w:val="0"/>
          <w:color w:val="1C3A36"/>
          <w:sz w:val="21"/>
        </w:rPr>
        <w:t>EGP 59.00 to EGP 79.13, central EGP 69.07 (+17.1% against the market price of EGP 59.00).</w:t>
      </w:r>
    </w:p>
    <w:p>
      <w:pPr>
        <w:spacing w:after="120" w:before="0"/>
      </w:pPr>
      <w:r>
        <w:rPr>
          <w:b w:val="0"/>
          <w:i w:val="0"/>
          <w:color w:val="1C3A36"/>
          <w:sz w:val="21"/>
        </w:rPr>
        <w:t>Values the plant, not the earnings stream. The audited accounts put net property, plant and equipment at EGP 2522mn and assets under construction at a further EGP 392mn, on a book carried at pre-devaluation historic cost. Five million tonnes of grey cement capacity costs about USD 130 per annual tonne to build; nobody pays that in a market carrying 76Mt of capacity against 54Mt of consumption, so the justified figure is marked to USD 95. Against that the market is paying USD 80 per annual tonne.</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and it runs against this lens: restarting a mothballed kiln costs a fraction of building one, which is why this valuation is a ceiling and carries only 8% of the weight.</w:t>
      </w:r>
    </w:p>
    <w:p>
      <w:pPr>
        <w:spacing w:after="80" w:before="200"/>
      </w:pPr>
      <w:r>
        <w:rPr>
          <w:b/>
          <w:i w:val="0"/>
          <w:color w:val="1C3A36"/>
          <w:sz w:val="24"/>
        </w:rPr>
        <w:t>Expert 2 — Mid-cycle earnings-power analyst</w:t>
      </w:r>
    </w:p>
    <w:p>
      <w:pPr>
        <w:spacing w:after="120" w:before="0"/>
      </w:pPr>
      <w:r>
        <w:rPr>
          <w:b/>
          <w:i w:val="0"/>
          <w:color w:val="1C3A36"/>
          <w:sz w:val="21"/>
        </w:rPr>
        <w:t xml:space="preserve">Valuation: </w:t>
      </w:r>
      <w:r>
        <w:rPr>
          <w:b w:val="0"/>
          <w:i w:val="0"/>
          <w:color w:val="1C3A36"/>
          <w:sz w:val="21"/>
        </w:rPr>
        <w:t>EGP 46.31 to EGP 59.97, central EGP 53.14 (-9.9% against the market price of EGP 59.00).</w:t>
      </w:r>
    </w:p>
    <w:p>
      <w:pPr>
        <w:spacing w:after="120" w:before="0"/>
      </w:pPr>
      <w:r>
        <w:rPr>
          <w:b w:val="0"/>
          <w:i w:val="0"/>
          <w:color w:val="1C3A36"/>
          <w:sz w:val="21"/>
        </w:rPr>
        <w:t>Refuses to capitalise a peak, and refuses it on both legs. The audited EBITDA margin went 22.0% to 23.1% to 39.3% across FY2023 to FY2025 — the last of those is the best year the Egyptian industry has had in over a decade. The margin is normalised to 31.2%, the midpoint of the two most recent audited years, the revenue base is cut 6%, and what is left is capitalised at 7 times with cash added back at face.</w:t>
      </w:r>
    </w:p>
    <w:p>
      <w:pPr>
        <w:spacing w:after="120" w:before="0"/>
      </w:pPr>
      <w:r>
        <w:rPr>
          <w:b/>
          <w:i w:val="0"/>
          <w:color w:val="896F36"/>
          <w:sz w:val="21"/>
        </w:rPr>
        <w:t xml:space="preserve">What would prove this wrong: </w:t>
      </w:r>
      <w:r>
        <w:rPr>
          <w:b w:val="0"/>
          <w:i w:val="0"/>
          <w:color w:val="1C3A36"/>
          <w:sz w:val="21"/>
        </w:rPr>
        <w:t>Two consecutive years of realised prices above EGP 4,200 a tonne WITH the revival proceeding would prove the mid-cycle base too low. Equally, the first quarter of 2026 already ran a 42.9% gross margin against 40.6% for FY2025 as a whole — if that holds for the year, this lens is too cautious.</w:t>
      </w:r>
    </w:p>
    <w:p>
      <w:pPr>
        <w:spacing w:after="80" w:before="200"/>
      </w:pPr>
      <w:r>
        <w:rPr>
          <w:b/>
          <w:i w:val="0"/>
          <w:color w:val="1C3A36"/>
          <w:sz w:val="24"/>
        </w:rPr>
        <w:t>Expert 3 — Cash-return and distribution investor</w:t>
      </w:r>
    </w:p>
    <w:p>
      <w:pPr>
        <w:spacing w:after="120" w:before="0"/>
      </w:pPr>
      <w:r>
        <w:rPr>
          <w:b/>
          <w:i w:val="0"/>
          <w:color w:val="1C3A36"/>
          <w:sz w:val="21"/>
        </w:rPr>
        <w:t xml:space="preserve">Valuation: </w:t>
      </w:r>
      <w:r>
        <w:rPr>
          <w:b w:val="0"/>
          <w:i w:val="0"/>
          <w:color w:val="1C3A36"/>
          <w:sz w:val="21"/>
        </w:rPr>
        <w:t>EGP 49.14 to EGP 63.74, central EGP 55.39 (-6.1% against the market price of EGP 59.00).</w:t>
      </w:r>
    </w:p>
    <w:p>
      <w:pPr>
        <w:spacing w:after="120" w:before="0"/>
      </w:pPr>
      <w:r>
        <w:rPr>
          <w:b w:val="0"/>
          <w:i w:val="0"/>
          <w:color w:val="1C3A36"/>
          <w:sz w:val="21"/>
        </w:rPr>
        <w:t>Ignores the terminal value and asks what the cash stream is worth to someone who has to be paid in cash. Average free cash flow to the firm across FY2027-FY2030 is EGP 3284mn; required at a 17.5% cash return that is a business worth EGP 18767mn before net cash of EGP 1999mn is added back. This is not hypothetical: the company declared EGP 2002mn for FY2025 on EGP 3600mn of attributable profit, a 56% payout, and the audited cash flow shows EGP 1702mn actually paid out during 2025.</w:t>
      </w:r>
    </w:p>
    <w:p>
      <w:pPr>
        <w:spacing w:after="120" w:before="0"/>
      </w:pPr>
      <w:r>
        <w:rPr>
          <w:b/>
          <w:i w:val="0"/>
          <w:color w:val="896F36"/>
          <w:sz w:val="21"/>
        </w:rPr>
        <w:t xml:space="preserve">What would prove this wrong: </w:t>
      </w:r>
      <w:r>
        <w:rPr>
          <w:b w:val="0"/>
          <w:i w:val="0"/>
          <w:color w:val="1C3A36"/>
          <w:sz w:val="21"/>
        </w:rPr>
        <w:t>A required cash return above 20% takes this valuation to EGP 49.14. So would maintenance capital spending materially above the USD 4.00 per tonne assumed here — the audited FY2024 and FY2025 capex of EGP 912mn and EGP 796mn is the number to watch, and both years carried the alternative-fuel and silo programmes on top of maintenance.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59.00</w:t>
            </w:r>
          </w:p>
        </w:tc>
        <w:tc>
          <w:tcPr>
            <w:tcW w:type="dxa" w:w="1656"/>
          </w:tcPr>
          <w:p>
            <w:pPr>
              <w:spacing w:after="20"/>
              <w:jc w:val="right"/>
            </w:pPr>
            <w:r>
              <w:rPr>
                <w:color w:val="1C3A36"/>
                <w:sz w:val="18"/>
              </w:rPr>
              <w:t>69.07</w:t>
            </w:r>
          </w:p>
        </w:tc>
        <w:tc>
          <w:tcPr>
            <w:tcW w:type="dxa" w:w="1469"/>
          </w:tcPr>
          <w:p>
            <w:pPr>
              <w:spacing w:after="20"/>
              <w:jc w:val="right"/>
            </w:pPr>
            <w:r>
              <w:rPr>
                <w:color w:val="1C3A36"/>
                <w:sz w:val="18"/>
              </w:rPr>
              <w:t>79.13</w:t>
            </w:r>
          </w:p>
        </w:tc>
        <w:tc>
          <w:tcPr>
            <w:tcW w:type="dxa" w:w="1354"/>
          </w:tcPr>
          <w:p>
            <w:pPr>
              <w:spacing w:after="20"/>
              <w:jc w:val="right"/>
            </w:pPr>
            <w:r>
              <w:rPr>
                <w:color w:val="1C3A36"/>
                <w:sz w:val="18"/>
              </w:rPr>
              <w:t>+17.1%</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46.31</w:t>
            </w:r>
          </w:p>
        </w:tc>
        <w:tc>
          <w:tcPr>
            <w:tcW w:type="dxa" w:w="1656"/>
          </w:tcPr>
          <w:p>
            <w:pPr>
              <w:spacing w:after="20"/>
              <w:jc w:val="right"/>
            </w:pPr>
            <w:r>
              <w:rPr>
                <w:color w:val="1C3A36"/>
                <w:sz w:val="18"/>
              </w:rPr>
              <w:t>53.14</w:t>
            </w:r>
          </w:p>
        </w:tc>
        <w:tc>
          <w:tcPr>
            <w:tcW w:type="dxa" w:w="1469"/>
          </w:tcPr>
          <w:p>
            <w:pPr>
              <w:spacing w:after="20"/>
              <w:jc w:val="right"/>
            </w:pPr>
            <w:r>
              <w:rPr>
                <w:color w:val="1C3A36"/>
                <w:sz w:val="18"/>
              </w:rPr>
              <w:t>59.97</w:t>
            </w:r>
          </w:p>
        </w:tc>
        <w:tc>
          <w:tcPr>
            <w:tcW w:type="dxa" w:w="1354"/>
          </w:tcPr>
          <w:p>
            <w:pPr>
              <w:spacing w:after="20"/>
              <w:jc w:val="right"/>
            </w:pPr>
            <w:r>
              <w:rPr>
                <w:color w:val="1C3A36"/>
                <w:sz w:val="18"/>
              </w:rPr>
              <w:t>-9.9%</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49.14</w:t>
            </w:r>
          </w:p>
        </w:tc>
        <w:tc>
          <w:tcPr>
            <w:tcW w:type="dxa" w:w="1656"/>
          </w:tcPr>
          <w:p>
            <w:pPr>
              <w:spacing w:after="20"/>
              <w:jc w:val="right"/>
            </w:pPr>
            <w:r>
              <w:rPr>
                <w:color w:val="1C3A36"/>
                <w:sz w:val="18"/>
              </w:rPr>
              <w:t>55.39</w:t>
            </w:r>
          </w:p>
        </w:tc>
        <w:tc>
          <w:tcPr>
            <w:tcW w:type="dxa" w:w="1469"/>
          </w:tcPr>
          <w:p>
            <w:pPr>
              <w:spacing w:after="20"/>
              <w:jc w:val="right"/>
            </w:pPr>
            <w:r>
              <w:rPr>
                <w:color w:val="1C3A36"/>
                <w:sz w:val="18"/>
              </w:rPr>
              <w:t>63.74</w:t>
            </w:r>
          </w:p>
        </w:tc>
        <w:tc>
          <w:tcPr>
            <w:tcW w:type="dxa" w:w="1354"/>
          </w:tcPr>
          <w:p>
            <w:pPr>
              <w:spacing w:after="20"/>
              <w:jc w:val="right"/>
            </w:pPr>
            <w:r>
              <w:rPr>
                <w:color w:val="1C3A36"/>
                <w:sz w:val="18"/>
              </w:rPr>
              <w:t>-6.1%</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55.39</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-6.1%</w:t>
            </w:r>
          </w:p>
        </w:tc>
      </w:tr>
    </w:tbl>
    <w:p>
      <w:pPr>
        <w:spacing w:after="40"/>
      </w:pPr>
    </w:p>
    <w:p>
      <w:pPr>
        <w:spacing w:after="200" w:before="0"/>
      </w:pPr>
      <w:r>
        <w:rPr>
          <w:b w:val="0"/>
          <w:i/>
          <w:color w:val="6E7B77"/>
          <w:sz w:val="17"/>
        </w:rPr>
        <w:t>Table C1 — The panel. The median sits close to the weighted central of the four principal lenses, which is a coincidence of construction rather than a confirmation — both are looking at the same company through overlapping methods.</w:t>
      </w:r>
    </w:p>
    <w:p>
      <w:pPr>
        <w:spacing w:after="120" w:before="0"/>
      </w:pPr>
      <w:r>
        <w:rPr>
          <w:b w:val="0"/>
          <w:i w:val="0"/>
          <w:color w:val="1C3A36"/>
          <w:sz w:val="21"/>
        </w:rPr>
      </w:r>
    </w:p>
    <w:p>
      <w:pPr>
        <w:spacing w:after="120" w:before="0"/>
      </w:pPr>
      <w:r>
        <w:rPr>
          <w:b w:val="0"/>
          <w:i/>
          <w:color w:val="6E7B77"/>
          <w:sz w:val="17"/>
        </w:rPr>
        <w:t>Testahil · Independent valuation research · Educational analysis, not investment advice. No rating and no price target is expressed or implied.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