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0" w:before="0"/>
      </w:pPr>
      <w:r>
        <w:rPr>
          <w:b/>
          <w:i w:val="0"/>
          <w:color w:val="1C3A36"/>
          <w:sz w:val="44"/>
        </w:rPr>
        <w:t>Air Arabia PJSC</w:t>
      </w:r>
    </w:p>
    <w:p>
      <w:pPr>
        <w:spacing w:after="200" w:before="0"/>
      </w:pPr>
      <w:r>
        <w:rPr>
          <w:b w:val="0"/>
          <w:i w:val="0"/>
          <w:color w:val="6E7B77"/>
          <w:sz w:val="21"/>
        </w:rPr>
        <w:t xml:space="preserve">Dubai Financial Market · AIRARABIA · Aviation — low-cost airline · </w:t>
      </w:r>
      <w:r>
        <w:rPr>
          <w:b w:val="0"/>
          <w:i w:val="0"/>
          <w:color w:val="6E7B77"/>
          <w:sz w:val="21"/>
        </w:rPr>
        <w:t>Report date 9 August 2026 · prices as of 2026-08-07</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READ FIRST — what this document is.  </w:t>
            </w:r>
            <w:r>
              <w:rPr>
                <w:color w:val="1C3A36"/>
                <w:sz w:val="19"/>
              </w:rPr>
              <w:t>An independent, educational valuation study of Air Arabia PJSC. It is not investment advice, not a solicitation, and it contains no rating and no price target. It presents fair-value RANGES from four valuation lenses, a probability map for the share price, and every assumption used to build them.</w:t>
            </w:r>
          </w:p>
          <w:p>
            <w:pPr>
              <w:spacing w:after="100"/>
            </w:pPr>
            <w:r>
              <w:rPr>
                <w:b/>
                <w:color w:val="1C3A36"/>
                <w:sz w:val="19"/>
              </w:rPr>
              <w:t xml:space="preserve">Sources.  </w:t>
            </w:r>
            <w:r>
              <w:rPr>
                <w:color w:val="1C3A36"/>
                <w:sz w:val="19"/>
              </w:rPr>
              <w:t>Built exclusively on the company's own audited consolidated financial statements FY2022–FY2025 (KPMG Lower Gulf, unqualified opinion on FY2025 dated 13-Feb-2026), the reviewed Q1-2026 interim (Grant Thornton UAE), and the company's own results presentations — all read from airarabia.com investor relations. Peer figures are cross-checks only and are labelled as such. A companion bibliography document lists every input with source and date.</w:t>
            </w:r>
          </w:p>
          <w:p>
            <w:pPr>
              <w:spacing w:after="100"/>
            </w:pPr>
            <w:r>
              <w:rPr>
                <w:b/>
                <w:color w:val="1C3A36"/>
                <w:sz w:val="19"/>
              </w:rPr>
              <w:t xml:space="preserve">Two judgements are shown both ways, never averaged.  </w:t>
            </w:r>
            <w:r>
              <w:rPr>
                <w:color w:val="1C3A36"/>
                <w:sz w:val="19"/>
              </w:rPr>
              <w:t>The 2026-27 fuel path (the official US energy-agency curve versus the airline association's high-fuel assumption) and the value of the joint-venture airline network (audited carrying value versus capitalised profit share). Each framing is priced in full and both appear side by side.</w:t>
            </w:r>
          </w:p>
          <w:p>
            <w:pPr>
              <w:spacing w:after="100"/>
            </w:pPr>
            <w:r>
              <w:rPr>
                <w:b/>
                <w:color w:val="1C3A36"/>
                <w:sz w:val="19"/>
              </w:rPr>
              <w:t xml:space="preserve">The companion workbook calculates.  </w:t>
            </w:r>
            <w:r>
              <w:rPr>
                <w:color w:val="1C3A36"/>
                <w:sz w:val="19"/>
              </w:rPr>
              <w:t>Every figure derivable from a driver is a live Excel formula; only audited history, the unit build's disclosed bases, and whole-model re-runs (the Monte Carlo map, sensitivity grids and scenario bounds) are pasted, and the workbook's READ FIRST sheet names those three classes.</w:t>
            </w:r>
          </w:p>
        </w:tc>
      </w:tr>
    </w:tbl>
    <w:p>
      <w:pPr>
        <w:spacing w:after="40"/>
      </w:pPr>
    </w:p>
    <w:p>
      <w:pPr>
        <w:spacing w:after="120" w:before="280"/>
      </w:pPr>
      <w:r>
        <w:rPr>
          <w:b/>
          <w:i w:val="0"/>
          <w:color w:val="1C3A36"/>
          <w:sz w:val="30"/>
        </w:rPr>
        <w:t>Headline</w:t>
      </w:r>
    </w:p>
    <w:p>
      <w:pPr>
        <w:spacing w:after="120" w:before="0"/>
      </w:pPr>
      <w:r>
        <w:rPr>
          <w:b/>
          <w:i w:val="0"/>
          <w:color w:val="1C3A36"/>
          <w:sz w:val="21"/>
        </w:rPr>
        <w:t xml:space="preserve">Fair value clusters at AED 3.86 per share on the base framing and AED 4.12 with the joint-venture network capitalised — against a market price of AED 5.24. </w:t>
      </w:r>
      <w:r>
        <w:rPr>
          <w:b w:val="0"/>
          <w:i w:val="0"/>
          <w:color w:val="1C3A36"/>
          <w:sz w:val="21"/>
        </w:rPr>
        <w:t>The market is paying roughly a fifth more than the base fundamental value; the gap is, in large part, a price on two things this study deliberately prices both ways: cheaper fuel from 2027 and the five equity-accounted airlines the balance sheet carries at less than two times their annual profit contribution.</w:t>
      </w:r>
    </w:p>
    <w:p>
      <w:pPr>
        <w:spacing w:after="120" w:before="0"/>
      </w:pPr>
      <w:r>
        <w:rPr>
          <w:b w:val="0"/>
          <w:i w:val="0"/>
          <w:color w:val="1C3A36"/>
          <w:sz w:val="21"/>
        </w:rPr>
        <w:t>Air Arabia closed FY2025 with record results: revenue AED 7,788mn (+15%), profit before tax AED 1,831mn (+14%), 13.06mn passengers (+16%) at a record 85.3% seat load factor, a fleet of 90 A320-family aircraft, net CASH of AED 2,417mn including fixed deposits, and a dividend raised for the fourth straight year to 30 fils. The Q1-2026 quarter then absorbed the February–March regional airspace closures: revenue held (+1%) on 11% fewer consolidated passengers, while net profit fell 22% — a dip this study treats as exactly that, not a trend break.</w:t>
      </w:r>
    </w:p>
    <w:p>
      <w:pPr>
        <w:spacing w:after="120" w:before="0"/>
      </w:pPr>
      <w:r>
        <w:rPr>
          <w:b w:val="0"/>
          <w:i w:val="0"/>
          <w:color w:val="1C3A36"/>
          <w:sz w:val="21"/>
        </w:rPr>
        <w:t>Over the next three months the price map assigns a 50% band of AED 4.71–5.79 and a 90% band of AED 3.96–6.89 around the AED 5.24 spot — the fundamental ranges below are slower-moving claims about value, the map is a calibrated claim about price.</w:t>
      </w:r>
    </w:p>
    <w:p>
      <w:pPr>
        <w:spacing w:after="120" w:before="280"/>
      </w:pPr>
      <w:r>
        <w:rPr>
          <w:b/>
          <w:i w:val="0"/>
          <w:color w:val="1C3A36"/>
          <w:sz w:val="30"/>
        </w:rPr>
        <w:t>Valuation summary — every read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816"/>
        <w:gridCol w:w="1080"/>
        <w:gridCol w:w="1080"/>
        <w:gridCol w:w="1080"/>
        <w:gridCol w:w="1080"/>
        <w:gridCol w:w="1224"/>
      </w:tblGrid>
      <w:tr>
        <w:tc>
          <w:tcPr>
            <w:tcW w:type="dxa" w:w="3816"/>
            <w:shd w:val="clear" w:color="auto" w:fill="EAF0EE"/>
          </w:tcPr>
          <w:p>
            <w:pPr>
              <w:spacing w:after="20"/>
            </w:pPr>
            <w:r>
              <w:rPr>
                <w:b/>
                <w:color w:val="1C3A36"/>
                <w:sz w:val="18"/>
              </w:rPr>
              <w:t>Lens</w:t>
            </w:r>
          </w:p>
        </w:tc>
        <w:tc>
          <w:tcPr>
            <w:tcW w:type="dxa" w:w="1080"/>
            <w:shd w:val="clear" w:color="auto" w:fill="EAF0EE"/>
          </w:tcPr>
          <w:p>
            <w:pPr>
              <w:spacing w:after="20"/>
            </w:pPr>
            <w:r>
              <w:rPr>
                <w:b/>
                <w:color w:val="1C3A36"/>
                <w:sz w:val="18"/>
              </w:rPr>
              <w:t>Bear</w:t>
            </w:r>
          </w:p>
        </w:tc>
        <w:tc>
          <w:tcPr>
            <w:tcW w:type="dxa" w:w="1080"/>
            <w:shd w:val="clear" w:color="auto" w:fill="EAF0EE"/>
          </w:tcPr>
          <w:p>
            <w:pPr>
              <w:spacing w:after="20"/>
            </w:pPr>
            <w:r>
              <w:rPr>
                <w:b/>
                <w:color w:val="1C3A36"/>
                <w:sz w:val="18"/>
              </w:rPr>
              <w:t>Base</w:t>
            </w:r>
          </w:p>
        </w:tc>
        <w:tc>
          <w:tcPr>
            <w:tcW w:type="dxa" w:w="1080"/>
            <w:shd w:val="clear" w:color="auto" w:fill="EAF0EE"/>
          </w:tcPr>
          <w:p>
            <w:pPr>
              <w:spacing w:after="20"/>
            </w:pPr>
            <w:r>
              <w:rPr>
                <w:b/>
                <w:color w:val="1C3A36"/>
                <w:sz w:val="18"/>
              </w:rPr>
              <w:t>Bull</w:t>
            </w:r>
          </w:p>
        </w:tc>
        <w:tc>
          <w:tcPr>
            <w:tcW w:type="dxa" w:w="1080"/>
            <w:shd w:val="clear" w:color="auto" w:fill="EAF0EE"/>
          </w:tcPr>
          <w:p>
            <w:pPr>
              <w:spacing w:after="20"/>
            </w:pPr>
            <w:r>
              <w:rPr>
                <w:b/>
                <w:color w:val="1C3A36"/>
                <w:sz w:val="18"/>
              </w:rPr>
              <w:t>Weight</w:t>
            </w:r>
          </w:p>
        </w:tc>
        <w:tc>
          <w:tcPr>
            <w:tcW w:type="dxa" w:w="1224"/>
            <w:shd w:val="clear" w:color="auto" w:fill="EAF0EE"/>
          </w:tcPr>
          <w:p>
            <w:pPr>
              <w:spacing w:after="20"/>
            </w:pPr>
            <w:r>
              <w:rPr>
                <w:b/>
                <w:color w:val="1C3A36"/>
                <w:sz w:val="18"/>
              </w:rPr>
              <w:t>vs spot</w:t>
            </w:r>
          </w:p>
        </w:tc>
      </w:tr>
      <w:tr>
        <w:tc>
          <w:tcPr>
            <w:tcW w:type="dxa" w:w="3816"/>
          </w:tcPr>
          <w:p>
            <w:pPr>
              <w:spacing w:after="20"/>
            </w:pPr>
            <w:r>
              <w:rPr>
                <w:color w:val="1C3A36"/>
                <w:sz w:val="18"/>
              </w:rPr>
              <w:t>Discounted cash flow (primary) · terminal value 86% of EV</w:t>
            </w:r>
          </w:p>
        </w:tc>
        <w:tc>
          <w:tcPr>
            <w:tcW w:type="dxa" w:w="1080"/>
          </w:tcPr>
          <w:p>
            <w:pPr>
              <w:spacing w:after="20"/>
              <w:jc w:val="right"/>
            </w:pPr>
            <w:r>
              <w:rPr>
                <w:color w:val="1C3A36"/>
                <w:sz w:val="18"/>
              </w:rPr>
              <w:t>0.81</w:t>
            </w:r>
          </w:p>
        </w:tc>
        <w:tc>
          <w:tcPr>
            <w:tcW w:type="dxa" w:w="1080"/>
          </w:tcPr>
          <w:p>
            <w:pPr>
              <w:spacing w:after="20"/>
              <w:jc w:val="right"/>
            </w:pPr>
            <w:r>
              <w:rPr>
                <w:color w:val="1C3A36"/>
                <w:sz w:val="18"/>
              </w:rPr>
              <w:t>3.83</w:t>
            </w:r>
          </w:p>
        </w:tc>
        <w:tc>
          <w:tcPr>
            <w:tcW w:type="dxa" w:w="1080"/>
          </w:tcPr>
          <w:p>
            <w:pPr>
              <w:spacing w:after="20"/>
              <w:jc w:val="right"/>
            </w:pPr>
            <w:r>
              <w:rPr>
                <w:color w:val="1C3A36"/>
                <w:sz w:val="18"/>
              </w:rPr>
              <w:t>7.53</w:t>
            </w:r>
          </w:p>
        </w:tc>
        <w:tc>
          <w:tcPr>
            <w:tcW w:type="dxa" w:w="1080"/>
          </w:tcPr>
          <w:p>
            <w:pPr>
              <w:spacing w:after="20"/>
              <w:jc w:val="right"/>
            </w:pPr>
            <w:r>
              <w:rPr>
                <w:color w:val="1C3A36"/>
                <w:sz w:val="18"/>
              </w:rPr>
              <w:t>45%</w:t>
            </w:r>
          </w:p>
        </w:tc>
        <w:tc>
          <w:tcPr>
            <w:tcW w:type="dxa" w:w="1224"/>
          </w:tcPr>
          <w:p>
            <w:pPr>
              <w:spacing w:after="20"/>
              <w:jc w:val="right"/>
            </w:pPr>
            <w:r>
              <w:rPr>
                <w:color w:val="1C3A36"/>
                <w:sz w:val="18"/>
              </w:rPr>
              <w:t>-27%</w:t>
            </w:r>
          </w:p>
        </w:tc>
      </w:tr>
      <w:tr>
        <w:tc>
          <w:tcPr>
            <w:tcW w:type="dxa" w:w="3816"/>
          </w:tcPr>
          <w:p>
            <w:pPr>
              <w:spacing w:after="20"/>
            </w:pPr>
            <w:r>
              <w:rPr>
                <w:color w:val="1C3A36"/>
                <w:sz w:val="18"/>
              </w:rPr>
              <w:t>Relative multiples</w:t>
            </w:r>
          </w:p>
        </w:tc>
        <w:tc>
          <w:tcPr>
            <w:tcW w:type="dxa" w:w="1080"/>
          </w:tcPr>
          <w:p>
            <w:pPr>
              <w:spacing w:after="20"/>
              <w:jc w:val="right"/>
            </w:pPr>
            <w:r>
              <w:rPr>
                <w:color w:val="1C3A36"/>
                <w:sz w:val="18"/>
              </w:rPr>
              <w:t>3.20</w:t>
            </w:r>
          </w:p>
        </w:tc>
        <w:tc>
          <w:tcPr>
            <w:tcW w:type="dxa" w:w="1080"/>
          </w:tcPr>
          <w:p>
            <w:pPr>
              <w:spacing w:after="20"/>
              <w:jc w:val="right"/>
            </w:pPr>
            <w:r>
              <w:rPr>
                <w:color w:val="1C3A36"/>
                <w:sz w:val="18"/>
              </w:rPr>
              <w:t>3.85</w:t>
            </w:r>
          </w:p>
        </w:tc>
        <w:tc>
          <w:tcPr>
            <w:tcW w:type="dxa" w:w="1080"/>
          </w:tcPr>
          <w:p>
            <w:pPr>
              <w:spacing w:after="20"/>
              <w:jc w:val="right"/>
            </w:pPr>
            <w:r>
              <w:rPr>
                <w:color w:val="1C3A36"/>
                <w:sz w:val="18"/>
              </w:rPr>
              <w:t>4.51</w:t>
            </w:r>
          </w:p>
        </w:tc>
        <w:tc>
          <w:tcPr>
            <w:tcW w:type="dxa" w:w="1080"/>
          </w:tcPr>
          <w:p>
            <w:pPr>
              <w:spacing w:after="20"/>
              <w:jc w:val="right"/>
            </w:pPr>
            <w:r>
              <w:rPr>
                <w:color w:val="1C3A36"/>
                <w:sz w:val="18"/>
              </w:rPr>
              <w:t>20%</w:t>
            </w:r>
          </w:p>
        </w:tc>
        <w:tc>
          <w:tcPr>
            <w:tcW w:type="dxa" w:w="1224"/>
          </w:tcPr>
          <w:p>
            <w:pPr>
              <w:spacing w:after="20"/>
              <w:jc w:val="right"/>
            </w:pPr>
            <w:r>
              <w:rPr>
                <w:color w:val="1C3A36"/>
                <w:sz w:val="18"/>
              </w:rPr>
              <w:t>-26%</w:t>
            </w:r>
          </w:p>
        </w:tc>
      </w:tr>
      <w:tr>
        <w:tc>
          <w:tcPr>
            <w:tcW w:type="dxa" w:w="3816"/>
          </w:tcPr>
          <w:p>
            <w:pPr>
              <w:spacing w:after="20"/>
            </w:pPr>
            <w:r>
              <w:rPr>
                <w:color w:val="1C3A36"/>
                <w:sz w:val="18"/>
              </w:rPr>
              <w:t>Normalised earnings power</w:t>
            </w:r>
          </w:p>
        </w:tc>
        <w:tc>
          <w:tcPr>
            <w:tcW w:type="dxa" w:w="1080"/>
          </w:tcPr>
          <w:p>
            <w:pPr>
              <w:spacing w:after="20"/>
              <w:jc w:val="right"/>
            </w:pPr>
            <w:r>
              <w:rPr>
                <w:color w:val="1C3A36"/>
                <w:sz w:val="18"/>
              </w:rPr>
              <w:t>2.82</w:t>
            </w:r>
          </w:p>
        </w:tc>
        <w:tc>
          <w:tcPr>
            <w:tcW w:type="dxa" w:w="1080"/>
          </w:tcPr>
          <w:p>
            <w:pPr>
              <w:spacing w:after="20"/>
              <w:jc w:val="right"/>
            </w:pPr>
            <w:r>
              <w:rPr>
                <w:color w:val="1C3A36"/>
                <w:sz w:val="18"/>
              </w:rPr>
              <w:t>3.76</w:t>
            </w:r>
          </w:p>
        </w:tc>
        <w:tc>
          <w:tcPr>
            <w:tcW w:type="dxa" w:w="1080"/>
          </w:tcPr>
          <w:p>
            <w:pPr>
              <w:spacing w:after="20"/>
              <w:jc w:val="right"/>
            </w:pPr>
            <w:r>
              <w:rPr>
                <w:color w:val="1C3A36"/>
                <w:sz w:val="18"/>
              </w:rPr>
              <w:t>4.70</w:t>
            </w:r>
          </w:p>
        </w:tc>
        <w:tc>
          <w:tcPr>
            <w:tcW w:type="dxa" w:w="1080"/>
          </w:tcPr>
          <w:p>
            <w:pPr>
              <w:spacing w:after="20"/>
              <w:jc w:val="right"/>
            </w:pPr>
            <w:r>
              <w:rPr>
                <w:color w:val="1C3A36"/>
                <w:sz w:val="18"/>
              </w:rPr>
              <w:t>20%</w:t>
            </w:r>
          </w:p>
        </w:tc>
        <w:tc>
          <w:tcPr>
            <w:tcW w:type="dxa" w:w="1224"/>
          </w:tcPr>
          <w:p>
            <w:pPr>
              <w:spacing w:after="20"/>
              <w:jc w:val="right"/>
            </w:pPr>
            <w:r>
              <w:rPr>
                <w:color w:val="1C3A36"/>
                <w:sz w:val="18"/>
              </w:rPr>
              <w:t>-28%</w:t>
            </w:r>
          </w:p>
        </w:tc>
      </w:tr>
      <w:tr>
        <w:tc>
          <w:tcPr>
            <w:tcW w:type="dxa" w:w="3816"/>
          </w:tcPr>
          <w:p>
            <w:pPr>
              <w:spacing w:after="20"/>
            </w:pPr>
            <w:r>
              <w:rPr>
                <w:color w:val="1C3A36"/>
                <w:sz w:val="18"/>
              </w:rPr>
              <w:t>Book value and sustainable return</w:t>
            </w:r>
          </w:p>
        </w:tc>
        <w:tc>
          <w:tcPr>
            <w:tcW w:type="dxa" w:w="1080"/>
          </w:tcPr>
          <w:p>
            <w:pPr>
              <w:spacing w:after="20"/>
              <w:jc w:val="right"/>
            </w:pPr>
            <w:r>
              <w:rPr>
                <w:color w:val="1C3A36"/>
                <w:sz w:val="18"/>
              </w:rPr>
              <w:t>3.62</w:t>
            </w:r>
          </w:p>
        </w:tc>
        <w:tc>
          <w:tcPr>
            <w:tcW w:type="dxa" w:w="1080"/>
          </w:tcPr>
          <w:p>
            <w:pPr>
              <w:spacing w:after="20"/>
              <w:jc w:val="right"/>
            </w:pPr>
            <w:r>
              <w:rPr>
                <w:color w:val="1C3A36"/>
                <w:sz w:val="18"/>
              </w:rPr>
              <w:t>4.13</w:t>
            </w:r>
          </w:p>
        </w:tc>
        <w:tc>
          <w:tcPr>
            <w:tcW w:type="dxa" w:w="1080"/>
          </w:tcPr>
          <w:p>
            <w:pPr>
              <w:spacing w:after="20"/>
              <w:jc w:val="right"/>
            </w:pPr>
            <w:r>
              <w:rPr>
                <w:color w:val="1C3A36"/>
                <w:sz w:val="18"/>
              </w:rPr>
              <w:t>4.70</w:t>
            </w:r>
          </w:p>
        </w:tc>
        <w:tc>
          <w:tcPr>
            <w:tcW w:type="dxa" w:w="1080"/>
          </w:tcPr>
          <w:p>
            <w:pPr>
              <w:spacing w:after="20"/>
              <w:jc w:val="right"/>
            </w:pPr>
            <w:r>
              <w:rPr>
                <w:color w:val="1C3A36"/>
                <w:sz w:val="18"/>
              </w:rPr>
              <w:t>15%</w:t>
            </w:r>
          </w:p>
        </w:tc>
        <w:tc>
          <w:tcPr>
            <w:tcW w:type="dxa" w:w="1224"/>
          </w:tcPr>
          <w:p>
            <w:pPr>
              <w:spacing w:after="20"/>
              <w:jc w:val="right"/>
            </w:pPr>
            <w:r>
              <w:rPr>
                <w:color w:val="1C3A36"/>
                <w:sz w:val="18"/>
              </w:rPr>
              <w:t>-21%</w:t>
            </w:r>
          </w:p>
        </w:tc>
      </w:tr>
      <w:tr>
        <w:tc>
          <w:tcPr>
            <w:tcW w:type="dxa" w:w="3816"/>
            <w:shd w:val="clear" w:color="auto" w:fill="F6F1E6"/>
          </w:tcPr>
          <w:p>
            <w:pPr>
              <w:spacing w:after="20"/>
            </w:pPr>
            <w:r>
              <w:rPr>
                <w:b/>
                <w:color w:val="1C3A36"/>
                <w:sz w:val="18"/>
              </w:rPr>
              <w:t>Weighted central</w:t>
            </w:r>
          </w:p>
        </w:tc>
        <w:tc>
          <w:tcPr>
            <w:tcW w:type="dxa" w:w="1080"/>
            <w:shd w:val="clear" w:color="auto" w:fill="F6F1E6"/>
          </w:tcPr>
          <w:p>
            <w:pPr>
              <w:spacing w:after="20"/>
              <w:jc w:val="right"/>
            </w:pPr>
            <w:r>
              <w:rPr>
                <w:b/>
                <w:color w:val="1C3A36"/>
                <w:sz w:val="18"/>
              </w:rPr>
              <w:t>0.81</w:t>
            </w:r>
          </w:p>
        </w:tc>
        <w:tc>
          <w:tcPr>
            <w:tcW w:type="dxa" w:w="1080"/>
            <w:shd w:val="clear" w:color="auto" w:fill="F6F1E6"/>
          </w:tcPr>
          <w:p>
            <w:pPr>
              <w:spacing w:after="20"/>
              <w:jc w:val="right"/>
            </w:pPr>
            <w:r>
              <w:rPr>
                <w:b/>
                <w:color w:val="1C3A36"/>
                <w:sz w:val="18"/>
              </w:rPr>
              <w:t>3.86</w:t>
            </w:r>
          </w:p>
        </w:tc>
        <w:tc>
          <w:tcPr>
            <w:tcW w:type="dxa" w:w="1080"/>
            <w:shd w:val="clear" w:color="auto" w:fill="F6F1E6"/>
          </w:tcPr>
          <w:p>
            <w:pPr>
              <w:spacing w:after="20"/>
              <w:jc w:val="right"/>
            </w:pPr>
            <w:r>
              <w:rPr>
                <w:b/>
                <w:color w:val="1C3A36"/>
                <w:sz w:val="18"/>
              </w:rPr>
              <w:t>7.53</w:t>
            </w:r>
          </w:p>
        </w:tc>
        <w:tc>
          <w:tcPr>
            <w:tcW w:type="dxa" w:w="1080"/>
            <w:shd w:val="clear" w:color="auto" w:fill="F6F1E6"/>
          </w:tcPr>
          <w:p>
            <w:pPr>
              <w:spacing w:after="20"/>
              <w:jc w:val="right"/>
            </w:pPr>
            <w:r>
              <w:rPr>
                <w:b/>
                <w:color w:val="1C3A36"/>
                <w:sz w:val="18"/>
              </w:rPr>
              <w:t>100%</w:t>
            </w:r>
          </w:p>
        </w:tc>
        <w:tc>
          <w:tcPr>
            <w:tcW w:type="dxa" w:w="1224"/>
            <w:shd w:val="clear" w:color="auto" w:fill="F6F1E6"/>
          </w:tcPr>
          <w:p>
            <w:pPr>
              <w:spacing w:after="20"/>
              <w:jc w:val="right"/>
            </w:pPr>
            <w:r>
              <w:rPr>
                <w:b/>
                <w:color w:val="1C3A36"/>
                <w:sz w:val="18"/>
              </w:rPr>
              <w:t>-26%</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192"/>
        <w:gridCol w:w="1728"/>
        <w:gridCol w:w="1440"/>
      </w:tblGrid>
      <w:tr>
        <w:tc>
          <w:tcPr>
            <w:tcW w:type="dxa" w:w="6192"/>
            <w:shd w:val="clear" w:color="auto" w:fill="EAF0EE"/>
          </w:tcPr>
          <w:p>
            <w:pPr>
              <w:spacing w:after="20"/>
            </w:pPr>
            <w:r>
              <w:rPr>
                <w:b/>
                <w:color w:val="1C3A36"/>
                <w:sz w:val="18"/>
              </w:rPr>
              <w:t>Alternative framings (never averaged into the central)</w:t>
            </w:r>
          </w:p>
        </w:tc>
        <w:tc>
          <w:tcPr>
            <w:tcW w:type="dxa" w:w="1728"/>
            <w:shd w:val="clear" w:color="auto" w:fill="EAF0EE"/>
          </w:tcPr>
          <w:p>
            <w:pPr>
              <w:spacing w:after="20"/>
            </w:pPr>
            <w:r>
              <w:rPr>
                <w:b/>
                <w:color w:val="1C3A36"/>
                <w:sz w:val="18"/>
              </w:rPr>
              <w:t>AED/share</w:t>
            </w:r>
          </w:p>
        </w:tc>
        <w:tc>
          <w:tcPr>
            <w:tcW w:type="dxa" w:w="1440"/>
            <w:shd w:val="clear" w:color="auto" w:fill="EAF0EE"/>
          </w:tcPr>
          <w:p>
            <w:pPr>
              <w:spacing w:after="20"/>
            </w:pPr>
            <w:r>
              <w:rPr>
                <w:b/>
                <w:color w:val="1C3A36"/>
                <w:sz w:val="18"/>
              </w:rPr>
              <w:t>vs spot</w:t>
            </w:r>
          </w:p>
        </w:tc>
      </w:tr>
      <w:tr>
        <w:tc>
          <w:tcPr>
            <w:tcW w:type="dxa" w:w="6192"/>
          </w:tcPr>
          <w:p>
            <w:pPr>
              <w:spacing w:after="20"/>
            </w:pPr>
            <w:r>
              <w:rPr>
                <w:color w:val="1C3A36"/>
                <w:sz w:val="18"/>
              </w:rPr>
              <w:t>DCF with the JV network capitalised at 15x its profit share</w:t>
            </w:r>
          </w:p>
        </w:tc>
        <w:tc>
          <w:tcPr>
            <w:tcW w:type="dxa" w:w="1728"/>
          </w:tcPr>
          <w:p>
            <w:pPr>
              <w:spacing w:after="20"/>
              <w:jc w:val="right"/>
            </w:pPr>
            <w:r>
              <w:rPr>
                <w:color w:val="1C3A36"/>
                <w:sz w:val="18"/>
              </w:rPr>
              <w:t>4.39</w:t>
            </w:r>
          </w:p>
        </w:tc>
        <w:tc>
          <w:tcPr>
            <w:tcW w:type="dxa" w:w="1440"/>
          </w:tcPr>
          <w:p>
            <w:pPr>
              <w:spacing w:after="20"/>
              <w:jc w:val="right"/>
            </w:pPr>
            <w:r>
              <w:rPr>
                <w:color w:val="1C3A36"/>
                <w:sz w:val="18"/>
              </w:rPr>
              <w:t>-16%</w:t>
            </w:r>
          </w:p>
        </w:tc>
      </w:tr>
      <w:tr>
        <w:tc>
          <w:tcPr>
            <w:tcW w:type="dxa" w:w="6192"/>
          </w:tcPr>
          <w:p>
            <w:pPr>
              <w:spacing w:after="20"/>
            </w:pPr>
            <w:r>
              <w:rPr>
                <w:color w:val="1C3A36"/>
                <w:sz w:val="18"/>
              </w:rPr>
              <w:t>Weighted central on that framing</w:t>
            </w:r>
          </w:p>
        </w:tc>
        <w:tc>
          <w:tcPr>
            <w:tcW w:type="dxa" w:w="1728"/>
          </w:tcPr>
          <w:p>
            <w:pPr>
              <w:spacing w:after="20"/>
              <w:jc w:val="right"/>
            </w:pPr>
            <w:r>
              <w:rPr>
                <w:color w:val="1C3A36"/>
                <w:sz w:val="18"/>
              </w:rPr>
              <w:t>4.12</w:t>
            </w:r>
          </w:p>
        </w:tc>
        <w:tc>
          <w:tcPr>
            <w:tcW w:type="dxa" w:w="1440"/>
          </w:tcPr>
          <w:p>
            <w:pPr>
              <w:spacing w:after="20"/>
              <w:jc w:val="right"/>
            </w:pPr>
            <w:r>
              <w:rPr>
                <w:color w:val="1C3A36"/>
                <w:sz w:val="18"/>
              </w:rPr>
              <w:t>-21%</w:t>
            </w:r>
          </w:p>
        </w:tc>
      </w:tr>
      <w:tr>
        <w:tc>
          <w:tcPr>
            <w:tcW w:type="dxa" w:w="6192"/>
          </w:tcPr>
          <w:p>
            <w:pPr>
              <w:spacing w:after="20"/>
            </w:pPr>
            <w:r>
              <w:rPr>
                <w:color w:val="1C3A36"/>
                <w:sz w:val="18"/>
              </w:rPr>
              <w:t>DCF on the high-fuel alternative (association path held)</w:t>
            </w:r>
          </w:p>
        </w:tc>
        <w:tc>
          <w:tcPr>
            <w:tcW w:type="dxa" w:w="1728"/>
          </w:tcPr>
          <w:p>
            <w:pPr>
              <w:spacing w:after="20"/>
              <w:jc w:val="right"/>
            </w:pPr>
            <w:r>
              <w:rPr>
                <w:color w:val="1C3A36"/>
                <w:sz w:val="18"/>
              </w:rPr>
              <w:t>2.17</w:t>
            </w:r>
          </w:p>
        </w:tc>
        <w:tc>
          <w:tcPr>
            <w:tcW w:type="dxa" w:w="1440"/>
          </w:tcPr>
          <w:p>
            <w:pPr>
              <w:spacing w:after="20"/>
              <w:jc w:val="right"/>
            </w:pPr>
            <w:r>
              <w:rPr>
                <w:color w:val="1C3A36"/>
                <w:sz w:val="18"/>
              </w:rPr>
              <w:t>-59%</w:t>
            </w:r>
          </w:p>
        </w:tc>
      </w:tr>
      <w:tr>
        <w:tc>
          <w:tcPr>
            <w:tcW w:type="dxa" w:w="6192"/>
          </w:tcPr>
          <w:p>
            <w:pPr>
              <w:spacing w:after="20"/>
            </w:pPr>
            <w:r>
              <w:rPr>
                <w:color w:val="1C3A36"/>
                <w:sz w:val="18"/>
              </w:rPr>
              <w:t>Expert panel median</w:t>
            </w:r>
          </w:p>
        </w:tc>
        <w:tc>
          <w:tcPr>
            <w:tcW w:type="dxa" w:w="1728"/>
          </w:tcPr>
          <w:p>
            <w:pPr>
              <w:spacing w:after="20"/>
              <w:jc w:val="right"/>
            </w:pPr>
            <w:r>
              <w:rPr>
                <w:color w:val="1C3A36"/>
                <w:sz w:val="18"/>
              </w:rPr>
              <w:t>3.51</w:t>
            </w:r>
          </w:p>
        </w:tc>
        <w:tc>
          <w:tcPr>
            <w:tcW w:type="dxa" w:w="1440"/>
          </w:tcPr>
          <w:p>
            <w:pPr>
              <w:spacing w:after="20"/>
              <w:jc w:val="right"/>
            </w:pPr>
            <w:r>
              <w:rPr>
                <w:color w:val="1C3A36"/>
                <w:sz w:val="18"/>
              </w:rPr>
              <w:t>-33%</w:t>
            </w:r>
          </w:p>
        </w:tc>
      </w:tr>
      <w:tr>
        <w:tc>
          <w:tcPr>
            <w:tcW w:type="dxa" w:w="6192"/>
          </w:tcPr>
          <w:p>
            <w:pPr>
              <w:spacing w:after="20"/>
            </w:pPr>
            <w:r>
              <w:rPr>
                <w:color w:val="1C3A36"/>
                <w:sz w:val="18"/>
              </w:rPr>
              <w:t>Market price (2026-08-07)</w:t>
            </w:r>
          </w:p>
        </w:tc>
        <w:tc>
          <w:tcPr>
            <w:tcW w:type="dxa" w:w="1728"/>
          </w:tcPr>
          <w:p>
            <w:pPr>
              <w:spacing w:after="20"/>
              <w:jc w:val="right"/>
            </w:pPr>
            <w:r>
              <w:rPr>
                <w:color w:val="1C3A36"/>
                <w:sz w:val="18"/>
              </w:rPr>
              <w:t>5.24</w:t>
            </w:r>
          </w:p>
        </w:tc>
        <w:tc>
          <w:tcPr>
            <w:tcW w:type="dxa" w:w="1440"/>
          </w:tcPr>
          <w:p>
            <w:pPr>
              <w:spacing w:after="20"/>
              <w:jc w:val="right"/>
            </w:pPr>
            <w:r>
              <w:rPr>
                <w:color w:val="1C3A36"/>
                <w:sz w:val="18"/>
              </w:rPr>
              <w:t>—</w:t>
            </w:r>
          </w:p>
        </w:tc>
      </w:tr>
    </w:tbl>
    <w:p>
      <w:pPr>
        <w:spacing w:after="40"/>
      </w:pPr>
    </w:p>
    <w:p>
      <w:pPr>
        <w:spacing w:after="200" w:before="0"/>
      </w:pPr>
      <w:r>
        <w:rPr>
          <w:b w:val="0"/>
          <w:i/>
          <w:color w:val="6E7B77"/>
          <w:sz w:val="17"/>
        </w:rPr>
        <w:t>The DCF row shows the terminal-value share of enterprise value beside the lens, as it should: 86% of the operating value sits beyond the five forecast years, because the fleet build-out's spending lands inside the window while much of its revenue lands after it.</w:t>
      </w:r>
    </w:p>
    <w:p>
      <w:pPr>
        <w:spacing w:after="120" w:before="280"/>
      </w:pPr>
      <w:r>
        <w:rPr>
          <w:b/>
          <w:i w:val="0"/>
          <w:color w:val="1C3A36"/>
          <w:sz w:val="30"/>
        </w:rPr>
        <w:t>Company overview</w:t>
      </w:r>
    </w:p>
    <w:p>
      <w:pPr>
        <w:spacing w:after="120" w:before="0"/>
      </w:pPr>
      <w:r>
        <w:rPr>
          <w:b w:val="0"/>
          <w:i w:val="0"/>
          <w:color w:val="1C3A36"/>
          <w:sz w:val="21"/>
        </w:rPr>
        <w:t>Air Arabia PJSC, incorporated 19 June 2007 and listed on the Dubai Financial Market, is the Middle East and North Africa's first and largest listed low-cost carrier. From hubs at Sharjah and Ras Al Khaimah it operates a 90-aircraft Airbus A320-family fleet (plus five short-term leases) to 219 destinations, with the first of 120 ordered A320neo-family aircraft (73 A320neo, 27 A321neo, 20 A321XLR — the 2019 order) delivered on 29 September 2025. Around the listed company sits a network of equity-accounted airline ventures: Air Arabia Abu Dhabi (49%, with Etihad), Air Arabia Egypt (raised to 49% in 2025), Fly Jinnah in Pakistan (45%), Air Arabia Maroc (44.13%), and — signed in 2025 — Air Arabia DMM (49%), a new Dammam-based Saudi carrier. The group also owns hotels (Centro Sharjah, Radisson Blu Dubai Marina), the COZMO travel network, aviation-services subsidiaries, and leases 17 of its aircraft to the venture airlines.</w:t>
      </w:r>
    </w:p>
    <w:p>
      <w:pPr>
        <w:spacing w:after="120" w:before="0"/>
      </w:pPr>
      <w:r>
        <w:rPr>
          <w:b w:val="0"/>
          <w:i w:val="0"/>
          <w:color w:val="1C3A36"/>
          <w:sz w:val="21"/>
        </w:rPr>
        <w:t>Class and lens. Air Arabia is an OPERATING COMPANY — a low-cost airline: 79% of FY2025 revenue is passenger fares plus baggage, another 11% is ancillary/cargo/services sold around the seat, 3% is aircraft leases to its own ventures and 1% hotels. The balance sheet is a fleet (AED 5,790mn owned equipment, AED 853mn right-of-use aircraft, AED 2,028mn pre-delivery payments) funded by secured aircraft debt and leases of AED 2,781mn against AED 2,417mn of NET CASH. The study therefore values the airline on discounted free cash flow with a passenger-level unit build, and handles the equity-accounted venture network explicitly in the enterprise-to-equity bridge — the one genuinely contested structural judgement.</w:t>
      </w:r>
    </w:p>
    <w:p>
      <w:pPr>
        <w:spacing w:after="120" w:before="280"/>
      </w:pPr>
      <w:r>
        <w:rPr>
          <w:b/>
          <w:i w:val="0"/>
          <w:color w:val="1C3A36"/>
          <w:sz w:val="30"/>
        </w:rPr>
        <w:t>1  Fundamental valuation</w:t>
      </w:r>
    </w:p>
    <w:p>
      <w:pPr>
        <w:spacing w:after="80" w:before="200"/>
      </w:pPr>
      <w:r>
        <w:rPr>
          <w:b/>
          <w:i w:val="0"/>
          <w:color w:val="1C3A36"/>
          <w:sz w:val="24"/>
        </w:rPr>
        <w:t>1.1  The cash-flow model — FCFF waterfall and the bridge to equity</w:t>
      </w:r>
    </w:p>
    <w:p>
      <w:pPr>
        <w:spacing w:after="120" w:before="0"/>
      </w:pPr>
      <w:r>
        <w:rPr>
          <w:b w:val="0"/>
          <w:i w:val="0"/>
          <w:color w:val="1C3A36"/>
          <w:sz w:val="21"/>
        </w:rPr>
        <w:t>Revenue is built from passengers times per-passenger rates; the cost stack is per-passenger lines with one escalator each (section 1.6). The waterfall below runs from EBITDA to enterprise value; every line of it is a live formula in the companion workbook.</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282"/>
        <w:gridCol w:w="1282"/>
        <w:gridCol w:w="1282"/>
        <w:gridCol w:w="1282"/>
        <w:gridCol w:w="1282"/>
      </w:tblGrid>
      <w:tr>
        <w:tc>
          <w:tcPr>
            <w:tcW w:type="dxa" w:w="3672"/>
            <w:shd w:val="clear" w:color="auto" w:fill="EAF0EE"/>
          </w:tcPr>
          <w:p>
            <w:pPr>
              <w:spacing w:after="20"/>
            </w:pPr>
            <w:r>
              <w:rPr>
                <w:b/>
                <w:color w:val="1C3A36"/>
                <w:sz w:val="18"/>
              </w:rPr>
              <w:t>AED mn</w:t>
            </w:r>
          </w:p>
        </w:tc>
        <w:tc>
          <w:tcPr>
            <w:tcW w:type="dxa" w:w="1282"/>
            <w:shd w:val="clear" w:color="auto" w:fill="EAF0EE"/>
          </w:tcPr>
          <w:p>
            <w:pPr>
              <w:spacing w:after="20"/>
            </w:pPr>
            <w:r>
              <w:rPr>
                <w:b/>
                <w:color w:val="1C3A36"/>
                <w:sz w:val="18"/>
              </w:rPr>
              <w:t>FY26E</w:t>
            </w:r>
          </w:p>
        </w:tc>
        <w:tc>
          <w:tcPr>
            <w:tcW w:type="dxa" w:w="1282"/>
            <w:shd w:val="clear" w:color="auto" w:fill="EAF0EE"/>
          </w:tcPr>
          <w:p>
            <w:pPr>
              <w:spacing w:after="20"/>
            </w:pPr>
            <w:r>
              <w:rPr>
                <w:b/>
                <w:color w:val="1C3A36"/>
                <w:sz w:val="18"/>
              </w:rPr>
              <w:t>FY27E</w:t>
            </w:r>
          </w:p>
        </w:tc>
        <w:tc>
          <w:tcPr>
            <w:tcW w:type="dxa" w:w="1282"/>
            <w:shd w:val="clear" w:color="auto" w:fill="EAF0EE"/>
          </w:tcPr>
          <w:p>
            <w:pPr>
              <w:spacing w:after="20"/>
            </w:pPr>
            <w:r>
              <w:rPr>
                <w:b/>
                <w:color w:val="1C3A36"/>
                <w:sz w:val="18"/>
              </w:rPr>
              <w:t>FY28E</w:t>
            </w:r>
          </w:p>
        </w:tc>
        <w:tc>
          <w:tcPr>
            <w:tcW w:type="dxa" w:w="1282"/>
            <w:shd w:val="clear" w:color="auto" w:fill="EAF0EE"/>
          </w:tcPr>
          <w:p>
            <w:pPr>
              <w:spacing w:after="20"/>
            </w:pPr>
            <w:r>
              <w:rPr>
                <w:b/>
                <w:color w:val="1C3A36"/>
                <w:sz w:val="18"/>
              </w:rPr>
              <w:t>FY29E</w:t>
            </w:r>
          </w:p>
        </w:tc>
        <w:tc>
          <w:tcPr>
            <w:tcW w:type="dxa" w:w="1282"/>
            <w:shd w:val="clear" w:color="auto" w:fill="EAF0EE"/>
          </w:tcPr>
          <w:p>
            <w:pPr>
              <w:spacing w:after="20"/>
            </w:pPr>
            <w:r>
              <w:rPr>
                <w:b/>
                <w:color w:val="1C3A36"/>
                <w:sz w:val="18"/>
              </w:rPr>
              <w:t>FY30E</w:t>
            </w:r>
          </w:p>
        </w:tc>
      </w:tr>
      <w:tr>
        <w:tc>
          <w:tcPr>
            <w:tcW w:type="dxa" w:w="3672"/>
          </w:tcPr>
          <w:p>
            <w:pPr>
              <w:spacing w:after="20"/>
            </w:pPr>
            <w:r>
              <w:rPr>
                <w:color w:val="1C3A36"/>
                <w:sz w:val="18"/>
              </w:rPr>
              <w:t>Revenue</w:t>
            </w:r>
          </w:p>
        </w:tc>
        <w:tc>
          <w:tcPr>
            <w:tcW w:type="dxa" w:w="1282"/>
          </w:tcPr>
          <w:p>
            <w:pPr>
              <w:spacing w:after="20"/>
              <w:jc w:val="right"/>
            </w:pPr>
            <w:r>
              <w:rPr>
                <w:color w:val="1C3A36"/>
                <w:sz w:val="18"/>
              </w:rPr>
              <w:t>7,869</w:t>
            </w:r>
          </w:p>
        </w:tc>
        <w:tc>
          <w:tcPr>
            <w:tcW w:type="dxa" w:w="1282"/>
          </w:tcPr>
          <w:p>
            <w:pPr>
              <w:spacing w:after="20"/>
              <w:jc w:val="right"/>
            </w:pPr>
            <w:r>
              <w:rPr>
                <w:color w:val="1C3A36"/>
                <w:sz w:val="18"/>
              </w:rPr>
              <w:t>8,451</w:t>
            </w:r>
          </w:p>
        </w:tc>
        <w:tc>
          <w:tcPr>
            <w:tcW w:type="dxa" w:w="1282"/>
          </w:tcPr>
          <w:p>
            <w:pPr>
              <w:spacing w:after="20"/>
              <w:jc w:val="right"/>
            </w:pPr>
            <w:r>
              <w:rPr>
                <w:color w:val="1C3A36"/>
                <w:sz w:val="18"/>
              </w:rPr>
              <w:t>9,257</w:t>
            </w:r>
          </w:p>
        </w:tc>
        <w:tc>
          <w:tcPr>
            <w:tcW w:type="dxa" w:w="1282"/>
          </w:tcPr>
          <w:p>
            <w:pPr>
              <w:spacing w:after="20"/>
              <w:jc w:val="right"/>
            </w:pPr>
            <w:r>
              <w:rPr>
                <w:color w:val="1C3A36"/>
                <w:sz w:val="18"/>
              </w:rPr>
              <w:t>10,095</w:t>
            </w:r>
          </w:p>
        </w:tc>
        <w:tc>
          <w:tcPr>
            <w:tcW w:type="dxa" w:w="1282"/>
          </w:tcPr>
          <w:p>
            <w:pPr>
              <w:spacing w:after="20"/>
              <w:jc w:val="right"/>
            </w:pPr>
            <w:r>
              <w:rPr>
                <w:color w:val="1C3A36"/>
                <w:sz w:val="18"/>
              </w:rPr>
              <w:t>10,952</w:t>
            </w:r>
          </w:p>
        </w:tc>
      </w:tr>
      <w:tr>
        <w:tc>
          <w:tcPr>
            <w:tcW w:type="dxa" w:w="3672"/>
          </w:tcPr>
          <w:p>
            <w:pPr>
              <w:spacing w:after="20"/>
            </w:pPr>
            <w:r>
              <w:rPr>
                <w:color w:val="1C3A36"/>
                <w:sz w:val="18"/>
              </w:rPr>
              <w:t>EBITDA (incl. fees and other income)</w:t>
            </w:r>
          </w:p>
        </w:tc>
        <w:tc>
          <w:tcPr>
            <w:tcW w:type="dxa" w:w="1282"/>
          </w:tcPr>
          <w:p>
            <w:pPr>
              <w:spacing w:after="20"/>
              <w:jc w:val="right"/>
            </w:pPr>
            <w:r>
              <w:rPr>
                <w:color w:val="1C3A36"/>
                <w:sz w:val="18"/>
              </w:rPr>
              <w:t>1,876</w:t>
            </w:r>
          </w:p>
        </w:tc>
        <w:tc>
          <w:tcPr>
            <w:tcW w:type="dxa" w:w="1282"/>
          </w:tcPr>
          <w:p>
            <w:pPr>
              <w:spacing w:after="20"/>
              <w:jc w:val="right"/>
            </w:pPr>
            <w:r>
              <w:rPr>
                <w:color w:val="1C3A36"/>
                <w:sz w:val="18"/>
              </w:rPr>
              <w:t>2,287</w:t>
            </w:r>
          </w:p>
        </w:tc>
        <w:tc>
          <w:tcPr>
            <w:tcW w:type="dxa" w:w="1282"/>
          </w:tcPr>
          <w:p>
            <w:pPr>
              <w:spacing w:after="20"/>
              <w:jc w:val="right"/>
            </w:pPr>
            <w:r>
              <w:rPr>
                <w:color w:val="1C3A36"/>
                <w:sz w:val="18"/>
              </w:rPr>
              <w:t>2,420</w:t>
            </w:r>
          </w:p>
        </w:tc>
        <w:tc>
          <w:tcPr>
            <w:tcW w:type="dxa" w:w="1282"/>
          </w:tcPr>
          <w:p>
            <w:pPr>
              <w:spacing w:after="20"/>
              <w:jc w:val="right"/>
            </w:pPr>
            <w:r>
              <w:rPr>
                <w:color w:val="1C3A36"/>
                <w:sz w:val="18"/>
              </w:rPr>
              <w:t>2,556</w:t>
            </w:r>
          </w:p>
        </w:tc>
        <w:tc>
          <w:tcPr>
            <w:tcW w:type="dxa" w:w="1282"/>
          </w:tcPr>
          <w:p>
            <w:pPr>
              <w:spacing w:after="20"/>
              <w:jc w:val="right"/>
            </w:pPr>
            <w:r>
              <w:rPr>
                <w:color w:val="1C3A36"/>
                <w:sz w:val="18"/>
              </w:rPr>
              <w:t>2,680</w:t>
            </w:r>
          </w:p>
        </w:tc>
      </w:tr>
      <w:tr>
        <w:tc>
          <w:tcPr>
            <w:tcW w:type="dxa" w:w="3672"/>
          </w:tcPr>
          <w:p>
            <w:pPr>
              <w:spacing w:after="20"/>
            </w:pPr>
            <w:r>
              <w:rPr>
                <w:color w:val="1C3A36"/>
                <w:sz w:val="18"/>
              </w:rPr>
              <w:t>less depreciation &amp; amortisation</w:t>
            </w:r>
          </w:p>
        </w:tc>
        <w:tc>
          <w:tcPr>
            <w:tcW w:type="dxa" w:w="1282"/>
          </w:tcPr>
          <w:p>
            <w:pPr>
              <w:spacing w:after="20"/>
              <w:jc w:val="right"/>
            </w:pPr>
            <w:r>
              <w:rPr>
                <w:color w:val="1C3A36"/>
                <w:sz w:val="18"/>
              </w:rPr>
              <w:t>720</w:t>
            </w:r>
          </w:p>
        </w:tc>
        <w:tc>
          <w:tcPr>
            <w:tcW w:type="dxa" w:w="1282"/>
          </w:tcPr>
          <w:p>
            <w:pPr>
              <w:spacing w:after="20"/>
              <w:jc w:val="right"/>
            </w:pPr>
            <w:r>
              <w:rPr>
                <w:color w:val="1C3A36"/>
                <w:sz w:val="18"/>
              </w:rPr>
              <w:t>810</w:t>
            </w:r>
          </w:p>
        </w:tc>
        <w:tc>
          <w:tcPr>
            <w:tcW w:type="dxa" w:w="1282"/>
          </w:tcPr>
          <w:p>
            <w:pPr>
              <w:spacing w:after="20"/>
              <w:jc w:val="right"/>
            </w:pPr>
            <w:r>
              <w:rPr>
                <w:color w:val="1C3A36"/>
                <w:sz w:val="18"/>
              </w:rPr>
              <w:t>900</w:t>
            </w:r>
          </w:p>
        </w:tc>
        <w:tc>
          <w:tcPr>
            <w:tcW w:type="dxa" w:w="1282"/>
          </w:tcPr>
          <w:p>
            <w:pPr>
              <w:spacing w:after="20"/>
              <w:jc w:val="right"/>
            </w:pPr>
            <w:r>
              <w:rPr>
                <w:color w:val="1C3A36"/>
                <w:sz w:val="18"/>
              </w:rPr>
              <w:t>980</w:t>
            </w:r>
          </w:p>
        </w:tc>
        <w:tc>
          <w:tcPr>
            <w:tcW w:type="dxa" w:w="1282"/>
          </w:tcPr>
          <w:p>
            <w:pPr>
              <w:spacing w:after="20"/>
              <w:jc w:val="right"/>
            </w:pPr>
            <w:r>
              <w:rPr>
                <w:color w:val="1C3A36"/>
                <w:sz w:val="18"/>
              </w:rPr>
              <w:t>1,060</w:t>
            </w:r>
          </w:p>
        </w:tc>
      </w:tr>
      <w:tr>
        <w:tc>
          <w:tcPr>
            <w:tcW w:type="dxa" w:w="3672"/>
          </w:tcPr>
          <w:p>
            <w:pPr>
              <w:spacing w:after="20"/>
            </w:pPr>
            <w:r>
              <w:rPr>
                <w:color w:val="1C3A36"/>
                <w:sz w:val="18"/>
              </w:rPr>
              <w:t>EBIT</w:t>
            </w:r>
          </w:p>
        </w:tc>
        <w:tc>
          <w:tcPr>
            <w:tcW w:type="dxa" w:w="1282"/>
          </w:tcPr>
          <w:p>
            <w:pPr>
              <w:spacing w:after="20"/>
              <w:jc w:val="right"/>
            </w:pPr>
            <w:r>
              <w:rPr>
                <w:color w:val="1C3A36"/>
                <w:sz w:val="18"/>
              </w:rPr>
              <w:t>1,156</w:t>
            </w:r>
          </w:p>
        </w:tc>
        <w:tc>
          <w:tcPr>
            <w:tcW w:type="dxa" w:w="1282"/>
          </w:tcPr>
          <w:p>
            <w:pPr>
              <w:spacing w:after="20"/>
              <w:jc w:val="right"/>
            </w:pPr>
            <w:r>
              <w:rPr>
                <w:color w:val="1C3A36"/>
                <w:sz w:val="18"/>
              </w:rPr>
              <w:t>1,477</w:t>
            </w:r>
          </w:p>
        </w:tc>
        <w:tc>
          <w:tcPr>
            <w:tcW w:type="dxa" w:w="1282"/>
          </w:tcPr>
          <w:p>
            <w:pPr>
              <w:spacing w:after="20"/>
              <w:jc w:val="right"/>
            </w:pPr>
            <w:r>
              <w:rPr>
                <w:color w:val="1C3A36"/>
                <w:sz w:val="18"/>
              </w:rPr>
              <w:t>1,520</w:t>
            </w:r>
          </w:p>
        </w:tc>
        <w:tc>
          <w:tcPr>
            <w:tcW w:type="dxa" w:w="1282"/>
          </w:tcPr>
          <w:p>
            <w:pPr>
              <w:spacing w:after="20"/>
              <w:jc w:val="right"/>
            </w:pPr>
            <w:r>
              <w:rPr>
                <w:color w:val="1C3A36"/>
                <w:sz w:val="18"/>
              </w:rPr>
              <w:t>1,576</w:t>
            </w:r>
          </w:p>
        </w:tc>
        <w:tc>
          <w:tcPr>
            <w:tcW w:type="dxa" w:w="1282"/>
          </w:tcPr>
          <w:p>
            <w:pPr>
              <w:spacing w:after="20"/>
              <w:jc w:val="right"/>
            </w:pPr>
            <w:r>
              <w:rPr>
                <w:color w:val="1C3A36"/>
                <w:sz w:val="18"/>
              </w:rPr>
              <w:t>1,620</w:t>
            </w:r>
          </w:p>
        </w:tc>
      </w:tr>
      <w:tr>
        <w:tc>
          <w:tcPr>
            <w:tcW w:type="dxa" w:w="3672"/>
          </w:tcPr>
          <w:p>
            <w:pPr>
              <w:spacing w:after="20"/>
            </w:pPr>
            <w:r>
              <w:rPr>
                <w:color w:val="1C3A36"/>
                <w:sz w:val="18"/>
              </w:rPr>
              <w:t>NOPAT (EBIT × (1 − 15%))</w:t>
            </w:r>
          </w:p>
        </w:tc>
        <w:tc>
          <w:tcPr>
            <w:tcW w:type="dxa" w:w="1282"/>
          </w:tcPr>
          <w:p>
            <w:pPr>
              <w:spacing w:after="20"/>
              <w:jc w:val="right"/>
            </w:pPr>
            <w:r>
              <w:rPr>
                <w:color w:val="1C3A36"/>
                <w:sz w:val="18"/>
              </w:rPr>
              <w:t>983</w:t>
            </w:r>
          </w:p>
        </w:tc>
        <w:tc>
          <w:tcPr>
            <w:tcW w:type="dxa" w:w="1282"/>
          </w:tcPr>
          <w:p>
            <w:pPr>
              <w:spacing w:after="20"/>
              <w:jc w:val="right"/>
            </w:pPr>
            <w:r>
              <w:rPr>
                <w:color w:val="1C3A36"/>
                <w:sz w:val="18"/>
              </w:rPr>
              <w:t>1,255</w:t>
            </w:r>
          </w:p>
        </w:tc>
        <w:tc>
          <w:tcPr>
            <w:tcW w:type="dxa" w:w="1282"/>
          </w:tcPr>
          <w:p>
            <w:pPr>
              <w:spacing w:after="20"/>
              <w:jc w:val="right"/>
            </w:pPr>
            <w:r>
              <w:rPr>
                <w:color w:val="1C3A36"/>
                <w:sz w:val="18"/>
              </w:rPr>
              <w:t>1,292</w:t>
            </w:r>
          </w:p>
        </w:tc>
        <w:tc>
          <w:tcPr>
            <w:tcW w:type="dxa" w:w="1282"/>
          </w:tcPr>
          <w:p>
            <w:pPr>
              <w:spacing w:after="20"/>
              <w:jc w:val="right"/>
            </w:pPr>
            <w:r>
              <w:rPr>
                <w:color w:val="1C3A36"/>
                <w:sz w:val="18"/>
              </w:rPr>
              <w:t>1,339</w:t>
            </w:r>
          </w:p>
        </w:tc>
        <w:tc>
          <w:tcPr>
            <w:tcW w:type="dxa" w:w="1282"/>
          </w:tcPr>
          <w:p>
            <w:pPr>
              <w:spacing w:after="20"/>
              <w:jc w:val="right"/>
            </w:pPr>
            <w:r>
              <w:rPr>
                <w:color w:val="1C3A36"/>
                <w:sz w:val="18"/>
              </w:rPr>
              <w:t>1,377</w:t>
            </w:r>
          </w:p>
        </w:tc>
      </w:tr>
      <w:tr>
        <w:tc>
          <w:tcPr>
            <w:tcW w:type="dxa" w:w="3672"/>
          </w:tcPr>
          <w:p>
            <w:pPr>
              <w:spacing w:after="20"/>
            </w:pPr>
            <w:r>
              <w:rPr>
                <w:color w:val="1C3A36"/>
                <w:sz w:val="18"/>
              </w:rPr>
              <w:t>add back depreciation &amp; amortisation</w:t>
            </w:r>
          </w:p>
        </w:tc>
        <w:tc>
          <w:tcPr>
            <w:tcW w:type="dxa" w:w="1282"/>
          </w:tcPr>
          <w:p>
            <w:pPr>
              <w:spacing w:after="20"/>
              <w:jc w:val="right"/>
            </w:pPr>
            <w:r>
              <w:rPr>
                <w:color w:val="1C3A36"/>
                <w:sz w:val="18"/>
              </w:rPr>
              <w:t>720</w:t>
            </w:r>
          </w:p>
        </w:tc>
        <w:tc>
          <w:tcPr>
            <w:tcW w:type="dxa" w:w="1282"/>
          </w:tcPr>
          <w:p>
            <w:pPr>
              <w:spacing w:after="20"/>
              <w:jc w:val="right"/>
            </w:pPr>
            <w:r>
              <w:rPr>
                <w:color w:val="1C3A36"/>
                <w:sz w:val="18"/>
              </w:rPr>
              <w:t>810</w:t>
            </w:r>
          </w:p>
        </w:tc>
        <w:tc>
          <w:tcPr>
            <w:tcW w:type="dxa" w:w="1282"/>
          </w:tcPr>
          <w:p>
            <w:pPr>
              <w:spacing w:after="20"/>
              <w:jc w:val="right"/>
            </w:pPr>
            <w:r>
              <w:rPr>
                <w:color w:val="1C3A36"/>
                <w:sz w:val="18"/>
              </w:rPr>
              <w:t>900</w:t>
            </w:r>
          </w:p>
        </w:tc>
        <w:tc>
          <w:tcPr>
            <w:tcW w:type="dxa" w:w="1282"/>
          </w:tcPr>
          <w:p>
            <w:pPr>
              <w:spacing w:after="20"/>
              <w:jc w:val="right"/>
            </w:pPr>
            <w:r>
              <w:rPr>
                <w:color w:val="1C3A36"/>
                <w:sz w:val="18"/>
              </w:rPr>
              <w:t>980</w:t>
            </w:r>
          </w:p>
        </w:tc>
        <w:tc>
          <w:tcPr>
            <w:tcW w:type="dxa" w:w="1282"/>
          </w:tcPr>
          <w:p>
            <w:pPr>
              <w:spacing w:after="20"/>
              <w:jc w:val="right"/>
            </w:pPr>
            <w:r>
              <w:rPr>
                <w:color w:val="1C3A36"/>
                <w:sz w:val="18"/>
              </w:rPr>
              <w:t>1,060</w:t>
            </w:r>
          </w:p>
        </w:tc>
      </w:tr>
      <w:tr>
        <w:tc>
          <w:tcPr>
            <w:tcW w:type="dxa" w:w="3672"/>
          </w:tcPr>
          <w:p>
            <w:pPr>
              <w:spacing w:after="20"/>
            </w:pPr>
            <w:r>
              <w:rPr>
                <w:color w:val="1C3A36"/>
                <w:sz w:val="18"/>
              </w:rPr>
              <w:t>less fleet capital expenditure</w:t>
            </w:r>
          </w:p>
        </w:tc>
        <w:tc>
          <w:tcPr>
            <w:tcW w:type="dxa" w:w="1282"/>
          </w:tcPr>
          <w:p>
            <w:pPr>
              <w:spacing w:after="20"/>
              <w:jc w:val="right"/>
            </w:pPr>
            <w:r>
              <w:rPr>
                <w:color w:val="1C3A36"/>
                <w:sz w:val="18"/>
              </w:rPr>
              <w:t>2,000</w:t>
            </w:r>
          </w:p>
        </w:tc>
        <w:tc>
          <w:tcPr>
            <w:tcW w:type="dxa" w:w="1282"/>
          </w:tcPr>
          <w:p>
            <w:pPr>
              <w:spacing w:after="20"/>
              <w:jc w:val="right"/>
            </w:pPr>
            <w:r>
              <w:rPr>
                <w:color w:val="1C3A36"/>
                <w:sz w:val="18"/>
              </w:rPr>
              <w:t>1,900</w:t>
            </w:r>
          </w:p>
        </w:tc>
        <w:tc>
          <w:tcPr>
            <w:tcW w:type="dxa" w:w="1282"/>
          </w:tcPr>
          <w:p>
            <w:pPr>
              <w:spacing w:after="20"/>
              <w:jc w:val="right"/>
            </w:pPr>
            <w:r>
              <w:rPr>
                <w:color w:val="1C3A36"/>
                <w:sz w:val="18"/>
              </w:rPr>
              <w:t>1,900</w:t>
            </w:r>
          </w:p>
        </w:tc>
        <w:tc>
          <w:tcPr>
            <w:tcW w:type="dxa" w:w="1282"/>
          </w:tcPr>
          <w:p>
            <w:pPr>
              <w:spacing w:after="20"/>
              <w:jc w:val="right"/>
            </w:pPr>
            <w:r>
              <w:rPr>
                <w:color w:val="1C3A36"/>
                <w:sz w:val="18"/>
              </w:rPr>
              <w:t>1,950</w:t>
            </w:r>
          </w:p>
        </w:tc>
        <w:tc>
          <w:tcPr>
            <w:tcW w:type="dxa" w:w="1282"/>
          </w:tcPr>
          <w:p>
            <w:pPr>
              <w:spacing w:after="20"/>
              <w:jc w:val="right"/>
            </w:pPr>
            <w:r>
              <w:rPr>
                <w:color w:val="1C3A36"/>
                <w:sz w:val="18"/>
              </w:rPr>
              <w:t>2,000</w:t>
            </w:r>
          </w:p>
        </w:tc>
      </w:tr>
      <w:tr>
        <w:tc>
          <w:tcPr>
            <w:tcW w:type="dxa" w:w="3672"/>
          </w:tcPr>
          <w:p>
            <w:pPr>
              <w:spacing w:after="20"/>
            </w:pPr>
            <w:r>
              <w:rPr>
                <w:color w:val="1C3A36"/>
                <w:sz w:val="18"/>
              </w:rPr>
              <w:t>less change in working capital</w:t>
            </w:r>
          </w:p>
        </w:tc>
        <w:tc>
          <w:tcPr>
            <w:tcW w:type="dxa" w:w="1282"/>
          </w:tcPr>
          <w:p>
            <w:pPr>
              <w:spacing w:after="20"/>
              <w:jc w:val="right"/>
            </w:pPr>
            <w:r>
              <w:rPr>
                <w:color w:val="1C3A36"/>
                <w:sz w:val="18"/>
              </w:rPr>
              <w:t>151</w:t>
            </w:r>
          </w:p>
        </w:tc>
        <w:tc>
          <w:tcPr>
            <w:tcW w:type="dxa" w:w="1282"/>
          </w:tcPr>
          <w:p>
            <w:pPr>
              <w:spacing w:after="20"/>
              <w:jc w:val="right"/>
            </w:pPr>
            <w:r>
              <w:rPr>
                <w:color w:val="1C3A36"/>
                <w:sz w:val="18"/>
              </w:rPr>
              <w:t>-373</w:t>
            </w:r>
          </w:p>
        </w:tc>
        <w:tc>
          <w:tcPr>
            <w:tcW w:type="dxa" w:w="1282"/>
          </w:tcPr>
          <w:p>
            <w:pPr>
              <w:spacing w:after="20"/>
              <w:jc w:val="right"/>
            </w:pPr>
            <w:r>
              <w:rPr>
                <w:color w:val="1C3A36"/>
                <w:sz w:val="18"/>
              </w:rPr>
              <w:t>-516</w:t>
            </w:r>
          </w:p>
        </w:tc>
        <w:tc>
          <w:tcPr>
            <w:tcW w:type="dxa" w:w="1282"/>
          </w:tcPr>
          <w:p>
            <w:pPr>
              <w:spacing w:after="20"/>
              <w:jc w:val="right"/>
            </w:pPr>
            <w:r>
              <w:rPr>
                <w:color w:val="1C3A36"/>
                <w:sz w:val="18"/>
              </w:rPr>
              <w:t>-536</w:t>
            </w:r>
          </w:p>
        </w:tc>
        <w:tc>
          <w:tcPr>
            <w:tcW w:type="dxa" w:w="1282"/>
          </w:tcPr>
          <w:p>
            <w:pPr>
              <w:spacing w:after="20"/>
              <w:jc w:val="right"/>
            </w:pPr>
            <w:r>
              <w:rPr>
                <w:color w:val="1C3A36"/>
                <w:sz w:val="18"/>
              </w:rPr>
              <w:t>-549</w:t>
            </w:r>
          </w:p>
        </w:tc>
      </w:tr>
      <w:tr>
        <w:tc>
          <w:tcPr>
            <w:tcW w:type="dxa" w:w="3672"/>
            <w:shd w:val="clear" w:color="auto" w:fill="F6F1E6"/>
          </w:tcPr>
          <w:p>
            <w:pPr>
              <w:spacing w:after="20"/>
            </w:pPr>
            <w:r>
              <w:rPr>
                <w:b/>
                <w:color w:val="1C3A36"/>
                <w:sz w:val="18"/>
              </w:rPr>
              <w:t>Free cash flow to the firm</w:t>
            </w:r>
          </w:p>
        </w:tc>
        <w:tc>
          <w:tcPr>
            <w:tcW w:type="dxa" w:w="1282"/>
            <w:shd w:val="clear" w:color="auto" w:fill="F6F1E6"/>
          </w:tcPr>
          <w:p>
            <w:pPr>
              <w:spacing w:after="20"/>
              <w:jc w:val="right"/>
            </w:pPr>
            <w:r>
              <w:rPr>
                <w:b/>
                <w:color w:val="1C3A36"/>
                <w:sz w:val="18"/>
              </w:rPr>
              <w:t>-448</w:t>
            </w:r>
          </w:p>
        </w:tc>
        <w:tc>
          <w:tcPr>
            <w:tcW w:type="dxa" w:w="1282"/>
            <w:shd w:val="clear" w:color="auto" w:fill="F6F1E6"/>
          </w:tcPr>
          <w:p>
            <w:pPr>
              <w:spacing w:after="20"/>
              <w:jc w:val="right"/>
            </w:pPr>
            <w:r>
              <w:rPr>
                <w:b/>
                <w:color w:val="1C3A36"/>
                <w:sz w:val="18"/>
              </w:rPr>
              <w:t>538</w:t>
            </w:r>
          </w:p>
        </w:tc>
        <w:tc>
          <w:tcPr>
            <w:tcW w:type="dxa" w:w="1282"/>
            <w:shd w:val="clear" w:color="auto" w:fill="F6F1E6"/>
          </w:tcPr>
          <w:p>
            <w:pPr>
              <w:spacing w:after="20"/>
              <w:jc w:val="right"/>
            </w:pPr>
            <w:r>
              <w:rPr>
                <w:b/>
                <w:color w:val="1C3A36"/>
                <w:sz w:val="18"/>
              </w:rPr>
              <w:t>808</w:t>
            </w:r>
          </w:p>
        </w:tc>
        <w:tc>
          <w:tcPr>
            <w:tcW w:type="dxa" w:w="1282"/>
            <w:shd w:val="clear" w:color="auto" w:fill="F6F1E6"/>
          </w:tcPr>
          <w:p>
            <w:pPr>
              <w:spacing w:after="20"/>
              <w:jc w:val="right"/>
            </w:pPr>
            <w:r>
              <w:rPr>
                <w:b/>
                <w:color w:val="1C3A36"/>
                <w:sz w:val="18"/>
              </w:rPr>
              <w:t>905</w:t>
            </w:r>
          </w:p>
        </w:tc>
        <w:tc>
          <w:tcPr>
            <w:tcW w:type="dxa" w:w="1282"/>
            <w:shd w:val="clear" w:color="auto" w:fill="F6F1E6"/>
          </w:tcPr>
          <w:p>
            <w:pPr>
              <w:spacing w:after="20"/>
              <w:jc w:val="right"/>
            </w:pPr>
            <w:r>
              <w:rPr>
                <w:b/>
                <w:color w:val="1C3A36"/>
                <w:sz w:val="18"/>
              </w:rPr>
              <w:t>985</w:t>
            </w:r>
          </w:p>
        </w:tc>
      </w:tr>
      <w:tr>
        <w:tc>
          <w:tcPr>
            <w:tcW w:type="dxa" w:w="3672"/>
          </w:tcPr>
          <w:p>
            <w:pPr>
              <w:spacing w:after="20"/>
            </w:pPr>
            <w:r>
              <w:rPr>
                <w:color w:val="1C3A36"/>
                <w:sz w:val="18"/>
              </w:rPr>
              <w:t>Discount factor (glide-compounded)</w:t>
            </w:r>
          </w:p>
        </w:tc>
        <w:tc>
          <w:tcPr>
            <w:tcW w:type="dxa" w:w="1282"/>
          </w:tcPr>
          <w:p>
            <w:pPr>
              <w:spacing w:after="20"/>
              <w:jc w:val="right"/>
            </w:pPr>
            <w:r>
              <w:rPr>
                <w:color w:val="1C3A36"/>
                <w:sz w:val="18"/>
              </w:rPr>
              <w:t>0.9185</w:t>
            </w:r>
          </w:p>
        </w:tc>
        <w:tc>
          <w:tcPr>
            <w:tcW w:type="dxa" w:w="1282"/>
          </w:tcPr>
          <w:p>
            <w:pPr>
              <w:spacing w:after="20"/>
              <w:jc w:val="right"/>
            </w:pPr>
            <w:r>
              <w:rPr>
                <w:color w:val="1C3A36"/>
                <w:sz w:val="18"/>
              </w:rPr>
              <w:t>0.8445</w:t>
            </w:r>
          </w:p>
        </w:tc>
        <w:tc>
          <w:tcPr>
            <w:tcW w:type="dxa" w:w="1282"/>
          </w:tcPr>
          <w:p>
            <w:pPr>
              <w:spacing w:after="20"/>
              <w:jc w:val="right"/>
            </w:pPr>
            <w:r>
              <w:rPr>
                <w:color w:val="1C3A36"/>
                <w:sz w:val="18"/>
              </w:rPr>
              <w:t>0.7767</w:t>
            </w:r>
          </w:p>
        </w:tc>
        <w:tc>
          <w:tcPr>
            <w:tcW w:type="dxa" w:w="1282"/>
          </w:tcPr>
          <w:p>
            <w:pPr>
              <w:spacing w:after="20"/>
              <w:jc w:val="right"/>
            </w:pPr>
            <w:r>
              <w:rPr>
                <w:color w:val="1C3A36"/>
                <w:sz w:val="18"/>
              </w:rPr>
              <w:t>0.7148</w:t>
            </w:r>
          </w:p>
        </w:tc>
        <w:tc>
          <w:tcPr>
            <w:tcW w:type="dxa" w:w="1282"/>
          </w:tcPr>
          <w:p>
            <w:pPr>
              <w:spacing w:after="20"/>
              <w:jc w:val="right"/>
            </w:pPr>
            <w:r>
              <w:rPr>
                <w:color w:val="1C3A36"/>
                <w:sz w:val="18"/>
              </w:rPr>
              <w:t>0.6578</w:t>
            </w:r>
          </w:p>
        </w:tc>
      </w:tr>
      <w:tr>
        <w:tc>
          <w:tcPr>
            <w:tcW w:type="dxa" w:w="3672"/>
            <w:shd w:val="clear" w:color="auto" w:fill="F6F1E6"/>
          </w:tcPr>
          <w:p>
            <w:pPr>
              <w:spacing w:after="20"/>
            </w:pPr>
            <w:r>
              <w:rPr>
                <w:b/>
                <w:color w:val="1C3A36"/>
                <w:sz w:val="18"/>
              </w:rPr>
              <w:t>PV of FCFF</w:t>
            </w:r>
          </w:p>
        </w:tc>
        <w:tc>
          <w:tcPr>
            <w:tcW w:type="dxa" w:w="1282"/>
            <w:shd w:val="clear" w:color="auto" w:fill="F6F1E6"/>
          </w:tcPr>
          <w:p>
            <w:pPr>
              <w:spacing w:after="20"/>
              <w:jc w:val="right"/>
            </w:pPr>
            <w:r>
              <w:rPr>
                <w:b/>
                <w:color w:val="1C3A36"/>
                <w:sz w:val="18"/>
              </w:rPr>
              <w:t>-411</w:t>
            </w:r>
          </w:p>
        </w:tc>
        <w:tc>
          <w:tcPr>
            <w:tcW w:type="dxa" w:w="1282"/>
            <w:shd w:val="clear" w:color="auto" w:fill="F6F1E6"/>
          </w:tcPr>
          <w:p>
            <w:pPr>
              <w:spacing w:after="20"/>
              <w:jc w:val="right"/>
            </w:pPr>
            <w:r>
              <w:rPr>
                <w:b/>
                <w:color w:val="1C3A36"/>
                <w:sz w:val="18"/>
              </w:rPr>
              <w:t>454</w:t>
            </w:r>
          </w:p>
        </w:tc>
        <w:tc>
          <w:tcPr>
            <w:tcW w:type="dxa" w:w="1282"/>
            <w:shd w:val="clear" w:color="auto" w:fill="F6F1E6"/>
          </w:tcPr>
          <w:p>
            <w:pPr>
              <w:spacing w:after="20"/>
              <w:jc w:val="right"/>
            </w:pPr>
            <w:r>
              <w:rPr>
                <w:b/>
                <w:color w:val="1C3A36"/>
                <w:sz w:val="18"/>
              </w:rPr>
              <w:t>627</w:t>
            </w:r>
          </w:p>
        </w:tc>
        <w:tc>
          <w:tcPr>
            <w:tcW w:type="dxa" w:w="1282"/>
            <w:shd w:val="clear" w:color="auto" w:fill="F6F1E6"/>
          </w:tcPr>
          <w:p>
            <w:pPr>
              <w:spacing w:after="20"/>
              <w:jc w:val="right"/>
            </w:pPr>
            <w:r>
              <w:rPr>
                <w:b/>
                <w:color w:val="1C3A36"/>
                <w:sz w:val="18"/>
              </w:rPr>
              <w:t>647</w:t>
            </w:r>
          </w:p>
        </w:tc>
        <w:tc>
          <w:tcPr>
            <w:tcW w:type="dxa" w:w="1282"/>
            <w:shd w:val="clear" w:color="auto" w:fill="F6F1E6"/>
          </w:tcPr>
          <w:p>
            <w:pPr>
              <w:spacing w:after="20"/>
              <w:jc w:val="right"/>
            </w:pPr>
            <w:r>
              <w:rPr>
                <w:b/>
                <w:color w:val="1C3A36"/>
                <w:sz w:val="18"/>
              </w:rPr>
              <w:t>648</w:t>
            </w:r>
          </w:p>
        </w:tc>
      </w:tr>
    </w:tbl>
    <w:p>
      <w:pPr>
        <w:spacing w:after="40"/>
      </w:pPr>
    </w:p>
    <w:p>
      <w:pPr>
        <w:spacing w:after="200" w:before="0"/>
      </w:pPr>
      <w:r>
        <w:rPr>
          <w:b w:val="0"/>
          <w:i/>
          <w:color w:val="6E7B77"/>
          <w:sz w:val="17"/>
        </w:rPr>
        <w:t>The FY2026 free cash flow is negative (AED -448mn): the fuel spike lands in the same year as the heaviest pre-delivery-payment schedule. It turns positive from FY2027 and reaches AED 985mn by FY2030.</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7632"/>
        <w:gridCol w:w="1728"/>
      </w:tblGrid>
      <w:tr>
        <w:tc>
          <w:tcPr>
            <w:tcW w:type="dxa" w:w="7632"/>
            <w:shd w:val="clear" w:color="auto" w:fill="EAF0EE"/>
          </w:tcPr>
          <w:p>
            <w:pPr>
              <w:spacing w:after="20"/>
            </w:pPr>
            <w:r>
              <w:rPr>
                <w:b/>
                <w:color w:val="1C3A36"/>
                <w:sz w:val="18"/>
              </w:rPr>
              <w:t>Enterprise value → equity</w:t>
            </w:r>
          </w:p>
        </w:tc>
        <w:tc>
          <w:tcPr>
            <w:tcW w:type="dxa" w:w="1728"/>
            <w:shd w:val="clear" w:color="auto" w:fill="EAF0EE"/>
          </w:tcPr>
          <w:p>
            <w:pPr>
              <w:spacing w:after="20"/>
            </w:pPr>
            <w:r>
              <w:rPr>
                <w:b/>
                <w:color w:val="1C3A36"/>
                <w:sz w:val="18"/>
              </w:rPr>
              <w:t>AED mn</w:t>
            </w:r>
          </w:p>
        </w:tc>
      </w:tr>
      <w:tr>
        <w:tc>
          <w:tcPr>
            <w:tcW w:type="dxa" w:w="7632"/>
          </w:tcPr>
          <w:p>
            <w:pPr>
              <w:spacing w:after="20"/>
            </w:pPr>
            <w:r>
              <w:rPr>
                <w:color w:val="1C3A36"/>
                <w:sz w:val="18"/>
              </w:rPr>
              <w:t>PV of explicit years FY2026–30</w:t>
            </w:r>
          </w:p>
        </w:tc>
        <w:tc>
          <w:tcPr>
            <w:tcW w:type="dxa" w:w="1728"/>
          </w:tcPr>
          <w:p>
            <w:pPr>
              <w:spacing w:after="20"/>
              <w:jc w:val="right"/>
            </w:pPr>
            <w:r>
              <w:rPr>
                <w:color w:val="1C3A36"/>
                <w:sz w:val="18"/>
              </w:rPr>
              <w:t>1,965</w:t>
            </w:r>
          </w:p>
        </w:tc>
      </w:tr>
      <w:tr>
        <w:tc>
          <w:tcPr>
            <w:tcW w:type="dxa" w:w="7632"/>
          </w:tcPr>
          <w:p>
            <w:pPr>
              <w:spacing w:after="20"/>
            </w:pPr>
            <w:r>
              <w:rPr>
                <w:color w:val="1C3A36"/>
                <w:sz w:val="18"/>
              </w:rPr>
              <w:t>PV of terminal value (growth 2.5%, terminal cost of capital 8.67%, reinvestment = g / return on capital = 17.4%)</w:t>
            </w:r>
          </w:p>
        </w:tc>
        <w:tc>
          <w:tcPr>
            <w:tcW w:type="dxa" w:w="1728"/>
          </w:tcPr>
          <w:p>
            <w:pPr>
              <w:spacing w:after="20"/>
              <w:jc w:val="right"/>
            </w:pPr>
            <w:r>
              <w:rPr>
                <w:color w:val="1C3A36"/>
                <w:sz w:val="18"/>
              </w:rPr>
              <w:t>12,437</w:t>
            </w:r>
          </w:p>
        </w:tc>
      </w:tr>
      <w:tr>
        <w:tc>
          <w:tcPr>
            <w:tcW w:type="dxa" w:w="7632"/>
          </w:tcPr>
          <w:p>
            <w:pPr>
              <w:spacing w:after="20"/>
            </w:pPr>
            <w:r>
              <w:rPr>
                <w:color w:val="1C3A36"/>
                <w:sz w:val="18"/>
              </w:rPr>
              <w:t>Enterprise value of the airline</w:t>
            </w:r>
          </w:p>
        </w:tc>
        <w:tc>
          <w:tcPr>
            <w:tcW w:type="dxa" w:w="1728"/>
          </w:tcPr>
          <w:p>
            <w:pPr>
              <w:spacing w:after="20"/>
              <w:jc w:val="right"/>
            </w:pPr>
            <w:r>
              <w:rPr>
                <w:color w:val="1C3A36"/>
                <w:sz w:val="18"/>
              </w:rPr>
              <w:t>14,402</w:t>
            </w:r>
          </w:p>
        </w:tc>
      </w:tr>
      <w:tr>
        <w:tc>
          <w:tcPr>
            <w:tcW w:type="dxa" w:w="7632"/>
            <w:shd w:val="clear" w:color="auto" w:fill="F6F1E6"/>
          </w:tcPr>
          <w:p>
            <w:pPr>
              <w:spacing w:after="20"/>
            </w:pPr>
            <w:r>
              <w:rPr>
                <w:b/>
                <w:color w:val="1C3A36"/>
                <w:sz w:val="18"/>
              </w:rPr>
              <w:t>Terminal value as a share of enterprise value</w:t>
            </w:r>
          </w:p>
        </w:tc>
        <w:tc>
          <w:tcPr>
            <w:tcW w:type="dxa" w:w="1728"/>
            <w:shd w:val="clear" w:color="auto" w:fill="F6F1E6"/>
          </w:tcPr>
          <w:p>
            <w:pPr>
              <w:spacing w:after="20"/>
              <w:jc w:val="right"/>
            </w:pPr>
            <w:r>
              <w:rPr>
                <w:b/>
                <w:color w:val="1C3A36"/>
                <w:sz w:val="18"/>
              </w:rPr>
              <w:t>86%</w:t>
            </w:r>
          </w:p>
        </w:tc>
      </w:tr>
      <w:tr>
        <w:tc>
          <w:tcPr>
            <w:tcW w:type="dxa" w:w="7632"/>
          </w:tcPr>
          <w:p>
            <w:pPr>
              <w:spacing w:after="20"/>
            </w:pPr>
            <w:r>
              <w:rPr>
                <w:color w:val="1C3A36"/>
                <w:sz w:val="18"/>
              </w:rPr>
              <w:t>plus net cash (cash + fixed deposits − borrowings − leases)</w:t>
            </w:r>
          </w:p>
        </w:tc>
        <w:tc>
          <w:tcPr>
            <w:tcW w:type="dxa" w:w="1728"/>
          </w:tcPr>
          <w:p>
            <w:pPr>
              <w:spacing w:after="20"/>
              <w:jc w:val="right"/>
            </w:pPr>
            <w:r>
              <w:rPr>
                <w:color w:val="1C3A36"/>
                <w:sz w:val="18"/>
              </w:rPr>
              <w:t>2,417</w:t>
            </w:r>
          </w:p>
        </w:tc>
      </w:tr>
      <w:tr>
        <w:tc>
          <w:tcPr>
            <w:tcW w:type="dxa" w:w="7632"/>
          </w:tcPr>
          <w:p>
            <w:pPr>
              <w:spacing w:after="20"/>
            </w:pPr>
            <w:r>
              <w:rPr>
                <w:color w:val="1C3A36"/>
                <w:sz w:val="18"/>
              </w:rPr>
              <w:t>plus non-operating assets (investments, investment property, net investment in lease)</w:t>
            </w:r>
          </w:p>
        </w:tc>
        <w:tc>
          <w:tcPr>
            <w:tcW w:type="dxa" w:w="1728"/>
          </w:tcPr>
          <w:p>
            <w:pPr>
              <w:spacing w:after="20"/>
              <w:jc w:val="right"/>
            </w:pPr>
            <w:r>
              <w:rPr>
                <w:color w:val="1C3A36"/>
                <w:sz w:val="18"/>
              </w:rPr>
              <w:t>1,069</w:t>
            </w:r>
          </w:p>
        </w:tc>
      </w:tr>
      <w:tr>
        <w:tc>
          <w:tcPr>
            <w:tcW w:type="dxa" w:w="7632"/>
          </w:tcPr>
          <w:p>
            <w:pPr>
              <w:spacing w:after="20"/>
            </w:pPr>
            <w:r>
              <w:rPr>
                <w:color w:val="1C3A36"/>
                <w:sz w:val="18"/>
              </w:rPr>
              <w:t>plus JV network at audited carrying value — BASE framing</w:t>
            </w:r>
          </w:p>
        </w:tc>
        <w:tc>
          <w:tcPr>
            <w:tcW w:type="dxa" w:w="1728"/>
          </w:tcPr>
          <w:p>
            <w:pPr>
              <w:spacing w:after="20"/>
              <w:jc w:val="right"/>
            </w:pPr>
            <w:r>
              <w:rPr>
                <w:color w:val="1C3A36"/>
                <w:sz w:val="18"/>
              </w:rPr>
              <w:t>363</w:t>
            </w:r>
          </w:p>
        </w:tc>
      </w:tr>
      <w:tr>
        <w:tc>
          <w:tcPr>
            <w:tcW w:type="dxa" w:w="7632"/>
          </w:tcPr>
          <w:p>
            <w:pPr>
              <w:spacing w:after="20"/>
            </w:pPr>
            <w:r>
              <w:rPr>
                <w:color w:val="1C3A36"/>
                <w:sz w:val="18"/>
              </w:rPr>
              <w:t>less minorities</w:t>
            </w:r>
          </w:p>
        </w:tc>
        <w:tc>
          <w:tcPr>
            <w:tcW w:type="dxa" w:w="1728"/>
          </w:tcPr>
          <w:p>
            <w:pPr>
              <w:spacing w:after="20"/>
              <w:jc w:val="right"/>
            </w:pPr>
            <w:r>
              <w:rPr>
                <w:color w:val="1C3A36"/>
                <w:sz w:val="18"/>
              </w:rPr>
              <w:t>2.9</w:t>
            </w:r>
          </w:p>
        </w:tc>
      </w:tr>
      <w:tr>
        <w:tc>
          <w:tcPr>
            <w:tcW w:type="dxa" w:w="7632"/>
          </w:tcPr>
          <w:p>
            <w:pPr>
              <w:spacing w:after="20"/>
            </w:pPr>
            <w:r>
              <w:rPr>
                <w:color w:val="1C3A36"/>
                <w:sz w:val="18"/>
              </w:rPr>
              <w:t>Equity attributable, 31-Dec-2025</w:t>
            </w:r>
          </w:p>
        </w:tc>
        <w:tc>
          <w:tcPr>
            <w:tcW w:type="dxa" w:w="1728"/>
          </w:tcPr>
          <w:p>
            <w:pPr>
              <w:spacing w:after="20"/>
              <w:jc w:val="right"/>
            </w:pPr>
            <w:r>
              <w:rPr>
                <w:color w:val="1C3A36"/>
                <w:sz w:val="18"/>
              </w:rPr>
              <w:t>18,249</w:t>
            </w:r>
          </w:p>
        </w:tc>
      </w:tr>
      <w:tr>
        <w:tc>
          <w:tcPr>
            <w:tcW w:type="dxa" w:w="7632"/>
            <w:shd w:val="clear" w:color="auto" w:fill="F6F1E6"/>
          </w:tcPr>
          <w:p>
            <w:pPr>
              <w:spacing w:after="20"/>
            </w:pPr>
            <w:r>
              <w:rPr>
                <w:b/>
                <w:color w:val="1C3A36"/>
                <w:sz w:val="18"/>
              </w:rPr>
              <w:t>Per share, rolled to 2026-08-07 at the cost of equity less the 30-fils dividend</w:t>
            </w:r>
          </w:p>
        </w:tc>
        <w:tc>
          <w:tcPr>
            <w:tcW w:type="dxa" w:w="1728"/>
            <w:shd w:val="clear" w:color="auto" w:fill="F6F1E6"/>
          </w:tcPr>
          <w:p>
            <w:pPr>
              <w:spacing w:after="20"/>
              <w:jc w:val="right"/>
            </w:pPr>
            <w:r>
              <w:rPr>
                <w:b/>
                <w:color w:val="1C3A36"/>
                <w:sz w:val="18"/>
              </w:rPr>
              <w:t>AED 3.83</w:t>
            </w:r>
          </w:p>
        </w:tc>
      </w:tr>
      <w:tr>
        <w:tc>
          <w:tcPr>
            <w:tcW w:type="dxa" w:w="7632"/>
            <w:shd w:val="clear" w:color="auto" w:fill="F6F1E6"/>
          </w:tcPr>
          <w:p>
            <w:pPr>
              <w:spacing w:after="20"/>
            </w:pPr>
            <w:r>
              <w:rPr>
                <w:b/>
                <w:color w:val="1C3A36"/>
                <w:sz w:val="18"/>
              </w:rPr>
              <w:t>Same bridge with the JV network at 15× profit share — ALTERNATIVE framing</w:t>
            </w:r>
          </w:p>
        </w:tc>
        <w:tc>
          <w:tcPr>
            <w:tcW w:type="dxa" w:w="1728"/>
            <w:shd w:val="clear" w:color="auto" w:fill="F6F1E6"/>
          </w:tcPr>
          <w:p>
            <w:pPr>
              <w:spacing w:after="20"/>
              <w:jc w:val="right"/>
            </w:pPr>
            <w:r>
              <w:rPr>
                <w:b/>
                <w:color w:val="1C3A36"/>
                <w:sz w:val="18"/>
              </w:rPr>
              <w:t>AED 4.39</w:t>
            </w:r>
          </w:p>
        </w:tc>
      </w:tr>
    </w:tbl>
    <w:p>
      <w:pPr>
        <w:spacing w:after="40"/>
      </w:pPr>
    </w:p>
    <w:p>
      <w:pPr>
        <w:spacing w:after="80" w:before="200"/>
      </w:pPr>
      <w:r>
        <w:rPr>
          <w:b/>
          <w:i w:val="0"/>
          <w:color w:val="1C3A36"/>
          <w:sz w:val="24"/>
        </w:rPr>
        <w:t>1.2  Book value and sustainable return</w:t>
      </w:r>
    </w:p>
    <w:p>
      <w:pPr>
        <w:spacing w:after="120" w:before="0"/>
      </w:pPr>
      <w:r>
        <w:rPr>
          <w:b w:val="0"/>
          <w:i w:val="0"/>
          <w:color w:val="1C3A36"/>
          <w:sz w:val="21"/>
        </w:rPr>
        <w:t>Audited FY2025 book value is AED 1.80 per share. The trailing return on average attributable equity is 19.9%; the study strikes the SUSTAINABLE return at 18% — below the record year, because FY2025 carried a yield tailwind from constrained regional capacity. A justified price-to-book of (18% − 2.5%) / (9.16% − 2.5%) = 2.33× values the share at AED 4.13 at the anchor (bear 3.62 / bull 4.70).</w:t>
      </w:r>
    </w:p>
    <w:p>
      <w:pPr>
        <w:spacing w:after="80" w:before="200"/>
      </w:pPr>
      <w:r>
        <w:rPr>
          <w:b/>
          <w:i w:val="0"/>
          <w:color w:val="1C3A36"/>
          <w:sz w:val="24"/>
        </w:rPr>
        <w:t>1.3  Relative multiples</w:t>
      </w:r>
    </w:p>
    <w:p>
      <w:pPr>
        <w:spacing w:after="120" w:before="0"/>
      </w:pPr>
      <w:r>
        <w:rPr>
          <w:b w:val="0"/>
          <w:i w:val="0"/>
          <w:color w:val="1C3A36"/>
          <w:sz w:val="21"/>
        </w:rPr>
        <w:t>At 7.5× FY2027E EBITDA of AED 2,287mn — the global low-cost-carrier centre — discounted to today and passed through the same bridge, the share is worth AED 3.85 (bear 3.20 at 6.0×, bull 4.51 at 9.0×). For context, the market currently pays 10.6× trailing EV/EBITDA and 15.0× trailing earnings — a premium to Ryanair (7.8×, 12.6×), easyJet (3.5×, 12.4×) and the sector aggregate (7.6×, 12.9×), nearer Kuwait's Jazeera Airways (~17.7× earnings). The relative lens's message is that the premium is already in the price; whether the JV network and the order book justify it is the study's central question, not the lens's input.</w:t>
      </w:r>
    </w:p>
    <w:p>
      <w:pPr>
        <w:spacing w:after="80" w:before="200"/>
      </w:pPr>
      <w:r>
        <w:rPr>
          <w:b/>
          <w:i w:val="0"/>
          <w:color w:val="1C3A36"/>
          <w:sz w:val="24"/>
        </w:rPr>
        <w:t>1.4  Normalised earnings power</w:t>
      </w:r>
    </w:p>
    <w:p>
      <w:pPr>
        <w:spacing w:after="120" w:before="0"/>
      </w:pPr>
      <w:r>
        <w:rPr>
          <w:b w:val="0"/>
          <w:i w:val="0"/>
          <w:color w:val="1C3A36"/>
          <w:sz w:val="21"/>
        </w:rPr>
        <w:t>Applying the mid-cycle EBITDA margin (23.5%, the FY2028E middle year) to FY2026E revenue at CURRENT scale, with FY2026E net finance income and JV share, gives normalised earnings of AED 0.296 per share; at a justified through-cycle multiple of 13× that is AED 3.76 (bear 2.82 at 10×, bull 4.70 at 16×).</w:t>
      </w:r>
    </w:p>
    <w:p>
      <w:pPr>
        <w:spacing w:after="80" w:before="200"/>
      </w:pPr>
      <w:r>
        <w:rPr>
          <w:b/>
          <w:i w:val="0"/>
          <w:color w:val="1C3A36"/>
          <w:sz w:val="24"/>
        </w:rPr>
        <w:t>1.5  Synthesis — four lenses, one field</w:t>
      </w:r>
    </w:p>
    <w:p>
      <w:pPr>
        <w:spacing w:after="40"/>
        <w:jc w:val="center"/>
      </w:pPr>
      <w:r>
        <w:drawing>
          <wp:inline xmlns:a="http://schemas.openxmlformats.org/drawingml/2006/main" xmlns:pic="http://schemas.openxmlformats.org/drawingml/2006/picture">
            <wp:extent cx="6309360" cy="2731888"/>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309360" cy="2731888"/>
                    </a:xfrm>
                    <a:prstGeom prst="rect"/>
                  </pic:spPr>
                </pic:pic>
              </a:graphicData>
            </a:graphic>
          </wp:inline>
        </w:drawing>
      </w:r>
    </w:p>
    <w:p>
      <w:pPr>
        <w:spacing w:after="200" w:before="0"/>
      </w:pPr>
      <w:r>
        <w:rPr>
          <w:b w:val="0"/>
          <w:i/>
          <w:color w:val="6E7B77"/>
          <w:sz w:val="17"/>
        </w:rPr>
        <w:t>Figure 1 — the four lenses and the weighted central. Every lens base sits below the market price on the base framing; the capitalised-JV framing closes part of the gap.</w:t>
      </w:r>
    </w:p>
    <w:p>
      <w:pPr>
        <w:spacing w:after="80" w:before="200"/>
      </w:pPr>
      <w:r>
        <w:rPr>
          <w:b/>
          <w:i w:val="0"/>
          <w:color w:val="1C3A36"/>
          <w:sz w:val="24"/>
        </w:rPr>
        <w:t>1.6  Drivers — the unit build, each line on its own driver</w:t>
      </w:r>
    </w:p>
    <w:p>
      <w:pPr>
        <w:spacing w:after="120" w:before="0"/>
      </w:pPr>
      <w:r>
        <w:rPr>
          <w:b w:val="0"/>
          <w:i w:val="0"/>
          <w:color w:val="1C3A36"/>
          <w:sz w:val="21"/>
        </w:rPr>
        <w:t>The company discloses passengers, load factor and a full revenue and cost disaggregation, but not seats or available seat-kilometres; passengers × per-passenger rates is therefore the finest disclosed level, and that is where the model is built. Margins are OUTPUTS.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950"/>
        <w:gridCol w:w="950"/>
        <w:gridCol w:w="950"/>
        <w:gridCol w:w="950"/>
        <w:gridCol w:w="950"/>
        <w:gridCol w:w="950"/>
        <w:gridCol w:w="950"/>
      </w:tblGrid>
      <w:tr>
        <w:tc>
          <w:tcPr>
            <w:tcW w:type="dxa" w:w="2736"/>
            <w:shd w:val="clear" w:color="auto" w:fill="EAF0EE"/>
          </w:tcPr>
          <w:p>
            <w:pPr>
              <w:spacing w:after="20"/>
            </w:pPr>
            <w:r>
              <w:rPr>
                <w:b/>
                <w:color w:val="1C3A36"/>
                <w:sz w:val="17"/>
              </w:rPr>
              <w:t>Unit economics (AED per passenger)</w:t>
            </w:r>
          </w:p>
        </w:tc>
        <w:tc>
          <w:tcPr>
            <w:tcW w:type="dxa" w:w="950"/>
            <w:shd w:val="clear" w:color="auto" w:fill="EAF0EE"/>
          </w:tcPr>
          <w:p>
            <w:pPr>
              <w:spacing w:after="20"/>
            </w:pPr>
            <w:r>
              <w:rPr>
                <w:b/>
                <w:color w:val="1C3A36"/>
                <w:sz w:val="17"/>
              </w:rPr>
              <w:t>FY2024</w:t>
            </w:r>
          </w:p>
        </w:tc>
        <w:tc>
          <w:tcPr>
            <w:tcW w:type="dxa" w:w="950"/>
            <w:shd w:val="clear" w:color="auto" w:fill="EAF0EE"/>
          </w:tcPr>
          <w:p>
            <w:pPr>
              <w:spacing w:after="20"/>
            </w:pPr>
            <w:r>
              <w:rPr>
                <w:b/>
                <w:color w:val="1C3A36"/>
                <w:sz w:val="17"/>
              </w:rPr>
              <w:t>FY2025</w:t>
            </w:r>
          </w:p>
        </w:tc>
        <w:tc>
          <w:tcPr>
            <w:tcW w:type="dxa" w:w="950"/>
            <w:shd w:val="clear" w:color="auto" w:fill="EAF0EE"/>
          </w:tcPr>
          <w:p>
            <w:pPr>
              <w:spacing w:after="20"/>
            </w:pPr>
            <w:r>
              <w:rPr>
                <w:b/>
                <w:color w:val="1C3A36"/>
                <w:sz w:val="17"/>
              </w:rPr>
              <w:t>FY26E</w:t>
            </w:r>
          </w:p>
        </w:tc>
        <w:tc>
          <w:tcPr>
            <w:tcW w:type="dxa" w:w="950"/>
            <w:shd w:val="clear" w:color="auto" w:fill="EAF0EE"/>
          </w:tcPr>
          <w:p>
            <w:pPr>
              <w:spacing w:after="20"/>
            </w:pPr>
            <w:r>
              <w:rPr>
                <w:b/>
                <w:color w:val="1C3A36"/>
                <w:sz w:val="17"/>
              </w:rPr>
              <w:t>FY27E</w:t>
            </w:r>
          </w:p>
        </w:tc>
        <w:tc>
          <w:tcPr>
            <w:tcW w:type="dxa" w:w="950"/>
            <w:shd w:val="clear" w:color="auto" w:fill="EAF0EE"/>
          </w:tcPr>
          <w:p>
            <w:pPr>
              <w:spacing w:after="20"/>
            </w:pPr>
            <w:r>
              <w:rPr>
                <w:b/>
                <w:color w:val="1C3A36"/>
                <w:sz w:val="17"/>
              </w:rPr>
              <w:t>FY28E</w:t>
            </w:r>
          </w:p>
        </w:tc>
        <w:tc>
          <w:tcPr>
            <w:tcW w:type="dxa" w:w="950"/>
            <w:shd w:val="clear" w:color="auto" w:fill="EAF0EE"/>
          </w:tcPr>
          <w:p>
            <w:pPr>
              <w:spacing w:after="20"/>
            </w:pPr>
            <w:r>
              <w:rPr>
                <w:b/>
                <w:color w:val="1C3A36"/>
                <w:sz w:val="17"/>
              </w:rPr>
              <w:t>FY29E</w:t>
            </w:r>
          </w:p>
        </w:tc>
        <w:tc>
          <w:tcPr>
            <w:tcW w:type="dxa" w:w="950"/>
            <w:shd w:val="clear" w:color="auto" w:fill="EAF0EE"/>
          </w:tcPr>
          <w:p>
            <w:pPr>
              <w:spacing w:after="20"/>
            </w:pPr>
            <w:r>
              <w:rPr>
                <w:b/>
                <w:color w:val="1C3A36"/>
                <w:sz w:val="17"/>
              </w:rPr>
              <w:t>FY30E</w:t>
            </w:r>
          </w:p>
        </w:tc>
      </w:tr>
      <w:tr>
        <w:tc>
          <w:tcPr>
            <w:tcW w:type="dxa" w:w="2736"/>
          </w:tcPr>
          <w:p>
            <w:pPr>
              <w:spacing w:after="20"/>
            </w:pPr>
            <w:r>
              <w:rPr>
                <w:color w:val="1C3A36"/>
                <w:sz w:val="17"/>
              </w:rPr>
              <w:t>Passengers (millions)</w:t>
            </w:r>
          </w:p>
        </w:tc>
        <w:tc>
          <w:tcPr>
            <w:tcW w:type="dxa" w:w="950"/>
          </w:tcPr>
          <w:p>
            <w:pPr>
              <w:spacing w:after="20"/>
              <w:jc w:val="right"/>
            </w:pPr>
            <w:r>
              <w:rPr>
                <w:color w:val="1C3A36"/>
                <w:sz w:val="17"/>
              </w:rPr>
              <w:t>11.22</w:t>
            </w:r>
          </w:p>
        </w:tc>
        <w:tc>
          <w:tcPr>
            <w:tcW w:type="dxa" w:w="950"/>
          </w:tcPr>
          <w:p>
            <w:pPr>
              <w:spacing w:after="20"/>
              <w:jc w:val="right"/>
            </w:pPr>
            <w:r>
              <w:rPr>
                <w:color w:val="1C3A36"/>
                <w:sz w:val="17"/>
              </w:rPr>
              <w:t>13.06</w:t>
            </w:r>
          </w:p>
        </w:tc>
        <w:tc>
          <w:tcPr>
            <w:tcW w:type="dxa" w:w="950"/>
          </w:tcPr>
          <w:p>
            <w:pPr>
              <w:spacing w:after="20"/>
              <w:jc w:val="right"/>
            </w:pPr>
            <w:r>
              <w:rPr>
                <w:color w:val="1C3A36"/>
                <w:sz w:val="17"/>
              </w:rPr>
              <w:t>12.85</w:t>
            </w:r>
          </w:p>
        </w:tc>
        <w:tc>
          <w:tcPr>
            <w:tcW w:type="dxa" w:w="950"/>
          </w:tcPr>
          <w:p>
            <w:pPr>
              <w:spacing w:after="20"/>
              <w:jc w:val="right"/>
            </w:pPr>
            <w:r>
              <w:rPr>
                <w:color w:val="1C3A36"/>
                <w:sz w:val="17"/>
              </w:rPr>
              <w:t>13.95</w:t>
            </w:r>
          </w:p>
        </w:tc>
        <w:tc>
          <w:tcPr>
            <w:tcW w:type="dxa" w:w="950"/>
          </w:tcPr>
          <w:p>
            <w:pPr>
              <w:spacing w:after="20"/>
              <w:jc w:val="right"/>
            </w:pPr>
            <w:r>
              <w:rPr>
                <w:color w:val="1C3A36"/>
                <w:sz w:val="17"/>
              </w:rPr>
              <w:t>15.15</w:t>
            </w:r>
          </w:p>
        </w:tc>
        <w:tc>
          <w:tcPr>
            <w:tcW w:type="dxa" w:w="950"/>
          </w:tcPr>
          <w:p>
            <w:pPr>
              <w:spacing w:after="20"/>
              <w:jc w:val="right"/>
            </w:pPr>
            <w:r>
              <w:rPr>
                <w:color w:val="1C3A36"/>
                <w:sz w:val="17"/>
              </w:rPr>
              <w:t>16.35</w:t>
            </w:r>
          </w:p>
        </w:tc>
        <w:tc>
          <w:tcPr>
            <w:tcW w:type="dxa" w:w="950"/>
          </w:tcPr>
          <w:p>
            <w:pPr>
              <w:spacing w:after="20"/>
              <w:jc w:val="right"/>
            </w:pPr>
            <w:r>
              <w:rPr>
                <w:color w:val="1C3A36"/>
                <w:sz w:val="17"/>
              </w:rPr>
              <w:t>17.55</w:t>
            </w:r>
          </w:p>
        </w:tc>
      </w:tr>
      <w:tr>
        <w:tc>
          <w:tcPr>
            <w:tcW w:type="dxa" w:w="2736"/>
          </w:tcPr>
          <w:p>
            <w:pPr>
              <w:spacing w:after="20"/>
            </w:pPr>
            <w:r>
              <w:rPr>
                <w:color w:val="1C3A36"/>
                <w:sz w:val="17"/>
              </w:rPr>
              <w:t>Fare + baggage</w:t>
            </w:r>
          </w:p>
        </w:tc>
        <w:tc>
          <w:tcPr>
            <w:tcW w:type="dxa" w:w="950"/>
          </w:tcPr>
          <w:p>
            <w:pPr>
              <w:spacing w:after="20"/>
              <w:jc w:val="right"/>
            </w:pPr>
            <w:r>
              <w:rPr>
                <w:color w:val="1C3A36"/>
                <w:sz w:val="17"/>
              </w:rPr>
              <w:t>495</w:t>
            </w:r>
          </w:p>
        </w:tc>
        <w:tc>
          <w:tcPr>
            <w:tcW w:type="dxa" w:w="950"/>
          </w:tcPr>
          <w:p>
            <w:pPr>
              <w:spacing w:after="20"/>
              <w:jc w:val="right"/>
            </w:pPr>
            <w:r>
              <w:rPr>
                <w:color w:val="1C3A36"/>
                <w:sz w:val="17"/>
              </w:rPr>
              <w:t>479</w:t>
            </w:r>
          </w:p>
        </w:tc>
        <w:tc>
          <w:tcPr>
            <w:tcW w:type="dxa" w:w="950"/>
          </w:tcPr>
          <w:p>
            <w:pPr>
              <w:spacing w:after="20"/>
              <w:jc w:val="right"/>
            </w:pPr>
            <w:r>
              <w:rPr>
                <w:color w:val="1C3A36"/>
                <w:sz w:val="17"/>
              </w:rPr>
              <w:t>488</w:t>
            </w:r>
          </w:p>
        </w:tc>
        <w:tc>
          <w:tcPr>
            <w:tcW w:type="dxa" w:w="950"/>
          </w:tcPr>
          <w:p>
            <w:pPr>
              <w:spacing w:after="20"/>
              <w:jc w:val="right"/>
            </w:pPr>
            <w:r>
              <w:rPr>
                <w:color w:val="1C3A36"/>
                <w:sz w:val="17"/>
              </w:rPr>
              <w:t>480</w:t>
            </w:r>
          </w:p>
        </w:tc>
        <w:tc>
          <w:tcPr>
            <w:tcW w:type="dxa" w:w="950"/>
          </w:tcPr>
          <w:p>
            <w:pPr>
              <w:spacing w:after="20"/>
              <w:jc w:val="right"/>
            </w:pPr>
            <w:r>
              <w:rPr>
                <w:color w:val="1C3A36"/>
                <w:sz w:val="17"/>
              </w:rPr>
              <w:t>484</w:t>
            </w:r>
          </w:p>
        </w:tc>
        <w:tc>
          <w:tcPr>
            <w:tcW w:type="dxa" w:w="950"/>
          </w:tcPr>
          <w:p>
            <w:pPr>
              <w:spacing w:after="20"/>
              <w:jc w:val="right"/>
            </w:pPr>
            <w:r>
              <w:rPr>
                <w:color w:val="1C3A36"/>
                <w:sz w:val="17"/>
              </w:rPr>
              <w:t>489</w:t>
            </w:r>
          </w:p>
        </w:tc>
        <w:tc>
          <w:tcPr>
            <w:tcW w:type="dxa" w:w="950"/>
          </w:tcPr>
          <w:p>
            <w:pPr>
              <w:spacing w:after="20"/>
              <w:jc w:val="right"/>
            </w:pPr>
            <w:r>
              <w:rPr>
                <w:color w:val="1C3A36"/>
                <w:sz w:val="17"/>
              </w:rPr>
              <w:t>494</w:t>
            </w:r>
          </w:p>
        </w:tc>
      </w:tr>
      <w:tr>
        <w:tc>
          <w:tcPr>
            <w:tcW w:type="dxa" w:w="2736"/>
          </w:tcPr>
          <w:p>
            <w:pPr>
              <w:spacing w:after="20"/>
            </w:pPr>
            <w:r>
              <w:rPr>
                <w:color w:val="1C3A36"/>
                <w:sz w:val="17"/>
              </w:rPr>
              <w:t>Ancillary</w:t>
            </w:r>
          </w:p>
        </w:tc>
        <w:tc>
          <w:tcPr>
            <w:tcW w:type="dxa" w:w="950"/>
          </w:tcPr>
          <w:p>
            <w:pPr>
              <w:spacing w:after="20"/>
              <w:jc w:val="right"/>
            </w:pPr>
            <w:r>
              <w:rPr>
                <w:color w:val="1C3A36"/>
                <w:sz w:val="17"/>
              </w:rPr>
              <w:t>60</w:t>
            </w:r>
          </w:p>
        </w:tc>
        <w:tc>
          <w:tcPr>
            <w:tcW w:type="dxa" w:w="950"/>
          </w:tcPr>
          <w:p>
            <w:pPr>
              <w:spacing w:after="20"/>
              <w:jc w:val="right"/>
            </w:pPr>
            <w:r>
              <w:rPr>
                <w:color w:val="1C3A36"/>
                <w:sz w:val="17"/>
              </w:rPr>
              <w:t>65</w:t>
            </w:r>
          </w:p>
        </w:tc>
        <w:tc>
          <w:tcPr>
            <w:tcW w:type="dxa" w:w="950"/>
          </w:tcPr>
          <w:p>
            <w:pPr>
              <w:spacing w:after="20"/>
              <w:jc w:val="right"/>
            </w:pPr>
            <w:r>
              <w:rPr>
                <w:color w:val="1C3A36"/>
                <w:sz w:val="17"/>
              </w:rPr>
              <w:t>67</w:t>
            </w:r>
          </w:p>
        </w:tc>
        <w:tc>
          <w:tcPr>
            <w:tcW w:type="dxa" w:w="950"/>
          </w:tcPr>
          <w:p>
            <w:pPr>
              <w:spacing w:after="20"/>
              <w:jc w:val="right"/>
            </w:pPr>
            <w:r>
              <w:rPr>
                <w:color w:val="1C3A36"/>
                <w:sz w:val="17"/>
              </w:rPr>
              <w:t>70</w:t>
            </w:r>
          </w:p>
        </w:tc>
        <w:tc>
          <w:tcPr>
            <w:tcW w:type="dxa" w:w="950"/>
          </w:tcPr>
          <w:p>
            <w:pPr>
              <w:spacing w:after="20"/>
              <w:jc w:val="right"/>
            </w:pPr>
            <w:r>
              <w:rPr>
                <w:color w:val="1C3A36"/>
                <w:sz w:val="17"/>
              </w:rPr>
              <w:t>73</w:t>
            </w:r>
          </w:p>
        </w:tc>
        <w:tc>
          <w:tcPr>
            <w:tcW w:type="dxa" w:w="950"/>
          </w:tcPr>
          <w:p>
            <w:pPr>
              <w:spacing w:after="20"/>
              <w:jc w:val="right"/>
            </w:pPr>
            <w:r>
              <w:rPr>
                <w:color w:val="1C3A36"/>
                <w:sz w:val="17"/>
              </w:rPr>
              <w:t>76</w:t>
            </w:r>
          </w:p>
        </w:tc>
        <w:tc>
          <w:tcPr>
            <w:tcW w:type="dxa" w:w="950"/>
          </w:tcPr>
          <w:p>
            <w:pPr>
              <w:spacing w:after="20"/>
              <w:jc w:val="right"/>
            </w:pPr>
            <w:r>
              <w:rPr>
                <w:color w:val="1C3A36"/>
                <w:sz w:val="17"/>
              </w:rPr>
              <w:t>79</w:t>
            </w:r>
          </w:p>
        </w:tc>
      </w:tr>
      <w:tr>
        <w:tc>
          <w:tcPr>
            <w:tcW w:type="dxa" w:w="2736"/>
          </w:tcPr>
          <w:p>
            <w:pPr>
              <w:spacing w:after="20"/>
            </w:pPr>
            <w:r>
              <w:rPr>
                <w:color w:val="1C3A36"/>
                <w:sz w:val="17"/>
              </w:rPr>
              <w:t>Fuel (base path)</w:t>
            </w:r>
          </w:p>
        </w:tc>
        <w:tc>
          <w:tcPr>
            <w:tcW w:type="dxa" w:w="950"/>
          </w:tcPr>
          <w:p>
            <w:pPr>
              <w:spacing w:after="20"/>
              <w:jc w:val="right"/>
            </w:pPr>
            <w:r>
              <w:rPr>
                <w:color w:val="1C3A36"/>
                <w:sz w:val="17"/>
              </w:rPr>
              <w:t>172</w:t>
            </w:r>
          </w:p>
        </w:tc>
        <w:tc>
          <w:tcPr>
            <w:tcW w:type="dxa" w:w="950"/>
          </w:tcPr>
          <w:p>
            <w:pPr>
              <w:spacing w:after="20"/>
              <w:jc w:val="right"/>
            </w:pPr>
            <w:r>
              <w:rPr>
                <w:color w:val="1C3A36"/>
                <w:sz w:val="17"/>
              </w:rPr>
              <w:t>172</w:t>
            </w:r>
          </w:p>
        </w:tc>
        <w:tc>
          <w:tcPr>
            <w:tcW w:type="dxa" w:w="950"/>
          </w:tcPr>
          <w:p>
            <w:pPr>
              <w:spacing w:after="20"/>
              <w:jc w:val="right"/>
            </w:pPr>
            <w:r>
              <w:rPr>
                <w:color w:val="1C3A36"/>
                <w:sz w:val="17"/>
              </w:rPr>
              <w:t>195</w:t>
            </w:r>
          </w:p>
        </w:tc>
        <w:tc>
          <w:tcPr>
            <w:tcW w:type="dxa" w:w="950"/>
          </w:tcPr>
          <w:p>
            <w:pPr>
              <w:spacing w:after="20"/>
              <w:jc w:val="right"/>
            </w:pPr>
            <w:r>
              <w:rPr>
                <w:color w:val="1C3A36"/>
                <w:sz w:val="17"/>
              </w:rPr>
              <w:t>165</w:t>
            </w:r>
          </w:p>
        </w:tc>
        <w:tc>
          <w:tcPr>
            <w:tcW w:type="dxa" w:w="950"/>
          </w:tcPr>
          <w:p>
            <w:pPr>
              <w:spacing w:after="20"/>
              <w:jc w:val="right"/>
            </w:pPr>
            <w:r>
              <w:rPr>
                <w:color w:val="1C3A36"/>
                <w:sz w:val="17"/>
              </w:rPr>
              <w:t>168</w:t>
            </w:r>
          </w:p>
        </w:tc>
        <w:tc>
          <w:tcPr>
            <w:tcW w:type="dxa" w:w="950"/>
          </w:tcPr>
          <w:p>
            <w:pPr>
              <w:spacing w:after="20"/>
              <w:jc w:val="right"/>
            </w:pPr>
            <w:r>
              <w:rPr>
                <w:color w:val="1C3A36"/>
                <w:sz w:val="17"/>
              </w:rPr>
              <w:t>172</w:t>
            </w:r>
          </w:p>
        </w:tc>
        <w:tc>
          <w:tcPr>
            <w:tcW w:type="dxa" w:w="950"/>
          </w:tcPr>
          <w:p>
            <w:pPr>
              <w:spacing w:after="20"/>
              <w:jc w:val="right"/>
            </w:pPr>
            <w:r>
              <w:rPr>
                <w:color w:val="1C3A36"/>
                <w:sz w:val="17"/>
              </w:rPr>
              <w:t>175</w:t>
            </w:r>
          </w:p>
        </w:tc>
      </w:tr>
      <w:tr>
        <w:tc>
          <w:tcPr>
            <w:tcW w:type="dxa" w:w="2736"/>
          </w:tcPr>
          <w:p>
            <w:pPr>
              <w:spacing w:after="20"/>
            </w:pPr>
            <w:r>
              <w:rPr>
                <w:color w:val="1C3A36"/>
                <w:sz w:val="17"/>
              </w:rPr>
              <w:t>Fuel (high-fuel alternative)</w:t>
            </w:r>
          </w:p>
        </w:tc>
        <w:tc>
          <w:tcPr>
            <w:tcW w:type="dxa" w:w="950"/>
          </w:tcPr>
          <w:p>
            <w:pPr>
              <w:spacing w:after="20"/>
              <w:jc w:val="right"/>
            </w:pPr>
            <w:r>
              <w:rPr>
                <w:color w:val="1C3A36"/>
                <w:sz w:val="17"/>
              </w:rPr>
              <w:t>—</w:t>
            </w:r>
          </w:p>
        </w:tc>
        <w:tc>
          <w:tcPr>
            <w:tcW w:type="dxa" w:w="950"/>
          </w:tcPr>
          <w:p>
            <w:pPr>
              <w:spacing w:after="20"/>
              <w:jc w:val="right"/>
            </w:pPr>
            <w:r>
              <w:rPr>
                <w:color w:val="1C3A36"/>
                <w:sz w:val="17"/>
              </w:rPr>
              <w:t>—</w:t>
            </w:r>
          </w:p>
        </w:tc>
        <w:tc>
          <w:tcPr>
            <w:tcW w:type="dxa" w:w="950"/>
          </w:tcPr>
          <w:p>
            <w:pPr>
              <w:spacing w:after="20"/>
              <w:jc w:val="right"/>
            </w:pPr>
            <w:r>
              <w:rPr>
                <w:color w:val="1C3A36"/>
                <w:sz w:val="17"/>
              </w:rPr>
              <w:t>210</w:t>
            </w:r>
          </w:p>
        </w:tc>
        <w:tc>
          <w:tcPr>
            <w:tcW w:type="dxa" w:w="950"/>
          </w:tcPr>
          <w:p>
            <w:pPr>
              <w:spacing w:after="20"/>
              <w:jc w:val="right"/>
            </w:pPr>
            <w:r>
              <w:rPr>
                <w:color w:val="1C3A36"/>
                <w:sz w:val="17"/>
              </w:rPr>
              <w:t>205</w:t>
            </w:r>
          </w:p>
        </w:tc>
        <w:tc>
          <w:tcPr>
            <w:tcW w:type="dxa" w:w="950"/>
          </w:tcPr>
          <w:p>
            <w:pPr>
              <w:spacing w:after="20"/>
              <w:jc w:val="right"/>
            </w:pPr>
            <w:r>
              <w:rPr>
                <w:color w:val="1C3A36"/>
                <w:sz w:val="17"/>
              </w:rPr>
              <w:t>206</w:t>
            </w:r>
          </w:p>
        </w:tc>
        <w:tc>
          <w:tcPr>
            <w:tcW w:type="dxa" w:w="950"/>
          </w:tcPr>
          <w:p>
            <w:pPr>
              <w:spacing w:after="20"/>
              <w:jc w:val="right"/>
            </w:pPr>
            <w:r>
              <w:rPr>
                <w:color w:val="1C3A36"/>
                <w:sz w:val="17"/>
              </w:rPr>
              <w:t>208</w:t>
            </w:r>
          </w:p>
        </w:tc>
        <w:tc>
          <w:tcPr>
            <w:tcW w:type="dxa" w:w="950"/>
          </w:tcPr>
          <w:p>
            <w:pPr>
              <w:spacing w:after="20"/>
              <w:jc w:val="right"/>
            </w:pPr>
            <w:r>
              <w:rPr>
                <w:color w:val="1C3A36"/>
                <w:sz w:val="17"/>
              </w:rPr>
              <w:t>210</w:t>
            </w:r>
          </w:p>
        </w:tc>
      </w:tr>
      <w:tr>
        <w:tc>
          <w:tcPr>
            <w:tcW w:type="dxa" w:w="2736"/>
          </w:tcPr>
          <w:p>
            <w:pPr>
              <w:spacing w:after="20"/>
            </w:pPr>
            <w:r>
              <w:rPr>
                <w:color w:val="1C3A36"/>
                <w:sz w:val="17"/>
              </w:rPr>
              <w:t>Staff</w:t>
            </w:r>
          </w:p>
        </w:tc>
        <w:tc>
          <w:tcPr>
            <w:tcW w:type="dxa" w:w="950"/>
          </w:tcPr>
          <w:p>
            <w:pPr>
              <w:spacing w:after="20"/>
              <w:jc w:val="right"/>
            </w:pPr>
            <w:r>
              <w:rPr>
                <w:color w:val="1C3A36"/>
                <w:sz w:val="17"/>
              </w:rPr>
              <w:t>79</w:t>
            </w:r>
          </w:p>
        </w:tc>
        <w:tc>
          <w:tcPr>
            <w:tcW w:type="dxa" w:w="950"/>
          </w:tcPr>
          <w:p>
            <w:pPr>
              <w:spacing w:after="20"/>
              <w:jc w:val="right"/>
            </w:pPr>
            <w:r>
              <w:rPr>
                <w:color w:val="1C3A36"/>
                <w:sz w:val="17"/>
              </w:rPr>
              <w:t>82</w:t>
            </w:r>
          </w:p>
        </w:tc>
        <w:tc>
          <w:tcPr>
            <w:tcW w:type="dxa" w:w="950"/>
          </w:tcPr>
          <w:p>
            <w:pPr>
              <w:spacing w:after="20"/>
              <w:jc w:val="right"/>
            </w:pPr>
            <w:r>
              <w:rPr>
                <w:color w:val="1C3A36"/>
                <w:sz w:val="17"/>
              </w:rPr>
              <w:t>84</w:t>
            </w:r>
          </w:p>
        </w:tc>
        <w:tc>
          <w:tcPr>
            <w:tcW w:type="dxa" w:w="950"/>
          </w:tcPr>
          <w:p>
            <w:pPr>
              <w:spacing w:after="20"/>
              <w:jc w:val="right"/>
            </w:pPr>
            <w:r>
              <w:rPr>
                <w:color w:val="1C3A36"/>
                <w:sz w:val="17"/>
              </w:rPr>
              <w:t>87</w:t>
            </w:r>
          </w:p>
        </w:tc>
        <w:tc>
          <w:tcPr>
            <w:tcW w:type="dxa" w:w="950"/>
          </w:tcPr>
          <w:p>
            <w:pPr>
              <w:spacing w:after="20"/>
              <w:jc w:val="right"/>
            </w:pPr>
            <w:r>
              <w:rPr>
                <w:color w:val="1C3A36"/>
                <w:sz w:val="17"/>
              </w:rPr>
              <w:t>90</w:t>
            </w:r>
          </w:p>
        </w:tc>
        <w:tc>
          <w:tcPr>
            <w:tcW w:type="dxa" w:w="950"/>
          </w:tcPr>
          <w:p>
            <w:pPr>
              <w:spacing w:after="20"/>
              <w:jc w:val="right"/>
            </w:pPr>
            <w:r>
              <w:rPr>
                <w:color w:val="1C3A36"/>
                <w:sz w:val="17"/>
              </w:rPr>
              <w:t>92</w:t>
            </w:r>
          </w:p>
        </w:tc>
        <w:tc>
          <w:tcPr>
            <w:tcW w:type="dxa" w:w="950"/>
          </w:tcPr>
          <w:p>
            <w:pPr>
              <w:spacing w:after="20"/>
              <w:jc w:val="right"/>
            </w:pPr>
            <w:r>
              <w:rPr>
                <w:color w:val="1C3A36"/>
                <w:sz w:val="17"/>
              </w:rPr>
              <w:t>95</w:t>
            </w:r>
          </w:p>
        </w:tc>
      </w:tr>
      <w:tr>
        <w:tc>
          <w:tcPr>
            <w:tcW w:type="dxa" w:w="2736"/>
          </w:tcPr>
          <w:p>
            <w:pPr>
              <w:spacing w:after="20"/>
            </w:pPr>
            <w:r>
              <w:rPr>
                <w:color w:val="1C3A36"/>
                <w:sz w:val="17"/>
              </w:rPr>
              <w:t>Maintenance</w:t>
            </w:r>
          </w:p>
        </w:tc>
        <w:tc>
          <w:tcPr>
            <w:tcW w:type="dxa" w:w="950"/>
          </w:tcPr>
          <w:p>
            <w:pPr>
              <w:spacing w:after="20"/>
              <w:jc w:val="right"/>
            </w:pPr>
            <w:r>
              <w:rPr>
                <w:color w:val="1C3A36"/>
                <w:sz w:val="17"/>
              </w:rPr>
              <w:t>61</w:t>
            </w:r>
          </w:p>
        </w:tc>
        <w:tc>
          <w:tcPr>
            <w:tcW w:type="dxa" w:w="950"/>
          </w:tcPr>
          <w:p>
            <w:pPr>
              <w:spacing w:after="20"/>
              <w:jc w:val="right"/>
            </w:pPr>
            <w:r>
              <w:rPr>
                <w:color w:val="1C3A36"/>
                <w:sz w:val="17"/>
              </w:rPr>
              <w:t>61</w:t>
            </w:r>
          </w:p>
        </w:tc>
        <w:tc>
          <w:tcPr>
            <w:tcW w:type="dxa" w:w="950"/>
          </w:tcPr>
          <w:p>
            <w:pPr>
              <w:spacing w:after="20"/>
              <w:jc w:val="right"/>
            </w:pPr>
            <w:r>
              <w:rPr>
                <w:color w:val="1C3A36"/>
                <w:sz w:val="17"/>
              </w:rPr>
              <w:t>64</w:t>
            </w:r>
          </w:p>
        </w:tc>
        <w:tc>
          <w:tcPr>
            <w:tcW w:type="dxa" w:w="950"/>
          </w:tcPr>
          <w:p>
            <w:pPr>
              <w:spacing w:after="20"/>
              <w:jc w:val="right"/>
            </w:pPr>
            <w:r>
              <w:rPr>
                <w:color w:val="1C3A36"/>
                <w:sz w:val="17"/>
              </w:rPr>
              <w:t>66</w:t>
            </w:r>
          </w:p>
        </w:tc>
        <w:tc>
          <w:tcPr>
            <w:tcW w:type="dxa" w:w="950"/>
          </w:tcPr>
          <w:p>
            <w:pPr>
              <w:spacing w:after="20"/>
              <w:jc w:val="right"/>
            </w:pPr>
            <w:r>
              <w:rPr>
                <w:color w:val="1C3A36"/>
                <w:sz w:val="17"/>
              </w:rPr>
              <w:t>69</w:t>
            </w:r>
          </w:p>
        </w:tc>
        <w:tc>
          <w:tcPr>
            <w:tcW w:type="dxa" w:w="950"/>
          </w:tcPr>
          <w:p>
            <w:pPr>
              <w:spacing w:after="20"/>
              <w:jc w:val="right"/>
            </w:pPr>
            <w:r>
              <w:rPr>
                <w:color w:val="1C3A36"/>
                <w:sz w:val="17"/>
              </w:rPr>
              <w:t>72</w:t>
            </w:r>
          </w:p>
        </w:tc>
        <w:tc>
          <w:tcPr>
            <w:tcW w:type="dxa" w:w="950"/>
          </w:tcPr>
          <w:p>
            <w:pPr>
              <w:spacing w:after="20"/>
              <w:jc w:val="right"/>
            </w:pPr>
            <w:r>
              <w:rPr>
                <w:color w:val="1C3A36"/>
                <w:sz w:val="17"/>
              </w:rPr>
              <w:t>75</w:t>
            </w:r>
          </w:p>
        </w:tc>
      </w:tr>
      <w:tr>
        <w:tc>
          <w:tcPr>
            <w:tcW w:type="dxa" w:w="2736"/>
          </w:tcPr>
          <w:p>
            <w:pPr>
              <w:spacing w:after="20"/>
            </w:pPr>
            <w:r>
              <w:rPr>
                <w:color w:val="1C3A36"/>
                <w:sz w:val="17"/>
              </w:rPr>
              <w:t>Landing &amp; overflying</w:t>
            </w:r>
          </w:p>
        </w:tc>
        <w:tc>
          <w:tcPr>
            <w:tcW w:type="dxa" w:w="950"/>
          </w:tcPr>
          <w:p>
            <w:pPr>
              <w:spacing w:after="20"/>
              <w:jc w:val="right"/>
            </w:pPr>
            <w:r>
              <w:rPr>
                <w:color w:val="1C3A36"/>
                <w:sz w:val="17"/>
              </w:rPr>
              <w:t>36</w:t>
            </w:r>
          </w:p>
        </w:tc>
        <w:tc>
          <w:tcPr>
            <w:tcW w:type="dxa" w:w="950"/>
          </w:tcPr>
          <w:p>
            <w:pPr>
              <w:spacing w:after="20"/>
              <w:jc w:val="right"/>
            </w:pPr>
            <w:r>
              <w:rPr>
                <w:color w:val="1C3A36"/>
                <w:sz w:val="17"/>
              </w:rPr>
              <w:t>36</w:t>
            </w:r>
          </w:p>
        </w:tc>
        <w:tc>
          <w:tcPr>
            <w:tcW w:type="dxa" w:w="950"/>
          </w:tcPr>
          <w:p>
            <w:pPr>
              <w:spacing w:after="20"/>
              <w:jc w:val="right"/>
            </w:pPr>
            <w:r>
              <w:rPr>
                <w:color w:val="1C3A36"/>
                <w:sz w:val="17"/>
              </w:rPr>
              <w:t>37</w:t>
            </w:r>
          </w:p>
        </w:tc>
        <w:tc>
          <w:tcPr>
            <w:tcW w:type="dxa" w:w="950"/>
          </w:tcPr>
          <w:p>
            <w:pPr>
              <w:spacing w:after="20"/>
              <w:jc w:val="right"/>
            </w:pPr>
            <w:r>
              <w:rPr>
                <w:color w:val="1C3A36"/>
                <w:sz w:val="17"/>
              </w:rPr>
              <w:t>37</w:t>
            </w:r>
          </w:p>
        </w:tc>
        <w:tc>
          <w:tcPr>
            <w:tcW w:type="dxa" w:w="950"/>
          </w:tcPr>
          <w:p>
            <w:pPr>
              <w:spacing w:after="20"/>
              <w:jc w:val="right"/>
            </w:pPr>
            <w:r>
              <w:rPr>
                <w:color w:val="1C3A36"/>
                <w:sz w:val="17"/>
              </w:rPr>
              <w:t>38</w:t>
            </w:r>
          </w:p>
        </w:tc>
        <w:tc>
          <w:tcPr>
            <w:tcW w:type="dxa" w:w="950"/>
          </w:tcPr>
          <w:p>
            <w:pPr>
              <w:spacing w:after="20"/>
              <w:jc w:val="right"/>
            </w:pPr>
            <w:r>
              <w:rPr>
                <w:color w:val="1C3A36"/>
                <w:sz w:val="17"/>
              </w:rPr>
              <w:t>39</w:t>
            </w:r>
          </w:p>
        </w:tc>
        <w:tc>
          <w:tcPr>
            <w:tcW w:type="dxa" w:w="950"/>
          </w:tcPr>
          <w:p>
            <w:pPr>
              <w:spacing w:after="20"/>
              <w:jc w:val="right"/>
            </w:pPr>
            <w:r>
              <w:rPr>
                <w:color w:val="1C3A36"/>
                <w:sz w:val="17"/>
              </w:rPr>
              <w:t>40</w:t>
            </w:r>
          </w:p>
        </w:tc>
      </w:tr>
      <w:tr>
        <w:tc>
          <w:tcPr>
            <w:tcW w:type="dxa" w:w="2736"/>
          </w:tcPr>
          <w:p>
            <w:pPr>
              <w:spacing w:after="20"/>
            </w:pPr>
            <w:r>
              <w:rPr>
                <w:color w:val="1C3A36"/>
                <w:sz w:val="17"/>
              </w:rPr>
              <w:t>Handling</w:t>
            </w:r>
          </w:p>
        </w:tc>
        <w:tc>
          <w:tcPr>
            <w:tcW w:type="dxa" w:w="950"/>
          </w:tcPr>
          <w:p>
            <w:pPr>
              <w:spacing w:after="20"/>
              <w:jc w:val="right"/>
            </w:pPr>
            <w:r>
              <w:rPr>
                <w:color w:val="1C3A36"/>
                <w:sz w:val="17"/>
              </w:rPr>
              <w:t>31</w:t>
            </w:r>
          </w:p>
        </w:tc>
        <w:tc>
          <w:tcPr>
            <w:tcW w:type="dxa" w:w="950"/>
          </w:tcPr>
          <w:p>
            <w:pPr>
              <w:spacing w:after="20"/>
              <w:jc w:val="right"/>
            </w:pPr>
            <w:r>
              <w:rPr>
                <w:color w:val="1C3A36"/>
                <w:sz w:val="17"/>
              </w:rPr>
              <w:t>29</w:t>
            </w:r>
          </w:p>
        </w:tc>
        <w:tc>
          <w:tcPr>
            <w:tcW w:type="dxa" w:w="950"/>
          </w:tcPr>
          <w:p>
            <w:pPr>
              <w:spacing w:after="20"/>
              <w:jc w:val="right"/>
            </w:pPr>
            <w:r>
              <w:rPr>
                <w:color w:val="1C3A36"/>
                <w:sz w:val="17"/>
              </w:rPr>
              <w:t>30</w:t>
            </w:r>
          </w:p>
        </w:tc>
        <w:tc>
          <w:tcPr>
            <w:tcW w:type="dxa" w:w="950"/>
          </w:tcPr>
          <w:p>
            <w:pPr>
              <w:spacing w:after="20"/>
              <w:jc w:val="right"/>
            </w:pPr>
            <w:r>
              <w:rPr>
                <w:color w:val="1C3A36"/>
                <w:sz w:val="17"/>
              </w:rPr>
              <w:t>31</w:t>
            </w:r>
          </w:p>
        </w:tc>
        <w:tc>
          <w:tcPr>
            <w:tcW w:type="dxa" w:w="950"/>
          </w:tcPr>
          <w:p>
            <w:pPr>
              <w:spacing w:after="20"/>
              <w:jc w:val="right"/>
            </w:pPr>
            <w:r>
              <w:rPr>
                <w:color w:val="1C3A36"/>
                <w:sz w:val="17"/>
              </w:rPr>
              <w:t>31</w:t>
            </w:r>
          </w:p>
        </w:tc>
        <w:tc>
          <w:tcPr>
            <w:tcW w:type="dxa" w:w="950"/>
          </w:tcPr>
          <w:p>
            <w:pPr>
              <w:spacing w:after="20"/>
              <w:jc w:val="right"/>
            </w:pPr>
            <w:r>
              <w:rPr>
                <w:color w:val="1C3A36"/>
                <w:sz w:val="17"/>
              </w:rPr>
              <w:t>32</w:t>
            </w:r>
          </w:p>
        </w:tc>
        <w:tc>
          <w:tcPr>
            <w:tcW w:type="dxa" w:w="950"/>
          </w:tcPr>
          <w:p>
            <w:pPr>
              <w:spacing w:after="20"/>
              <w:jc w:val="right"/>
            </w:pPr>
            <w:r>
              <w:rPr>
                <w:color w:val="1C3A36"/>
                <w:sz w:val="17"/>
              </w:rPr>
              <w:t>32</w:t>
            </w:r>
          </w:p>
        </w:tc>
      </w:tr>
      <w:tr>
        <w:tc>
          <w:tcPr>
            <w:tcW w:type="dxa" w:w="2736"/>
          </w:tcPr>
          <w:p>
            <w:pPr>
              <w:spacing w:after="20"/>
            </w:pPr>
            <w:r>
              <w:rPr>
                <w:color w:val="1C3A36"/>
                <w:sz w:val="17"/>
              </w:rPr>
              <w:t>Other direct</w:t>
            </w:r>
          </w:p>
        </w:tc>
        <w:tc>
          <w:tcPr>
            <w:tcW w:type="dxa" w:w="950"/>
          </w:tcPr>
          <w:p>
            <w:pPr>
              <w:spacing w:after="20"/>
              <w:jc w:val="right"/>
            </w:pPr>
            <w:r>
              <w:rPr>
                <w:color w:val="1C3A36"/>
                <w:sz w:val="17"/>
              </w:rPr>
              <w:t>31</w:t>
            </w:r>
          </w:p>
        </w:tc>
        <w:tc>
          <w:tcPr>
            <w:tcW w:type="dxa" w:w="950"/>
          </w:tcPr>
          <w:p>
            <w:pPr>
              <w:spacing w:after="20"/>
              <w:jc w:val="right"/>
            </w:pPr>
            <w:r>
              <w:rPr>
                <w:color w:val="1C3A36"/>
                <w:sz w:val="17"/>
              </w:rPr>
              <w:t>41</w:t>
            </w:r>
          </w:p>
        </w:tc>
        <w:tc>
          <w:tcPr>
            <w:tcW w:type="dxa" w:w="950"/>
          </w:tcPr>
          <w:p>
            <w:pPr>
              <w:spacing w:after="20"/>
              <w:jc w:val="right"/>
            </w:pPr>
            <w:r>
              <w:rPr>
                <w:color w:val="1C3A36"/>
                <w:sz w:val="17"/>
              </w:rPr>
              <w:t>42</w:t>
            </w:r>
          </w:p>
        </w:tc>
        <w:tc>
          <w:tcPr>
            <w:tcW w:type="dxa" w:w="950"/>
          </w:tcPr>
          <w:p>
            <w:pPr>
              <w:spacing w:after="20"/>
              <w:jc w:val="right"/>
            </w:pPr>
            <w:r>
              <w:rPr>
                <w:color w:val="1C3A36"/>
                <w:sz w:val="17"/>
              </w:rPr>
              <w:t>42</w:t>
            </w:r>
          </w:p>
        </w:tc>
        <w:tc>
          <w:tcPr>
            <w:tcW w:type="dxa" w:w="950"/>
          </w:tcPr>
          <w:p>
            <w:pPr>
              <w:spacing w:after="20"/>
              <w:jc w:val="right"/>
            </w:pPr>
            <w:r>
              <w:rPr>
                <w:color w:val="1C3A36"/>
                <w:sz w:val="17"/>
              </w:rPr>
              <w:t>42</w:t>
            </w:r>
          </w:p>
        </w:tc>
        <w:tc>
          <w:tcPr>
            <w:tcW w:type="dxa" w:w="950"/>
          </w:tcPr>
          <w:p>
            <w:pPr>
              <w:spacing w:after="20"/>
              <w:jc w:val="right"/>
            </w:pPr>
            <w:r>
              <w:rPr>
                <w:color w:val="1C3A36"/>
                <w:sz w:val="17"/>
              </w:rPr>
              <w:t>42</w:t>
            </w:r>
          </w:p>
        </w:tc>
        <w:tc>
          <w:tcPr>
            <w:tcW w:type="dxa" w:w="950"/>
          </w:tcPr>
          <w:p>
            <w:pPr>
              <w:spacing w:after="20"/>
              <w:jc w:val="right"/>
            </w:pPr>
            <w:r>
              <w:rPr>
                <w:color w:val="1C3A36"/>
                <w:sz w:val="17"/>
              </w:rPr>
              <w:t>42</w:t>
            </w:r>
          </w:p>
        </w:tc>
      </w:tr>
    </w:tbl>
    <w:p>
      <w:pPr>
        <w:spacing w:after="40"/>
      </w:pPr>
    </w:p>
    <w:p>
      <w:pPr>
        <w:spacing w:after="200" w:before="0"/>
      </w:pPr>
      <w:r>
        <w:rPr>
          <w:b w:val="0"/>
          <w:i/>
          <w:color w:val="6E7B77"/>
          <w:sz w:val="17"/>
        </w:rPr>
        <w:t>One escalator per cost class: fuel moves on the commodity path (never a domestic inflation proxy), staff on UAE aviation wages, maintenance on its own MRO inflation, airport charges on ~2% UAE inflation, and the other-direct line is held flat as the 2025 wet-lease spike unwinds against ordinary inflation. Passenger growth is fleet-led: 90 aircraft to roughly 115 by 2030 out of the 120-aircraft order, at a held ~85–86% load factor.</w:t>
      </w:r>
    </w:p>
    <w:p>
      <w:pPr>
        <w:spacing w:after="40"/>
        <w:jc w:val="center"/>
      </w:pPr>
      <w:r>
        <w:drawing>
          <wp:inline xmlns:a="http://schemas.openxmlformats.org/drawingml/2006/main" xmlns:pic="http://schemas.openxmlformats.org/drawingml/2006/picture">
            <wp:extent cx="6309360" cy="2601798"/>
            <wp:docPr id="2" name="Picture 2"/>
            <wp:cNvGraphicFramePr>
              <a:graphicFrameLocks noChangeAspect="1"/>
            </wp:cNvGraphicFramePr>
            <a:graphic>
              <a:graphicData uri="http://schemas.openxmlformats.org/drawingml/2006/picture">
                <pic:pic>
                  <pic:nvPicPr>
                    <pic:cNvPr id="0" name="fig7_units.png"/>
                    <pic:cNvPicPr/>
                  </pic:nvPicPr>
                  <pic:blipFill>
                    <a:blip r:embed="rId10"/>
                    <a:stretch>
                      <a:fillRect/>
                    </a:stretch>
                  </pic:blipFill>
                  <pic:spPr>
                    <a:xfrm>
                      <a:off x="0" y="0"/>
                      <a:ext cx="6309360" cy="2601798"/>
                    </a:xfrm>
                    <a:prstGeom prst="rect"/>
                  </pic:spPr>
                </pic:pic>
              </a:graphicData>
            </a:graphic>
          </wp:inline>
        </w:drawing>
      </w:r>
    </w:p>
    <w:p>
      <w:pPr>
        <w:spacing w:after="200" w:before="0"/>
      </w:pPr>
      <w:r>
        <w:rPr>
          <w:b w:val="0"/>
          <w:i/>
          <w:color w:val="6E7B77"/>
          <w:sz w:val="17"/>
        </w:rPr>
        <w:t>Figure 2 — passengers, revenue and the EBITDA margin path. The 2026 dip is the fuel spike plus flat traffic; 2027 recovers on the official-curve fuel path.</w:t>
      </w:r>
    </w:p>
    <w:p>
      <w:pPr>
        <w:spacing w:after="80" w:before="200"/>
      </w:pPr>
      <w:r>
        <w:rPr>
          <w:b/>
          <w:i w:val="0"/>
          <w:color w:val="1C3A36"/>
          <w:sz w:val="24"/>
        </w:rPr>
        <w:t>1.7  The crux — fuel, and what the joint ventures are worth</w:t>
      </w:r>
    </w:p>
    <w:p>
      <w:pPr>
        <w:spacing w:after="120" w:before="0"/>
      </w:pPr>
      <w:r>
        <w:rPr>
          <w:b w:val="0"/>
          <w:i w:val="0"/>
          <w:color w:val="1C3A36"/>
          <w:sz w:val="21"/>
        </w:rPr>
        <w:t>Two judgements dominate this valuation, and both are sensitised in their own physical units. FUEL: straight from the model's own grid, at 92.5% of the base fuel path the DCF is AED 4.46 and at 107.5% it is AED 3.19 — about AED 0.63 per share for each 7.5% move in the fuel line (roughly AED 13 per passenger). Priced BOTH ways as full paths: base (official-curve relief) AED 3.83; association-assumption held high, AED 2.17. THE JV NETWORK: at the audited carrying value it contributes AED 0.08 per share; capitalised at 15× its AED 190mn profit share it contributes AED 0.61 — the 0.56 per-share gap between the two framings is the single largest contested item in the study, and the ventures' own 100%-basis profits grew roughly 65% in FY2025 with a new Saudi carrier signed.</w:t>
      </w:r>
    </w:p>
    <w:p>
      <w:pPr>
        <w:spacing w:after="80" w:before="200"/>
      </w:pPr>
      <w:r>
        <w:rPr>
          <w:b/>
          <w:i w:val="0"/>
          <w:color w:val="1C3A36"/>
          <w:sz w:val="24"/>
        </w:rPr>
        <w:t>1.8  Macro &amp; country — the cost of capital, built and evidenced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296"/>
        <w:gridCol w:w="5832"/>
      </w:tblGrid>
      <w:tr>
        <w:tc>
          <w:tcPr>
            <w:tcW w:type="dxa" w:w="2952"/>
            <w:shd w:val="clear" w:color="auto" w:fill="EAF0EE"/>
          </w:tcPr>
          <w:p>
            <w:pPr>
              <w:spacing w:after="20"/>
            </w:pPr>
            <w:r>
              <w:rPr>
                <w:b/>
                <w:color w:val="1C3A36"/>
                <w:sz w:val="17"/>
              </w:rPr>
              <w:t>Component</w:t>
            </w:r>
          </w:p>
        </w:tc>
        <w:tc>
          <w:tcPr>
            <w:tcW w:type="dxa" w:w="1296"/>
            <w:shd w:val="clear" w:color="auto" w:fill="EAF0EE"/>
          </w:tcPr>
          <w:p>
            <w:pPr>
              <w:spacing w:after="20"/>
            </w:pPr>
            <w:r>
              <w:rPr>
                <w:b/>
                <w:color w:val="1C3A36"/>
                <w:sz w:val="17"/>
              </w:rPr>
              <w:t>Value</w:t>
            </w:r>
          </w:p>
        </w:tc>
        <w:tc>
          <w:tcPr>
            <w:tcW w:type="dxa" w:w="5832"/>
            <w:shd w:val="clear" w:color="auto" w:fill="EAF0EE"/>
          </w:tcPr>
          <w:p>
            <w:pPr>
              <w:spacing w:after="20"/>
            </w:pPr>
            <w:r>
              <w:rPr>
                <w:b/>
                <w:color w:val="1C3A36"/>
                <w:sz w:val="17"/>
              </w:rPr>
              <w:t>Evidence</w:t>
            </w:r>
          </w:p>
        </w:tc>
      </w:tr>
      <w:tr>
        <w:tc>
          <w:tcPr>
            <w:tcW w:type="dxa" w:w="2952"/>
          </w:tcPr>
          <w:p>
            <w:pPr>
              <w:spacing w:after="20"/>
            </w:pPr>
            <w:r>
              <w:rPr>
                <w:color w:val="1C3A36"/>
                <w:sz w:val="17"/>
              </w:rPr>
              <w:t>AED government bond yield</w:t>
            </w:r>
          </w:p>
        </w:tc>
        <w:tc>
          <w:tcPr>
            <w:tcW w:type="dxa" w:w="1296"/>
          </w:tcPr>
          <w:p>
            <w:pPr>
              <w:spacing w:after="20"/>
              <w:jc w:val="right"/>
            </w:pPr>
            <w:r>
              <w:rPr>
                <w:color w:val="1C3A36"/>
                <w:sz w:val="17"/>
              </w:rPr>
              <w:t>4.48%</w:t>
            </w:r>
          </w:p>
        </w:tc>
        <w:tc>
          <w:tcPr>
            <w:tcW w:type="dxa" w:w="5832"/>
          </w:tcPr>
          <w:p>
            <w:pPr>
              <w:spacing w:after="20"/>
              <w:jc w:val="right"/>
            </w:pPr>
            <w:r>
              <w:rPr>
                <w:color w:val="1C3A36"/>
                <w:sz w:val="17"/>
              </w:rPr>
              <w:t>UAE Ministry of Finance dirham T-Bond auction, July-2026, January-2031 tranche (4bp over comparable US Treasuries); May-2026 auction 4.30%</w:t>
            </w:r>
          </w:p>
        </w:tc>
      </w:tr>
      <w:tr>
        <w:tc>
          <w:tcPr>
            <w:tcW w:type="dxa" w:w="2952"/>
          </w:tcPr>
          <w:p>
            <w:pPr>
              <w:spacing w:after="20"/>
            </w:pPr>
            <w:r>
              <w:rPr>
                <w:color w:val="1C3A36"/>
                <w:sz w:val="17"/>
              </w:rPr>
              <w:t>less UAE sovereign default spread</w:t>
            </w:r>
          </w:p>
        </w:tc>
        <w:tc>
          <w:tcPr>
            <w:tcW w:type="dxa" w:w="1296"/>
          </w:tcPr>
          <w:p>
            <w:pPr>
              <w:spacing w:after="20"/>
              <w:jc w:val="right"/>
            </w:pPr>
            <w:r>
              <w:rPr>
                <w:color w:val="1C3A36"/>
                <w:sz w:val="17"/>
              </w:rPr>
              <w:t>0.42%</w:t>
            </w:r>
          </w:p>
        </w:tc>
        <w:tc>
          <w:tcPr>
            <w:tcW w:type="dxa" w:w="5832"/>
          </w:tcPr>
          <w:p>
            <w:pPr>
              <w:spacing w:after="20"/>
              <w:jc w:val="right"/>
            </w:pPr>
            <w:r>
              <w:rPr>
                <w:color w:val="1C3A36"/>
                <w:sz w:val="17"/>
              </w:rPr>
              <w:t>Aa2 rating basis, Damodaran country file, 5-Jan-2026 — netted so sovereign risk is counted once, in the premium</w:t>
            </w:r>
          </w:p>
        </w:tc>
      </w:tr>
      <w:tr>
        <w:tc>
          <w:tcPr>
            <w:tcW w:type="dxa" w:w="2952"/>
          </w:tcPr>
          <w:p>
            <w:pPr>
              <w:spacing w:after="20"/>
            </w:pPr>
            <w:r>
              <w:rPr>
                <w:color w:val="1C3A36"/>
                <w:sz w:val="17"/>
              </w:rPr>
              <w:t>Net risk-free rate</w:t>
            </w:r>
          </w:p>
        </w:tc>
        <w:tc>
          <w:tcPr>
            <w:tcW w:type="dxa" w:w="1296"/>
          </w:tcPr>
          <w:p>
            <w:pPr>
              <w:spacing w:after="20"/>
              <w:jc w:val="right"/>
            </w:pPr>
            <w:r>
              <w:rPr>
                <w:color w:val="1C3A36"/>
                <w:sz w:val="17"/>
              </w:rPr>
              <w:t>4.06%</w:t>
            </w:r>
          </w:p>
        </w:tc>
        <w:tc>
          <w:tcPr>
            <w:tcW w:type="dxa" w:w="5832"/>
          </w:tcPr>
          <w:p>
            <w:pPr>
              <w:spacing w:after="20"/>
              <w:jc w:val="right"/>
            </w:pPr>
            <w:r>
              <w:rPr>
                <w:color w:val="1C3A36"/>
                <w:sz w:val="17"/>
              </w:rPr>
              <w:t>derived</w:t>
            </w:r>
          </w:p>
        </w:tc>
      </w:tr>
      <w:tr>
        <w:tc>
          <w:tcPr>
            <w:tcW w:type="dxa" w:w="2952"/>
          </w:tcPr>
          <w:p>
            <w:pPr>
              <w:spacing w:after="20"/>
            </w:pPr>
            <w:r>
              <w:rPr>
                <w:color w:val="1C3A36"/>
                <w:sz w:val="17"/>
              </w:rPr>
              <w:t>Beta</w:t>
            </w:r>
          </w:p>
        </w:tc>
        <w:tc>
          <w:tcPr>
            <w:tcW w:type="dxa" w:w="1296"/>
          </w:tcPr>
          <w:p>
            <w:pPr>
              <w:spacing w:after="20"/>
              <w:jc w:val="right"/>
            </w:pPr>
            <w:r>
              <w:rPr>
                <w:color w:val="1C3A36"/>
                <w:sz w:val="17"/>
              </w:rPr>
              <w:t>1.086</w:t>
            </w:r>
          </w:p>
        </w:tc>
        <w:tc>
          <w:tcPr>
            <w:tcW w:type="dxa" w:w="5832"/>
          </w:tcPr>
          <w:p>
            <w:pPr>
              <w:spacing w:after="20"/>
              <w:jc w:val="right"/>
            </w:pPr>
            <w:r>
              <w:rPr>
                <w:color w:val="1C3A36"/>
                <w:sz w:val="17"/>
              </w:rPr>
              <w:t>own-stock five-year weekly regression against the Dubai (DFM) general index: R² 0.40, 258 weeks, standard error 0.083, 90% interval 0.95–1.22</w:t>
            </w:r>
          </w:p>
        </w:tc>
      </w:tr>
      <w:tr>
        <w:tc>
          <w:tcPr>
            <w:tcW w:type="dxa" w:w="2952"/>
          </w:tcPr>
          <w:p>
            <w:pPr>
              <w:spacing w:after="20"/>
            </w:pPr>
            <w:r>
              <w:rPr>
                <w:color w:val="1C3A36"/>
                <w:sz w:val="17"/>
              </w:rPr>
              <w:t>Equity risk premium</w:t>
            </w:r>
          </w:p>
        </w:tc>
        <w:tc>
          <w:tcPr>
            <w:tcW w:type="dxa" w:w="1296"/>
          </w:tcPr>
          <w:p>
            <w:pPr>
              <w:spacing w:after="20"/>
              <w:jc w:val="right"/>
            </w:pPr>
            <w:r>
              <w:rPr>
                <w:color w:val="1C3A36"/>
                <w:sz w:val="17"/>
              </w:rPr>
              <w:t>4.87%</w:t>
            </w:r>
          </w:p>
        </w:tc>
        <w:tc>
          <w:tcPr>
            <w:tcW w:type="dxa" w:w="5832"/>
          </w:tcPr>
          <w:p>
            <w:pPr>
              <w:spacing w:after="20"/>
              <w:jc w:val="right"/>
            </w:pPr>
            <w:r>
              <w:rPr>
                <w:color w:val="1C3A36"/>
                <w:sz w:val="17"/>
              </w:rPr>
              <w:t>Damodaran UAE row, January-2026 (mature 4.23% + country 0.64%). The same file publishes no usable UAE sovereign-swap-based alternative — stated rather than substituted</w:t>
            </w:r>
          </w:p>
        </w:tc>
      </w:tr>
      <w:tr>
        <w:tc>
          <w:tcPr>
            <w:tcW w:type="dxa" w:w="2952"/>
          </w:tcPr>
          <w:p>
            <w:pPr>
              <w:spacing w:after="20"/>
            </w:pPr>
            <w:r>
              <w:rPr>
                <w:color w:val="1C3A36"/>
                <w:sz w:val="17"/>
              </w:rPr>
              <w:t>Cost of equity</w:t>
            </w:r>
          </w:p>
        </w:tc>
        <w:tc>
          <w:tcPr>
            <w:tcW w:type="dxa" w:w="1296"/>
          </w:tcPr>
          <w:p>
            <w:pPr>
              <w:spacing w:after="20"/>
              <w:jc w:val="right"/>
            </w:pPr>
            <w:r>
              <w:rPr>
                <w:color w:val="1C3A36"/>
                <w:sz w:val="17"/>
              </w:rPr>
              <w:t>9.35%</w:t>
            </w:r>
          </w:p>
        </w:tc>
        <w:tc>
          <w:tcPr>
            <w:tcW w:type="dxa" w:w="5832"/>
          </w:tcPr>
          <w:p>
            <w:pPr>
              <w:spacing w:after="20"/>
              <w:jc w:val="right"/>
            </w:pPr>
            <w:r>
              <w:rPr>
                <w:color w:val="1C3A36"/>
                <w:sz w:val="17"/>
              </w:rPr>
              <w:t>derived</w:t>
            </w:r>
          </w:p>
        </w:tc>
      </w:tr>
      <w:tr>
        <w:tc>
          <w:tcPr>
            <w:tcW w:type="dxa" w:w="2952"/>
          </w:tcPr>
          <w:p>
            <w:pPr>
              <w:spacing w:after="20"/>
            </w:pPr>
            <w:r>
              <w:rPr>
                <w:color w:val="1C3A36"/>
                <w:sz w:val="17"/>
              </w:rPr>
              <w:t>Marginal cost of debt</w:t>
            </w:r>
          </w:p>
        </w:tc>
        <w:tc>
          <w:tcPr>
            <w:tcW w:type="dxa" w:w="1296"/>
          </w:tcPr>
          <w:p>
            <w:pPr>
              <w:spacing w:after="20"/>
              <w:jc w:val="right"/>
            </w:pPr>
            <w:r>
              <w:rPr>
                <w:color w:val="1C3A36"/>
                <w:sz w:val="17"/>
              </w:rPr>
              <w:t>5.50%</w:t>
            </w:r>
          </w:p>
        </w:tc>
        <w:tc>
          <w:tcPr>
            <w:tcW w:type="dxa" w:w="5832"/>
          </w:tcPr>
          <w:p>
            <w:pPr>
              <w:spacing w:after="20"/>
              <w:jc w:val="right"/>
            </w:pPr>
            <w:r>
              <w:rPr>
                <w:color w:val="1C3A36"/>
                <w:sz w:val="17"/>
              </w:rPr>
              <w:t>see the evidence table below</w:t>
            </w:r>
          </w:p>
        </w:tc>
      </w:tr>
      <w:tr>
        <w:tc>
          <w:tcPr>
            <w:tcW w:type="dxa" w:w="2952"/>
          </w:tcPr>
          <w:p>
            <w:pPr>
              <w:spacing w:after="20"/>
            </w:pPr>
            <w:r>
              <w:rPr>
                <w:color w:val="1C3A36"/>
                <w:sz w:val="17"/>
              </w:rPr>
              <w:t>Weights (gross debt / equity, market value)</w:t>
            </w:r>
          </w:p>
        </w:tc>
        <w:tc>
          <w:tcPr>
            <w:tcW w:type="dxa" w:w="1296"/>
          </w:tcPr>
          <w:p>
            <w:pPr>
              <w:spacing w:after="20"/>
              <w:jc w:val="right"/>
            </w:pPr>
            <w:r>
              <w:rPr>
                <w:color w:val="1C3A36"/>
                <w:sz w:val="17"/>
              </w:rPr>
              <w:t>10.2% / 89.8%</w:t>
            </w:r>
          </w:p>
        </w:tc>
        <w:tc>
          <w:tcPr>
            <w:tcW w:type="dxa" w:w="5832"/>
          </w:tcPr>
          <w:p>
            <w:pPr>
              <w:spacing w:after="20"/>
              <w:jc w:val="right"/>
            </w:pPr>
            <w:r>
              <w:rPr>
                <w:color w:val="1C3A36"/>
                <w:sz w:val="17"/>
              </w:rPr>
              <w:t>market capitalisation at spot; gross debt as audited</w:t>
            </w:r>
          </w:p>
        </w:tc>
      </w:tr>
      <w:tr>
        <w:tc>
          <w:tcPr>
            <w:tcW w:type="dxa" w:w="2952"/>
          </w:tcPr>
          <w:p>
            <w:pPr>
              <w:spacing w:after="20"/>
            </w:pPr>
            <w:r>
              <w:rPr>
                <w:color w:val="1C3A36"/>
                <w:sz w:val="17"/>
              </w:rPr>
              <w:t>Cost of capital — explicit window</w:t>
            </w:r>
          </w:p>
        </w:tc>
        <w:tc>
          <w:tcPr>
            <w:tcW w:type="dxa" w:w="1296"/>
          </w:tcPr>
          <w:p>
            <w:pPr>
              <w:spacing w:after="20"/>
              <w:jc w:val="right"/>
            </w:pPr>
            <w:r>
              <w:rPr>
                <w:color w:val="1C3A36"/>
                <w:sz w:val="17"/>
              </w:rPr>
              <w:t>8.87%</w:t>
            </w:r>
          </w:p>
        </w:tc>
        <w:tc>
          <w:tcPr>
            <w:tcW w:type="dxa" w:w="5832"/>
          </w:tcPr>
          <w:p>
            <w:pPr>
              <w:spacing w:after="20"/>
              <w:jc w:val="right"/>
            </w:pPr>
            <w:r>
              <w:rPr>
                <w:color w:val="1C3A36"/>
                <w:sz w:val="17"/>
              </w:rPr>
              <w:t>derived</w:t>
            </w:r>
          </w:p>
        </w:tc>
      </w:tr>
      <w:tr>
        <w:tc>
          <w:tcPr>
            <w:tcW w:type="dxa" w:w="2952"/>
          </w:tcPr>
          <w:p>
            <w:pPr>
              <w:spacing w:after="20"/>
            </w:pPr>
            <w:r>
              <w:rPr>
                <w:color w:val="1C3A36"/>
                <w:sz w:val="17"/>
              </w:rPr>
              <w:t>Cost of capital — terminal</w:t>
            </w:r>
          </w:p>
        </w:tc>
        <w:tc>
          <w:tcPr>
            <w:tcW w:type="dxa" w:w="1296"/>
          </w:tcPr>
          <w:p>
            <w:pPr>
              <w:spacing w:after="20"/>
              <w:jc w:val="right"/>
            </w:pPr>
            <w:r>
              <w:rPr>
                <w:color w:val="1C3A36"/>
                <w:sz w:val="17"/>
              </w:rPr>
              <w:t>8.67%</w:t>
            </w:r>
          </w:p>
        </w:tc>
        <w:tc>
          <w:tcPr>
            <w:tcW w:type="dxa" w:w="5832"/>
          </w:tcPr>
          <w:p>
            <w:pPr>
              <w:spacing w:after="20"/>
              <w:jc w:val="right"/>
            </w:pPr>
            <w:r>
              <w:rPr>
                <w:color w:val="1C3A36"/>
                <w:sz w:val="17"/>
              </w:rPr>
              <w:t>risk-free normalised to 4.0%, premium 4.75%, debt weight 10% — norm-built, never backed out of a price</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032"/>
        <w:gridCol w:w="1368"/>
        <w:gridCol w:w="4680"/>
      </w:tblGrid>
      <w:tr>
        <w:tc>
          <w:tcPr>
            <w:tcW w:type="dxa" w:w="4032"/>
            <w:shd w:val="clear" w:color="auto" w:fill="EAF0EE"/>
          </w:tcPr>
          <w:p>
            <w:pPr>
              <w:spacing w:after="20"/>
            </w:pPr>
            <w:r>
              <w:rPr>
                <w:b/>
                <w:color w:val="1C3A36"/>
                <w:sz w:val="17"/>
              </w:rPr>
              <w:t>Cost-of-debt evidence</w:t>
            </w:r>
          </w:p>
        </w:tc>
        <w:tc>
          <w:tcPr>
            <w:tcW w:type="dxa" w:w="1368"/>
            <w:shd w:val="clear" w:color="auto" w:fill="EAF0EE"/>
          </w:tcPr>
          <w:p>
            <w:pPr>
              <w:spacing w:after="20"/>
            </w:pPr>
            <w:r>
              <w:rPr>
                <w:b/>
                <w:color w:val="1C3A36"/>
                <w:sz w:val="17"/>
              </w:rPr>
              <w:t>Rate</w:t>
            </w:r>
          </w:p>
        </w:tc>
        <w:tc>
          <w:tcPr>
            <w:tcW w:type="dxa" w:w="4680"/>
            <w:shd w:val="clear" w:color="auto" w:fill="EAF0EE"/>
          </w:tcPr>
          <w:p>
            <w:pPr>
              <w:spacing w:after="20"/>
            </w:pPr>
            <w:r>
              <w:rPr>
                <w:b/>
                <w:color w:val="1C3A36"/>
                <w:sz w:val="17"/>
              </w:rPr>
              <w:t>Nature</w:t>
            </w:r>
          </w:p>
        </w:tc>
      </w:tr>
      <w:tr>
        <w:tc>
          <w:tcPr>
            <w:tcW w:type="dxa" w:w="4032"/>
          </w:tcPr>
          <w:p>
            <w:pPr>
              <w:spacing w:after="20"/>
            </w:pPr>
            <w:r>
              <w:rPr>
                <w:color w:val="1C3A36"/>
                <w:sz w:val="17"/>
              </w:rPr>
              <w:t>Lease book average finance charge (FY2025 note)</w:t>
            </w:r>
          </w:p>
        </w:tc>
        <w:tc>
          <w:tcPr>
            <w:tcW w:type="dxa" w:w="1368"/>
          </w:tcPr>
          <w:p>
            <w:pPr>
              <w:spacing w:after="20"/>
              <w:jc w:val="right"/>
            </w:pPr>
            <w:r>
              <w:rPr>
                <w:color w:val="1C3A36"/>
                <w:sz w:val="17"/>
              </w:rPr>
              <w:t>4.0%</w:t>
            </w:r>
          </w:p>
        </w:tc>
        <w:tc>
          <w:tcPr>
            <w:tcW w:type="dxa" w:w="4680"/>
          </w:tcPr>
          <w:p>
            <w:pPr>
              <w:spacing w:after="20"/>
              <w:jc w:val="right"/>
            </w:pPr>
            <w:r>
              <w:rPr>
                <w:color w:val="1C3A36"/>
                <w:sz w:val="17"/>
              </w:rPr>
              <w:t>secured on the aircraft — a floor, not a marginal rate</w:t>
            </w:r>
          </w:p>
        </w:tc>
      </w:tr>
      <w:tr>
        <w:tc>
          <w:tcPr>
            <w:tcW w:type="dxa" w:w="4032"/>
          </w:tcPr>
          <w:p>
            <w:pPr>
              <w:spacing w:after="20"/>
            </w:pPr>
            <w:r>
              <w:rPr>
                <w:color w:val="1C3A36"/>
                <w:sz w:val="17"/>
              </w:rPr>
              <w:t>FY2025 aircraft loan (AED 849.6mn for 5 aircraft)</w:t>
            </w:r>
          </w:p>
        </w:tc>
        <w:tc>
          <w:tcPr>
            <w:tcW w:type="dxa" w:w="1368"/>
          </w:tcPr>
          <w:p>
            <w:pPr>
              <w:spacing w:after="20"/>
              <w:jc w:val="right"/>
            </w:pPr>
            <w:r>
              <w:rPr>
                <w:color w:val="1C3A36"/>
                <w:sz w:val="17"/>
              </w:rPr>
              <w:t>n/d</w:t>
            </w:r>
          </w:p>
        </w:tc>
        <w:tc>
          <w:tcPr>
            <w:tcW w:type="dxa" w:w="4680"/>
          </w:tcPr>
          <w:p>
            <w:pPr>
              <w:spacing w:after="20"/>
              <w:jc w:val="right"/>
            </w:pPr>
            <w:r>
              <w:rPr>
                <w:color w:val="1C3A36"/>
                <w:sz w:val="17"/>
              </w:rPr>
              <w:t>mortgage-secured</w:t>
            </w:r>
          </w:p>
        </w:tc>
      </w:tr>
      <w:tr>
        <w:tc>
          <w:tcPr>
            <w:tcW w:type="dxa" w:w="4032"/>
          </w:tcPr>
          <w:p>
            <w:pPr>
              <w:spacing w:after="20"/>
            </w:pPr>
            <w:r>
              <w:rPr>
                <w:color w:val="1C3A36"/>
                <w:sz w:val="17"/>
              </w:rPr>
              <w:t>Effective finance cost / average gross debt</w:t>
            </w:r>
          </w:p>
        </w:tc>
        <w:tc>
          <w:tcPr>
            <w:tcW w:type="dxa" w:w="1368"/>
          </w:tcPr>
          <w:p>
            <w:pPr>
              <w:spacing w:after="20"/>
              <w:jc w:val="right"/>
            </w:pPr>
            <w:r>
              <w:rPr>
                <w:color w:val="1C3A36"/>
                <w:sz w:val="17"/>
              </w:rPr>
              <w:t>2.73%</w:t>
            </w:r>
          </w:p>
        </w:tc>
        <w:tc>
          <w:tcPr>
            <w:tcW w:type="dxa" w:w="4680"/>
          </w:tcPr>
          <w:p>
            <w:pPr>
              <w:spacing w:after="20"/>
              <w:jc w:val="right"/>
            </w:pPr>
            <w:r>
              <w:rPr>
                <w:color w:val="1C3A36"/>
                <w:sz w:val="17"/>
              </w:rPr>
              <w:t>blended, secured book</w:t>
            </w:r>
          </w:p>
        </w:tc>
      </w:tr>
      <w:tr>
        <w:tc>
          <w:tcPr>
            <w:tcW w:type="dxa" w:w="4032"/>
          </w:tcPr>
          <w:p>
            <w:pPr>
              <w:spacing w:after="20"/>
            </w:pPr>
            <w:r>
              <w:rPr>
                <w:color w:val="1C3A36"/>
                <w:sz w:val="17"/>
              </w:rPr>
              <w:t>Fixed deposits earn (FY2025 note)</w:t>
            </w:r>
          </w:p>
        </w:tc>
        <w:tc>
          <w:tcPr>
            <w:tcW w:type="dxa" w:w="1368"/>
          </w:tcPr>
          <w:p>
            <w:pPr>
              <w:spacing w:after="20"/>
              <w:jc w:val="right"/>
            </w:pPr>
            <w:r>
              <w:rPr>
                <w:color w:val="1C3A36"/>
                <w:sz w:val="17"/>
              </w:rPr>
              <w:t>4.41%</w:t>
            </w:r>
          </w:p>
        </w:tc>
        <w:tc>
          <w:tcPr>
            <w:tcW w:type="dxa" w:w="4680"/>
          </w:tcPr>
          <w:p>
            <w:pPr>
              <w:spacing w:after="20"/>
              <w:jc w:val="right"/>
            </w:pPr>
            <w:r>
              <w:rPr>
                <w:color w:val="1C3A36"/>
                <w:sz w:val="17"/>
              </w:rPr>
              <w:t>the asset-side opportunity rate</w:t>
            </w:r>
          </w:p>
        </w:tc>
      </w:tr>
      <w:tr>
        <w:tc>
          <w:tcPr>
            <w:tcW w:type="dxa" w:w="4032"/>
          </w:tcPr>
          <w:p>
            <w:pPr>
              <w:spacing w:after="20"/>
            </w:pPr>
            <w:r>
              <w:rPr>
                <w:color w:val="1C3A36"/>
                <w:sz w:val="17"/>
              </w:rPr>
              <w:t>AED sovereign, January-2031</w:t>
            </w:r>
          </w:p>
        </w:tc>
        <w:tc>
          <w:tcPr>
            <w:tcW w:type="dxa" w:w="1368"/>
          </w:tcPr>
          <w:p>
            <w:pPr>
              <w:spacing w:after="20"/>
              <w:jc w:val="right"/>
            </w:pPr>
            <w:r>
              <w:rPr>
                <w:color w:val="1C3A36"/>
                <w:sz w:val="17"/>
              </w:rPr>
              <w:t>4.48%</w:t>
            </w:r>
          </w:p>
        </w:tc>
        <w:tc>
          <w:tcPr>
            <w:tcW w:type="dxa" w:w="4680"/>
          </w:tcPr>
          <w:p>
            <w:pPr>
              <w:spacing w:after="20"/>
              <w:jc w:val="right"/>
            </w:pPr>
            <w:r>
              <w:rPr>
                <w:color w:val="1C3A36"/>
                <w:sz w:val="17"/>
              </w:rPr>
              <w:t>the unsecured floor for any AED corporate</w:t>
            </w:r>
          </w:p>
        </w:tc>
      </w:tr>
      <w:tr>
        <w:tc>
          <w:tcPr>
            <w:tcW w:type="dxa" w:w="4032"/>
            <w:shd w:val="clear" w:color="auto" w:fill="F6F1E6"/>
          </w:tcPr>
          <w:p>
            <w:pPr>
              <w:spacing w:after="20"/>
            </w:pPr>
            <w:r>
              <w:rPr>
                <w:b/>
                <w:color w:val="1C3A36"/>
                <w:sz w:val="17"/>
              </w:rPr>
              <w:t>ADOPTED marginal unsecured cost of debt</w:t>
            </w:r>
          </w:p>
        </w:tc>
        <w:tc>
          <w:tcPr>
            <w:tcW w:type="dxa" w:w="1368"/>
            <w:shd w:val="clear" w:color="auto" w:fill="F6F1E6"/>
          </w:tcPr>
          <w:p>
            <w:pPr>
              <w:spacing w:after="20"/>
              <w:jc w:val="right"/>
            </w:pPr>
            <w:r>
              <w:rPr>
                <w:b/>
                <w:color w:val="1C3A36"/>
                <w:sz w:val="17"/>
              </w:rPr>
              <w:t>5.50%</w:t>
            </w:r>
          </w:p>
        </w:tc>
        <w:tc>
          <w:tcPr>
            <w:tcW w:type="dxa" w:w="4680"/>
            <w:shd w:val="clear" w:color="auto" w:fill="F6F1E6"/>
          </w:tcPr>
          <w:p>
            <w:pPr>
              <w:spacing w:after="20"/>
              <w:jc w:val="right"/>
            </w:pPr>
            <w:r>
              <w:rPr>
                <w:b/>
                <w:color w:val="1C3A36"/>
                <w:sz w:val="17"/>
              </w:rPr>
              <w:t>sovereign + ~100bp; above every secured print and the deposit rate, as it must be</w:t>
            </w:r>
          </w:p>
        </w:tc>
      </w:tr>
    </w:tbl>
    <w:p>
      <w:pPr>
        <w:spacing w:after="40"/>
      </w:pPr>
    </w:p>
    <w:p>
      <w:pPr>
        <w:spacing w:after="120" w:before="0"/>
      </w:pPr>
      <w:r>
        <w:rPr>
          <w:b w:val="0"/>
          <w:i w:val="0"/>
          <w:color w:val="1C3A36"/>
          <w:sz w:val="21"/>
        </w:rPr>
        <w:t>Tax: the UAE Domestic Minimum Top-up Tax puts the group at a 15% statutory rate from 2025; the audited effective rates were 8.79% (FY2024, the 9% year) and 11.60% (FY2025, exempt income). The forecast provides at the full 15% — the conservative anchor. Country backdrop: UAE GDP grew ~5.6% in 2025 with ~5% projected for 2026, inflation ~2%, and the central bank's base rate held at 3.65% (29-Jul-2026) under the dollar peg; Sharjah airport handled a record 19.5mn passengers in 2025, up 13.9%.</w:t>
      </w:r>
    </w:p>
    <w:p>
      <w:pPr>
        <w:spacing w:after="80" w:before="200"/>
      </w:pPr>
      <w:r>
        <w:rPr>
          <w:b/>
          <w:i w:val="0"/>
          <w:color w:val="1C3A36"/>
          <w:sz w:val="24"/>
        </w:rPr>
        <w:t>1.9  Sensitivity</w:t>
      </w:r>
    </w:p>
    <w:p>
      <w:pPr>
        <w:spacing w:after="40"/>
        <w:jc w:val="center"/>
      </w:pPr>
      <w:r>
        <w:drawing>
          <wp:inline xmlns:a="http://schemas.openxmlformats.org/drawingml/2006/main" xmlns:pic="http://schemas.openxmlformats.org/drawingml/2006/picture">
            <wp:extent cx="5760720" cy="2770979"/>
            <wp:docPr id="3" name="Picture 3"/>
            <wp:cNvGraphicFramePr>
              <a:graphicFrameLocks noChangeAspect="1"/>
            </wp:cNvGraphicFramePr>
            <a:graphic>
              <a:graphicData uri="http://schemas.openxmlformats.org/drawingml/2006/picture">
                <pic:pic>
                  <pic:nvPicPr>
                    <pic:cNvPr id="0" name="fig2_sens.png"/>
                    <pic:cNvPicPr/>
                  </pic:nvPicPr>
                  <pic:blipFill>
                    <a:blip r:embed="rId11"/>
                    <a:stretch>
                      <a:fillRect/>
                    </a:stretch>
                  </pic:blipFill>
                  <pic:spPr>
                    <a:xfrm>
                      <a:off x="0" y="0"/>
                      <a:ext cx="5760720" cy="2770979"/>
                    </a:xfrm>
                    <a:prstGeom prst="rect"/>
                  </pic:spPr>
                </pic:pic>
              </a:graphicData>
            </a:graphic>
          </wp:inline>
        </w:drawing>
      </w:r>
    </w:p>
    <w:p>
      <w:pPr>
        <w:spacing w:after="200" w:before="0"/>
      </w:pPr>
      <w:r>
        <w:rPr>
          <w:b w:val="0"/>
          <w:i/>
          <w:color w:val="6E7B77"/>
          <w:sz w:val="17"/>
        </w:rPr>
        <w:t>Figure 3 — DCF fair value across terminal cost of capital × terminal growth.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176"/>
        <w:gridCol w:w="1181"/>
        <w:gridCol w:w="1181"/>
        <w:gridCol w:w="1181"/>
        <w:gridCol w:w="1181"/>
        <w:gridCol w:w="1181"/>
      </w:tblGrid>
      <w:tr>
        <w:tc>
          <w:tcPr>
            <w:tcW w:type="dxa" w:w="4176"/>
            <w:shd w:val="clear" w:color="auto" w:fill="EAF0EE"/>
          </w:tcPr>
          <w:p>
            <w:pPr>
              <w:spacing w:after="20"/>
            </w:pPr>
            <w:r>
              <w:rPr>
                <w:b/>
                <w:color w:val="1C3A36"/>
                <w:sz w:val="17"/>
              </w:rPr>
              <w:t>Driver (whole-model re-runs)</w:t>
            </w:r>
          </w:p>
        </w:tc>
        <w:tc>
          <w:tcPr>
            <w:tcW w:type="dxa" w:w="1181"/>
            <w:shd w:val="clear" w:color="auto" w:fill="EAF0EE"/>
          </w:tcPr>
          <w:p>
            <w:pPr>
              <w:spacing w:after="20"/>
            </w:pPr>
            <w:r>
              <w:rPr>
                <w:b/>
                <w:color w:val="1C3A36"/>
                <w:sz w:val="17"/>
              </w:rPr>
              <w:t>-2 steps</w:t>
            </w:r>
          </w:p>
        </w:tc>
        <w:tc>
          <w:tcPr>
            <w:tcW w:type="dxa" w:w="1181"/>
            <w:shd w:val="clear" w:color="auto" w:fill="EAF0EE"/>
          </w:tcPr>
          <w:p>
            <w:pPr>
              <w:spacing w:after="20"/>
            </w:pPr>
            <w:r>
              <w:rPr>
                <w:b/>
                <w:color w:val="1C3A36"/>
                <w:sz w:val="17"/>
              </w:rPr>
              <w:t>-1</w:t>
            </w:r>
          </w:p>
        </w:tc>
        <w:tc>
          <w:tcPr>
            <w:tcW w:type="dxa" w:w="1181"/>
            <w:shd w:val="clear" w:color="auto" w:fill="EAF0EE"/>
          </w:tcPr>
          <w:p>
            <w:pPr>
              <w:spacing w:after="20"/>
            </w:pPr>
            <w:r>
              <w:rPr>
                <w:b/>
                <w:color w:val="1C3A36"/>
                <w:sz w:val="17"/>
              </w:rPr>
              <w:t>Base</w:t>
            </w:r>
          </w:p>
        </w:tc>
        <w:tc>
          <w:tcPr>
            <w:tcW w:type="dxa" w:w="1181"/>
            <w:shd w:val="clear" w:color="auto" w:fill="EAF0EE"/>
          </w:tcPr>
          <w:p>
            <w:pPr>
              <w:spacing w:after="20"/>
            </w:pPr>
            <w:r>
              <w:rPr>
                <w:b/>
                <w:color w:val="1C3A36"/>
                <w:sz w:val="17"/>
              </w:rPr>
              <w:t>+1</w:t>
            </w:r>
          </w:p>
        </w:tc>
        <w:tc>
          <w:tcPr>
            <w:tcW w:type="dxa" w:w="1181"/>
            <w:shd w:val="clear" w:color="auto" w:fill="EAF0EE"/>
          </w:tcPr>
          <w:p>
            <w:pPr>
              <w:spacing w:after="20"/>
            </w:pPr>
            <w:r>
              <w:rPr>
                <w:b/>
                <w:color w:val="1C3A36"/>
                <w:sz w:val="17"/>
              </w:rPr>
              <w:t>+2</w:t>
            </w:r>
          </w:p>
        </w:tc>
      </w:tr>
      <w:tr>
        <w:tc>
          <w:tcPr>
            <w:tcW w:type="dxa" w:w="4176"/>
          </w:tcPr>
          <w:p>
            <w:pPr>
              <w:spacing w:after="20"/>
            </w:pPr>
            <w:r>
              <w:rPr>
                <w:color w:val="1C3A36"/>
                <w:sz w:val="17"/>
              </w:rPr>
              <w:t>Beta  [0.85 … 1.35]</w:t>
            </w:r>
          </w:p>
        </w:tc>
        <w:tc>
          <w:tcPr>
            <w:tcW w:type="dxa" w:w="1181"/>
          </w:tcPr>
          <w:p>
            <w:pPr>
              <w:spacing w:after="20"/>
              <w:jc w:val="right"/>
            </w:pPr>
            <w:r>
              <w:rPr>
                <w:color w:val="1C3A36"/>
                <w:sz w:val="17"/>
              </w:rPr>
              <w:t>4.56</w:t>
            </w:r>
          </w:p>
        </w:tc>
        <w:tc>
          <w:tcPr>
            <w:tcW w:type="dxa" w:w="1181"/>
          </w:tcPr>
          <w:p>
            <w:pPr>
              <w:spacing w:after="20"/>
              <w:jc w:val="right"/>
            </w:pPr>
            <w:r>
              <w:rPr>
                <w:color w:val="1C3A36"/>
                <w:sz w:val="17"/>
              </w:rPr>
              <w:t>4.21</w:t>
            </w:r>
          </w:p>
        </w:tc>
        <w:tc>
          <w:tcPr>
            <w:tcW w:type="dxa" w:w="1181"/>
          </w:tcPr>
          <w:p>
            <w:pPr>
              <w:spacing w:after="20"/>
              <w:jc w:val="right"/>
            </w:pPr>
            <w:r>
              <w:rPr>
                <w:color w:val="1C3A36"/>
                <w:sz w:val="17"/>
              </w:rPr>
              <w:t>3.83</w:t>
            </w:r>
          </w:p>
        </w:tc>
        <w:tc>
          <w:tcPr>
            <w:tcW w:type="dxa" w:w="1181"/>
          </w:tcPr>
          <w:p>
            <w:pPr>
              <w:spacing w:after="20"/>
              <w:jc w:val="right"/>
            </w:pPr>
            <w:r>
              <w:rPr>
                <w:color w:val="1C3A36"/>
                <w:sz w:val="17"/>
              </w:rPr>
              <w:t>3.55</w:t>
            </w:r>
          </w:p>
        </w:tc>
        <w:tc>
          <w:tcPr>
            <w:tcW w:type="dxa" w:w="1181"/>
          </w:tcPr>
          <w:p>
            <w:pPr>
              <w:spacing w:after="20"/>
              <w:jc w:val="right"/>
            </w:pPr>
            <w:r>
              <w:rPr>
                <w:color w:val="1C3A36"/>
                <w:sz w:val="17"/>
              </w:rPr>
              <w:t>3.25</w:t>
            </w:r>
          </w:p>
        </w:tc>
      </w:tr>
      <w:tr>
        <w:tc>
          <w:tcPr>
            <w:tcW w:type="dxa" w:w="4176"/>
          </w:tcPr>
          <w:p>
            <w:pPr>
              <w:spacing w:after="20"/>
            </w:pPr>
            <w:r>
              <w:rPr>
                <w:color w:val="1C3A36"/>
                <w:sz w:val="17"/>
              </w:rPr>
              <w:t>Fuel path multiplier  [0.85× … 1.15×]</w:t>
            </w:r>
          </w:p>
        </w:tc>
        <w:tc>
          <w:tcPr>
            <w:tcW w:type="dxa" w:w="1181"/>
          </w:tcPr>
          <w:p>
            <w:pPr>
              <w:spacing w:after="20"/>
              <w:jc w:val="right"/>
            </w:pPr>
            <w:r>
              <w:rPr>
                <w:color w:val="1C3A36"/>
                <w:sz w:val="17"/>
              </w:rPr>
              <w:t>5.09</w:t>
            </w:r>
          </w:p>
        </w:tc>
        <w:tc>
          <w:tcPr>
            <w:tcW w:type="dxa" w:w="1181"/>
          </w:tcPr>
          <w:p>
            <w:pPr>
              <w:spacing w:after="20"/>
              <w:jc w:val="right"/>
            </w:pPr>
            <w:r>
              <w:rPr>
                <w:color w:val="1C3A36"/>
                <w:sz w:val="17"/>
              </w:rPr>
              <w:t>4.46</w:t>
            </w:r>
          </w:p>
        </w:tc>
        <w:tc>
          <w:tcPr>
            <w:tcW w:type="dxa" w:w="1181"/>
          </w:tcPr>
          <w:p>
            <w:pPr>
              <w:spacing w:after="20"/>
              <w:jc w:val="right"/>
            </w:pPr>
            <w:r>
              <w:rPr>
                <w:color w:val="1C3A36"/>
                <w:sz w:val="17"/>
              </w:rPr>
              <w:t>3.83</w:t>
            </w:r>
          </w:p>
        </w:tc>
        <w:tc>
          <w:tcPr>
            <w:tcW w:type="dxa" w:w="1181"/>
          </w:tcPr>
          <w:p>
            <w:pPr>
              <w:spacing w:after="20"/>
              <w:jc w:val="right"/>
            </w:pPr>
            <w:r>
              <w:rPr>
                <w:color w:val="1C3A36"/>
                <w:sz w:val="17"/>
              </w:rPr>
              <w:t>3.19</w:t>
            </w:r>
          </w:p>
        </w:tc>
        <w:tc>
          <w:tcPr>
            <w:tcW w:type="dxa" w:w="1181"/>
          </w:tcPr>
          <w:p>
            <w:pPr>
              <w:spacing w:after="20"/>
              <w:jc w:val="right"/>
            </w:pPr>
            <w:r>
              <w:rPr>
                <w:color w:val="1C3A36"/>
                <w:sz w:val="17"/>
              </w:rPr>
              <w:t>2.56</w:t>
            </w:r>
          </w:p>
        </w:tc>
      </w:tr>
      <w:tr>
        <w:tc>
          <w:tcPr>
            <w:tcW w:type="dxa" w:w="4176"/>
          </w:tcPr>
          <w:p>
            <w:pPr>
              <w:spacing w:after="20"/>
            </w:pPr>
            <w:r>
              <w:rPr>
                <w:color w:val="1C3A36"/>
                <w:sz w:val="17"/>
              </w:rPr>
              <w:t>Passenger volumes  [0.90× … 1.10×]</w:t>
            </w:r>
          </w:p>
        </w:tc>
        <w:tc>
          <w:tcPr>
            <w:tcW w:type="dxa" w:w="1181"/>
          </w:tcPr>
          <w:p>
            <w:pPr>
              <w:spacing w:after="20"/>
              <w:jc w:val="right"/>
            </w:pPr>
            <w:r>
              <w:rPr>
                <w:color w:val="1C3A36"/>
                <w:sz w:val="17"/>
              </w:rPr>
              <w:t>3.15</w:t>
            </w:r>
          </w:p>
        </w:tc>
        <w:tc>
          <w:tcPr>
            <w:tcW w:type="dxa" w:w="1181"/>
          </w:tcPr>
          <w:p>
            <w:pPr>
              <w:spacing w:after="20"/>
              <w:jc w:val="right"/>
            </w:pPr>
            <w:r>
              <w:rPr>
                <w:color w:val="1C3A36"/>
                <w:sz w:val="17"/>
              </w:rPr>
              <w:t>3.49</w:t>
            </w:r>
          </w:p>
        </w:tc>
        <w:tc>
          <w:tcPr>
            <w:tcW w:type="dxa" w:w="1181"/>
          </w:tcPr>
          <w:p>
            <w:pPr>
              <w:spacing w:after="20"/>
              <w:jc w:val="right"/>
            </w:pPr>
            <w:r>
              <w:rPr>
                <w:color w:val="1C3A36"/>
                <w:sz w:val="17"/>
              </w:rPr>
              <w:t>3.83</w:t>
            </w:r>
          </w:p>
        </w:tc>
        <w:tc>
          <w:tcPr>
            <w:tcW w:type="dxa" w:w="1181"/>
          </w:tcPr>
          <w:p>
            <w:pPr>
              <w:spacing w:after="20"/>
              <w:jc w:val="right"/>
            </w:pPr>
            <w:r>
              <w:rPr>
                <w:color w:val="1C3A36"/>
                <w:sz w:val="17"/>
              </w:rPr>
              <w:t>4.16</w:t>
            </w:r>
          </w:p>
        </w:tc>
        <w:tc>
          <w:tcPr>
            <w:tcW w:type="dxa" w:w="1181"/>
          </w:tcPr>
          <w:p>
            <w:pPr>
              <w:spacing w:after="20"/>
              <w:jc w:val="right"/>
            </w:pPr>
            <w:r>
              <w:rPr>
                <w:color w:val="1C3A36"/>
                <w:sz w:val="17"/>
              </w:rPr>
              <w:t>4.50</w:t>
            </w:r>
          </w:p>
        </w:tc>
      </w:tr>
      <w:tr>
        <w:tc>
          <w:tcPr>
            <w:tcW w:type="dxa" w:w="4176"/>
          </w:tcPr>
          <w:p>
            <w:pPr>
              <w:spacing w:after="20"/>
            </w:pPr>
            <w:r>
              <w:rPr>
                <w:color w:val="1C3A36"/>
                <w:sz w:val="17"/>
              </w:rPr>
              <w:t>Fare per passenger  [0.94× … 1.06×]</w:t>
            </w:r>
          </w:p>
        </w:tc>
        <w:tc>
          <w:tcPr>
            <w:tcW w:type="dxa" w:w="1181"/>
          </w:tcPr>
          <w:p>
            <w:pPr>
              <w:spacing w:after="20"/>
              <w:jc w:val="right"/>
            </w:pPr>
            <w:r>
              <w:rPr>
                <w:color w:val="1C3A36"/>
                <w:sz w:val="17"/>
              </w:rPr>
              <w:t>2.34</w:t>
            </w:r>
          </w:p>
        </w:tc>
        <w:tc>
          <w:tcPr>
            <w:tcW w:type="dxa" w:w="1181"/>
          </w:tcPr>
          <w:p>
            <w:pPr>
              <w:spacing w:after="20"/>
              <w:jc w:val="right"/>
            </w:pPr>
            <w:r>
              <w:rPr>
                <w:color w:val="1C3A36"/>
                <w:sz w:val="17"/>
              </w:rPr>
              <w:t>3.08</w:t>
            </w:r>
          </w:p>
        </w:tc>
        <w:tc>
          <w:tcPr>
            <w:tcW w:type="dxa" w:w="1181"/>
          </w:tcPr>
          <w:p>
            <w:pPr>
              <w:spacing w:after="20"/>
              <w:jc w:val="right"/>
            </w:pPr>
            <w:r>
              <w:rPr>
                <w:color w:val="1C3A36"/>
                <w:sz w:val="17"/>
              </w:rPr>
              <w:t>3.83</w:t>
            </w:r>
          </w:p>
        </w:tc>
        <w:tc>
          <w:tcPr>
            <w:tcW w:type="dxa" w:w="1181"/>
          </w:tcPr>
          <w:p>
            <w:pPr>
              <w:spacing w:after="20"/>
              <w:jc w:val="right"/>
            </w:pPr>
            <w:r>
              <w:rPr>
                <w:color w:val="1C3A36"/>
                <w:sz w:val="17"/>
              </w:rPr>
              <w:t>4.57</w:t>
            </w:r>
          </w:p>
        </w:tc>
        <w:tc>
          <w:tcPr>
            <w:tcW w:type="dxa" w:w="1181"/>
          </w:tcPr>
          <w:p>
            <w:pPr>
              <w:spacing w:after="20"/>
              <w:jc w:val="right"/>
            </w:pPr>
            <w:r>
              <w:rPr>
                <w:color w:val="1C3A36"/>
                <w:sz w:val="17"/>
              </w:rPr>
              <w:t>5.31</w:t>
            </w:r>
          </w:p>
        </w:tc>
      </w:tr>
      <w:tr>
        <w:tc>
          <w:tcPr>
            <w:tcW w:type="dxa" w:w="4176"/>
          </w:tcPr>
          <w:p>
            <w:pPr>
              <w:spacing w:after="20"/>
            </w:pPr>
            <w:r>
              <w:rPr>
                <w:color w:val="1C3A36"/>
                <w:sz w:val="17"/>
              </w:rPr>
              <w:t>Fleet capex  [0.80× … 1.30×]</w:t>
            </w:r>
          </w:p>
        </w:tc>
        <w:tc>
          <w:tcPr>
            <w:tcW w:type="dxa" w:w="1181"/>
          </w:tcPr>
          <w:p>
            <w:pPr>
              <w:spacing w:after="20"/>
              <w:jc w:val="right"/>
            </w:pPr>
            <w:r>
              <w:rPr>
                <w:color w:val="1C3A36"/>
                <w:sz w:val="17"/>
              </w:rPr>
              <w:t>4.29</w:t>
            </w:r>
          </w:p>
        </w:tc>
        <w:tc>
          <w:tcPr>
            <w:tcW w:type="dxa" w:w="1181"/>
          </w:tcPr>
          <w:p>
            <w:pPr>
              <w:spacing w:after="20"/>
              <w:jc w:val="right"/>
            </w:pPr>
            <w:r>
              <w:rPr>
                <w:color w:val="1C3A36"/>
                <w:sz w:val="17"/>
              </w:rPr>
              <w:t>4.06</w:t>
            </w:r>
          </w:p>
        </w:tc>
        <w:tc>
          <w:tcPr>
            <w:tcW w:type="dxa" w:w="1181"/>
          </w:tcPr>
          <w:p>
            <w:pPr>
              <w:spacing w:after="20"/>
              <w:jc w:val="right"/>
            </w:pPr>
            <w:r>
              <w:rPr>
                <w:color w:val="1C3A36"/>
                <w:sz w:val="17"/>
              </w:rPr>
              <w:t>3.83</w:t>
            </w:r>
          </w:p>
        </w:tc>
        <w:tc>
          <w:tcPr>
            <w:tcW w:type="dxa" w:w="1181"/>
          </w:tcPr>
          <w:p>
            <w:pPr>
              <w:spacing w:after="20"/>
              <w:jc w:val="right"/>
            </w:pPr>
            <w:r>
              <w:rPr>
                <w:color w:val="1C3A36"/>
                <w:sz w:val="17"/>
              </w:rPr>
              <w:t>3.48</w:t>
            </w:r>
          </w:p>
        </w:tc>
        <w:tc>
          <w:tcPr>
            <w:tcW w:type="dxa" w:w="1181"/>
          </w:tcPr>
          <w:p>
            <w:pPr>
              <w:spacing w:after="20"/>
              <w:jc w:val="right"/>
            </w:pPr>
            <w:r>
              <w:rPr>
                <w:color w:val="1C3A36"/>
                <w:sz w:val="17"/>
              </w:rPr>
              <w:t>3.13</w:t>
            </w:r>
          </w:p>
        </w:tc>
      </w:tr>
      <w:tr>
        <w:tc>
          <w:tcPr>
            <w:tcW w:type="dxa" w:w="4176"/>
          </w:tcPr>
          <w:p>
            <w:pPr>
              <w:spacing w:after="20"/>
            </w:pPr>
            <w:r>
              <w:rPr>
                <w:color w:val="1C3A36"/>
                <w:sz w:val="17"/>
              </w:rPr>
              <w:t>JV value in the bridge (AED mn)  [363 … 3,800]</w:t>
            </w:r>
          </w:p>
        </w:tc>
        <w:tc>
          <w:tcPr>
            <w:tcW w:type="dxa" w:w="1181"/>
          </w:tcPr>
          <w:p>
            <w:pPr>
              <w:spacing w:after="20"/>
              <w:jc w:val="right"/>
            </w:pPr>
            <w:r>
              <w:rPr>
                <w:color w:val="1C3A36"/>
                <w:sz w:val="17"/>
              </w:rPr>
              <w:t>3.83</w:t>
            </w:r>
          </w:p>
        </w:tc>
        <w:tc>
          <w:tcPr>
            <w:tcW w:type="dxa" w:w="1181"/>
          </w:tcPr>
          <w:p>
            <w:pPr>
              <w:spacing w:after="20"/>
              <w:jc w:val="right"/>
            </w:pPr>
            <w:r>
              <w:rPr>
                <w:color w:val="1C3A36"/>
                <w:sz w:val="17"/>
              </w:rPr>
              <w:t>4.09</w:t>
            </w:r>
          </w:p>
        </w:tc>
        <w:tc>
          <w:tcPr>
            <w:tcW w:type="dxa" w:w="1181"/>
          </w:tcPr>
          <w:p>
            <w:pPr>
              <w:spacing w:after="20"/>
              <w:jc w:val="right"/>
            </w:pPr>
            <w:r>
              <w:rPr>
                <w:color w:val="1C3A36"/>
                <w:sz w:val="17"/>
              </w:rPr>
              <w:t>4.26</w:t>
            </w:r>
          </w:p>
        </w:tc>
        <w:tc>
          <w:tcPr>
            <w:tcW w:type="dxa" w:w="1181"/>
          </w:tcPr>
          <w:p>
            <w:pPr>
              <w:spacing w:after="20"/>
              <w:jc w:val="right"/>
            </w:pPr>
            <w:r>
              <w:rPr>
                <w:color w:val="1C3A36"/>
                <w:sz w:val="17"/>
              </w:rPr>
              <w:t>4.39</w:t>
            </w:r>
          </w:p>
        </w:tc>
        <w:tc>
          <w:tcPr>
            <w:tcW w:type="dxa" w:w="1181"/>
          </w:tcPr>
          <w:p>
            <w:pPr>
              <w:spacing w:after="20"/>
              <w:jc w:val="right"/>
            </w:pPr>
            <w:r>
              <w:rPr>
                <w:color w:val="1C3A36"/>
                <w:sz w:val="17"/>
              </w:rPr>
              <w:t>4.60</w:t>
            </w:r>
          </w:p>
        </w:tc>
      </w:tr>
      <w:tr>
        <w:tc>
          <w:tcPr>
            <w:tcW w:type="dxa" w:w="4176"/>
          </w:tcPr>
          <w:p>
            <w:pPr>
              <w:spacing w:after="20"/>
            </w:pPr>
            <w:r>
              <w:rPr>
                <w:color w:val="1C3A36"/>
                <w:sz w:val="17"/>
              </w:rPr>
              <w:t>Working capital / revenue  [-58% … -70%]</w:t>
            </w:r>
          </w:p>
        </w:tc>
        <w:tc>
          <w:tcPr>
            <w:tcW w:type="dxa" w:w="1181"/>
          </w:tcPr>
          <w:p>
            <w:pPr>
              <w:spacing w:after="20"/>
              <w:jc w:val="right"/>
            </w:pPr>
            <w:r>
              <w:rPr>
                <w:color w:val="1C3A36"/>
                <w:sz w:val="17"/>
              </w:rPr>
              <w:t>3.66</w:t>
            </w:r>
          </w:p>
        </w:tc>
        <w:tc>
          <w:tcPr>
            <w:tcW w:type="dxa" w:w="1181"/>
          </w:tcPr>
          <w:p>
            <w:pPr>
              <w:spacing w:after="20"/>
              <w:jc w:val="right"/>
            </w:pPr>
            <w:r>
              <w:rPr>
                <w:color w:val="1C3A36"/>
                <w:sz w:val="17"/>
              </w:rPr>
              <w:t>3.74</w:t>
            </w:r>
          </w:p>
        </w:tc>
        <w:tc>
          <w:tcPr>
            <w:tcW w:type="dxa" w:w="1181"/>
          </w:tcPr>
          <w:p>
            <w:pPr>
              <w:spacing w:after="20"/>
              <w:jc w:val="right"/>
            </w:pPr>
            <w:r>
              <w:rPr>
                <w:color w:val="1C3A36"/>
                <w:sz w:val="17"/>
              </w:rPr>
              <w:t>3.83</w:t>
            </w:r>
          </w:p>
        </w:tc>
        <w:tc>
          <w:tcPr>
            <w:tcW w:type="dxa" w:w="1181"/>
          </w:tcPr>
          <w:p>
            <w:pPr>
              <w:spacing w:after="20"/>
              <w:jc w:val="right"/>
            </w:pPr>
            <w:r>
              <w:rPr>
                <w:color w:val="1C3A36"/>
                <w:sz w:val="17"/>
              </w:rPr>
              <w:t>3.91</w:t>
            </w:r>
          </w:p>
        </w:tc>
        <w:tc>
          <w:tcPr>
            <w:tcW w:type="dxa" w:w="1181"/>
          </w:tcPr>
          <w:p>
            <w:pPr>
              <w:spacing w:after="20"/>
              <w:jc w:val="right"/>
            </w:pPr>
            <w:r>
              <w:rPr>
                <w:color w:val="1C3A36"/>
                <w:sz w:val="17"/>
              </w:rPr>
              <w:t>3.99</w:t>
            </w:r>
          </w:p>
        </w:tc>
      </w:tr>
    </w:tbl>
    <w:p>
      <w:pPr>
        <w:spacing w:after="40"/>
      </w:pPr>
    </w:p>
    <w:p>
      <w:pPr>
        <w:spacing w:after="200" w:before="0"/>
      </w:pPr>
      <w:r>
        <w:rPr>
          <w:b w:val="0"/>
          <w:i/>
          <w:color w:val="6E7B77"/>
          <w:sz w:val="17"/>
        </w:rPr>
        <w:t>Each cell is a complete revaluation at the perturbed driver, all else held. The middle column is the base DCF of AED 3.83.</w:t>
      </w:r>
    </w:p>
    <w:p>
      <w:pPr>
        <w:spacing w:after="120" w:before="280"/>
      </w:pPr>
      <w:r>
        <w:rPr>
          <w:b/>
          <w:i w:val="0"/>
          <w:color w:val="1C3A36"/>
          <w:sz w:val="30"/>
        </w:rPr>
        <w:t>2  Technical and price structure</w:t>
      </w:r>
    </w:p>
    <w:p>
      <w:pPr>
        <w:spacing w:after="120" w:before="0"/>
      </w:pPr>
      <w:r>
        <w:rPr>
          <w:b w:val="0"/>
          <w:i w:val="0"/>
          <w:color w:val="1C3A36"/>
          <w:sz w:val="21"/>
        </w:rPr>
        <w:t>The price closed 5.24 above a falling 20-day (5.09), a rising 50-day (5.20) and a rising 200-day (4.82). Momentum is neutral: RSI(14) is ~54 and the daily ATR near 0.15 (~2.9%) points to a normal tape. MACD (12·26·9) is below zero but turning up (−0.02 / −0.06 / +0.04). Over the last year it has ranged 3.63–6.03; the last close sits 13% below that high and 44% above that low.</w:t>
      </w:r>
    </w:p>
    <w:p>
      <w:pPr>
        <w:spacing w:after="120" w:before="0"/>
      </w:pPr>
      <w:r>
        <w:rPr>
          <w:b w:val="0"/>
          <w:i w:val="0"/>
          <w:color w:val="1C3A36"/>
          <w:sz w:val="21"/>
        </w:rPr>
        <w:t>Trading above the whole moving-average stack, on a rising 200-day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224"/>
        <w:gridCol w:w="6624"/>
      </w:tblGrid>
      <w:tr>
        <w:tc>
          <w:tcPr>
            <w:tcW w:type="dxa" w:w="2232"/>
            <w:shd w:val="clear" w:color="auto" w:fill="EAF0EE"/>
          </w:tcPr>
          <w:p>
            <w:pPr>
              <w:spacing w:after="20"/>
            </w:pPr>
            <w:r>
              <w:rPr>
                <w:b/>
                <w:color w:val="1C3A36"/>
                <w:sz w:val="17"/>
              </w:rPr>
              <w:t>Level</w:t>
            </w:r>
          </w:p>
        </w:tc>
        <w:tc>
          <w:tcPr>
            <w:tcW w:type="dxa" w:w="1224"/>
            <w:shd w:val="clear" w:color="auto" w:fill="EAF0EE"/>
          </w:tcPr>
          <w:p>
            <w:pPr>
              <w:spacing w:after="20"/>
            </w:pPr>
            <w:r>
              <w:rPr>
                <w:b/>
                <w:color w:val="1C3A36"/>
                <w:sz w:val="17"/>
              </w:rPr>
              <w:t>AED</w:t>
            </w:r>
          </w:p>
        </w:tc>
        <w:tc>
          <w:tcPr>
            <w:tcW w:type="dxa" w:w="6624"/>
            <w:shd w:val="clear" w:color="auto" w:fill="EAF0EE"/>
          </w:tcPr>
          <w:p>
            <w:pPr>
              <w:spacing w:after="20"/>
            </w:pPr>
            <w:r>
              <w:rPr>
                <w:b/>
                <w:color w:val="1C3A36"/>
                <w:sz w:val="17"/>
              </w:rPr>
              <w:t>Reading</w:t>
            </w:r>
          </w:p>
        </w:tc>
      </w:tr>
      <w:tr>
        <w:tc>
          <w:tcPr>
            <w:tcW w:type="dxa" w:w="2232"/>
          </w:tcPr>
          <w:p>
            <w:pPr>
              <w:spacing w:after="20"/>
            </w:pPr>
            <w:r>
              <w:rPr>
                <w:color w:val="1C3A36"/>
                <w:sz w:val="17"/>
              </w:rPr>
              <w:t>Resistance 3</w:t>
            </w:r>
          </w:p>
        </w:tc>
        <w:tc>
          <w:tcPr>
            <w:tcW w:type="dxa" w:w="1224"/>
          </w:tcPr>
          <w:p>
            <w:pPr>
              <w:spacing w:after="20"/>
              <w:jc w:val="right"/>
            </w:pPr>
            <w:r>
              <w:rPr>
                <w:color w:val="1C3A36"/>
                <w:sz w:val="17"/>
              </w:rPr>
              <w:t>6.03</w:t>
            </w:r>
          </w:p>
        </w:tc>
        <w:tc>
          <w:tcPr>
            <w:tcW w:type="dxa" w:w="6624"/>
          </w:tcPr>
          <w:p>
            <w:pPr>
              <w:spacing w:after="20"/>
              <w:jc w:val="right"/>
            </w:pPr>
            <w:r>
              <w:rPr>
                <w:color w:val="1C3A36"/>
                <w:sz w:val="17"/>
              </w:rPr>
              <w:t>the 52-week high zone</w:t>
            </w:r>
          </w:p>
        </w:tc>
      </w:tr>
      <w:tr>
        <w:tc>
          <w:tcPr>
            <w:tcW w:type="dxa" w:w="2232"/>
          </w:tcPr>
          <w:p>
            <w:pPr>
              <w:spacing w:after="20"/>
            </w:pPr>
            <w:r>
              <w:rPr>
                <w:color w:val="1C3A36"/>
                <w:sz w:val="17"/>
              </w:rPr>
              <w:t>Resistance 2</w:t>
            </w:r>
          </w:p>
        </w:tc>
        <w:tc>
          <w:tcPr>
            <w:tcW w:type="dxa" w:w="1224"/>
          </w:tcPr>
          <w:p>
            <w:pPr>
              <w:spacing w:after="20"/>
              <w:jc w:val="right"/>
            </w:pPr>
            <w:r>
              <w:rPr>
                <w:color w:val="1C3A36"/>
                <w:sz w:val="17"/>
              </w:rPr>
              <w:t>5.62</w:t>
            </w:r>
          </w:p>
        </w:tc>
        <w:tc>
          <w:tcPr>
            <w:tcW w:type="dxa" w:w="6624"/>
          </w:tcPr>
          <w:p>
            <w:pPr>
              <w:spacing w:after="20"/>
              <w:jc w:val="right"/>
            </w:pPr>
            <w:r>
              <w:rPr>
                <w:color w:val="1C3A36"/>
                <w:sz w:val="17"/>
              </w:rPr>
              <w:t>minor supply shelf</w:t>
            </w:r>
          </w:p>
        </w:tc>
      </w:tr>
      <w:tr>
        <w:tc>
          <w:tcPr>
            <w:tcW w:type="dxa" w:w="2232"/>
          </w:tcPr>
          <w:p>
            <w:pPr>
              <w:spacing w:after="20"/>
            </w:pPr>
            <w:r>
              <w:rPr>
                <w:color w:val="1C3A36"/>
                <w:sz w:val="17"/>
              </w:rPr>
              <w:t>Resistance 1 (nearest)</w:t>
            </w:r>
          </w:p>
        </w:tc>
        <w:tc>
          <w:tcPr>
            <w:tcW w:type="dxa" w:w="1224"/>
          </w:tcPr>
          <w:p>
            <w:pPr>
              <w:spacing w:after="20"/>
              <w:jc w:val="right"/>
            </w:pPr>
            <w:r>
              <w:rPr>
                <w:color w:val="1C3A36"/>
                <w:sz w:val="17"/>
              </w:rPr>
              <w:t>5.40</w:t>
            </w:r>
          </w:p>
        </w:tc>
        <w:tc>
          <w:tcPr>
            <w:tcW w:type="dxa" w:w="6624"/>
          </w:tcPr>
          <w:p>
            <w:pPr>
              <w:spacing w:after="20"/>
              <w:jc w:val="right"/>
            </w:pPr>
            <w:r>
              <w:rPr>
                <w:color w:val="1C3A36"/>
                <w:sz w:val="17"/>
              </w:rPr>
              <w:t>A daily close back above 5.40 would clear the nearest resistance and open the 6.03 zone.</w:t>
            </w:r>
          </w:p>
        </w:tc>
      </w:tr>
      <w:tr>
        <w:tc>
          <w:tcPr>
            <w:tcW w:type="dxa" w:w="2232"/>
            <w:shd w:val="clear" w:color="auto" w:fill="F6F1E6"/>
          </w:tcPr>
          <w:p>
            <w:pPr>
              <w:spacing w:after="20"/>
            </w:pPr>
            <w:r>
              <w:rPr>
                <w:b/>
                <w:color w:val="1C3A36"/>
                <w:sz w:val="17"/>
              </w:rPr>
              <w:t>Last close (2026-08-07)</w:t>
            </w:r>
          </w:p>
        </w:tc>
        <w:tc>
          <w:tcPr>
            <w:tcW w:type="dxa" w:w="1224"/>
            <w:shd w:val="clear" w:color="auto" w:fill="F6F1E6"/>
          </w:tcPr>
          <w:p>
            <w:pPr>
              <w:spacing w:after="20"/>
              <w:jc w:val="right"/>
            </w:pPr>
            <w:r>
              <w:rPr>
                <w:b/>
                <w:color w:val="1C3A36"/>
                <w:sz w:val="17"/>
              </w:rPr>
              <w:t>5.24</w:t>
            </w:r>
          </w:p>
        </w:tc>
        <w:tc>
          <w:tcPr>
            <w:tcW w:type="dxa" w:w="6624"/>
            <w:shd w:val="clear" w:color="auto" w:fill="F6F1E6"/>
          </w:tcPr>
          <w:p>
            <w:pPr>
              <w:spacing w:after="20"/>
              <w:jc w:val="right"/>
            </w:pPr>
            <w:r>
              <w:rPr>
                <w:b/>
                <w:color w:val="1C3A36"/>
                <w:sz w:val="17"/>
              </w:rPr>
              <w:t>above the whole moving-average stack</w:t>
            </w:r>
          </w:p>
        </w:tc>
      </w:tr>
      <w:tr>
        <w:tc>
          <w:tcPr>
            <w:tcW w:type="dxa" w:w="2232"/>
          </w:tcPr>
          <w:p>
            <w:pPr>
              <w:spacing w:after="20"/>
            </w:pPr>
            <w:r>
              <w:rPr>
                <w:color w:val="1C3A36"/>
                <w:sz w:val="17"/>
              </w:rPr>
              <w:t>Support 1 (nearest)</w:t>
            </w:r>
          </w:p>
        </w:tc>
        <w:tc>
          <w:tcPr>
            <w:tcW w:type="dxa" w:w="1224"/>
          </w:tcPr>
          <w:p>
            <w:pPr>
              <w:spacing w:after="20"/>
              <w:jc w:val="right"/>
            </w:pPr>
            <w:r>
              <w:rPr>
                <w:color w:val="1C3A36"/>
                <w:sz w:val="17"/>
              </w:rPr>
              <w:t>3.80</w:t>
            </w:r>
          </w:p>
        </w:tc>
        <w:tc>
          <w:tcPr>
            <w:tcW w:type="dxa" w:w="6624"/>
          </w:tcPr>
          <w:p>
            <w:pPr>
              <w:spacing w:after="20"/>
              <w:jc w:val="right"/>
            </w:pPr>
            <w:r>
              <w:rPr>
                <w:color w:val="1C3A36"/>
                <w:sz w:val="17"/>
              </w:rPr>
              <w:t>A close below 3.80 would break the nearest support and open the 3.60 zone.</w:t>
            </w:r>
          </w:p>
        </w:tc>
      </w:tr>
      <w:tr>
        <w:tc>
          <w:tcPr>
            <w:tcW w:type="dxa" w:w="2232"/>
          </w:tcPr>
          <w:p>
            <w:pPr>
              <w:spacing w:after="20"/>
            </w:pPr>
            <w:r>
              <w:rPr>
                <w:color w:val="1C3A36"/>
                <w:sz w:val="17"/>
              </w:rPr>
              <w:t>Support 2</w:t>
            </w:r>
          </w:p>
        </w:tc>
        <w:tc>
          <w:tcPr>
            <w:tcW w:type="dxa" w:w="1224"/>
          </w:tcPr>
          <w:p>
            <w:pPr>
              <w:spacing w:after="20"/>
              <w:jc w:val="right"/>
            </w:pPr>
            <w:r>
              <w:rPr>
                <w:color w:val="1C3A36"/>
                <w:sz w:val="17"/>
              </w:rPr>
              <w:t>3.68</w:t>
            </w:r>
          </w:p>
        </w:tc>
        <w:tc>
          <w:tcPr>
            <w:tcW w:type="dxa" w:w="6624"/>
          </w:tcPr>
          <w:p>
            <w:pPr>
              <w:spacing w:after="20"/>
              <w:jc w:val="right"/>
            </w:pPr>
            <w:r>
              <w:rPr>
                <w:color w:val="1C3A36"/>
                <w:sz w:val="17"/>
              </w:rPr>
              <w:t>pivot cluster</w:t>
            </w:r>
          </w:p>
        </w:tc>
      </w:tr>
      <w:tr>
        <w:tc>
          <w:tcPr>
            <w:tcW w:type="dxa" w:w="2232"/>
          </w:tcPr>
          <w:p>
            <w:pPr>
              <w:spacing w:after="20"/>
            </w:pPr>
            <w:r>
              <w:rPr>
                <w:color w:val="1C3A36"/>
                <w:sz w:val="17"/>
              </w:rPr>
              <w:t>Support 3</w:t>
            </w:r>
          </w:p>
        </w:tc>
        <w:tc>
          <w:tcPr>
            <w:tcW w:type="dxa" w:w="1224"/>
          </w:tcPr>
          <w:p>
            <w:pPr>
              <w:spacing w:after="20"/>
              <w:jc w:val="right"/>
            </w:pPr>
            <w:r>
              <w:rPr>
                <w:color w:val="1C3A36"/>
                <w:sz w:val="17"/>
              </w:rPr>
              <w:t>3.60</w:t>
            </w:r>
          </w:p>
        </w:tc>
        <w:tc>
          <w:tcPr>
            <w:tcW w:type="dxa" w:w="6624"/>
          </w:tcPr>
          <w:p>
            <w:pPr>
              <w:spacing w:after="20"/>
              <w:jc w:val="right"/>
            </w:pPr>
            <w:r>
              <w:rPr>
                <w:color w:val="1C3A36"/>
                <w:sz w:val="17"/>
              </w:rPr>
              <w:t>the deeper shelf</w:t>
            </w:r>
          </w:p>
        </w:tc>
      </w:tr>
    </w:tbl>
    <w:p>
      <w:pPr>
        <w:spacing w:after="40"/>
      </w:pPr>
    </w:p>
    <w:p>
      <w:pPr>
        <w:spacing w:after="40"/>
        <w:jc w:val="center"/>
      </w:pPr>
      <w:r>
        <w:drawing>
          <wp:inline xmlns:a="http://schemas.openxmlformats.org/drawingml/2006/main" xmlns:pic="http://schemas.openxmlformats.org/drawingml/2006/picture">
            <wp:extent cx="6309360" cy="2463654"/>
            <wp:docPr id="4" name="Picture 4"/>
            <wp:cNvGraphicFramePr>
              <a:graphicFrameLocks noChangeAspect="1"/>
            </wp:cNvGraphicFramePr>
            <a:graphic>
              <a:graphicData uri="http://schemas.openxmlformats.org/drawingml/2006/picture">
                <pic:pic>
                  <pic:nvPicPr>
                    <pic:cNvPr id="0" name="fig3_ma.png"/>
                    <pic:cNvPicPr/>
                  </pic:nvPicPr>
                  <pic:blipFill>
                    <a:blip r:embed="rId12"/>
                    <a:stretch>
                      <a:fillRect/>
                    </a:stretch>
                  </pic:blipFill>
                  <pic:spPr>
                    <a:xfrm>
                      <a:off x="0" y="0"/>
                      <a:ext cx="6309360" cy="2463654"/>
                    </a:xfrm>
                    <a:prstGeom prst="rect"/>
                  </pic:spPr>
                </pic:pic>
              </a:graphicData>
            </a:graphic>
          </wp:inline>
        </w:drawing>
      </w:r>
    </w:p>
    <w:p>
      <w:pPr>
        <w:spacing w:after="200" w:before="0"/>
      </w:pPr>
      <w:r>
        <w:rPr>
          <w:b w:val="0"/>
          <w:i/>
          <w:color w:val="6E7B77"/>
          <w:sz w:val="17"/>
        </w:rPr>
        <w:t>Figure 4 — price against the moving-average stack, last 260 sessions.</w:t>
      </w:r>
    </w:p>
    <w:p>
      <w:pPr>
        <w:spacing w:after="120" w:before="280"/>
      </w:pPr>
      <w:r>
        <w:rPr>
          <w:b/>
          <w:i w:val="0"/>
          <w:color w:val="1C3A36"/>
          <w:sz w:val="30"/>
        </w:rPr>
        <w:t>3  A probabilistic price map</w:t>
      </w:r>
    </w:p>
    <w:p>
      <w:pPr>
        <w:spacing w:after="120" w:before="0"/>
      </w:pPr>
      <w:r>
        <w:rPr>
          <w:b w:val="0"/>
          <w:i w:val="0"/>
          <w:color w:val="1C3A36"/>
          <w:sz w:val="21"/>
        </w:rPr>
        <w:t>From the 2026-08-07 close of AED 5.24, 50,000 simulated price paths — volatility fitted to this stock's own trading history, drift anchored to the risk-free rate net of the 5.7% trailing dividend yield — give the following bands: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040"/>
        <w:gridCol w:w="1944"/>
        <w:gridCol w:w="1944"/>
      </w:tblGrid>
      <w:tr>
        <w:tc>
          <w:tcPr>
            <w:tcW w:type="dxa" w:w="5040"/>
            <w:shd w:val="clear" w:color="auto" w:fill="EAF0EE"/>
          </w:tcPr>
          <w:p>
            <w:pPr>
              <w:spacing w:after="20"/>
            </w:pPr>
            <w:r>
              <w:rPr>
                <w:b/>
                <w:color w:val="1C3A36"/>
                <w:sz w:val="17"/>
              </w:rPr>
            </w:r>
          </w:p>
        </w:tc>
        <w:tc>
          <w:tcPr>
            <w:tcW w:type="dxa" w:w="1944"/>
            <w:shd w:val="clear" w:color="auto" w:fill="EAF0EE"/>
          </w:tcPr>
          <w:p>
            <w:pPr>
              <w:spacing w:after="20"/>
            </w:pPr>
            <w:r>
              <w:rPr>
                <w:b/>
                <w:color w:val="1C3A36"/>
                <w:sz w:val="17"/>
              </w:rPr>
              <w:t>One month</w:t>
            </w:r>
          </w:p>
        </w:tc>
        <w:tc>
          <w:tcPr>
            <w:tcW w:type="dxa" w:w="1944"/>
            <w:shd w:val="clear" w:color="auto" w:fill="EAF0EE"/>
          </w:tcPr>
          <w:p>
            <w:pPr>
              <w:spacing w:after="20"/>
            </w:pPr>
            <w:r>
              <w:rPr>
                <w:b/>
                <w:color w:val="1C3A36"/>
                <w:sz w:val="17"/>
              </w:rPr>
              <w:t>Three months</w:t>
            </w:r>
          </w:p>
        </w:tc>
      </w:tr>
      <w:tr>
        <w:tc>
          <w:tcPr>
            <w:tcW w:type="dxa" w:w="5040"/>
          </w:tcPr>
          <w:p>
            <w:pPr>
              <w:spacing w:after="20"/>
            </w:pPr>
            <w:r>
              <w:rPr>
                <w:color w:val="1C3A36"/>
                <w:sz w:val="17"/>
              </w:rPr>
              <w:t>Check date</w:t>
            </w:r>
          </w:p>
        </w:tc>
        <w:tc>
          <w:tcPr>
            <w:tcW w:type="dxa" w:w="1944"/>
          </w:tcPr>
          <w:p>
            <w:pPr>
              <w:spacing w:after="20"/>
              <w:jc w:val="right"/>
            </w:pPr>
            <w:r>
              <w:rPr>
                <w:color w:val="1C3A36"/>
                <w:sz w:val="17"/>
              </w:rPr>
              <w:t>2026-09-07</w:t>
            </w:r>
          </w:p>
        </w:tc>
        <w:tc>
          <w:tcPr>
            <w:tcW w:type="dxa" w:w="1944"/>
          </w:tcPr>
          <w:p>
            <w:pPr>
              <w:spacing w:after="20"/>
              <w:jc w:val="right"/>
            </w:pPr>
            <w:r>
              <w:rPr>
                <w:color w:val="1C3A36"/>
                <w:sz w:val="17"/>
              </w:rPr>
              <w:t>2026-11-09</w:t>
            </w:r>
          </w:p>
        </w:tc>
      </w:tr>
      <w:tr>
        <w:tc>
          <w:tcPr>
            <w:tcW w:type="dxa" w:w="5040"/>
          </w:tcPr>
          <w:p>
            <w:pPr>
              <w:spacing w:after="20"/>
            </w:pPr>
            <w:r>
              <w:rPr>
                <w:color w:val="1C3A36"/>
                <w:sz w:val="17"/>
              </w:rPr>
              <w:t>5th percentile</w:t>
            </w:r>
          </w:p>
        </w:tc>
        <w:tc>
          <w:tcPr>
            <w:tcW w:type="dxa" w:w="1944"/>
          </w:tcPr>
          <w:p>
            <w:pPr>
              <w:spacing w:after="20"/>
              <w:jc w:val="right"/>
            </w:pPr>
            <w:r>
              <w:rPr>
                <w:color w:val="1C3A36"/>
                <w:sz w:val="17"/>
              </w:rPr>
              <w:t>4.47</w:t>
            </w:r>
          </w:p>
        </w:tc>
        <w:tc>
          <w:tcPr>
            <w:tcW w:type="dxa" w:w="1944"/>
          </w:tcPr>
          <w:p>
            <w:pPr>
              <w:spacing w:after="20"/>
              <w:jc w:val="right"/>
            </w:pPr>
            <w:r>
              <w:rPr>
                <w:color w:val="1C3A36"/>
                <w:sz w:val="17"/>
              </w:rPr>
              <w:t>3.96</w:t>
            </w:r>
          </w:p>
        </w:tc>
      </w:tr>
      <w:tr>
        <w:tc>
          <w:tcPr>
            <w:tcW w:type="dxa" w:w="5040"/>
          </w:tcPr>
          <w:p>
            <w:pPr>
              <w:spacing w:after="20"/>
            </w:pPr>
            <w:r>
              <w:rPr>
                <w:color w:val="1C3A36"/>
                <w:sz w:val="17"/>
              </w:rPr>
              <w:t>25th percentile</w:t>
            </w:r>
          </w:p>
        </w:tc>
        <w:tc>
          <w:tcPr>
            <w:tcW w:type="dxa" w:w="1944"/>
          </w:tcPr>
          <w:p>
            <w:pPr>
              <w:spacing w:after="20"/>
              <w:jc w:val="right"/>
            </w:pPr>
            <w:r>
              <w:rPr>
                <w:color w:val="1C3A36"/>
                <w:sz w:val="17"/>
              </w:rPr>
              <w:t>4.93</w:t>
            </w:r>
          </w:p>
        </w:tc>
        <w:tc>
          <w:tcPr>
            <w:tcW w:type="dxa" w:w="1944"/>
          </w:tcPr>
          <w:p>
            <w:pPr>
              <w:spacing w:after="20"/>
              <w:jc w:val="right"/>
            </w:pPr>
            <w:r>
              <w:rPr>
                <w:color w:val="1C3A36"/>
                <w:sz w:val="17"/>
              </w:rPr>
              <w:t>4.71</w:t>
            </w:r>
          </w:p>
        </w:tc>
      </w:tr>
      <w:tr>
        <w:tc>
          <w:tcPr>
            <w:tcW w:type="dxa" w:w="5040"/>
          </w:tcPr>
          <w:p>
            <w:pPr>
              <w:spacing w:after="20"/>
            </w:pPr>
            <w:r>
              <w:rPr>
                <w:color w:val="1C3A36"/>
                <w:sz w:val="17"/>
              </w:rPr>
              <w:t>Median</w:t>
            </w:r>
          </w:p>
        </w:tc>
        <w:tc>
          <w:tcPr>
            <w:tcW w:type="dxa" w:w="1944"/>
          </w:tcPr>
          <w:p>
            <w:pPr>
              <w:spacing w:after="20"/>
              <w:jc w:val="right"/>
            </w:pPr>
            <w:r>
              <w:rPr>
                <w:color w:val="1C3A36"/>
                <w:sz w:val="17"/>
              </w:rPr>
              <w:t>5.23</w:t>
            </w:r>
          </w:p>
        </w:tc>
        <w:tc>
          <w:tcPr>
            <w:tcW w:type="dxa" w:w="1944"/>
          </w:tcPr>
          <w:p>
            <w:pPr>
              <w:spacing w:after="20"/>
              <w:jc w:val="right"/>
            </w:pPr>
            <w:r>
              <w:rPr>
                <w:color w:val="1C3A36"/>
                <w:sz w:val="17"/>
              </w:rPr>
              <w:t>5.22</w:t>
            </w:r>
          </w:p>
        </w:tc>
      </w:tr>
      <w:tr>
        <w:tc>
          <w:tcPr>
            <w:tcW w:type="dxa" w:w="5040"/>
          </w:tcPr>
          <w:p>
            <w:pPr>
              <w:spacing w:after="20"/>
            </w:pPr>
            <w:r>
              <w:rPr>
                <w:color w:val="1C3A36"/>
                <w:sz w:val="17"/>
              </w:rPr>
              <w:t>75th percentile</w:t>
            </w:r>
          </w:p>
        </w:tc>
        <w:tc>
          <w:tcPr>
            <w:tcW w:type="dxa" w:w="1944"/>
          </w:tcPr>
          <w:p>
            <w:pPr>
              <w:spacing w:after="20"/>
              <w:jc w:val="right"/>
            </w:pPr>
            <w:r>
              <w:rPr>
                <w:color w:val="1C3A36"/>
                <w:sz w:val="17"/>
              </w:rPr>
              <w:t>5.56</w:t>
            </w:r>
          </w:p>
        </w:tc>
        <w:tc>
          <w:tcPr>
            <w:tcW w:type="dxa" w:w="1944"/>
          </w:tcPr>
          <w:p>
            <w:pPr>
              <w:spacing w:after="20"/>
              <w:jc w:val="right"/>
            </w:pPr>
            <w:r>
              <w:rPr>
                <w:color w:val="1C3A36"/>
                <w:sz w:val="17"/>
              </w:rPr>
              <w:t>5.79</w:t>
            </w:r>
          </w:p>
        </w:tc>
      </w:tr>
      <w:tr>
        <w:tc>
          <w:tcPr>
            <w:tcW w:type="dxa" w:w="5040"/>
          </w:tcPr>
          <w:p>
            <w:pPr>
              <w:spacing w:after="20"/>
            </w:pPr>
            <w:r>
              <w:rPr>
                <w:color w:val="1C3A36"/>
                <w:sz w:val="17"/>
              </w:rPr>
              <w:t>95th percentile</w:t>
            </w:r>
          </w:p>
        </w:tc>
        <w:tc>
          <w:tcPr>
            <w:tcW w:type="dxa" w:w="1944"/>
          </w:tcPr>
          <w:p>
            <w:pPr>
              <w:spacing w:after="20"/>
              <w:jc w:val="right"/>
            </w:pPr>
            <w:r>
              <w:rPr>
                <w:color w:val="1C3A36"/>
                <w:sz w:val="17"/>
              </w:rPr>
              <w:t>6.14</w:t>
            </w:r>
          </w:p>
        </w:tc>
        <w:tc>
          <w:tcPr>
            <w:tcW w:type="dxa" w:w="1944"/>
          </w:tcPr>
          <w:p>
            <w:pPr>
              <w:spacing w:after="20"/>
              <w:jc w:val="right"/>
            </w:pPr>
            <w:r>
              <w:rPr>
                <w:color w:val="1C3A36"/>
                <w:sz w:val="17"/>
              </w:rPr>
              <w:t>6.89</w:t>
            </w:r>
          </w:p>
        </w:tc>
      </w:tr>
      <w:tr>
        <w:tc>
          <w:tcPr>
            <w:tcW w:type="dxa" w:w="5040"/>
          </w:tcPr>
          <w:p>
            <w:pPr>
              <w:spacing w:after="20"/>
            </w:pPr>
            <w:r>
              <w:rPr>
                <w:color w:val="1C3A36"/>
                <w:sz w:val="17"/>
              </w:rPr>
              <w:t>Probability of finishing above spot</w:t>
            </w:r>
          </w:p>
        </w:tc>
        <w:tc>
          <w:tcPr>
            <w:tcW w:type="dxa" w:w="1944"/>
          </w:tcPr>
          <w:p>
            <w:pPr>
              <w:spacing w:after="20"/>
              <w:jc w:val="right"/>
            </w:pPr>
            <w:r>
              <w:rPr>
                <w:color w:val="1C3A36"/>
                <w:sz w:val="17"/>
              </w:rPr>
              <w:t>49%</w:t>
            </w:r>
          </w:p>
        </w:tc>
        <w:tc>
          <w:tcPr>
            <w:tcW w:type="dxa" w:w="1944"/>
          </w:tcPr>
          <w:p>
            <w:pPr>
              <w:spacing w:after="20"/>
              <w:jc w:val="right"/>
            </w:pPr>
            <w:r>
              <w:rPr>
                <w:color w:val="1C3A36"/>
                <w:sz w:val="17"/>
              </w:rPr>
              <w:t>49%</w:t>
            </w:r>
          </w:p>
        </w:tc>
      </w:tr>
      <w:tr>
        <w:tc>
          <w:tcPr>
            <w:tcW w:type="dxa" w:w="5040"/>
          </w:tcPr>
          <w:p>
            <w:pPr>
              <w:spacing w:after="20"/>
            </w:pPr>
            <w:r>
              <w:rPr>
                <w:color w:val="1C3A36"/>
                <w:sz w:val="17"/>
              </w:rPr>
              <w:t>Probability of +10% or better at the check date</w:t>
            </w:r>
          </w:p>
        </w:tc>
        <w:tc>
          <w:tcPr>
            <w:tcW w:type="dxa" w:w="1944"/>
          </w:tcPr>
          <w:p>
            <w:pPr>
              <w:spacing w:after="20"/>
              <w:jc w:val="right"/>
            </w:pPr>
            <w:r>
              <w:rPr>
                <w:color w:val="1C3A36"/>
                <w:sz w:val="17"/>
              </w:rPr>
              <w:t>14%</w:t>
            </w:r>
          </w:p>
        </w:tc>
        <w:tc>
          <w:tcPr>
            <w:tcW w:type="dxa" w:w="1944"/>
          </w:tcPr>
          <w:p>
            <w:pPr>
              <w:spacing w:after="20"/>
              <w:jc w:val="right"/>
            </w:pPr>
            <w:r>
              <w:rPr>
                <w:color w:val="1C3A36"/>
                <w:sz w:val="17"/>
              </w:rPr>
              <w:t>26%</w:t>
            </w:r>
          </w:p>
        </w:tc>
      </w:tr>
      <w:tr>
        <w:tc>
          <w:tcPr>
            <w:tcW w:type="dxa" w:w="5040"/>
          </w:tcPr>
          <w:p>
            <w:pPr>
              <w:spacing w:after="20"/>
            </w:pPr>
            <w:r>
              <w:rPr>
                <w:color w:val="1C3A36"/>
                <w:sz w:val="17"/>
              </w:rPr>
              <w:t>Probability of −10% or worse at the check date</w:t>
            </w:r>
          </w:p>
        </w:tc>
        <w:tc>
          <w:tcPr>
            <w:tcW w:type="dxa" w:w="1944"/>
          </w:tcPr>
          <w:p>
            <w:pPr>
              <w:spacing w:after="20"/>
              <w:jc w:val="right"/>
            </w:pPr>
            <w:r>
              <w:rPr>
                <w:color w:val="1C3A36"/>
                <w:sz w:val="17"/>
              </w:rPr>
              <w:t>13%</w:t>
            </w:r>
          </w:p>
        </w:tc>
        <w:tc>
          <w:tcPr>
            <w:tcW w:type="dxa" w:w="1944"/>
          </w:tcPr>
          <w:p>
            <w:pPr>
              <w:spacing w:after="20"/>
              <w:jc w:val="right"/>
            </w:pPr>
            <w:r>
              <w:rPr>
                <w:color w:val="1C3A36"/>
                <w:sz w:val="17"/>
              </w:rPr>
              <w:t>25%</w:t>
            </w:r>
          </w:p>
        </w:tc>
      </w:tr>
      <w:tr>
        <w:tc>
          <w:tcPr>
            <w:tcW w:type="dxa" w:w="5040"/>
          </w:tcPr>
          <w:p>
            <w:pPr>
              <w:spacing w:after="20"/>
            </w:pPr>
            <w:r>
              <w:rPr>
                <w:color w:val="1C3A36"/>
                <w:sz w:val="17"/>
              </w:rPr>
              <w:t>Probability of touching +10% at any point</w:t>
            </w:r>
          </w:p>
        </w:tc>
        <w:tc>
          <w:tcPr>
            <w:tcW w:type="dxa" w:w="1944"/>
          </w:tcPr>
          <w:p>
            <w:pPr>
              <w:spacing w:after="20"/>
              <w:jc w:val="right"/>
            </w:pPr>
            <w:r>
              <w:rPr>
                <w:color w:val="1C3A36"/>
                <w:sz w:val="17"/>
              </w:rPr>
              <w:t>24%</w:t>
            </w:r>
          </w:p>
        </w:tc>
        <w:tc>
          <w:tcPr>
            <w:tcW w:type="dxa" w:w="1944"/>
          </w:tcPr>
          <w:p>
            <w:pPr>
              <w:spacing w:after="20"/>
              <w:jc w:val="right"/>
            </w:pPr>
            <w:r>
              <w:rPr>
                <w:color w:val="1C3A36"/>
                <w:sz w:val="17"/>
              </w:rPr>
              <w:t>49%</w:t>
            </w:r>
          </w:p>
        </w:tc>
      </w:tr>
      <w:tr>
        <w:tc>
          <w:tcPr>
            <w:tcW w:type="dxa" w:w="5040"/>
          </w:tcPr>
          <w:p>
            <w:pPr>
              <w:spacing w:after="20"/>
            </w:pPr>
            <w:r>
              <w:rPr>
                <w:color w:val="1C3A36"/>
                <w:sz w:val="17"/>
              </w:rPr>
              <w:t>Probability of touching −10% at any point</w:t>
            </w:r>
          </w:p>
        </w:tc>
        <w:tc>
          <w:tcPr>
            <w:tcW w:type="dxa" w:w="1944"/>
          </w:tcPr>
          <w:p>
            <w:pPr>
              <w:spacing w:after="20"/>
              <w:jc w:val="right"/>
            </w:pPr>
            <w:r>
              <w:rPr>
                <w:color w:val="1C3A36"/>
                <w:sz w:val="17"/>
              </w:rPr>
              <w:t>21%</w:t>
            </w:r>
          </w:p>
        </w:tc>
        <w:tc>
          <w:tcPr>
            <w:tcW w:type="dxa" w:w="1944"/>
          </w:tcPr>
          <w:p>
            <w:pPr>
              <w:spacing w:after="20"/>
              <w:jc w:val="right"/>
            </w:pPr>
            <w:r>
              <w:rPr>
                <w:color w:val="1C3A36"/>
                <w:sz w:val="17"/>
              </w:rPr>
              <w:t>46%</w:t>
            </w:r>
          </w:p>
        </w:tc>
      </w:tr>
    </w:tbl>
    <w:p>
      <w:pPr>
        <w:spacing w:after="40"/>
      </w:pPr>
    </w:p>
    <w:p>
      <w:pPr>
        <w:spacing w:after="40"/>
        <w:jc w:val="center"/>
      </w:pPr>
      <w:r>
        <w:drawing>
          <wp:inline xmlns:a="http://schemas.openxmlformats.org/drawingml/2006/main" xmlns:pic="http://schemas.openxmlformats.org/drawingml/2006/picture">
            <wp:extent cx="6309360" cy="2704011"/>
            <wp:docPr id="5" name="Picture 5"/>
            <wp:cNvGraphicFramePr>
              <a:graphicFrameLocks noChangeAspect="1"/>
            </wp:cNvGraphicFramePr>
            <a:graphic>
              <a:graphicData uri="http://schemas.openxmlformats.org/drawingml/2006/picture">
                <pic:pic>
                  <pic:nvPicPr>
                    <pic:cNvPr id="0" name="fig4_fan.png"/>
                    <pic:cNvPicPr/>
                  </pic:nvPicPr>
                  <pic:blipFill>
                    <a:blip r:embed="rId13"/>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5 — the three-month price cone.</w:t>
      </w:r>
    </w:p>
    <w:p>
      <w:pPr>
        <w:spacing w:after="40"/>
        <w:jc w:val="center"/>
      </w:pPr>
      <w:r>
        <w:drawing>
          <wp:inline xmlns:a="http://schemas.openxmlformats.org/drawingml/2006/main" xmlns:pic="http://schemas.openxmlformats.org/drawingml/2006/picture">
            <wp:extent cx="4754880" cy="2377440"/>
            <wp:docPr id="6" name="Picture 6"/>
            <wp:cNvGraphicFramePr>
              <a:graphicFrameLocks noChangeAspect="1"/>
            </wp:cNvGraphicFramePr>
            <a:graphic>
              <a:graphicData uri="http://schemas.openxmlformats.org/drawingml/2006/picture">
                <pic:pic>
                  <pic:nvPicPr>
                    <pic:cNvPr id="0" name="fig5_dist.png"/>
                    <pic:cNvPicPr/>
                  </pic:nvPicPr>
                  <pic:blipFill>
                    <a:blip r:embed="rId14"/>
                    <a:stretch>
                      <a:fillRect/>
                    </a:stretch>
                  </pic:blipFill>
                  <pic:spPr>
                    <a:xfrm>
                      <a:off x="0" y="0"/>
                      <a:ext cx="4754880" cy="2377440"/>
                    </a:xfrm>
                    <a:prstGeom prst="rect"/>
                  </pic:spPr>
                </pic:pic>
              </a:graphicData>
            </a:graphic>
          </wp:inline>
        </w:drawing>
      </w:r>
    </w:p>
    <w:p>
      <w:pPr>
        <w:spacing w:after="200" w:before="0"/>
      </w:pPr>
      <w:r>
        <w:rPr>
          <w:b w:val="0"/>
          <w:i/>
          <w:color w:val="6E7B77"/>
          <w:sz w:val="17"/>
        </w:rPr>
        <w:t>Figure 6 — the one-month terminal price distribution.</w:t>
      </w:r>
    </w:p>
    <w:p>
      <w:pPr>
        <w:spacing w:after="40"/>
        <w:jc w:val="center"/>
      </w:pPr>
      <w:r>
        <w:drawing>
          <wp:inline xmlns:a="http://schemas.openxmlformats.org/drawingml/2006/main" xmlns:pic="http://schemas.openxmlformats.org/drawingml/2006/picture">
            <wp:extent cx="4754880" cy="2377440"/>
            <wp:docPr id="7" name="Picture 7"/>
            <wp:cNvGraphicFramePr>
              <a:graphicFrameLocks noChangeAspect="1"/>
            </wp:cNvGraphicFramePr>
            <a:graphic>
              <a:graphicData uri="http://schemas.openxmlformats.org/drawingml/2006/picture">
                <pic:pic>
                  <pic:nvPicPr>
                    <pic:cNvPr id="0" name="fig6_dist.png"/>
                    <pic:cNvPicPr/>
                  </pic:nvPicPr>
                  <pic:blipFill>
                    <a:blip r:embed="rId15"/>
                    <a:stretch>
                      <a:fillRect/>
                    </a:stretch>
                  </pic:blipFill>
                  <pic:spPr>
                    <a:xfrm>
                      <a:off x="0" y="0"/>
                      <a:ext cx="4754880" cy="2377440"/>
                    </a:xfrm>
                    <a:prstGeom prst="rect"/>
                  </pic:spPr>
                </pic:pic>
              </a:graphicData>
            </a:graphic>
          </wp:inline>
        </w:drawing>
      </w:r>
    </w:p>
    <w:p>
      <w:pPr>
        <w:spacing w:after="200" w:before="0"/>
      </w:pPr>
      <w:r>
        <w:rPr>
          <w:b w:val="0"/>
          <w:i/>
          <w:color w:val="6E7B77"/>
          <w:sz w:val="17"/>
        </w:rPr>
        <w:t>Figure 7 — the three-month terminal price distribution.</w:t>
      </w:r>
    </w:p>
    <w:p>
      <w:pPr>
        <w:spacing w:after="120" w:before="0"/>
      </w:pPr>
      <w:r>
        <w:rPr>
          <w:b w:val="0"/>
          <w:i w:val="0"/>
          <w:color w:val="1C3A36"/>
          <w:sz w:val="21"/>
        </w:rPr>
        <w:t>How much to trust these bands. Backtested on this stock's own history — every quarter-length window from 2012 to 2026, 58 of them — the simulation's probability bands beat a naive random-walk benchmark by a small margin on a standard probabilistic accuracy score (+0.7%), and over the most recent four-plus years the two are statistically indistinguishable: an honest, calibrated map rather than a crystal ball. Realised prices landed inside the 80% band 79% of the time and inside the 90% band 86% — about as close to nominal as 58 windows allow. The recent windows lean toward outcomes in the upper half of the bands (the share nearly tripled from its 2022 lows), which is visible in the distribution of where outcomes fell but does not reject uniformity on a standard test of the full history.</w:t>
      </w:r>
    </w:p>
    <w:p>
      <w:pPr>
        <w:spacing w:after="120" w:before="280"/>
      </w:pPr>
      <w:r>
        <w:rPr>
          <w:b/>
          <w:i w:val="0"/>
          <w:color w:val="1C3A36"/>
          <w:sz w:val="30"/>
        </w:rPr>
        <w:t>4  Comparison of the lenses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944"/>
        <w:gridCol w:w="4320"/>
        <w:gridCol w:w="3816"/>
      </w:tblGrid>
      <w:tr>
        <w:tc>
          <w:tcPr>
            <w:tcW w:type="dxa" w:w="1944"/>
            <w:shd w:val="clear" w:color="auto" w:fill="EAF0EE"/>
          </w:tcPr>
          <w:p>
            <w:pPr>
              <w:spacing w:after="20"/>
            </w:pPr>
            <w:r>
              <w:rPr>
                <w:b/>
                <w:color w:val="1C3A36"/>
                <w:sz w:val="17"/>
              </w:rPr>
              <w:t>Lens</w:t>
            </w:r>
          </w:p>
        </w:tc>
        <w:tc>
          <w:tcPr>
            <w:tcW w:type="dxa" w:w="4320"/>
            <w:shd w:val="clear" w:color="auto" w:fill="EAF0EE"/>
          </w:tcPr>
          <w:p>
            <w:pPr>
              <w:spacing w:after="20"/>
            </w:pPr>
            <w:r>
              <w:rPr>
                <w:b/>
                <w:color w:val="1C3A36"/>
                <w:sz w:val="17"/>
              </w:rPr>
              <w:t>What it sees</w:t>
            </w:r>
          </w:p>
        </w:tc>
        <w:tc>
          <w:tcPr>
            <w:tcW w:type="dxa" w:w="3816"/>
            <w:shd w:val="clear" w:color="auto" w:fill="EAF0EE"/>
          </w:tcPr>
          <w:p>
            <w:pPr>
              <w:spacing w:after="20"/>
            </w:pPr>
            <w:r>
              <w:rPr>
                <w:b/>
                <w:color w:val="1C3A36"/>
                <w:sz w:val="17"/>
              </w:rPr>
              <w:t>What it misses</w:t>
            </w:r>
          </w:p>
        </w:tc>
      </w:tr>
      <w:tr>
        <w:tc>
          <w:tcPr>
            <w:tcW w:type="dxa" w:w="1944"/>
          </w:tcPr>
          <w:p>
            <w:pPr>
              <w:spacing w:after="20"/>
            </w:pPr>
            <w:r>
              <w:rPr>
                <w:color w:val="1C3A36"/>
                <w:sz w:val="17"/>
              </w:rPr>
              <w:t>DCF (base)</w:t>
            </w:r>
          </w:p>
        </w:tc>
        <w:tc>
          <w:tcPr>
            <w:tcW w:type="dxa" w:w="4320"/>
          </w:tcPr>
          <w:p>
            <w:pPr>
              <w:spacing w:after="20"/>
              <w:jc w:val="right"/>
            </w:pPr>
            <w:r>
              <w:rPr>
                <w:color w:val="1C3A36"/>
                <w:sz w:val="17"/>
              </w:rPr>
              <w:t>the fleet build-out's cash cost, the negative-working-capital engine, fuel relief from 2027</w:t>
            </w:r>
          </w:p>
        </w:tc>
        <w:tc>
          <w:tcPr>
            <w:tcW w:type="dxa" w:w="3816"/>
          </w:tcPr>
          <w:p>
            <w:pPr>
              <w:spacing w:after="20"/>
              <w:jc w:val="right"/>
            </w:pPr>
            <w:r>
              <w:rPr>
                <w:color w:val="1C3A36"/>
                <w:sz w:val="17"/>
              </w:rPr>
              <w:t>the JV network's value beyond book; anything after FY2030 except through the terminal</w:t>
            </w:r>
          </w:p>
        </w:tc>
      </w:tr>
      <w:tr>
        <w:tc>
          <w:tcPr>
            <w:tcW w:type="dxa" w:w="1944"/>
          </w:tcPr>
          <w:p>
            <w:pPr>
              <w:spacing w:after="20"/>
            </w:pPr>
            <w:r>
              <w:rPr>
                <w:color w:val="1C3A36"/>
                <w:sz w:val="17"/>
              </w:rPr>
              <w:t>DCF (JV capitalised)</w:t>
            </w:r>
          </w:p>
        </w:tc>
        <w:tc>
          <w:tcPr>
            <w:tcW w:type="dxa" w:w="4320"/>
          </w:tcPr>
          <w:p>
            <w:pPr>
              <w:spacing w:after="20"/>
              <w:jc w:val="right"/>
            </w:pPr>
            <w:r>
              <w:rPr>
                <w:color w:val="1C3A36"/>
                <w:sz w:val="17"/>
              </w:rPr>
              <w:t>the ventures as going concerns at a growth multiple</w:t>
            </w:r>
          </w:p>
        </w:tc>
        <w:tc>
          <w:tcPr>
            <w:tcW w:type="dxa" w:w="3816"/>
          </w:tcPr>
          <w:p>
            <w:pPr>
              <w:spacing w:after="20"/>
              <w:jc w:val="right"/>
            </w:pPr>
            <w:r>
              <w:rPr>
                <w:color w:val="1C3A36"/>
                <w:sz w:val="17"/>
              </w:rPr>
              <w:t>their startup risk — Saudi DMM is pre-operational, two ventures are being wound up</w:t>
            </w:r>
          </w:p>
        </w:tc>
      </w:tr>
      <w:tr>
        <w:tc>
          <w:tcPr>
            <w:tcW w:type="dxa" w:w="1944"/>
          </w:tcPr>
          <w:p>
            <w:pPr>
              <w:spacing w:after="20"/>
            </w:pPr>
            <w:r>
              <w:rPr>
                <w:color w:val="1C3A36"/>
                <w:sz w:val="17"/>
              </w:rPr>
              <w:t>Relative</w:t>
            </w:r>
          </w:p>
        </w:tc>
        <w:tc>
          <w:tcPr>
            <w:tcW w:type="dxa" w:w="4320"/>
          </w:tcPr>
          <w:p>
            <w:pPr>
              <w:spacing w:after="20"/>
              <w:jc w:val="right"/>
            </w:pPr>
            <w:r>
              <w:rPr>
                <w:color w:val="1C3A36"/>
                <w:sz w:val="17"/>
              </w:rPr>
              <w:t>what the world pays for LCC earnings today</w:t>
            </w:r>
          </w:p>
        </w:tc>
        <w:tc>
          <w:tcPr>
            <w:tcW w:type="dxa" w:w="3816"/>
          </w:tcPr>
          <w:p>
            <w:pPr>
              <w:spacing w:after="20"/>
              <w:jc w:val="right"/>
            </w:pPr>
            <w:r>
              <w:rPr>
                <w:color w:val="1C3A36"/>
                <w:sz w:val="17"/>
              </w:rPr>
              <w:t>Air Arabia's net cash and JV optionality are only partly in sector multiples</w:t>
            </w:r>
          </w:p>
        </w:tc>
      </w:tr>
      <w:tr>
        <w:tc>
          <w:tcPr>
            <w:tcW w:type="dxa" w:w="1944"/>
          </w:tcPr>
          <w:p>
            <w:pPr>
              <w:spacing w:after="20"/>
            </w:pPr>
            <w:r>
              <w:rPr>
                <w:color w:val="1C3A36"/>
                <w:sz w:val="17"/>
              </w:rPr>
              <w:t>Normalised</w:t>
            </w:r>
          </w:p>
        </w:tc>
        <w:tc>
          <w:tcPr>
            <w:tcW w:type="dxa" w:w="4320"/>
          </w:tcPr>
          <w:p>
            <w:pPr>
              <w:spacing w:after="20"/>
              <w:jc w:val="right"/>
            </w:pPr>
            <w:r>
              <w:rPr>
                <w:color w:val="1C3A36"/>
                <w:sz w:val="17"/>
              </w:rPr>
              <w:t>through-cycle earning power at current scale</w:t>
            </w:r>
          </w:p>
        </w:tc>
        <w:tc>
          <w:tcPr>
            <w:tcW w:type="dxa" w:w="3816"/>
          </w:tcPr>
          <w:p>
            <w:pPr>
              <w:spacing w:after="20"/>
              <w:jc w:val="right"/>
            </w:pPr>
            <w:r>
              <w:rPr>
                <w:color w:val="1C3A36"/>
                <w:sz w:val="17"/>
              </w:rPr>
              <w:t>growth beyond FY2026 scale</w:t>
            </w:r>
          </w:p>
        </w:tc>
      </w:tr>
      <w:tr>
        <w:tc>
          <w:tcPr>
            <w:tcW w:type="dxa" w:w="1944"/>
          </w:tcPr>
          <w:p>
            <w:pPr>
              <w:spacing w:after="20"/>
            </w:pPr>
            <w:r>
              <w:rPr>
                <w:color w:val="1C3A36"/>
                <w:sz w:val="17"/>
              </w:rPr>
              <w:t>Book</w:t>
            </w:r>
          </w:p>
        </w:tc>
        <w:tc>
          <w:tcPr>
            <w:tcW w:type="dxa" w:w="4320"/>
          </w:tcPr>
          <w:p>
            <w:pPr>
              <w:spacing w:after="20"/>
              <w:jc w:val="right"/>
            </w:pPr>
            <w:r>
              <w:rPr>
                <w:color w:val="1C3A36"/>
                <w:sz w:val="17"/>
              </w:rPr>
              <w:t>audited equity and a sustainable return</w:t>
            </w:r>
          </w:p>
        </w:tc>
        <w:tc>
          <w:tcPr>
            <w:tcW w:type="dxa" w:w="3816"/>
          </w:tcPr>
          <w:p>
            <w:pPr>
              <w:spacing w:after="20"/>
              <w:jc w:val="right"/>
            </w:pPr>
            <w:r>
              <w:rPr>
                <w:color w:val="1C3A36"/>
                <w:sz w:val="17"/>
              </w:rPr>
              <w:t>slots, brand and the ventures — none on the balance sheet at economic value</w:t>
            </w:r>
          </w:p>
        </w:tc>
      </w:tr>
    </w:tbl>
    <w:p>
      <w:pPr>
        <w:spacing w:after="40"/>
      </w:pPr>
    </w:p>
    <w:p>
      <w:pPr>
        <w:spacing w:after="120" w:before="0"/>
      </w:pPr>
      <w:r>
        <w:rPr>
          <w:b w:val="0"/>
          <w:i w:val="0"/>
          <w:color w:val="1C3A36"/>
          <w:sz w:val="21"/>
        </w:rPr>
        <w:t>All four lens bases sit between AED 3.76 and AED 4.13 — a tight cluster 26% below the market price. The market, in other words, is already paying for the JV-capitalised framing plus some of the order book's post-2030 tail. That is not irrational; it is simply not conservative, and this study's job is to show exactly which assumptions you must accept to get there.</w:t>
      </w:r>
    </w:p>
    <w:p>
      <w:pPr>
        <w:spacing w:after="120" w:before="280"/>
      </w:pPr>
      <w:r>
        <w:rPr>
          <w:b/>
          <w:i w:val="0"/>
          <w:color w:val="1C3A36"/>
          <w:sz w:val="30"/>
        </w:rPr>
        <w:t>5  Catalysts to watch</w:t>
      </w:r>
    </w:p>
    <w:p>
      <w:pPr>
        <w:pStyle w:val="ListBullet"/>
        <w:spacing w:after="60"/>
      </w:pPr>
      <w:r>
        <w:rPr>
          <w:b/>
          <w:color w:val="1C3A36"/>
          <w:sz w:val="21"/>
        </w:rPr>
        <w:t xml:space="preserve">Half-year 2026 results (mid-August 2026).  </w:t>
      </w:r>
      <w:r>
        <w:rPr>
          <w:color w:val="1C3A36"/>
          <w:sz w:val="21"/>
        </w:rPr>
        <w:t>The first full print after the airspace disruption: watch whether Q2 yields held the Q1 record load factor, and the first disclosure of summer bookings.</w:t>
      </w:r>
    </w:p>
    <w:p>
      <w:pPr>
        <w:pStyle w:val="ListBullet"/>
        <w:spacing w:after="60"/>
      </w:pPr>
      <w:r>
        <w:rPr>
          <w:b/>
          <w:color w:val="1C3A36"/>
          <w:sz w:val="21"/>
        </w:rPr>
        <w:t xml:space="preserve">The fuel path.  </w:t>
      </w:r>
      <w:r>
        <w:rPr>
          <w:color w:val="1C3A36"/>
          <w:sz w:val="21"/>
        </w:rPr>
        <w:t>The official curve has Brent averaging ~$82 in 2026 falling toward ~$65 in 2027; the airline association assumed ~$95 with jet fuel near $152. Every quarter the curve view wins is roughly AED 0.04 per share of annualised value; the study prices both paths in full.</w:t>
      </w:r>
    </w:p>
    <w:p>
      <w:pPr>
        <w:pStyle w:val="ListBullet"/>
        <w:spacing w:after="60"/>
      </w:pPr>
      <w:r>
        <w:rPr>
          <w:b/>
          <w:color w:val="1C3A36"/>
          <w:sz w:val="21"/>
        </w:rPr>
        <w:t xml:space="preserve">Air Arabia DMM (Saudi Arabia).  </w:t>
      </w:r>
      <w:r>
        <w:rPr>
          <w:color w:val="1C3A36"/>
          <w:sz w:val="21"/>
        </w:rPr>
        <w:t>The 49% Dammam carrier signed in 2025: an operating-certificate date, fleet plan or launch schedule would move the JV framing from optionality toward earnings.</w:t>
      </w:r>
    </w:p>
    <w:p>
      <w:pPr>
        <w:pStyle w:val="ListBullet"/>
        <w:spacing w:after="60"/>
      </w:pPr>
      <w:r>
        <w:rPr>
          <w:b/>
          <w:color w:val="1C3A36"/>
          <w:sz w:val="21"/>
        </w:rPr>
        <w:t xml:space="preserve">Abu Dhabi expansion.  </w:t>
      </w:r>
      <w:r>
        <w:rPr>
          <w:color w:val="1C3A36"/>
          <w:sz w:val="21"/>
        </w:rPr>
        <w:t>The venture with Etihad plans ~40% capacity growth into the space Wizz Air abandoned in September 2025 — its profit share doubled in FY2025 and it pays no dividend yet.</w:t>
      </w:r>
    </w:p>
    <w:p>
      <w:pPr>
        <w:pStyle w:val="ListBullet"/>
        <w:spacing w:after="60"/>
      </w:pPr>
      <w:r>
        <w:rPr>
          <w:b/>
          <w:color w:val="1C3A36"/>
          <w:sz w:val="21"/>
        </w:rPr>
        <w:t xml:space="preserve">Airbus deliveries.  </w:t>
      </w:r>
      <w:r>
        <w:rPr>
          <w:color w:val="1C3A36"/>
          <w:sz w:val="21"/>
        </w:rPr>
        <w:t>Nine A320-family aircraft arrived in FY2025; the neo ramp (lower fuel burn, more seats) is the whole volume story, and Airbus's output remains constrained.</w:t>
      </w:r>
    </w:p>
    <w:p>
      <w:pPr>
        <w:pStyle w:val="ListBullet"/>
        <w:spacing w:after="60"/>
      </w:pPr>
      <w:r>
        <w:rPr>
          <w:b/>
          <w:color w:val="1C3A36"/>
          <w:sz w:val="21"/>
        </w:rPr>
        <w:t xml:space="preserve">The dividend ladder.  </w:t>
      </w:r>
      <w:r>
        <w:rPr>
          <w:color w:val="1C3A36"/>
          <w:sz w:val="21"/>
        </w:rPr>
        <w:t>Four consecutive 5-fil raises to 30 fils (a 5.7% trailing yield). A fifth raise with FY2026 results would signal the board reads the dip year as behind it.</w:t>
      </w:r>
    </w:p>
    <w:p>
      <w:pPr>
        <w:spacing w:after="120" w:before="280"/>
      </w:pPr>
      <w:r>
        <w:rPr>
          <w:b/>
          <w:i w:val="0"/>
          <w:color w:val="1C3A36"/>
          <w:sz w:val="30"/>
        </w:rPr>
        <w:t>6  Reading the probability zones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944"/>
        <w:gridCol w:w="1872"/>
        <w:gridCol w:w="1584"/>
        <w:gridCol w:w="4680"/>
      </w:tblGrid>
      <w:tr>
        <w:tc>
          <w:tcPr>
            <w:tcW w:type="dxa" w:w="1944"/>
            <w:shd w:val="clear" w:color="auto" w:fill="EAF0EE"/>
          </w:tcPr>
          <w:p>
            <w:pPr>
              <w:spacing w:after="20"/>
            </w:pPr>
            <w:r>
              <w:rPr>
                <w:b/>
                <w:color w:val="1C3A36"/>
                <w:sz w:val="17"/>
              </w:rPr>
              <w:t>Zone (three months)</w:t>
            </w:r>
          </w:p>
        </w:tc>
        <w:tc>
          <w:tcPr>
            <w:tcW w:type="dxa" w:w="1872"/>
            <w:shd w:val="clear" w:color="auto" w:fill="EAF0EE"/>
          </w:tcPr>
          <w:p>
            <w:pPr>
              <w:spacing w:after="20"/>
            </w:pPr>
            <w:r>
              <w:rPr>
                <w:b/>
                <w:color w:val="1C3A36"/>
                <w:sz w:val="17"/>
              </w:rPr>
              <w:t>AED range</w:t>
            </w:r>
          </w:p>
        </w:tc>
        <w:tc>
          <w:tcPr>
            <w:tcW w:type="dxa" w:w="1584"/>
            <w:shd w:val="clear" w:color="auto" w:fill="EAF0EE"/>
          </w:tcPr>
          <w:p>
            <w:pPr>
              <w:spacing w:after="20"/>
            </w:pPr>
            <w:r>
              <w:rPr>
                <w:b/>
                <w:color w:val="1C3A36"/>
                <w:sz w:val="17"/>
              </w:rPr>
              <w:t>Chance ending there</w:t>
            </w:r>
          </w:p>
        </w:tc>
        <w:tc>
          <w:tcPr>
            <w:tcW w:type="dxa" w:w="4680"/>
            <w:shd w:val="clear" w:color="auto" w:fill="EAF0EE"/>
          </w:tcPr>
          <w:p>
            <w:pPr>
              <w:spacing w:after="20"/>
            </w:pPr>
            <w:r>
              <w:rPr>
                <w:b/>
                <w:color w:val="1C3A36"/>
                <w:sz w:val="17"/>
              </w:rPr>
              <w:t>What it would likely mean</w:t>
            </w:r>
          </w:p>
        </w:tc>
      </w:tr>
      <w:tr>
        <w:tc>
          <w:tcPr>
            <w:tcW w:type="dxa" w:w="1944"/>
          </w:tcPr>
          <w:p>
            <w:pPr>
              <w:spacing w:after="20"/>
            </w:pPr>
            <w:r>
              <w:rPr>
                <w:color w:val="1C3A36"/>
                <w:sz w:val="17"/>
              </w:rPr>
              <w:t>Deep left tail</w:t>
            </w:r>
          </w:p>
        </w:tc>
        <w:tc>
          <w:tcPr>
            <w:tcW w:type="dxa" w:w="1872"/>
          </w:tcPr>
          <w:p>
            <w:pPr>
              <w:spacing w:after="20"/>
              <w:jc w:val="right"/>
            </w:pPr>
            <w:r>
              <w:rPr>
                <w:color w:val="1C3A36"/>
                <w:sz w:val="17"/>
              </w:rPr>
              <w:t>below 3.96</w:t>
            </w:r>
          </w:p>
        </w:tc>
        <w:tc>
          <w:tcPr>
            <w:tcW w:type="dxa" w:w="1584"/>
          </w:tcPr>
          <w:p>
            <w:pPr>
              <w:spacing w:after="20"/>
              <w:jc w:val="right"/>
            </w:pPr>
            <w:r>
              <w:rPr>
                <w:color w:val="1C3A36"/>
                <w:sz w:val="17"/>
              </w:rPr>
              <w:t>5%</w:t>
            </w:r>
          </w:p>
        </w:tc>
        <w:tc>
          <w:tcPr>
            <w:tcW w:type="dxa" w:w="4680"/>
          </w:tcPr>
          <w:p>
            <w:pPr>
              <w:spacing w:after="20"/>
              <w:jc w:val="right"/>
            </w:pPr>
            <w:r>
              <w:rPr>
                <w:color w:val="1C3A36"/>
                <w:sz w:val="17"/>
              </w:rPr>
              <w:t>renewed regional escalation or a demand shock; the fundamental floor arguments engage</w:t>
            </w:r>
          </w:p>
        </w:tc>
      </w:tr>
      <w:tr>
        <w:tc>
          <w:tcPr>
            <w:tcW w:type="dxa" w:w="1944"/>
          </w:tcPr>
          <w:p>
            <w:pPr>
              <w:spacing w:after="20"/>
            </w:pPr>
            <w:r>
              <w:rPr>
                <w:color w:val="1C3A36"/>
                <w:sz w:val="17"/>
              </w:rPr>
              <w:t>Lower band</w:t>
            </w:r>
          </w:p>
        </w:tc>
        <w:tc>
          <w:tcPr>
            <w:tcW w:type="dxa" w:w="1872"/>
          </w:tcPr>
          <w:p>
            <w:pPr>
              <w:spacing w:after="20"/>
              <w:jc w:val="right"/>
            </w:pPr>
            <w:r>
              <w:rPr>
                <w:color w:val="1C3A36"/>
                <w:sz w:val="17"/>
              </w:rPr>
              <w:t>3.96 – 4.71</w:t>
            </w:r>
          </w:p>
        </w:tc>
        <w:tc>
          <w:tcPr>
            <w:tcW w:type="dxa" w:w="1584"/>
          </w:tcPr>
          <w:p>
            <w:pPr>
              <w:spacing w:after="20"/>
              <w:jc w:val="right"/>
            </w:pPr>
            <w:r>
              <w:rPr>
                <w:color w:val="1C3A36"/>
                <w:sz w:val="17"/>
              </w:rPr>
              <w:t>20%</w:t>
            </w:r>
          </w:p>
        </w:tc>
        <w:tc>
          <w:tcPr>
            <w:tcW w:type="dxa" w:w="4680"/>
          </w:tcPr>
          <w:p>
            <w:pPr>
              <w:spacing w:after="20"/>
              <w:jc w:val="right"/>
            </w:pPr>
            <w:r>
              <w:rPr>
                <w:color w:val="1C3A36"/>
                <w:sz w:val="17"/>
              </w:rPr>
              <w:t>fuel stays high into 2027 or H1 results disappoint; price approaches the base fundamental central</w:t>
            </w:r>
          </w:p>
        </w:tc>
      </w:tr>
      <w:tr>
        <w:tc>
          <w:tcPr>
            <w:tcW w:type="dxa" w:w="1944"/>
          </w:tcPr>
          <w:p>
            <w:pPr>
              <w:spacing w:after="20"/>
            </w:pPr>
            <w:r>
              <w:rPr>
                <w:color w:val="1C3A36"/>
                <w:sz w:val="17"/>
              </w:rPr>
              <w:t>Middle band</w:t>
            </w:r>
          </w:p>
        </w:tc>
        <w:tc>
          <w:tcPr>
            <w:tcW w:type="dxa" w:w="1872"/>
          </w:tcPr>
          <w:p>
            <w:pPr>
              <w:spacing w:after="20"/>
              <w:jc w:val="right"/>
            </w:pPr>
            <w:r>
              <w:rPr>
                <w:color w:val="1C3A36"/>
                <w:sz w:val="17"/>
              </w:rPr>
              <w:t>4.71 – 5.79</w:t>
            </w:r>
          </w:p>
        </w:tc>
        <w:tc>
          <w:tcPr>
            <w:tcW w:type="dxa" w:w="1584"/>
          </w:tcPr>
          <w:p>
            <w:pPr>
              <w:spacing w:after="20"/>
              <w:jc w:val="right"/>
            </w:pPr>
            <w:r>
              <w:rPr>
                <w:color w:val="1C3A36"/>
                <w:sz w:val="17"/>
              </w:rPr>
              <w:t>50%</w:t>
            </w:r>
          </w:p>
        </w:tc>
        <w:tc>
          <w:tcPr>
            <w:tcW w:type="dxa" w:w="4680"/>
          </w:tcPr>
          <w:p>
            <w:pPr>
              <w:spacing w:after="20"/>
              <w:jc w:val="right"/>
            </w:pPr>
            <w:r>
              <w:rPr>
                <w:color w:val="1C3A36"/>
                <w:sz w:val="17"/>
              </w:rPr>
              <w:t>the ordinary drift of a well-owned share; no verdict on the framings</w:t>
            </w:r>
          </w:p>
        </w:tc>
      </w:tr>
      <w:tr>
        <w:tc>
          <w:tcPr>
            <w:tcW w:type="dxa" w:w="1944"/>
          </w:tcPr>
          <w:p>
            <w:pPr>
              <w:spacing w:after="20"/>
            </w:pPr>
            <w:r>
              <w:rPr>
                <w:color w:val="1C3A36"/>
                <w:sz w:val="17"/>
              </w:rPr>
              <w:t>Upper band</w:t>
            </w:r>
          </w:p>
        </w:tc>
        <w:tc>
          <w:tcPr>
            <w:tcW w:type="dxa" w:w="1872"/>
          </w:tcPr>
          <w:p>
            <w:pPr>
              <w:spacing w:after="20"/>
              <w:jc w:val="right"/>
            </w:pPr>
            <w:r>
              <w:rPr>
                <w:color w:val="1C3A36"/>
                <w:sz w:val="17"/>
              </w:rPr>
              <w:t>5.79 – 6.89</w:t>
            </w:r>
          </w:p>
        </w:tc>
        <w:tc>
          <w:tcPr>
            <w:tcW w:type="dxa" w:w="1584"/>
          </w:tcPr>
          <w:p>
            <w:pPr>
              <w:spacing w:after="20"/>
              <w:jc w:val="right"/>
            </w:pPr>
            <w:r>
              <w:rPr>
                <w:color w:val="1C3A36"/>
                <w:sz w:val="17"/>
              </w:rPr>
              <w:t>20%</w:t>
            </w:r>
          </w:p>
        </w:tc>
        <w:tc>
          <w:tcPr>
            <w:tcW w:type="dxa" w:w="4680"/>
          </w:tcPr>
          <w:p>
            <w:pPr>
              <w:spacing w:after="20"/>
              <w:jc w:val="right"/>
            </w:pPr>
            <w:r>
              <w:rPr>
                <w:color w:val="1C3A36"/>
                <w:sz w:val="17"/>
              </w:rPr>
              <w:t>fuel relief confirmed plus JV news; the market extends the capitalised framing</w:t>
            </w:r>
          </w:p>
        </w:tc>
      </w:tr>
      <w:tr>
        <w:tc>
          <w:tcPr>
            <w:tcW w:type="dxa" w:w="1944"/>
          </w:tcPr>
          <w:p>
            <w:pPr>
              <w:spacing w:after="20"/>
            </w:pPr>
            <w:r>
              <w:rPr>
                <w:color w:val="1C3A36"/>
                <w:sz w:val="17"/>
              </w:rPr>
              <w:t>Right tail</w:t>
            </w:r>
          </w:p>
        </w:tc>
        <w:tc>
          <w:tcPr>
            <w:tcW w:type="dxa" w:w="1872"/>
          </w:tcPr>
          <w:p>
            <w:pPr>
              <w:spacing w:after="20"/>
              <w:jc w:val="right"/>
            </w:pPr>
            <w:r>
              <w:rPr>
                <w:color w:val="1C3A36"/>
                <w:sz w:val="17"/>
              </w:rPr>
              <w:t>above 6.89</w:t>
            </w:r>
          </w:p>
        </w:tc>
        <w:tc>
          <w:tcPr>
            <w:tcW w:type="dxa" w:w="1584"/>
          </w:tcPr>
          <w:p>
            <w:pPr>
              <w:spacing w:after="20"/>
              <w:jc w:val="right"/>
            </w:pPr>
            <w:r>
              <w:rPr>
                <w:color w:val="1C3A36"/>
                <w:sz w:val="17"/>
              </w:rPr>
              <w:t>5%</w:t>
            </w:r>
          </w:p>
        </w:tc>
        <w:tc>
          <w:tcPr>
            <w:tcW w:type="dxa" w:w="4680"/>
          </w:tcPr>
          <w:p>
            <w:pPr>
              <w:spacing w:after="20"/>
              <w:jc w:val="right"/>
            </w:pPr>
            <w:r>
              <w:rPr>
                <w:color w:val="1C3A36"/>
                <w:sz w:val="17"/>
              </w:rPr>
              <w:t>a step-change: Saudi launch detail, a special distribution, or an index event</w:t>
            </w:r>
          </w:p>
        </w:tc>
      </w:tr>
    </w:tbl>
    <w:p>
      <w:pPr>
        <w:spacing w:after="40"/>
      </w:pPr>
    </w:p>
    <w:p>
      <w:pPr>
        <w:spacing w:after="120" w:before="280"/>
      </w:pPr>
      <w:r>
        <w:rPr>
          <w:b/>
          <w:i w:val="0"/>
          <w:color w:val="1C3A36"/>
          <w:sz w:val="30"/>
        </w:rPr>
        <w:t>7  Caveats — and what would change our mind</w:t>
      </w:r>
    </w:p>
    <w:p>
      <w:pPr>
        <w:pStyle w:val="ListBullet"/>
        <w:spacing w:after="60"/>
      </w:pPr>
      <w:r>
        <w:rPr>
          <w:b/>
          <w:color w:val="1C3A36"/>
          <w:sz w:val="21"/>
        </w:rPr>
        <w:t xml:space="preserve">The owned-versus-leased delivery split is not disclosed.  </w:t>
      </w:r>
      <w:r>
        <w:rPr>
          <w:color w:val="1C3A36"/>
          <w:sz w:val="21"/>
        </w:rPr>
        <w:t>Fleet capex is the model's weakest driver: the forward split between loan-financed and leased aircraft is assumed (~3–4 owned a year plus the pre-delivery ladder) and heavily sensitised. A disclosure of the financing plan for the neo ramp would replace an assumption with a fact.</w:t>
      </w:r>
    </w:p>
    <w:p>
      <w:pPr>
        <w:pStyle w:val="ListBullet"/>
        <w:spacing w:after="60"/>
      </w:pPr>
      <w:r>
        <w:rPr>
          <w:b/>
          <w:color w:val="1C3A36"/>
          <w:sz w:val="21"/>
        </w:rPr>
        <w:t xml:space="preserve">Fuel hedge ratios are not disclosed.  </w:t>
      </w:r>
      <w:r>
        <w:rPr>
          <w:color w:val="1C3A36"/>
          <w:sz w:val="21"/>
        </w:rPr>
        <w:t>The accounts show commodity swaps and collars out to 2028 but not the hedged share; the fuel sensitivity therefore overstates both directions somewhat.</w:t>
      </w:r>
    </w:p>
    <w:p>
      <w:pPr>
        <w:pStyle w:val="ListBullet"/>
        <w:spacing w:after="60"/>
      </w:pPr>
      <w:r>
        <w:rPr>
          <w:b/>
          <w:color w:val="1C3A36"/>
          <w:sz w:val="21"/>
        </w:rPr>
        <w:t xml:space="preserve">The JV network's disclosure is thin.  </w:t>
      </w:r>
      <w:r>
        <w:rPr>
          <w:color w:val="1C3A36"/>
          <w:sz w:val="21"/>
        </w:rPr>
        <w:t>One page of 100%-basis figures per venture, once a year. The contested judgement would collapse if the group consolidated a venture or published venture-level guidance.</w:t>
      </w:r>
    </w:p>
    <w:p>
      <w:pPr>
        <w:pStyle w:val="ListBullet"/>
        <w:spacing w:after="60"/>
      </w:pPr>
      <w:r>
        <w:rPr>
          <w:b/>
          <w:color w:val="1C3A36"/>
          <w:sz w:val="21"/>
        </w:rPr>
        <w:t xml:space="preserve">Geopolitics.  </w:t>
      </w:r>
      <w:r>
        <w:rPr>
          <w:color w:val="1C3A36"/>
          <w:sz w:val="21"/>
        </w:rPr>
        <w:t>H1-2026 showed the exposure: seven airspaces closed and the group still held revenue flat. A longer closure or a Gulf escalation is the bear case, and no probability map built on history prices an unprecedented event well.</w:t>
      </w:r>
    </w:p>
    <w:p>
      <w:pPr>
        <w:pStyle w:val="ListBullet"/>
        <w:spacing w:after="60"/>
      </w:pPr>
      <w:r>
        <w:rPr>
          <w:b/>
          <w:color w:val="1C3A36"/>
          <w:sz w:val="21"/>
        </w:rPr>
        <w:t xml:space="preserve">Older filings are scanned images.  </w:t>
      </w:r>
      <w:r>
        <w:rPr>
          <w:color w:val="1C3A36"/>
          <w:sz w:val="21"/>
        </w:rPr>
        <w:t>FY2022–FY2024 statements were machine-read and every figure used was cross-checked against the following year's typed comparative column; the FY2024 revenue-line table in the FY2025 filing itself contains a footing inconsistency, recorded in the bibliography rather than repaired.</w:t>
      </w:r>
    </w:p>
    <w:p>
      <w:pPr>
        <w:pStyle w:val="ListBullet"/>
        <w:spacing w:after="60"/>
      </w:pPr>
      <w:r>
        <w:rPr>
          <w:b/>
          <w:color w:val="1C3A36"/>
          <w:sz w:val="21"/>
        </w:rPr>
        <w:t xml:space="preserve">What would move the fair value UP.  </w:t>
      </w:r>
      <w:r>
        <w:rPr>
          <w:color w:val="1C3A36"/>
          <w:sz w:val="21"/>
        </w:rPr>
        <w:t>Confirmed 2027 fuel relief (adds ~AED 1.7 to the DCF versus the high-fuel path), a Saudi launch date, consolidated venture disclosure, or a faster neo ramp at held load factors.</w:t>
      </w:r>
    </w:p>
    <w:p>
      <w:pPr>
        <w:pStyle w:val="ListBullet"/>
        <w:spacing w:after="60"/>
      </w:pPr>
      <w:r>
        <w:rPr>
          <w:b/>
          <w:color w:val="1C3A36"/>
          <w:sz w:val="21"/>
        </w:rPr>
        <w:t xml:space="preserve">What would move it DOWN.  </w:t>
      </w:r>
      <w:r>
        <w:rPr>
          <w:color w:val="1C3A36"/>
          <w:sz w:val="21"/>
        </w:rPr>
        <w:t>Fuel high for longer, a yield war as regional capacity returns, a delivery slip pushing the capex-revenue mismatch deeper, or the dividend ladder breaking.</w:t>
      </w:r>
    </w:p>
    <w:p>
      <w:pPr>
        <w:spacing w:after="120" w:before="280"/>
      </w:pPr>
      <w:r>
        <w:rPr>
          <w:b/>
          <w:i w:val="0"/>
          <w:color w:val="1C3A36"/>
          <w:sz w:val="30"/>
        </w:rPr>
        <w:t>Appendix A — Financial statements</w:t>
      </w:r>
    </w:p>
    <w:p>
      <w:pPr>
        <w:spacing w:after="80" w:before="200"/>
      </w:pPr>
      <w:r>
        <w:rPr>
          <w:b/>
          <w:i w:val="0"/>
          <w:color w:val="1C3A36"/>
          <w:sz w:val="24"/>
        </w:rPr>
        <w:t>A.1  Income statement, three years audited + five years forecast (AED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950"/>
        <w:gridCol w:w="950"/>
        <w:gridCol w:w="950"/>
        <w:gridCol w:w="950"/>
        <w:gridCol w:w="950"/>
        <w:gridCol w:w="950"/>
        <w:gridCol w:w="950"/>
        <w:gridCol w:w="950"/>
      </w:tblGrid>
      <w:tr>
        <w:tc>
          <w:tcPr>
            <w:tcW w:type="dxa" w:w="2448"/>
            <w:shd w:val="clear" w:color="auto" w:fill="EAF0EE"/>
          </w:tcPr>
          <w:p>
            <w:pPr>
              <w:spacing w:after="20"/>
            </w:pPr>
            <w:r>
              <w:rPr>
                <w:b/>
                <w:color w:val="1C3A36"/>
                <w:sz w:val="15"/>
              </w:rPr>
            </w:r>
          </w:p>
        </w:tc>
        <w:tc>
          <w:tcPr>
            <w:tcW w:type="dxa" w:w="950"/>
            <w:shd w:val="clear" w:color="auto" w:fill="EAF0EE"/>
          </w:tcPr>
          <w:p>
            <w:pPr>
              <w:spacing w:after="20"/>
            </w:pPr>
            <w:r>
              <w:rPr>
                <w:b/>
                <w:color w:val="1C3A36"/>
                <w:sz w:val="15"/>
              </w:rPr>
              <w:t>FY2023</w:t>
            </w:r>
          </w:p>
        </w:tc>
        <w:tc>
          <w:tcPr>
            <w:tcW w:type="dxa" w:w="950"/>
            <w:shd w:val="clear" w:color="auto" w:fill="EAF0EE"/>
          </w:tcPr>
          <w:p>
            <w:pPr>
              <w:spacing w:after="20"/>
            </w:pPr>
            <w:r>
              <w:rPr>
                <w:b/>
                <w:color w:val="1C3A36"/>
                <w:sz w:val="15"/>
              </w:rPr>
              <w:t>FY2024*</w:t>
            </w:r>
          </w:p>
        </w:tc>
        <w:tc>
          <w:tcPr>
            <w:tcW w:type="dxa" w:w="950"/>
            <w:shd w:val="clear" w:color="auto" w:fill="EAF0EE"/>
          </w:tcPr>
          <w:p>
            <w:pPr>
              <w:spacing w:after="20"/>
            </w:pPr>
            <w:r>
              <w:rPr>
                <w:b/>
                <w:color w:val="1C3A36"/>
                <w:sz w:val="15"/>
              </w:rPr>
              <w:t>FY2025</w:t>
            </w:r>
          </w:p>
        </w:tc>
        <w:tc>
          <w:tcPr>
            <w:tcW w:type="dxa" w:w="950"/>
            <w:shd w:val="clear" w:color="auto" w:fill="EAF0EE"/>
          </w:tcPr>
          <w:p>
            <w:pPr>
              <w:spacing w:after="20"/>
            </w:pPr>
            <w:r>
              <w:rPr>
                <w:b/>
                <w:color w:val="1C3A36"/>
                <w:sz w:val="15"/>
              </w:rPr>
              <w:t>FY26E</w:t>
            </w:r>
          </w:p>
        </w:tc>
        <w:tc>
          <w:tcPr>
            <w:tcW w:type="dxa" w:w="950"/>
            <w:shd w:val="clear" w:color="auto" w:fill="EAF0EE"/>
          </w:tcPr>
          <w:p>
            <w:pPr>
              <w:spacing w:after="20"/>
            </w:pPr>
            <w:r>
              <w:rPr>
                <w:b/>
                <w:color w:val="1C3A36"/>
                <w:sz w:val="15"/>
              </w:rPr>
              <w:t>FY27E</w:t>
            </w:r>
          </w:p>
        </w:tc>
        <w:tc>
          <w:tcPr>
            <w:tcW w:type="dxa" w:w="950"/>
            <w:shd w:val="clear" w:color="auto" w:fill="EAF0EE"/>
          </w:tcPr>
          <w:p>
            <w:pPr>
              <w:spacing w:after="20"/>
            </w:pPr>
            <w:r>
              <w:rPr>
                <w:b/>
                <w:color w:val="1C3A36"/>
                <w:sz w:val="15"/>
              </w:rPr>
              <w:t>FY28E</w:t>
            </w:r>
          </w:p>
        </w:tc>
        <w:tc>
          <w:tcPr>
            <w:tcW w:type="dxa" w:w="950"/>
            <w:shd w:val="clear" w:color="auto" w:fill="EAF0EE"/>
          </w:tcPr>
          <w:p>
            <w:pPr>
              <w:spacing w:after="20"/>
            </w:pPr>
            <w:r>
              <w:rPr>
                <w:b/>
                <w:color w:val="1C3A36"/>
                <w:sz w:val="15"/>
              </w:rPr>
              <w:t>FY29E</w:t>
            </w:r>
          </w:p>
        </w:tc>
        <w:tc>
          <w:tcPr>
            <w:tcW w:type="dxa" w:w="950"/>
            <w:shd w:val="clear" w:color="auto" w:fill="EAF0EE"/>
          </w:tcPr>
          <w:p>
            <w:pPr>
              <w:spacing w:after="20"/>
            </w:pPr>
            <w:r>
              <w:rPr>
                <w:b/>
                <w:color w:val="1C3A36"/>
                <w:sz w:val="15"/>
              </w:rPr>
              <w:t>FY30E</w:t>
            </w:r>
          </w:p>
        </w:tc>
      </w:tr>
      <w:tr>
        <w:tc>
          <w:tcPr>
            <w:tcW w:type="dxa" w:w="2448"/>
          </w:tcPr>
          <w:p>
            <w:pPr>
              <w:spacing w:after="20"/>
            </w:pPr>
            <w:r>
              <w:rPr>
                <w:color w:val="1C3A36"/>
                <w:sz w:val="15"/>
              </w:rPr>
              <w:t>Revenue</w:t>
            </w:r>
          </w:p>
        </w:tc>
        <w:tc>
          <w:tcPr>
            <w:tcW w:type="dxa" w:w="950"/>
          </w:tcPr>
          <w:p>
            <w:pPr>
              <w:spacing w:after="20"/>
              <w:jc w:val="right"/>
            </w:pPr>
            <w:r>
              <w:rPr>
                <w:color w:val="1C3A36"/>
                <w:sz w:val="15"/>
              </w:rPr>
              <w:t>6,000</w:t>
            </w:r>
          </w:p>
        </w:tc>
        <w:tc>
          <w:tcPr>
            <w:tcW w:type="dxa" w:w="950"/>
          </w:tcPr>
          <w:p>
            <w:pPr>
              <w:spacing w:after="20"/>
              <w:jc w:val="right"/>
            </w:pPr>
            <w:r>
              <w:rPr>
                <w:color w:val="1C3A36"/>
                <w:sz w:val="15"/>
              </w:rPr>
              <w:t>6,766</w:t>
            </w:r>
          </w:p>
        </w:tc>
        <w:tc>
          <w:tcPr>
            <w:tcW w:type="dxa" w:w="950"/>
          </w:tcPr>
          <w:p>
            <w:pPr>
              <w:spacing w:after="20"/>
              <w:jc w:val="right"/>
            </w:pPr>
            <w:r>
              <w:rPr>
                <w:color w:val="1C3A36"/>
                <w:sz w:val="15"/>
              </w:rPr>
              <w:t>7,788</w:t>
            </w:r>
          </w:p>
        </w:tc>
        <w:tc>
          <w:tcPr>
            <w:tcW w:type="dxa" w:w="950"/>
          </w:tcPr>
          <w:p>
            <w:pPr>
              <w:spacing w:after="20"/>
              <w:jc w:val="right"/>
            </w:pPr>
            <w:r>
              <w:rPr>
                <w:color w:val="1C3A36"/>
                <w:sz w:val="15"/>
              </w:rPr>
              <w:t>7,869</w:t>
            </w:r>
          </w:p>
        </w:tc>
        <w:tc>
          <w:tcPr>
            <w:tcW w:type="dxa" w:w="950"/>
          </w:tcPr>
          <w:p>
            <w:pPr>
              <w:spacing w:after="20"/>
              <w:jc w:val="right"/>
            </w:pPr>
            <w:r>
              <w:rPr>
                <w:color w:val="1C3A36"/>
                <w:sz w:val="15"/>
              </w:rPr>
              <w:t>8,451</w:t>
            </w:r>
          </w:p>
        </w:tc>
        <w:tc>
          <w:tcPr>
            <w:tcW w:type="dxa" w:w="950"/>
          </w:tcPr>
          <w:p>
            <w:pPr>
              <w:spacing w:after="20"/>
              <w:jc w:val="right"/>
            </w:pPr>
            <w:r>
              <w:rPr>
                <w:color w:val="1C3A36"/>
                <w:sz w:val="15"/>
              </w:rPr>
              <w:t>9,257</w:t>
            </w:r>
          </w:p>
        </w:tc>
        <w:tc>
          <w:tcPr>
            <w:tcW w:type="dxa" w:w="950"/>
          </w:tcPr>
          <w:p>
            <w:pPr>
              <w:spacing w:after="20"/>
              <w:jc w:val="right"/>
            </w:pPr>
            <w:r>
              <w:rPr>
                <w:color w:val="1C3A36"/>
                <w:sz w:val="15"/>
              </w:rPr>
              <w:t>10,095</w:t>
            </w:r>
          </w:p>
        </w:tc>
        <w:tc>
          <w:tcPr>
            <w:tcW w:type="dxa" w:w="950"/>
          </w:tcPr>
          <w:p>
            <w:pPr>
              <w:spacing w:after="20"/>
              <w:jc w:val="right"/>
            </w:pPr>
            <w:r>
              <w:rPr>
                <w:color w:val="1C3A36"/>
                <w:sz w:val="15"/>
              </w:rPr>
              <w:t>10,952</w:t>
            </w:r>
          </w:p>
        </w:tc>
      </w:tr>
      <w:tr>
        <w:tc>
          <w:tcPr>
            <w:tcW w:type="dxa" w:w="2448"/>
          </w:tcPr>
          <w:p>
            <w:pPr>
              <w:spacing w:after="20"/>
            </w:pPr>
            <w:r>
              <w:rPr>
                <w:color w:val="1C3A36"/>
                <w:sz w:val="15"/>
              </w:rPr>
              <w:t>Direct operating costs (cash, forecast)</w:t>
            </w:r>
          </w:p>
        </w:tc>
        <w:tc>
          <w:tcPr>
            <w:tcW w:type="dxa" w:w="950"/>
          </w:tcPr>
          <w:p>
            <w:pPr>
              <w:spacing w:after="20"/>
              <w:jc w:val="right"/>
            </w:pPr>
            <w:r>
              <w:rPr>
                <w:color w:val="1C3A36"/>
                <w:sz w:val="15"/>
              </w:rPr>
              <w:t>4,343</w:t>
            </w:r>
          </w:p>
        </w:tc>
        <w:tc>
          <w:tcPr>
            <w:tcW w:type="dxa" w:w="950"/>
          </w:tcPr>
          <w:p>
            <w:pPr>
              <w:spacing w:after="20"/>
              <w:jc w:val="right"/>
            </w:pPr>
            <w:r>
              <w:rPr>
                <w:color w:val="1C3A36"/>
                <w:sz w:val="15"/>
              </w:rPr>
              <w:t>5,203</w:t>
            </w:r>
          </w:p>
        </w:tc>
        <w:tc>
          <w:tcPr>
            <w:tcW w:type="dxa" w:w="950"/>
          </w:tcPr>
          <w:p>
            <w:pPr>
              <w:spacing w:after="20"/>
              <w:jc w:val="right"/>
            </w:pPr>
            <w:r>
              <w:rPr>
                <w:color w:val="1C3A36"/>
                <w:sz w:val="15"/>
              </w:rPr>
              <w:t>6,088</w:t>
            </w:r>
          </w:p>
        </w:tc>
        <w:tc>
          <w:tcPr>
            <w:tcW w:type="dxa" w:w="950"/>
          </w:tcPr>
          <w:p>
            <w:pPr>
              <w:spacing w:after="20"/>
              <w:jc w:val="right"/>
            </w:pPr>
            <w:r>
              <w:rPr>
                <w:color w:val="1C3A36"/>
                <w:sz w:val="15"/>
              </w:rPr>
              <w:t>5,800</w:t>
            </w:r>
          </w:p>
        </w:tc>
        <w:tc>
          <w:tcPr>
            <w:tcW w:type="dxa" w:w="950"/>
          </w:tcPr>
          <w:p>
            <w:pPr>
              <w:spacing w:after="20"/>
              <w:jc w:val="right"/>
            </w:pPr>
            <w:r>
              <w:rPr>
                <w:color w:val="1C3A36"/>
                <w:sz w:val="15"/>
              </w:rPr>
              <w:t>5,966</w:t>
            </w:r>
          </w:p>
        </w:tc>
        <w:tc>
          <w:tcPr>
            <w:tcW w:type="dxa" w:w="950"/>
          </w:tcPr>
          <w:p>
            <w:pPr>
              <w:spacing w:after="20"/>
              <w:jc w:val="right"/>
            </w:pPr>
            <w:r>
              <w:rPr>
                <w:color w:val="1C3A36"/>
                <w:sz w:val="15"/>
              </w:rPr>
              <w:t>6,631</w:t>
            </w:r>
          </w:p>
        </w:tc>
        <w:tc>
          <w:tcPr>
            <w:tcW w:type="dxa" w:w="950"/>
          </w:tcPr>
          <w:p>
            <w:pPr>
              <w:spacing w:after="20"/>
              <w:jc w:val="right"/>
            </w:pPr>
            <w:r>
              <w:rPr>
                <w:color w:val="1C3A36"/>
                <w:sz w:val="15"/>
              </w:rPr>
              <w:t>7,322</w:t>
            </w:r>
          </w:p>
        </w:tc>
        <w:tc>
          <w:tcPr>
            <w:tcW w:type="dxa" w:w="950"/>
          </w:tcPr>
          <w:p>
            <w:pPr>
              <w:spacing w:after="20"/>
              <w:jc w:val="right"/>
            </w:pPr>
            <w:r>
              <w:rPr>
                <w:color w:val="1C3A36"/>
                <w:sz w:val="15"/>
              </w:rPr>
              <w:t>8,041</w:t>
            </w:r>
          </w:p>
        </w:tc>
      </w:tr>
      <w:tr>
        <w:tc>
          <w:tcPr>
            <w:tcW w:type="dxa" w:w="2448"/>
          </w:tcPr>
          <w:p>
            <w:pPr>
              <w:spacing w:after="20"/>
            </w:pPr>
            <w:r>
              <w:rPr>
                <w:color w:val="1C3A36"/>
                <w:sz w:val="15"/>
              </w:rPr>
              <w:t>EBITDA</w:t>
            </w:r>
          </w:p>
        </w:tc>
        <w:tc>
          <w:tcPr>
            <w:tcW w:type="dxa" w:w="950"/>
          </w:tcPr>
          <w:p>
            <w:pPr>
              <w:spacing w:after="20"/>
              <w:jc w:val="right"/>
            </w:pPr>
            <w:r>
              <w:rPr>
                <w:color w:val="1C3A36"/>
                <w:sz w:val="15"/>
              </w:rPr>
              <w:t>1,886</w:t>
            </w:r>
          </w:p>
        </w:tc>
        <w:tc>
          <w:tcPr>
            <w:tcW w:type="dxa" w:w="950"/>
          </w:tcPr>
          <w:p>
            <w:pPr>
              <w:spacing w:after="20"/>
              <w:jc w:val="right"/>
            </w:pPr>
            <w:r>
              <w:rPr>
                <w:color w:val="1C3A36"/>
                <w:sz w:val="15"/>
              </w:rPr>
              <w:t>1,833</w:t>
            </w:r>
          </w:p>
        </w:tc>
        <w:tc>
          <w:tcPr>
            <w:tcW w:type="dxa" w:w="950"/>
          </w:tcPr>
          <w:p>
            <w:pPr>
              <w:spacing w:after="20"/>
              <w:jc w:val="right"/>
            </w:pPr>
            <w:r>
              <w:rPr>
                <w:color w:val="1C3A36"/>
                <w:sz w:val="15"/>
              </w:rPr>
              <w:t>1,891</w:t>
            </w:r>
          </w:p>
        </w:tc>
        <w:tc>
          <w:tcPr>
            <w:tcW w:type="dxa" w:w="950"/>
          </w:tcPr>
          <w:p>
            <w:pPr>
              <w:spacing w:after="20"/>
              <w:jc w:val="right"/>
            </w:pPr>
            <w:r>
              <w:rPr>
                <w:color w:val="1C3A36"/>
                <w:sz w:val="15"/>
              </w:rPr>
              <w:t>1,663</w:t>
            </w:r>
          </w:p>
        </w:tc>
        <w:tc>
          <w:tcPr>
            <w:tcW w:type="dxa" w:w="950"/>
          </w:tcPr>
          <w:p>
            <w:pPr>
              <w:spacing w:after="20"/>
              <w:jc w:val="right"/>
            </w:pPr>
            <w:r>
              <w:rPr>
                <w:color w:val="1C3A36"/>
                <w:sz w:val="15"/>
              </w:rPr>
              <w:t>2,057</w:t>
            </w:r>
          </w:p>
        </w:tc>
        <w:tc>
          <w:tcPr>
            <w:tcW w:type="dxa" w:w="950"/>
          </w:tcPr>
          <w:p>
            <w:pPr>
              <w:spacing w:after="20"/>
              <w:jc w:val="right"/>
            </w:pPr>
            <w:r>
              <w:rPr>
                <w:color w:val="1C3A36"/>
                <w:sz w:val="15"/>
              </w:rPr>
              <w:t>2,171</w:t>
            </w:r>
          </w:p>
        </w:tc>
        <w:tc>
          <w:tcPr>
            <w:tcW w:type="dxa" w:w="950"/>
          </w:tcPr>
          <w:p>
            <w:pPr>
              <w:spacing w:after="20"/>
              <w:jc w:val="right"/>
            </w:pPr>
            <w:r>
              <w:rPr>
                <w:color w:val="1C3A36"/>
                <w:sz w:val="15"/>
              </w:rPr>
              <w:t>2,290</w:t>
            </w:r>
          </w:p>
        </w:tc>
        <w:tc>
          <w:tcPr>
            <w:tcW w:type="dxa" w:w="950"/>
          </w:tcPr>
          <w:p>
            <w:pPr>
              <w:spacing w:after="20"/>
              <w:jc w:val="right"/>
            </w:pPr>
            <w:r>
              <w:rPr>
                <w:color w:val="1C3A36"/>
                <w:sz w:val="15"/>
              </w:rPr>
              <w:t>2,398</w:t>
            </w:r>
          </w:p>
        </w:tc>
      </w:tr>
      <w:tr>
        <w:tc>
          <w:tcPr>
            <w:tcW w:type="dxa" w:w="2448"/>
          </w:tcPr>
          <w:p>
            <w:pPr>
              <w:spacing w:after="20"/>
            </w:pPr>
            <w:r>
              <w:rPr>
                <w:color w:val="1C3A36"/>
                <w:sz w:val="15"/>
              </w:rPr>
              <w:t>Depreciation &amp; amortisation</w:t>
            </w:r>
          </w:p>
        </w:tc>
        <w:tc>
          <w:tcPr>
            <w:tcW w:type="dxa" w:w="950"/>
          </w:tcPr>
          <w:p>
            <w:pPr>
              <w:spacing w:after="20"/>
              <w:jc w:val="right"/>
            </w:pPr>
            <w:r>
              <w:rPr>
                <w:color w:val="1C3A36"/>
                <w:sz w:val="15"/>
              </w:rPr>
              <w:t>647</w:t>
            </w:r>
          </w:p>
        </w:tc>
        <w:tc>
          <w:tcPr>
            <w:tcW w:type="dxa" w:w="950"/>
          </w:tcPr>
          <w:p>
            <w:pPr>
              <w:spacing w:after="20"/>
              <w:jc w:val="right"/>
            </w:pPr>
            <w:r>
              <w:rPr>
                <w:color w:val="1C3A36"/>
                <w:sz w:val="15"/>
              </w:rPr>
              <w:t>649</w:t>
            </w:r>
          </w:p>
        </w:tc>
        <w:tc>
          <w:tcPr>
            <w:tcW w:type="dxa" w:w="950"/>
          </w:tcPr>
          <w:p>
            <w:pPr>
              <w:spacing w:after="20"/>
              <w:jc w:val="right"/>
            </w:pPr>
            <w:r>
              <w:rPr>
                <w:color w:val="1C3A36"/>
                <w:sz w:val="15"/>
              </w:rPr>
              <w:t>622</w:t>
            </w:r>
          </w:p>
        </w:tc>
        <w:tc>
          <w:tcPr>
            <w:tcW w:type="dxa" w:w="950"/>
          </w:tcPr>
          <w:p>
            <w:pPr>
              <w:spacing w:after="20"/>
              <w:jc w:val="right"/>
            </w:pPr>
            <w:r>
              <w:rPr>
                <w:color w:val="1C3A36"/>
                <w:sz w:val="15"/>
              </w:rPr>
              <w:t>720</w:t>
            </w:r>
          </w:p>
        </w:tc>
        <w:tc>
          <w:tcPr>
            <w:tcW w:type="dxa" w:w="950"/>
          </w:tcPr>
          <w:p>
            <w:pPr>
              <w:spacing w:after="20"/>
              <w:jc w:val="right"/>
            </w:pPr>
            <w:r>
              <w:rPr>
                <w:color w:val="1C3A36"/>
                <w:sz w:val="15"/>
              </w:rPr>
              <w:t>810</w:t>
            </w:r>
          </w:p>
        </w:tc>
        <w:tc>
          <w:tcPr>
            <w:tcW w:type="dxa" w:w="950"/>
          </w:tcPr>
          <w:p>
            <w:pPr>
              <w:spacing w:after="20"/>
              <w:jc w:val="right"/>
            </w:pPr>
            <w:r>
              <w:rPr>
                <w:color w:val="1C3A36"/>
                <w:sz w:val="15"/>
              </w:rPr>
              <w:t>900</w:t>
            </w:r>
          </w:p>
        </w:tc>
        <w:tc>
          <w:tcPr>
            <w:tcW w:type="dxa" w:w="950"/>
          </w:tcPr>
          <w:p>
            <w:pPr>
              <w:spacing w:after="20"/>
              <w:jc w:val="right"/>
            </w:pPr>
            <w:r>
              <w:rPr>
                <w:color w:val="1C3A36"/>
                <w:sz w:val="15"/>
              </w:rPr>
              <w:t>980</w:t>
            </w:r>
          </w:p>
        </w:tc>
        <w:tc>
          <w:tcPr>
            <w:tcW w:type="dxa" w:w="950"/>
          </w:tcPr>
          <w:p>
            <w:pPr>
              <w:spacing w:after="20"/>
              <w:jc w:val="right"/>
            </w:pPr>
            <w:r>
              <w:rPr>
                <w:color w:val="1C3A36"/>
                <w:sz w:val="15"/>
              </w:rPr>
              <w:t>1,060</w:t>
            </w:r>
          </w:p>
        </w:tc>
      </w:tr>
      <w:tr>
        <w:tc>
          <w:tcPr>
            <w:tcW w:type="dxa" w:w="2448"/>
          </w:tcPr>
          <w:p>
            <w:pPr>
              <w:spacing w:after="20"/>
            </w:pPr>
            <w:r>
              <w:rPr>
                <w:color w:val="1C3A36"/>
                <w:sz w:val="15"/>
              </w:rPr>
              <w:t>Operating profit</w:t>
            </w:r>
          </w:p>
        </w:tc>
        <w:tc>
          <w:tcPr>
            <w:tcW w:type="dxa" w:w="950"/>
          </w:tcPr>
          <w:p>
            <w:pPr>
              <w:spacing w:after="20"/>
              <w:jc w:val="right"/>
            </w:pPr>
            <w:r>
              <w:rPr>
                <w:color w:val="1C3A36"/>
                <w:sz w:val="15"/>
              </w:rPr>
              <w:t>1,239</w:t>
            </w:r>
          </w:p>
        </w:tc>
        <w:tc>
          <w:tcPr>
            <w:tcW w:type="dxa" w:w="950"/>
          </w:tcPr>
          <w:p>
            <w:pPr>
              <w:spacing w:after="20"/>
              <w:jc w:val="right"/>
            </w:pPr>
            <w:r>
              <w:rPr>
                <w:color w:val="1C3A36"/>
                <w:sz w:val="15"/>
              </w:rPr>
              <w:t>1,184</w:t>
            </w:r>
          </w:p>
        </w:tc>
        <w:tc>
          <w:tcPr>
            <w:tcW w:type="dxa" w:w="950"/>
          </w:tcPr>
          <w:p>
            <w:pPr>
              <w:spacing w:after="20"/>
              <w:jc w:val="right"/>
            </w:pPr>
            <w:r>
              <w:rPr>
                <w:color w:val="1C3A36"/>
                <w:sz w:val="15"/>
              </w:rPr>
              <w:t>1,270</w:t>
            </w:r>
          </w:p>
        </w:tc>
        <w:tc>
          <w:tcPr>
            <w:tcW w:type="dxa" w:w="950"/>
          </w:tcPr>
          <w:p>
            <w:pPr>
              <w:spacing w:after="20"/>
              <w:jc w:val="right"/>
            </w:pPr>
            <w:r>
              <w:rPr>
                <w:color w:val="1C3A36"/>
                <w:sz w:val="15"/>
              </w:rPr>
              <w:t>943</w:t>
            </w:r>
          </w:p>
        </w:tc>
        <w:tc>
          <w:tcPr>
            <w:tcW w:type="dxa" w:w="950"/>
          </w:tcPr>
          <w:p>
            <w:pPr>
              <w:spacing w:after="20"/>
              <w:jc w:val="right"/>
            </w:pPr>
            <w:r>
              <w:rPr>
                <w:color w:val="1C3A36"/>
                <w:sz w:val="15"/>
              </w:rPr>
              <w:t>1,247</w:t>
            </w:r>
          </w:p>
        </w:tc>
        <w:tc>
          <w:tcPr>
            <w:tcW w:type="dxa" w:w="950"/>
          </w:tcPr>
          <w:p>
            <w:pPr>
              <w:spacing w:after="20"/>
              <w:jc w:val="right"/>
            </w:pPr>
            <w:r>
              <w:rPr>
                <w:color w:val="1C3A36"/>
                <w:sz w:val="15"/>
              </w:rPr>
              <w:t>1,271</w:t>
            </w:r>
          </w:p>
        </w:tc>
        <w:tc>
          <w:tcPr>
            <w:tcW w:type="dxa" w:w="950"/>
          </w:tcPr>
          <w:p>
            <w:pPr>
              <w:spacing w:after="20"/>
              <w:jc w:val="right"/>
            </w:pPr>
            <w:r>
              <w:rPr>
                <w:color w:val="1C3A36"/>
                <w:sz w:val="15"/>
              </w:rPr>
              <w:t>1,310</w:t>
            </w:r>
          </w:p>
        </w:tc>
        <w:tc>
          <w:tcPr>
            <w:tcW w:type="dxa" w:w="950"/>
          </w:tcPr>
          <w:p>
            <w:pPr>
              <w:spacing w:after="20"/>
              <w:jc w:val="right"/>
            </w:pPr>
            <w:r>
              <w:rPr>
                <w:color w:val="1C3A36"/>
                <w:sz w:val="15"/>
              </w:rPr>
              <w:t>1,338</w:t>
            </w:r>
          </w:p>
        </w:tc>
      </w:tr>
      <w:tr>
        <w:tc>
          <w:tcPr>
            <w:tcW w:type="dxa" w:w="2448"/>
          </w:tcPr>
          <w:p>
            <w:pPr>
              <w:spacing w:after="20"/>
            </w:pPr>
            <w:r>
              <w:rPr>
                <w:color w:val="1C3A36"/>
                <w:sz w:val="15"/>
              </w:rPr>
              <w:t>Other income</w:t>
            </w:r>
          </w:p>
        </w:tc>
        <w:tc>
          <w:tcPr>
            <w:tcW w:type="dxa" w:w="950"/>
          </w:tcPr>
          <w:p>
            <w:pPr>
              <w:spacing w:after="20"/>
              <w:jc w:val="right"/>
            </w:pPr>
            <w:r>
              <w:rPr>
                <w:color w:val="1C3A36"/>
                <w:sz w:val="15"/>
              </w:rPr>
              <w:t>113</w:t>
            </w:r>
          </w:p>
        </w:tc>
        <w:tc>
          <w:tcPr>
            <w:tcW w:type="dxa" w:w="950"/>
          </w:tcPr>
          <w:p>
            <w:pPr>
              <w:spacing w:after="20"/>
              <w:jc w:val="right"/>
            </w:pPr>
            <w:r>
              <w:rPr>
                <w:color w:val="1C3A36"/>
                <w:sz w:val="15"/>
              </w:rPr>
              <w:t>132</w:t>
            </w:r>
          </w:p>
        </w:tc>
        <w:tc>
          <w:tcPr>
            <w:tcW w:type="dxa" w:w="950"/>
          </w:tcPr>
          <w:p>
            <w:pPr>
              <w:spacing w:after="20"/>
              <w:jc w:val="right"/>
            </w:pPr>
            <w:r>
              <w:rPr>
                <w:color w:val="1C3A36"/>
                <w:sz w:val="15"/>
              </w:rPr>
              <w:t>197</w:t>
            </w:r>
          </w:p>
        </w:tc>
        <w:tc>
          <w:tcPr>
            <w:tcW w:type="dxa" w:w="950"/>
          </w:tcPr>
          <w:p>
            <w:pPr>
              <w:spacing w:after="20"/>
              <w:jc w:val="right"/>
            </w:pPr>
            <w:r>
              <w:rPr>
                <w:color w:val="1C3A36"/>
                <w:sz w:val="15"/>
              </w:rPr>
              <w:t>213</w:t>
            </w:r>
          </w:p>
        </w:tc>
        <w:tc>
          <w:tcPr>
            <w:tcW w:type="dxa" w:w="950"/>
          </w:tcPr>
          <w:p>
            <w:pPr>
              <w:spacing w:after="20"/>
              <w:jc w:val="right"/>
            </w:pPr>
            <w:r>
              <w:rPr>
                <w:color w:val="1C3A36"/>
                <w:sz w:val="15"/>
              </w:rPr>
              <w:t>230</w:t>
            </w:r>
          </w:p>
        </w:tc>
        <w:tc>
          <w:tcPr>
            <w:tcW w:type="dxa" w:w="950"/>
          </w:tcPr>
          <w:p>
            <w:pPr>
              <w:spacing w:after="20"/>
              <w:jc w:val="right"/>
            </w:pPr>
            <w:r>
              <w:rPr>
                <w:color w:val="1C3A36"/>
                <w:sz w:val="15"/>
              </w:rPr>
              <w:t>248</w:t>
            </w:r>
          </w:p>
        </w:tc>
        <w:tc>
          <w:tcPr>
            <w:tcW w:type="dxa" w:w="950"/>
          </w:tcPr>
          <w:p>
            <w:pPr>
              <w:spacing w:after="20"/>
              <w:jc w:val="right"/>
            </w:pPr>
            <w:r>
              <w:rPr>
                <w:color w:val="1C3A36"/>
                <w:sz w:val="15"/>
              </w:rPr>
              <w:t>266</w:t>
            </w:r>
          </w:p>
        </w:tc>
        <w:tc>
          <w:tcPr>
            <w:tcW w:type="dxa" w:w="950"/>
          </w:tcPr>
          <w:p>
            <w:pPr>
              <w:spacing w:after="20"/>
              <w:jc w:val="right"/>
            </w:pPr>
            <w:r>
              <w:rPr>
                <w:color w:val="1C3A36"/>
                <w:sz w:val="15"/>
              </w:rPr>
              <w:t>282</w:t>
            </w:r>
          </w:p>
        </w:tc>
      </w:tr>
      <w:tr>
        <w:tc>
          <w:tcPr>
            <w:tcW w:type="dxa" w:w="2448"/>
          </w:tcPr>
          <w:p>
            <w:pPr>
              <w:spacing w:after="20"/>
            </w:pPr>
            <w:r>
              <w:rPr>
                <w:color w:val="1C3A36"/>
                <w:sz w:val="15"/>
              </w:rPr>
              <w:t>Finance income</w:t>
            </w:r>
          </w:p>
        </w:tc>
        <w:tc>
          <w:tcPr>
            <w:tcW w:type="dxa" w:w="950"/>
          </w:tcPr>
          <w:p>
            <w:pPr>
              <w:spacing w:after="20"/>
              <w:jc w:val="right"/>
            </w:pPr>
            <w:r>
              <w:rPr>
                <w:color w:val="1C3A36"/>
                <w:sz w:val="15"/>
              </w:rPr>
              <w:t>210</w:t>
            </w:r>
          </w:p>
        </w:tc>
        <w:tc>
          <w:tcPr>
            <w:tcW w:type="dxa" w:w="950"/>
          </w:tcPr>
          <w:p>
            <w:pPr>
              <w:spacing w:after="20"/>
              <w:jc w:val="right"/>
            </w:pPr>
            <w:r>
              <w:rPr>
                <w:color w:val="1C3A36"/>
                <w:sz w:val="15"/>
              </w:rPr>
              <w:t>251</w:t>
            </w:r>
          </w:p>
        </w:tc>
        <w:tc>
          <w:tcPr>
            <w:tcW w:type="dxa" w:w="950"/>
          </w:tcPr>
          <w:p>
            <w:pPr>
              <w:spacing w:after="20"/>
              <w:jc w:val="right"/>
            </w:pPr>
            <w:r>
              <w:rPr>
                <w:color w:val="1C3A36"/>
                <w:sz w:val="15"/>
              </w:rPr>
              <w:t>241</w:t>
            </w:r>
          </w:p>
        </w:tc>
        <w:tc>
          <w:tcPr>
            <w:tcW w:type="dxa" w:w="950"/>
          </w:tcPr>
          <w:p>
            <w:pPr>
              <w:spacing w:after="20"/>
              <w:jc w:val="right"/>
            </w:pPr>
            <w:r>
              <w:rPr>
                <w:color w:val="1C3A36"/>
                <w:sz w:val="15"/>
              </w:rPr>
              <w:t>213</w:t>
            </w:r>
          </w:p>
        </w:tc>
        <w:tc>
          <w:tcPr>
            <w:tcW w:type="dxa" w:w="950"/>
          </w:tcPr>
          <w:p>
            <w:pPr>
              <w:spacing w:after="20"/>
              <w:jc w:val="right"/>
            </w:pPr>
            <w:r>
              <w:rPr>
                <w:color w:val="1C3A36"/>
                <w:sz w:val="15"/>
              </w:rPr>
              <w:t>138</w:t>
            </w:r>
          </w:p>
        </w:tc>
        <w:tc>
          <w:tcPr>
            <w:tcW w:type="dxa" w:w="950"/>
          </w:tcPr>
          <w:p>
            <w:pPr>
              <w:spacing w:after="20"/>
              <w:jc w:val="right"/>
            </w:pPr>
            <w:r>
              <w:rPr>
                <w:color w:val="1C3A36"/>
                <w:sz w:val="15"/>
              </w:rPr>
              <w:t>107</w:t>
            </w:r>
          </w:p>
        </w:tc>
        <w:tc>
          <w:tcPr>
            <w:tcW w:type="dxa" w:w="950"/>
          </w:tcPr>
          <w:p>
            <w:pPr>
              <w:spacing w:after="20"/>
              <w:jc w:val="right"/>
            </w:pPr>
            <w:r>
              <w:rPr>
                <w:color w:val="1C3A36"/>
                <w:sz w:val="15"/>
              </w:rPr>
              <w:t>103</w:t>
            </w:r>
          </w:p>
        </w:tc>
        <w:tc>
          <w:tcPr>
            <w:tcW w:type="dxa" w:w="950"/>
          </w:tcPr>
          <w:p>
            <w:pPr>
              <w:spacing w:after="20"/>
              <w:jc w:val="right"/>
            </w:pPr>
            <w:r>
              <w:rPr>
                <w:color w:val="1C3A36"/>
                <w:sz w:val="15"/>
              </w:rPr>
              <w:t>103</w:t>
            </w:r>
          </w:p>
        </w:tc>
      </w:tr>
      <w:tr>
        <w:tc>
          <w:tcPr>
            <w:tcW w:type="dxa" w:w="2448"/>
          </w:tcPr>
          <w:p>
            <w:pPr>
              <w:spacing w:after="20"/>
            </w:pPr>
            <w:r>
              <w:rPr>
                <w:color w:val="1C3A36"/>
                <w:sz w:val="15"/>
              </w:rPr>
              <w:t>Finance costs</w:t>
            </w:r>
          </w:p>
        </w:tc>
        <w:tc>
          <w:tcPr>
            <w:tcW w:type="dxa" w:w="950"/>
          </w:tcPr>
          <w:p>
            <w:pPr>
              <w:spacing w:after="20"/>
              <w:jc w:val="right"/>
            </w:pPr>
            <w:r>
              <w:rPr>
                <w:color w:val="1C3A36"/>
                <w:sz w:val="15"/>
              </w:rPr>
              <w:t>102</w:t>
            </w:r>
          </w:p>
        </w:tc>
        <w:tc>
          <w:tcPr>
            <w:tcW w:type="dxa" w:w="950"/>
          </w:tcPr>
          <w:p>
            <w:pPr>
              <w:spacing w:after="20"/>
              <w:jc w:val="right"/>
            </w:pPr>
            <w:r>
              <w:rPr>
                <w:color w:val="1C3A36"/>
                <w:sz w:val="15"/>
              </w:rPr>
              <w:t>82</w:t>
            </w:r>
          </w:p>
        </w:tc>
        <w:tc>
          <w:tcPr>
            <w:tcW w:type="dxa" w:w="950"/>
          </w:tcPr>
          <w:p>
            <w:pPr>
              <w:spacing w:after="20"/>
              <w:jc w:val="right"/>
            </w:pPr>
            <w:r>
              <w:rPr>
                <w:color w:val="1C3A36"/>
                <w:sz w:val="15"/>
              </w:rPr>
              <w:t>67</w:t>
            </w:r>
          </w:p>
        </w:tc>
        <w:tc>
          <w:tcPr>
            <w:tcW w:type="dxa" w:w="950"/>
          </w:tcPr>
          <w:p>
            <w:pPr>
              <w:spacing w:after="20"/>
              <w:jc w:val="right"/>
            </w:pPr>
            <w:r>
              <w:rPr>
                <w:color w:val="1C3A36"/>
                <w:sz w:val="15"/>
              </w:rPr>
              <w:t>120</w:t>
            </w:r>
          </w:p>
        </w:tc>
        <w:tc>
          <w:tcPr>
            <w:tcW w:type="dxa" w:w="950"/>
          </w:tcPr>
          <w:p>
            <w:pPr>
              <w:spacing w:after="20"/>
              <w:jc w:val="right"/>
            </w:pPr>
            <w:r>
              <w:rPr>
                <w:color w:val="1C3A36"/>
                <w:sz w:val="15"/>
              </w:rPr>
              <w:t>116</w:t>
            </w:r>
          </w:p>
        </w:tc>
        <w:tc>
          <w:tcPr>
            <w:tcW w:type="dxa" w:w="950"/>
          </w:tcPr>
          <w:p>
            <w:pPr>
              <w:spacing w:after="20"/>
              <w:jc w:val="right"/>
            </w:pPr>
            <w:r>
              <w:rPr>
                <w:color w:val="1C3A36"/>
                <w:sz w:val="15"/>
              </w:rPr>
              <w:t>113</w:t>
            </w:r>
          </w:p>
        </w:tc>
        <w:tc>
          <w:tcPr>
            <w:tcW w:type="dxa" w:w="950"/>
          </w:tcPr>
          <w:p>
            <w:pPr>
              <w:spacing w:after="20"/>
              <w:jc w:val="right"/>
            </w:pPr>
            <w:r>
              <w:rPr>
                <w:color w:val="1C3A36"/>
                <w:sz w:val="15"/>
              </w:rPr>
              <w:t>111</w:t>
            </w:r>
          </w:p>
        </w:tc>
        <w:tc>
          <w:tcPr>
            <w:tcW w:type="dxa" w:w="950"/>
          </w:tcPr>
          <w:p>
            <w:pPr>
              <w:spacing w:after="20"/>
              <w:jc w:val="right"/>
            </w:pPr>
            <w:r>
              <w:rPr>
                <w:color w:val="1C3A36"/>
                <w:sz w:val="15"/>
              </w:rPr>
              <w:t>111</w:t>
            </w:r>
          </w:p>
        </w:tc>
      </w:tr>
      <w:tr>
        <w:tc>
          <w:tcPr>
            <w:tcW w:type="dxa" w:w="2448"/>
          </w:tcPr>
          <w:p>
            <w:pPr>
              <w:spacing w:after="20"/>
            </w:pPr>
            <w:r>
              <w:rPr>
                <w:color w:val="1C3A36"/>
                <w:sz w:val="15"/>
              </w:rPr>
              <w:t>Share of JV and associate profit</w:t>
            </w:r>
          </w:p>
        </w:tc>
        <w:tc>
          <w:tcPr>
            <w:tcW w:type="dxa" w:w="950"/>
          </w:tcPr>
          <w:p>
            <w:pPr>
              <w:spacing w:after="20"/>
              <w:jc w:val="right"/>
            </w:pPr>
            <w:r>
              <w:rPr>
                <w:color w:val="1C3A36"/>
                <w:sz w:val="15"/>
              </w:rPr>
              <w:t>88</w:t>
            </w:r>
          </w:p>
        </w:tc>
        <w:tc>
          <w:tcPr>
            <w:tcW w:type="dxa" w:w="950"/>
          </w:tcPr>
          <w:p>
            <w:pPr>
              <w:spacing w:after="20"/>
              <w:jc w:val="right"/>
            </w:pPr>
            <w:r>
              <w:rPr>
                <w:color w:val="1C3A36"/>
                <w:sz w:val="15"/>
              </w:rPr>
              <w:t>125</w:t>
            </w:r>
          </w:p>
        </w:tc>
        <w:tc>
          <w:tcPr>
            <w:tcW w:type="dxa" w:w="950"/>
          </w:tcPr>
          <w:p>
            <w:pPr>
              <w:spacing w:after="20"/>
              <w:jc w:val="right"/>
            </w:pPr>
            <w:r>
              <w:rPr>
                <w:color w:val="1C3A36"/>
                <w:sz w:val="15"/>
              </w:rPr>
              <w:t>190</w:t>
            </w:r>
          </w:p>
        </w:tc>
        <w:tc>
          <w:tcPr>
            <w:tcW w:type="dxa" w:w="950"/>
          </w:tcPr>
          <w:p>
            <w:pPr>
              <w:spacing w:after="20"/>
              <w:jc w:val="right"/>
            </w:pPr>
            <w:r>
              <w:rPr>
                <w:color w:val="1C3A36"/>
                <w:sz w:val="15"/>
              </w:rPr>
              <w:t>194</w:t>
            </w:r>
          </w:p>
        </w:tc>
        <w:tc>
          <w:tcPr>
            <w:tcW w:type="dxa" w:w="950"/>
          </w:tcPr>
          <w:p>
            <w:pPr>
              <w:spacing w:after="20"/>
              <w:jc w:val="right"/>
            </w:pPr>
            <w:r>
              <w:rPr>
                <w:color w:val="1C3A36"/>
                <w:sz w:val="15"/>
              </w:rPr>
              <w:t>229</w:t>
            </w:r>
          </w:p>
        </w:tc>
        <w:tc>
          <w:tcPr>
            <w:tcW w:type="dxa" w:w="950"/>
          </w:tcPr>
          <w:p>
            <w:pPr>
              <w:spacing w:after="20"/>
              <w:jc w:val="right"/>
            </w:pPr>
            <w:r>
              <w:rPr>
                <w:color w:val="1C3A36"/>
                <w:sz w:val="15"/>
              </w:rPr>
              <w:t>270</w:t>
            </w:r>
          </w:p>
        </w:tc>
        <w:tc>
          <w:tcPr>
            <w:tcW w:type="dxa" w:w="950"/>
          </w:tcPr>
          <w:p>
            <w:pPr>
              <w:spacing w:after="20"/>
              <w:jc w:val="right"/>
            </w:pPr>
            <w:r>
              <w:rPr>
                <w:color w:val="1C3A36"/>
                <w:sz w:val="15"/>
              </w:rPr>
              <w:t>310</w:t>
            </w:r>
          </w:p>
        </w:tc>
        <w:tc>
          <w:tcPr>
            <w:tcW w:type="dxa" w:w="950"/>
          </w:tcPr>
          <w:p>
            <w:pPr>
              <w:spacing w:after="20"/>
              <w:jc w:val="right"/>
            </w:pPr>
            <w:r>
              <w:rPr>
                <w:color w:val="1C3A36"/>
                <w:sz w:val="15"/>
              </w:rPr>
              <w:t>348</w:t>
            </w:r>
          </w:p>
        </w:tc>
      </w:tr>
      <w:tr>
        <w:tc>
          <w:tcPr>
            <w:tcW w:type="dxa" w:w="2448"/>
          </w:tcPr>
          <w:p>
            <w:pPr>
              <w:spacing w:after="20"/>
            </w:pPr>
            <w:r>
              <w:rPr>
                <w:color w:val="1C3A36"/>
                <w:sz w:val="15"/>
              </w:rPr>
              <w:t>Profit before tax</w:t>
            </w:r>
          </w:p>
        </w:tc>
        <w:tc>
          <w:tcPr>
            <w:tcW w:type="dxa" w:w="950"/>
          </w:tcPr>
          <w:p>
            <w:pPr>
              <w:spacing w:after="20"/>
              <w:jc w:val="right"/>
            </w:pPr>
            <w:r>
              <w:rPr>
                <w:color w:val="1C3A36"/>
                <w:sz w:val="15"/>
              </w:rPr>
              <w:t>1,548</w:t>
            </w:r>
          </w:p>
        </w:tc>
        <w:tc>
          <w:tcPr>
            <w:tcW w:type="dxa" w:w="950"/>
          </w:tcPr>
          <w:p>
            <w:pPr>
              <w:spacing w:after="20"/>
              <w:jc w:val="right"/>
            </w:pPr>
            <w:r>
              <w:rPr>
                <w:color w:val="1C3A36"/>
                <w:sz w:val="15"/>
              </w:rPr>
              <w:t>1,609</w:t>
            </w:r>
          </w:p>
        </w:tc>
        <w:tc>
          <w:tcPr>
            <w:tcW w:type="dxa" w:w="950"/>
          </w:tcPr>
          <w:p>
            <w:pPr>
              <w:spacing w:after="20"/>
              <w:jc w:val="right"/>
            </w:pPr>
            <w:r>
              <w:rPr>
                <w:color w:val="1C3A36"/>
                <w:sz w:val="15"/>
              </w:rPr>
              <w:t>1,831</w:t>
            </w:r>
          </w:p>
        </w:tc>
        <w:tc>
          <w:tcPr>
            <w:tcW w:type="dxa" w:w="950"/>
          </w:tcPr>
          <w:p>
            <w:pPr>
              <w:spacing w:after="20"/>
              <w:jc w:val="right"/>
            </w:pPr>
            <w:r>
              <w:rPr>
                <w:color w:val="1C3A36"/>
                <w:sz w:val="15"/>
              </w:rPr>
              <w:t>1,443</w:t>
            </w:r>
          </w:p>
        </w:tc>
        <w:tc>
          <w:tcPr>
            <w:tcW w:type="dxa" w:w="950"/>
          </w:tcPr>
          <w:p>
            <w:pPr>
              <w:spacing w:after="20"/>
              <w:jc w:val="right"/>
            </w:pPr>
            <w:r>
              <w:rPr>
                <w:color w:val="1C3A36"/>
                <w:sz w:val="15"/>
              </w:rPr>
              <w:t>1,728</w:t>
            </w:r>
          </w:p>
        </w:tc>
        <w:tc>
          <w:tcPr>
            <w:tcW w:type="dxa" w:w="950"/>
          </w:tcPr>
          <w:p>
            <w:pPr>
              <w:spacing w:after="20"/>
              <w:jc w:val="right"/>
            </w:pPr>
            <w:r>
              <w:rPr>
                <w:color w:val="1C3A36"/>
                <w:sz w:val="15"/>
              </w:rPr>
              <w:t>1,783</w:t>
            </w:r>
          </w:p>
        </w:tc>
        <w:tc>
          <w:tcPr>
            <w:tcW w:type="dxa" w:w="950"/>
          </w:tcPr>
          <w:p>
            <w:pPr>
              <w:spacing w:after="20"/>
              <w:jc w:val="right"/>
            </w:pPr>
            <w:r>
              <w:rPr>
                <w:color w:val="1C3A36"/>
                <w:sz w:val="15"/>
              </w:rPr>
              <w:t>1,878</w:t>
            </w:r>
          </w:p>
        </w:tc>
        <w:tc>
          <w:tcPr>
            <w:tcW w:type="dxa" w:w="950"/>
          </w:tcPr>
          <w:p>
            <w:pPr>
              <w:spacing w:after="20"/>
              <w:jc w:val="right"/>
            </w:pPr>
            <w:r>
              <w:rPr>
                <w:color w:val="1C3A36"/>
                <w:sz w:val="15"/>
              </w:rPr>
              <w:t>1,959</w:t>
            </w:r>
          </w:p>
        </w:tc>
      </w:tr>
      <w:tr>
        <w:tc>
          <w:tcPr>
            <w:tcW w:type="dxa" w:w="2448"/>
          </w:tcPr>
          <w:p>
            <w:pPr>
              <w:spacing w:after="20"/>
            </w:pPr>
            <w:r>
              <w:rPr>
                <w:color w:val="1C3A36"/>
                <w:sz w:val="15"/>
              </w:rPr>
              <w:t>Income tax</w:t>
            </w:r>
          </w:p>
        </w:tc>
        <w:tc>
          <w:tcPr>
            <w:tcW w:type="dxa" w:w="950"/>
          </w:tcPr>
          <w:p>
            <w:pPr>
              <w:spacing w:after="20"/>
              <w:jc w:val="right"/>
            </w:pPr>
            <w:r>
              <w:rPr>
                <w:color w:val="1C3A36"/>
                <w:sz w:val="15"/>
              </w:rPr>
              <w:t>0</w:t>
            </w:r>
          </w:p>
        </w:tc>
        <w:tc>
          <w:tcPr>
            <w:tcW w:type="dxa" w:w="950"/>
          </w:tcPr>
          <w:p>
            <w:pPr>
              <w:spacing w:after="20"/>
              <w:jc w:val="right"/>
            </w:pPr>
            <w:r>
              <w:rPr>
                <w:color w:val="1C3A36"/>
                <w:sz w:val="15"/>
              </w:rPr>
              <w:t>142</w:t>
            </w:r>
          </w:p>
        </w:tc>
        <w:tc>
          <w:tcPr>
            <w:tcW w:type="dxa" w:w="950"/>
          </w:tcPr>
          <w:p>
            <w:pPr>
              <w:spacing w:after="20"/>
              <w:jc w:val="right"/>
            </w:pPr>
            <w:r>
              <w:rPr>
                <w:color w:val="1C3A36"/>
                <w:sz w:val="15"/>
              </w:rPr>
              <w:t>202</w:t>
            </w:r>
          </w:p>
        </w:tc>
        <w:tc>
          <w:tcPr>
            <w:tcW w:type="dxa" w:w="950"/>
          </w:tcPr>
          <w:p>
            <w:pPr>
              <w:spacing w:after="20"/>
              <w:jc w:val="right"/>
            </w:pPr>
            <w:r>
              <w:rPr>
                <w:color w:val="1C3A36"/>
                <w:sz w:val="15"/>
              </w:rPr>
              <w:t>216</w:t>
            </w:r>
          </w:p>
        </w:tc>
        <w:tc>
          <w:tcPr>
            <w:tcW w:type="dxa" w:w="950"/>
          </w:tcPr>
          <w:p>
            <w:pPr>
              <w:spacing w:after="20"/>
              <w:jc w:val="right"/>
            </w:pPr>
            <w:r>
              <w:rPr>
                <w:color w:val="1C3A36"/>
                <w:sz w:val="15"/>
              </w:rPr>
              <w:t>259</w:t>
            </w:r>
          </w:p>
        </w:tc>
        <w:tc>
          <w:tcPr>
            <w:tcW w:type="dxa" w:w="950"/>
          </w:tcPr>
          <w:p>
            <w:pPr>
              <w:spacing w:after="20"/>
              <w:jc w:val="right"/>
            </w:pPr>
            <w:r>
              <w:rPr>
                <w:color w:val="1C3A36"/>
                <w:sz w:val="15"/>
              </w:rPr>
              <w:t>267</w:t>
            </w:r>
          </w:p>
        </w:tc>
        <w:tc>
          <w:tcPr>
            <w:tcW w:type="dxa" w:w="950"/>
          </w:tcPr>
          <w:p>
            <w:pPr>
              <w:spacing w:after="20"/>
              <w:jc w:val="right"/>
            </w:pPr>
            <w:r>
              <w:rPr>
                <w:color w:val="1C3A36"/>
                <w:sz w:val="15"/>
              </w:rPr>
              <w:t>282</w:t>
            </w:r>
          </w:p>
        </w:tc>
        <w:tc>
          <w:tcPr>
            <w:tcW w:type="dxa" w:w="950"/>
          </w:tcPr>
          <w:p>
            <w:pPr>
              <w:spacing w:after="20"/>
              <w:jc w:val="right"/>
            </w:pPr>
            <w:r>
              <w:rPr>
                <w:color w:val="1C3A36"/>
                <w:sz w:val="15"/>
              </w:rPr>
              <w:t>294</w:t>
            </w:r>
          </w:p>
        </w:tc>
      </w:tr>
      <w:tr>
        <w:tc>
          <w:tcPr>
            <w:tcW w:type="dxa" w:w="2448"/>
          </w:tcPr>
          <w:p>
            <w:pPr>
              <w:spacing w:after="20"/>
            </w:pPr>
            <w:r>
              <w:rPr>
                <w:color w:val="1C3A36"/>
                <w:sz w:val="15"/>
              </w:rPr>
              <w:t>Profit for the year</w:t>
            </w:r>
          </w:p>
        </w:tc>
        <w:tc>
          <w:tcPr>
            <w:tcW w:type="dxa" w:w="950"/>
          </w:tcPr>
          <w:p>
            <w:pPr>
              <w:spacing w:after="20"/>
              <w:jc w:val="right"/>
            </w:pPr>
            <w:r>
              <w:rPr>
                <w:color w:val="1C3A36"/>
                <w:sz w:val="15"/>
              </w:rPr>
              <w:t>1,548</w:t>
            </w:r>
          </w:p>
        </w:tc>
        <w:tc>
          <w:tcPr>
            <w:tcW w:type="dxa" w:w="950"/>
          </w:tcPr>
          <w:p>
            <w:pPr>
              <w:spacing w:after="20"/>
              <w:jc w:val="right"/>
            </w:pPr>
            <w:r>
              <w:rPr>
                <w:color w:val="1C3A36"/>
                <w:sz w:val="15"/>
              </w:rPr>
              <w:t>1,468</w:t>
            </w:r>
          </w:p>
        </w:tc>
        <w:tc>
          <w:tcPr>
            <w:tcW w:type="dxa" w:w="950"/>
          </w:tcPr>
          <w:p>
            <w:pPr>
              <w:spacing w:after="20"/>
              <w:jc w:val="right"/>
            </w:pPr>
            <w:r>
              <w:rPr>
                <w:color w:val="1C3A36"/>
                <w:sz w:val="15"/>
              </w:rPr>
              <w:t>1,629</w:t>
            </w:r>
          </w:p>
        </w:tc>
        <w:tc>
          <w:tcPr>
            <w:tcW w:type="dxa" w:w="950"/>
          </w:tcPr>
          <w:p>
            <w:pPr>
              <w:spacing w:after="20"/>
              <w:jc w:val="right"/>
            </w:pPr>
            <w:r>
              <w:rPr>
                <w:color w:val="1C3A36"/>
                <w:sz w:val="15"/>
              </w:rPr>
              <w:t>1,227</w:t>
            </w:r>
          </w:p>
        </w:tc>
        <w:tc>
          <w:tcPr>
            <w:tcW w:type="dxa" w:w="950"/>
          </w:tcPr>
          <w:p>
            <w:pPr>
              <w:spacing w:after="20"/>
              <w:jc w:val="right"/>
            </w:pPr>
            <w:r>
              <w:rPr>
                <w:color w:val="1C3A36"/>
                <w:sz w:val="15"/>
              </w:rPr>
              <w:t>1,469</w:t>
            </w:r>
          </w:p>
        </w:tc>
        <w:tc>
          <w:tcPr>
            <w:tcW w:type="dxa" w:w="950"/>
          </w:tcPr>
          <w:p>
            <w:pPr>
              <w:spacing w:after="20"/>
              <w:jc w:val="right"/>
            </w:pPr>
            <w:r>
              <w:rPr>
                <w:color w:val="1C3A36"/>
                <w:sz w:val="15"/>
              </w:rPr>
              <w:t>1,515</w:t>
            </w:r>
          </w:p>
        </w:tc>
        <w:tc>
          <w:tcPr>
            <w:tcW w:type="dxa" w:w="950"/>
          </w:tcPr>
          <w:p>
            <w:pPr>
              <w:spacing w:after="20"/>
              <w:jc w:val="right"/>
            </w:pPr>
            <w:r>
              <w:rPr>
                <w:color w:val="1C3A36"/>
                <w:sz w:val="15"/>
              </w:rPr>
              <w:t>1,596</w:t>
            </w:r>
          </w:p>
        </w:tc>
        <w:tc>
          <w:tcPr>
            <w:tcW w:type="dxa" w:w="950"/>
          </w:tcPr>
          <w:p>
            <w:pPr>
              <w:spacing w:after="20"/>
              <w:jc w:val="right"/>
            </w:pPr>
            <w:r>
              <w:rPr>
                <w:color w:val="1C3A36"/>
                <w:sz w:val="15"/>
              </w:rPr>
              <w:t>1,665</w:t>
            </w:r>
          </w:p>
        </w:tc>
      </w:tr>
      <w:tr>
        <w:tc>
          <w:tcPr>
            <w:tcW w:type="dxa" w:w="2448"/>
          </w:tcPr>
          <w:p>
            <w:pPr>
              <w:spacing w:after="20"/>
            </w:pPr>
            <w:r>
              <w:rPr>
                <w:color w:val="1C3A36"/>
                <w:sz w:val="15"/>
              </w:rPr>
              <w:t>Attributable to owners</w:t>
            </w:r>
          </w:p>
        </w:tc>
        <w:tc>
          <w:tcPr>
            <w:tcW w:type="dxa" w:w="950"/>
          </w:tcPr>
          <w:p>
            <w:pPr>
              <w:spacing w:after="20"/>
              <w:jc w:val="right"/>
            </w:pPr>
            <w:r>
              <w:rPr>
                <w:color w:val="1C3A36"/>
                <w:sz w:val="15"/>
              </w:rPr>
              <w:t>1,547</w:t>
            </w:r>
          </w:p>
        </w:tc>
        <w:tc>
          <w:tcPr>
            <w:tcW w:type="dxa" w:w="950"/>
          </w:tcPr>
          <w:p>
            <w:pPr>
              <w:spacing w:after="20"/>
              <w:jc w:val="right"/>
            </w:pPr>
            <w:r>
              <w:rPr>
                <w:color w:val="1C3A36"/>
                <w:sz w:val="15"/>
              </w:rPr>
              <w:t>1,467</w:t>
            </w:r>
          </w:p>
        </w:tc>
        <w:tc>
          <w:tcPr>
            <w:tcW w:type="dxa" w:w="950"/>
          </w:tcPr>
          <w:p>
            <w:pPr>
              <w:spacing w:after="20"/>
              <w:jc w:val="right"/>
            </w:pPr>
            <w:r>
              <w:rPr>
                <w:color w:val="1C3A36"/>
                <w:sz w:val="15"/>
              </w:rPr>
              <w:t>1,628</w:t>
            </w:r>
          </w:p>
        </w:tc>
        <w:tc>
          <w:tcPr>
            <w:tcW w:type="dxa" w:w="950"/>
          </w:tcPr>
          <w:p>
            <w:pPr>
              <w:spacing w:after="20"/>
              <w:jc w:val="right"/>
            </w:pPr>
            <w:r>
              <w:rPr>
                <w:color w:val="1C3A36"/>
                <w:sz w:val="15"/>
              </w:rPr>
              <w:t>1,226</w:t>
            </w:r>
          </w:p>
        </w:tc>
        <w:tc>
          <w:tcPr>
            <w:tcW w:type="dxa" w:w="950"/>
          </w:tcPr>
          <w:p>
            <w:pPr>
              <w:spacing w:after="20"/>
              <w:jc w:val="right"/>
            </w:pPr>
            <w:r>
              <w:rPr>
                <w:color w:val="1C3A36"/>
                <w:sz w:val="15"/>
              </w:rPr>
              <w:t>1,468</w:t>
            </w:r>
          </w:p>
        </w:tc>
        <w:tc>
          <w:tcPr>
            <w:tcW w:type="dxa" w:w="950"/>
          </w:tcPr>
          <w:p>
            <w:pPr>
              <w:spacing w:after="20"/>
              <w:jc w:val="right"/>
            </w:pPr>
            <w:r>
              <w:rPr>
                <w:color w:val="1C3A36"/>
                <w:sz w:val="15"/>
              </w:rPr>
              <w:t>1,515</w:t>
            </w:r>
          </w:p>
        </w:tc>
        <w:tc>
          <w:tcPr>
            <w:tcW w:type="dxa" w:w="950"/>
          </w:tcPr>
          <w:p>
            <w:pPr>
              <w:spacing w:after="20"/>
              <w:jc w:val="right"/>
            </w:pPr>
            <w:r>
              <w:rPr>
                <w:color w:val="1C3A36"/>
                <w:sz w:val="15"/>
              </w:rPr>
              <w:t>1,596</w:t>
            </w:r>
          </w:p>
        </w:tc>
        <w:tc>
          <w:tcPr>
            <w:tcW w:type="dxa" w:w="950"/>
          </w:tcPr>
          <w:p>
            <w:pPr>
              <w:spacing w:after="20"/>
              <w:jc w:val="right"/>
            </w:pPr>
            <w:r>
              <w:rPr>
                <w:color w:val="1C3A36"/>
                <w:sz w:val="15"/>
              </w:rPr>
              <w:t>1,665</w:t>
            </w:r>
          </w:p>
        </w:tc>
      </w:tr>
      <w:tr>
        <w:tc>
          <w:tcPr>
            <w:tcW w:type="dxa" w:w="2448"/>
          </w:tcPr>
          <w:p>
            <w:pPr>
              <w:spacing w:after="20"/>
            </w:pPr>
            <w:r>
              <w:rPr>
                <w:color w:val="1C3A36"/>
                <w:sz w:val="15"/>
              </w:rPr>
              <w:t>Earnings per share (AED)</w:t>
            </w:r>
          </w:p>
        </w:tc>
        <w:tc>
          <w:tcPr>
            <w:tcW w:type="dxa" w:w="950"/>
          </w:tcPr>
          <w:p>
            <w:pPr>
              <w:spacing w:after="20"/>
              <w:jc w:val="right"/>
            </w:pPr>
            <w:r>
              <w:rPr>
                <w:color w:val="1C3A36"/>
                <w:sz w:val="15"/>
              </w:rPr>
              <w:t>0.33</w:t>
            </w:r>
          </w:p>
        </w:tc>
        <w:tc>
          <w:tcPr>
            <w:tcW w:type="dxa" w:w="950"/>
          </w:tcPr>
          <w:p>
            <w:pPr>
              <w:spacing w:after="20"/>
              <w:jc w:val="right"/>
            </w:pPr>
            <w:r>
              <w:rPr>
                <w:color w:val="1C3A36"/>
                <w:sz w:val="15"/>
              </w:rPr>
              <w:t>0.31</w:t>
            </w:r>
          </w:p>
        </w:tc>
        <w:tc>
          <w:tcPr>
            <w:tcW w:type="dxa" w:w="950"/>
          </w:tcPr>
          <w:p>
            <w:pPr>
              <w:spacing w:after="20"/>
              <w:jc w:val="right"/>
            </w:pPr>
            <w:r>
              <w:rPr>
                <w:color w:val="1C3A36"/>
                <w:sz w:val="15"/>
              </w:rPr>
              <w:t>0.35</w:t>
            </w:r>
          </w:p>
        </w:tc>
        <w:tc>
          <w:tcPr>
            <w:tcW w:type="dxa" w:w="950"/>
          </w:tcPr>
          <w:p>
            <w:pPr>
              <w:spacing w:after="20"/>
              <w:jc w:val="right"/>
            </w:pPr>
            <w:r>
              <w:rPr>
                <w:color w:val="1C3A36"/>
                <w:sz w:val="15"/>
              </w:rPr>
              <w:t>0.26</w:t>
            </w:r>
          </w:p>
        </w:tc>
        <w:tc>
          <w:tcPr>
            <w:tcW w:type="dxa" w:w="950"/>
          </w:tcPr>
          <w:p>
            <w:pPr>
              <w:spacing w:after="20"/>
              <w:jc w:val="right"/>
            </w:pPr>
            <w:r>
              <w:rPr>
                <w:color w:val="1C3A36"/>
                <w:sz w:val="15"/>
              </w:rPr>
              <w:t>0.31</w:t>
            </w:r>
          </w:p>
        </w:tc>
        <w:tc>
          <w:tcPr>
            <w:tcW w:type="dxa" w:w="950"/>
          </w:tcPr>
          <w:p>
            <w:pPr>
              <w:spacing w:after="20"/>
              <w:jc w:val="right"/>
            </w:pPr>
            <w:r>
              <w:rPr>
                <w:color w:val="1C3A36"/>
                <w:sz w:val="15"/>
              </w:rPr>
              <w:t>0.32</w:t>
            </w:r>
          </w:p>
        </w:tc>
        <w:tc>
          <w:tcPr>
            <w:tcW w:type="dxa" w:w="950"/>
          </w:tcPr>
          <w:p>
            <w:pPr>
              <w:spacing w:after="20"/>
              <w:jc w:val="right"/>
            </w:pPr>
            <w:r>
              <w:rPr>
                <w:color w:val="1C3A36"/>
                <w:sz w:val="15"/>
              </w:rPr>
              <w:t>0.34</w:t>
            </w:r>
          </w:p>
        </w:tc>
        <w:tc>
          <w:tcPr>
            <w:tcW w:type="dxa" w:w="950"/>
          </w:tcPr>
          <w:p>
            <w:pPr>
              <w:spacing w:after="20"/>
              <w:jc w:val="right"/>
            </w:pPr>
            <w:r>
              <w:rPr>
                <w:color w:val="1C3A36"/>
                <w:sz w:val="15"/>
              </w:rPr>
              <w:t>0.36</w:t>
            </w:r>
          </w:p>
        </w:tc>
      </w:tr>
    </w:tbl>
    <w:p>
      <w:pPr>
        <w:spacing w:after="40"/>
      </w:pPr>
    </w:p>
    <w:p>
      <w:pPr>
        <w:spacing w:after="200" w:before="0"/>
      </w:pPr>
      <w:r>
        <w:rPr>
          <w:b w:val="0"/>
          <w:i/>
          <w:color w:val="6E7B77"/>
          <w:sz w:val="17"/>
        </w:rPr>
        <w:t>*FY2024 as restated in the FY2025 filing (lease-rental revenue reclassified into revenue, maintenance provisions re-measured). FY2023 as reported. Historical direct costs include their depreciation; forecast direct costs are shown cash-basis with all depreciation on its own line — the operating-profit line is on one consistent basis throughout.</w:t>
      </w:r>
    </w:p>
    <w:p>
      <w:pPr>
        <w:spacing w:after="80" w:before="200"/>
      </w:pPr>
      <w:r>
        <w:rPr>
          <w:b/>
          <w:i w:val="0"/>
          <w:color w:val="1C3A36"/>
          <w:sz w:val="24"/>
        </w:rPr>
        <w:t>A.2  Balance sheet (AED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1123"/>
        <w:gridCol w:w="1123"/>
        <w:gridCol w:w="1123"/>
        <w:gridCol w:w="1123"/>
        <w:gridCol w:w="1123"/>
        <w:gridCol w:w="1123"/>
      </w:tblGrid>
      <w:tr>
        <w:tc>
          <w:tcPr>
            <w:tcW w:type="dxa" w:w="3312"/>
            <w:shd w:val="clear" w:color="auto" w:fill="EAF0EE"/>
          </w:tcPr>
          <w:p>
            <w:pPr>
              <w:spacing w:after="20"/>
            </w:pPr>
            <w:r>
              <w:rPr>
                <w:b/>
                <w:color w:val="1C3A36"/>
                <w:sz w:val="16"/>
              </w:rPr>
            </w:r>
          </w:p>
        </w:tc>
        <w:tc>
          <w:tcPr>
            <w:tcW w:type="dxa" w:w="1123"/>
            <w:shd w:val="clear" w:color="auto" w:fill="EAF0EE"/>
          </w:tcPr>
          <w:p>
            <w:pPr>
              <w:spacing w:after="20"/>
            </w:pPr>
            <w:r>
              <w:rPr>
                <w:b/>
                <w:color w:val="1C3A36"/>
                <w:sz w:val="16"/>
              </w:rPr>
              <w:t>FY2023*</w:t>
            </w:r>
          </w:p>
        </w:tc>
        <w:tc>
          <w:tcPr>
            <w:tcW w:type="dxa" w:w="1123"/>
            <w:shd w:val="clear" w:color="auto" w:fill="EAF0EE"/>
          </w:tcPr>
          <w:p>
            <w:pPr>
              <w:spacing w:after="20"/>
            </w:pPr>
            <w:r>
              <w:rPr>
                <w:b/>
                <w:color w:val="1C3A36"/>
                <w:sz w:val="16"/>
              </w:rPr>
              <w:t>FY2024</w:t>
            </w:r>
          </w:p>
        </w:tc>
        <w:tc>
          <w:tcPr>
            <w:tcW w:type="dxa" w:w="1123"/>
            <w:shd w:val="clear" w:color="auto" w:fill="EAF0EE"/>
          </w:tcPr>
          <w:p>
            <w:pPr>
              <w:spacing w:after="20"/>
            </w:pPr>
            <w:r>
              <w:rPr>
                <w:b/>
                <w:color w:val="1C3A36"/>
                <w:sz w:val="16"/>
              </w:rPr>
              <w:t>FY2025</w:t>
            </w:r>
          </w:p>
        </w:tc>
        <w:tc>
          <w:tcPr>
            <w:tcW w:type="dxa" w:w="1123"/>
            <w:shd w:val="clear" w:color="auto" w:fill="EAF0EE"/>
          </w:tcPr>
          <w:p>
            <w:pPr>
              <w:spacing w:after="20"/>
            </w:pPr>
            <w:r>
              <w:rPr>
                <w:b/>
                <w:color w:val="1C3A36"/>
                <w:sz w:val="16"/>
              </w:rPr>
              <w:t>FY2026E</w:t>
            </w:r>
          </w:p>
        </w:tc>
        <w:tc>
          <w:tcPr>
            <w:tcW w:type="dxa" w:w="1123"/>
            <w:shd w:val="clear" w:color="auto" w:fill="EAF0EE"/>
          </w:tcPr>
          <w:p>
            <w:pPr>
              <w:spacing w:after="20"/>
            </w:pPr>
            <w:r>
              <w:rPr>
                <w:b/>
                <w:color w:val="1C3A36"/>
                <w:sz w:val="16"/>
              </w:rPr>
              <w:t>FY2028E</w:t>
            </w:r>
          </w:p>
        </w:tc>
        <w:tc>
          <w:tcPr>
            <w:tcW w:type="dxa" w:w="1123"/>
            <w:shd w:val="clear" w:color="auto" w:fill="EAF0EE"/>
          </w:tcPr>
          <w:p>
            <w:pPr>
              <w:spacing w:after="20"/>
            </w:pPr>
            <w:r>
              <w:rPr>
                <w:b/>
                <w:color w:val="1C3A36"/>
                <w:sz w:val="16"/>
              </w:rPr>
              <w:t>FY2030E</w:t>
            </w:r>
          </w:p>
        </w:tc>
      </w:tr>
      <w:tr>
        <w:tc>
          <w:tcPr>
            <w:tcW w:type="dxa" w:w="3312"/>
          </w:tcPr>
          <w:p>
            <w:pPr>
              <w:spacing w:after="20"/>
            </w:pPr>
            <w:r>
              <w:rPr>
                <w:color w:val="1C3A36"/>
                <w:sz w:val="16"/>
              </w:rPr>
              <w:t>Fleet assets (owned + right-of-use + advances)</w:t>
            </w:r>
          </w:p>
        </w:tc>
        <w:tc>
          <w:tcPr>
            <w:tcW w:type="dxa" w:w="1123"/>
          </w:tcPr>
          <w:p>
            <w:pPr>
              <w:spacing w:after="20"/>
              <w:jc w:val="right"/>
            </w:pPr>
            <w:r>
              <w:rPr>
                <w:color w:val="1C3A36"/>
                <w:sz w:val="16"/>
              </w:rPr>
              <w:t>6,415</w:t>
            </w:r>
          </w:p>
        </w:tc>
        <w:tc>
          <w:tcPr>
            <w:tcW w:type="dxa" w:w="1123"/>
          </w:tcPr>
          <w:p>
            <w:pPr>
              <w:spacing w:after="20"/>
              <w:jc w:val="right"/>
            </w:pPr>
            <w:r>
              <w:rPr>
                <w:color w:val="1C3A36"/>
                <w:sz w:val="16"/>
              </w:rPr>
              <w:t>6,709</w:t>
            </w:r>
          </w:p>
        </w:tc>
        <w:tc>
          <w:tcPr>
            <w:tcW w:type="dxa" w:w="1123"/>
          </w:tcPr>
          <w:p>
            <w:pPr>
              <w:spacing w:after="20"/>
              <w:jc w:val="right"/>
            </w:pPr>
            <w:r>
              <w:rPr>
                <w:color w:val="1C3A36"/>
                <w:sz w:val="16"/>
              </w:rPr>
              <w:t>8,671</w:t>
            </w:r>
          </w:p>
        </w:tc>
        <w:tc>
          <w:tcPr>
            <w:tcW w:type="dxa" w:w="1123"/>
          </w:tcPr>
          <w:p>
            <w:pPr>
              <w:spacing w:after="20"/>
              <w:jc w:val="right"/>
            </w:pPr>
            <w:r>
              <w:rPr>
                <w:color w:val="1C3A36"/>
                <w:sz w:val="16"/>
              </w:rPr>
              <w:t>10,251</w:t>
            </w:r>
          </w:p>
        </w:tc>
        <w:tc>
          <w:tcPr>
            <w:tcW w:type="dxa" w:w="1123"/>
          </w:tcPr>
          <w:p>
            <w:pPr>
              <w:spacing w:after="20"/>
              <w:jc w:val="right"/>
            </w:pPr>
            <w:r>
              <w:rPr>
                <w:color w:val="1C3A36"/>
                <w:sz w:val="16"/>
              </w:rPr>
              <w:t>12,941</w:t>
            </w:r>
          </w:p>
        </w:tc>
        <w:tc>
          <w:tcPr>
            <w:tcW w:type="dxa" w:w="1123"/>
          </w:tcPr>
          <w:p>
            <w:pPr>
              <w:spacing w:after="20"/>
              <w:jc w:val="right"/>
            </w:pPr>
            <w:r>
              <w:rPr>
                <w:color w:val="1C3A36"/>
                <w:sz w:val="16"/>
              </w:rPr>
              <w:t>15,451</w:t>
            </w:r>
          </w:p>
        </w:tc>
      </w:tr>
      <w:tr>
        <w:tc>
          <w:tcPr>
            <w:tcW w:type="dxa" w:w="3312"/>
          </w:tcPr>
          <w:p>
            <w:pPr>
              <w:spacing w:after="20"/>
            </w:pPr>
            <w:r>
              <w:rPr>
                <w:color w:val="1C3A36"/>
                <w:sz w:val="16"/>
              </w:rPr>
              <w:t>Inventories</w:t>
            </w:r>
          </w:p>
        </w:tc>
        <w:tc>
          <w:tcPr>
            <w:tcW w:type="dxa" w:w="1123"/>
          </w:tcPr>
          <w:p>
            <w:pPr>
              <w:spacing w:after="20"/>
              <w:jc w:val="right"/>
            </w:pPr>
            <w:r>
              <w:rPr>
                <w:color w:val="1C3A36"/>
                <w:sz w:val="16"/>
              </w:rPr>
              <w:t>49</w:t>
            </w:r>
          </w:p>
        </w:tc>
        <w:tc>
          <w:tcPr>
            <w:tcW w:type="dxa" w:w="1123"/>
          </w:tcPr>
          <w:p>
            <w:pPr>
              <w:spacing w:after="20"/>
              <w:jc w:val="right"/>
            </w:pPr>
            <w:r>
              <w:rPr>
                <w:color w:val="1C3A36"/>
                <w:sz w:val="16"/>
              </w:rPr>
              <w:t>53</w:t>
            </w:r>
          </w:p>
        </w:tc>
        <w:tc>
          <w:tcPr>
            <w:tcW w:type="dxa" w:w="1123"/>
          </w:tcPr>
          <w:p>
            <w:pPr>
              <w:spacing w:after="20"/>
              <w:jc w:val="right"/>
            </w:pPr>
            <w:r>
              <w:rPr>
                <w:color w:val="1C3A36"/>
                <w:sz w:val="16"/>
              </w:rPr>
              <w:t>97</w:t>
            </w:r>
          </w:p>
        </w:tc>
        <w:tc>
          <w:tcPr>
            <w:tcW w:type="dxa" w:w="1123"/>
          </w:tcPr>
          <w:p>
            <w:pPr>
              <w:spacing w:after="20"/>
              <w:jc w:val="right"/>
            </w:pPr>
            <w:r>
              <w:rPr>
                <w:color w:val="1C3A36"/>
                <w:sz w:val="16"/>
              </w:rPr>
              <w:t>—</w:t>
            </w:r>
          </w:p>
        </w:tc>
        <w:tc>
          <w:tcPr>
            <w:tcW w:type="dxa" w:w="1123"/>
          </w:tcPr>
          <w:p>
            <w:pPr>
              <w:spacing w:after="20"/>
              <w:jc w:val="right"/>
            </w:pPr>
            <w:r>
              <w:rPr>
                <w:color w:val="1C3A36"/>
                <w:sz w:val="16"/>
              </w:rPr>
              <w:t>—</w:t>
            </w:r>
          </w:p>
        </w:tc>
        <w:tc>
          <w:tcPr>
            <w:tcW w:type="dxa" w:w="1123"/>
          </w:tcPr>
          <w:p>
            <w:pPr>
              <w:spacing w:after="20"/>
              <w:jc w:val="right"/>
            </w:pPr>
            <w:r>
              <w:rPr>
                <w:color w:val="1C3A36"/>
                <w:sz w:val="16"/>
              </w:rPr>
              <w:t>—</w:t>
            </w:r>
          </w:p>
        </w:tc>
      </w:tr>
      <w:tr>
        <w:tc>
          <w:tcPr>
            <w:tcW w:type="dxa" w:w="3312"/>
          </w:tcPr>
          <w:p>
            <w:pPr>
              <w:spacing w:after="20"/>
            </w:pPr>
            <w:r>
              <w:rPr>
                <w:color w:val="1C3A36"/>
                <w:sz w:val="16"/>
              </w:rPr>
              <w:t>Trade and other receivables (current)</w:t>
            </w:r>
          </w:p>
        </w:tc>
        <w:tc>
          <w:tcPr>
            <w:tcW w:type="dxa" w:w="1123"/>
          </w:tcPr>
          <w:p>
            <w:pPr>
              <w:spacing w:after="20"/>
              <w:jc w:val="right"/>
            </w:pPr>
            <w:r>
              <w:rPr>
                <w:color w:val="1C3A36"/>
                <w:sz w:val="16"/>
              </w:rPr>
              <w:t>859</w:t>
            </w:r>
          </w:p>
        </w:tc>
        <w:tc>
          <w:tcPr>
            <w:tcW w:type="dxa" w:w="1123"/>
          </w:tcPr>
          <w:p>
            <w:pPr>
              <w:spacing w:after="20"/>
              <w:jc w:val="right"/>
            </w:pPr>
            <w:r>
              <w:rPr>
                <w:color w:val="1C3A36"/>
                <w:sz w:val="16"/>
              </w:rPr>
              <w:t>824</w:t>
            </w:r>
          </w:p>
        </w:tc>
        <w:tc>
          <w:tcPr>
            <w:tcW w:type="dxa" w:w="1123"/>
          </w:tcPr>
          <w:p>
            <w:pPr>
              <w:spacing w:after="20"/>
              <w:jc w:val="right"/>
            </w:pPr>
            <w:r>
              <w:rPr>
                <w:color w:val="1C3A36"/>
                <w:sz w:val="16"/>
              </w:rPr>
              <w:t>896</w:t>
            </w:r>
          </w:p>
        </w:tc>
        <w:tc>
          <w:tcPr>
            <w:tcW w:type="dxa" w:w="1123"/>
          </w:tcPr>
          <w:p>
            <w:pPr>
              <w:spacing w:after="20"/>
              <w:jc w:val="right"/>
            </w:pPr>
            <w:r>
              <w:rPr>
                <w:color w:val="1C3A36"/>
                <w:sz w:val="16"/>
              </w:rPr>
              <w:t>—</w:t>
            </w:r>
          </w:p>
        </w:tc>
        <w:tc>
          <w:tcPr>
            <w:tcW w:type="dxa" w:w="1123"/>
          </w:tcPr>
          <w:p>
            <w:pPr>
              <w:spacing w:after="20"/>
              <w:jc w:val="right"/>
            </w:pPr>
            <w:r>
              <w:rPr>
                <w:color w:val="1C3A36"/>
                <w:sz w:val="16"/>
              </w:rPr>
              <w:t>—</w:t>
            </w:r>
          </w:p>
        </w:tc>
        <w:tc>
          <w:tcPr>
            <w:tcW w:type="dxa" w:w="1123"/>
          </w:tcPr>
          <w:p>
            <w:pPr>
              <w:spacing w:after="20"/>
              <w:jc w:val="right"/>
            </w:pPr>
            <w:r>
              <w:rPr>
                <w:color w:val="1C3A36"/>
                <w:sz w:val="16"/>
              </w:rPr>
              <w:t>—</w:t>
            </w:r>
          </w:p>
        </w:tc>
      </w:tr>
      <w:tr>
        <w:tc>
          <w:tcPr>
            <w:tcW w:type="dxa" w:w="3312"/>
          </w:tcPr>
          <w:p>
            <w:pPr>
              <w:spacing w:after="20"/>
            </w:pPr>
            <w:r>
              <w:rPr>
                <w:color w:val="1C3A36"/>
                <w:sz w:val="16"/>
              </w:rPr>
              <w:t>Cash and fixed deposits</w:t>
            </w:r>
          </w:p>
        </w:tc>
        <w:tc>
          <w:tcPr>
            <w:tcW w:type="dxa" w:w="1123"/>
          </w:tcPr>
          <w:p>
            <w:pPr>
              <w:spacing w:after="20"/>
              <w:jc w:val="right"/>
            </w:pPr>
            <w:r>
              <w:rPr>
                <w:color w:val="1C3A36"/>
                <w:sz w:val="16"/>
              </w:rPr>
              <w:t>5,246</w:t>
            </w:r>
          </w:p>
        </w:tc>
        <w:tc>
          <w:tcPr>
            <w:tcW w:type="dxa" w:w="1123"/>
          </w:tcPr>
          <w:p>
            <w:pPr>
              <w:spacing w:after="20"/>
              <w:jc w:val="right"/>
            </w:pPr>
            <w:r>
              <w:rPr>
                <w:color w:val="1C3A36"/>
                <w:sz w:val="16"/>
              </w:rPr>
              <w:t>5,320</w:t>
            </w:r>
          </w:p>
        </w:tc>
        <w:tc>
          <w:tcPr>
            <w:tcW w:type="dxa" w:w="1123"/>
          </w:tcPr>
          <w:p>
            <w:pPr>
              <w:spacing w:after="20"/>
              <w:jc w:val="right"/>
            </w:pPr>
            <w:r>
              <w:rPr>
                <w:color w:val="1C3A36"/>
                <w:sz w:val="16"/>
              </w:rPr>
              <w:t>5,199</w:t>
            </w:r>
          </w:p>
        </w:tc>
        <w:tc>
          <w:tcPr>
            <w:tcW w:type="dxa" w:w="1123"/>
          </w:tcPr>
          <w:p>
            <w:pPr>
              <w:spacing w:after="20"/>
              <w:jc w:val="right"/>
            </w:pPr>
            <w:r>
              <w:rPr>
                <w:color w:val="1C3A36"/>
                <w:sz w:val="16"/>
              </w:rPr>
              <w:t>—</w:t>
            </w:r>
          </w:p>
        </w:tc>
        <w:tc>
          <w:tcPr>
            <w:tcW w:type="dxa" w:w="1123"/>
          </w:tcPr>
          <w:p>
            <w:pPr>
              <w:spacing w:after="20"/>
              <w:jc w:val="right"/>
            </w:pPr>
            <w:r>
              <w:rPr>
                <w:color w:val="1C3A36"/>
                <w:sz w:val="16"/>
              </w:rPr>
              <w:t>—</w:t>
            </w:r>
          </w:p>
        </w:tc>
        <w:tc>
          <w:tcPr>
            <w:tcW w:type="dxa" w:w="1123"/>
          </w:tcPr>
          <w:p>
            <w:pPr>
              <w:spacing w:after="20"/>
              <w:jc w:val="right"/>
            </w:pPr>
            <w:r>
              <w:rPr>
                <w:color w:val="1C3A36"/>
                <w:sz w:val="16"/>
              </w:rPr>
              <w:t>—</w:t>
            </w:r>
          </w:p>
        </w:tc>
      </w:tr>
      <w:tr>
        <w:tc>
          <w:tcPr>
            <w:tcW w:type="dxa" w:w="3312"/>
          </w:tcPr>
          <w:p>
            <w:pPr>
              <w:spacing w:after="20"/>
            </w:pPr>
            <w:r>
              <w:rPr>
                <w:color w:val="1C3A36"/>
                <w:sz w:val="16"/>
              </w:rPr>
              <w:t>Borrowings and lease liabilities</w:t>
            </w:r>
          </w:p>
        </w:tc>
        <w:tc>
          <w:tcPr>
            <w:tcW w:type="dxa" w:w="1123"/>
          </w:tcPr>
          <w:p>
            <w:pPr>
              <w:spacing w:after="20"/>
              <w:jc w:val="right"/>
            </w:pPr>
            <w:r>
              <w:rPr>
                <w:color w:val="1C3A36"/>
                <w:sz w:val="16"/>
              </w:rPr>
              <w:t>2,279</w:t>
            </w:r>
          </w:p>
        </w:tc>
        <w:tc>
          <w:tcPr>
            <w:tcW w:type="dxa" w:w="1123"/>
          </w:tcPr>
          <w:p>
            <w:pPr>
              <w:spacing w:after="20"/>
              <w:jc w:val="right"/>
            </w:pPr>
            <w:r>
              <w:rPr>
                <w:color w:val="1C3A36"/>
                <w:sz w:val="16"/>
              </w:rPr>
              <w:t>2,101</w:t>
            </w:r>
          </w:p>
        </w:tc>
        <w:tc>
          <w:tcPr>
            <w:tcW w:type="dxa" w:w="1123"/>
          </w:tcPr>
          <w:p>
            <w:pPr>
              <w:spacing w:after="20"/>
              <w:jc w:val="right"/>
            </w:pPr>
            <w:r>
              <w:rPr>
                <w:color w:val="1C3A36"/>
                <w:sz w:val="16"/>
              </w:rPr>
              <w:t>2,781</w:t>
            </w:r>
          </w:p>
        </w:tc>
        <w:tc>
          <w:tcPr>
            <w:tcW w:type="dxa" w:w="1123"/>
          </w:tcPr>
          <w:p>
            <w:pPr>
              <w:spacing w:after="20"/>
              <w:jc w:val="right"/>
            </w:pPr>
            <w:r>
              <w:rPr>
                <w:color w:val="1C3A36"/>
                <w:sz w:val="16"/>
              </w:rPr>
              <w:t>—</w:t>
            </w:r>
          </w:p>
        </w:tc>
        <w:tc>
          <w:tcPr>
            <w:tcW w:type="dxa" w:w="1123"/>
          </w:tcPr>
          <w:p>
            <w:pPr>
              <w:spacing w:after="20"/>
              <w:jc w:val="right"/>
            </w:pPr>
            <w:r>
              <w:rPr>
                <w:color w:val="1C3A36"/>
                <w:sz w:val="16"/>
              </w:rPr>
              <w:t>—</w:t>
            </w:r>
          </w:p>
        </w:tc>
        <w:tc>
          <w:tcPr>
            <w:tcW w:type="dxa" w:w="1123"/>
          </w:tcPr>
          <w:p>
            <w:pPr>
              <w:spacing w:after="20"/>
              <w:jc w:val="right"/>
            </w:pPr>
            <w:r>
              <w:rPr>
                <w:color w:val="1C3A36"/>
                <w:sz w:val="16"/>
              </w:rPr>
              <w:t>—</w:t>
            </w:r>
          </w:p>
        </w:tc>
      </w:tr>
      <w:tr>
        <w:tc>
          <w:tcPr>
            <w:tcW w:type="dxa" w:w="3312"/>
          </w:tcPr>
          <w:p>
            <w:pPr>
              <w:spacing w:after="20"/>
            </w:pPr>
            <w:r>
              <w:rPr>
                <w:color w:val="1C3A36"/>
                <w:sz w:val="16"/>
              </w:rPr>
              <w:t>Payables, deferred income and provisions</w:t>
            </w:r>
          </w:p>
        </w:tc>
        <w:tc>
          <w:tcPr>
            <w:tcW w:type="dxa" w:w="1123"/>
          </w:tcPr>
          <w:p>
            <w:pPr>
              <w:spacing w:after="20"/>
              <w:jc w:val="right"/>
            </w:pPr>
            <w:r>
              <w:rPr>
                <w:color w:val="1C3A36"/>
                <w:sz w:val="16"/>
              </w:rPr>
              <w:t>4,826</w:t>
            </w:r>
          </w:p>
        </w:tc>
        <w:tc>
          <w:tcPr>
            <w:tcW w:type="dxa" w:w="1123"/>
          </w:tcPr>
          <w:p>
            <w:pPr>
              <w:spacing w:after="20"/>
              <w:jc w:val="right"/>
            </w:pPr>
            <w:r>
              <w:rPr>
                <w:color w:val="1C3A36"/>
                <w:sz w:val="16"/>
              </w:rPr>
              <w:t>5,085</w:t>
            </w:r>
          </w:p>
        </w:tc>
        <w:tc>
          <w:tcPr>
            <w:tcW w:type="dxa" w:w="1123"/>
          </w:tcPr>
          <w:p>
            <w:pPr>
              <w:spacing w:after="20"/>
              <w:jc w:val="right"/>
            </w:pPr>
            <w:r>
              <w:rPr>
                <w:color w:val="1C3A36"/>
                <w:sz w:val="16"/>
              </w:rPr>
              <w:t>6,180</w:t>
            </w:r>
          </w:p>
        </w:tc>
        <w:tc>
          <w:tcPr>
            <w:tcW w:type="dxa" w:w="1123"/>
          </w:tcPr>
          <w:p>
            <w:pPr>
              <w:spacing w:after="20"/>
              <w:jc w:val="right"/>
            </w:pPr>
            <w:r>
              <w:rPr>
                <w:color w:val="1C3A36"/>
                <w:sz w:val="16"/>
              </w:rPr>
              <w:t>—</w:t>
            </w:r>
          </w:p>
        </w:tc>
        <w:tc>
          <w:tcPr>
            <w:tcW w:type="dxa" w:w="1123"/>
          </w:tcPr>
          <w:p>
            <w:pPr>
              <w:spacing w:after="20"/>
              <w:jc w:val="right"/>
            </w:pPr>
            <w:r>
              <w:rPr>
                <w:color w:val="1C3A36"/>
                <w:sz w:val="16"/>
              </w:rPr>
              <w:t>—</w:t>
            </w:r>
          </w:p>
        </w:tc>
        <w:tc>
          <w:tcPr>
            <w:tcW w:type="dxa" w:w="1123"/>
          </w:tcPr>
          <w:p>
            <w:pPr>
              <w:spacing w:after="20"/>
              <w:jc w:val="right"/>
            </w:pPr>
            <w:r>
              <w:rPr>
                <w:color w:val="1C3A36"/>
                <w:sz w:val="16"/>
              </w:rPr>
              <w:t>—</w:t>
            </w:r>
          </w:p>
        </w:tc>
      </w:tr>
      <w:tr>
        <w:tc>
          <w:tcPr>
            <w:tcW w:type="dxa" w:w="3312"/>
          </w:tcPr>
          <w:p>
            <w:pPr>
              <w:spacing w:after="20"/>
            </w:pPr>
            <w:r>
              <w:rPr>
                <w:color w:val="1C3A36"/>
                <w:sz w:val="16"/>
              </w:rPr>
              <w:t>Working capital (net, operating)</w:t>
            </w:r>
          </w:p>
        </w:tc>
        <w:tc>
          <w:tcPr>
            <w:tcW w:type="dxa" w:w="1123"/>
          </w:tcPr>
          <w:p>
            <w:pPr>
              <w:spacing w:after="20"/>
              <w:jc w:val="right"/>
            </w:pPr>
            <w:r>
              <w:rPr>
                <w:color w:val="1C3A36"/>
                <w:sz w:val="16"/>
              </w:rPr>
              <w:t>-3,918</w:t>
            </w:r>
          </w:p>
        </w:tc>
        <w:tc>
          <w:tcPr>
            <w:tcW w:type="dxa" w:w="1123"/>
          </w:tcPr>
          <w:p>
            <w:pPr>
              <w:spacing w:after="20"/>
              <w:jc w:val="right"/>
            </w:pPr>
            <w:r>
              <w:rPr>
                <w:color w:val="1C3A36"/>
                <w:sz w:val="16"/>
              </w:rPr>
              <w:t>-4,208</w:t>
            </w:r>
          </w:p>
        </w:tc>
        <w:tc>
          <w:tcPr>
            <w:tcW w:type="dxa" w:w="1123"/>
          </w:tcPr>
          <w:p>
            <w:pPr>
              <w:spacing w:after="20"/>
              <w:jc w:val="right"/>
            </w:pPr>
            <w:r>
              <w:rPr>
                <w:color w:val="1C3A36"/>
                <w:sz w:val="16"/>
              </w:rPr>
              <w:t>-5,187</w:t>
            </w:r>
          </w:p>
        </w:tc>
        <w:tc>
          <w:tcPr>
            <w:tcW w:type="dxa" w:w="1123"/>
          </w:tcPr>
          <w:p>
            <w:pPr>
              <w:spacing w:after="20"/>
              <w:jc w:val="right"/>
            </w:pPr>
            <w:r>
              <w:rPr>
                <w:color w:val="1C3A36"/>
                <w:sz w:val="16"/>
              </w:rPr>
              <w:t>-5,036</w:t>
            </w:r>
          </w:p>
        </w:tc>
        <w:tc>
          <w:tcPr>
            <w:tcW w:type="dxa" w:w="1123"/>
          </w:tcPr>
          <w:p>
            <w:pPr>
              <w:spacing w:after="20"/>
              <w:jc w:val="right"/>
            </w:pPr>
            <w:r>
              <w:rPr>
                <w:color w:val="1C3A36"/>
                <w:sz w:val="16"/>
              </w:rPr>
              <w:t>-5,925</w:t>
            </w:r>
          </w:p>
        </w:tc>
        <w:tc>
          <w:tcPr>
            <w:tcW w:type="dxa" w:w="1123"/>
          </w:tcPr>
          <w:p>
            <w:pPr>
              <w:spacing w:after="20"/>
              <w:jc w:val="right"/>
            </w:pPr>
            <w:r>
              <w:rPr>
                <w:color w:val="1C3A36"/>
                <w:sz w:val="16"/>
              </w:rPr>
              <w:t>-7,009</w:t>
            </w:r>
          </w:p>
        </w:tc>
      </w:tr>
      <w:tr>
        <w:tc>
          <w:tcPr>
            <w:tcW w:type="dxa" w:w="3312"/>
          </w:tcPr>
          <w:p>
            <w:pPr>
              <w:spacing w:after="20"/>
            </w:pPr>
            <w:r>
              <w:rPr>
                <w:color w:val="1C3A36"/>
                <w:sz w:val="16"/>
              </w:rPr>
              <w:t>Net debt (negative = net cash)</w:t>
            </w:r>
          </w:p>
        </w:tc>
        <w:tc>
          <w:tcPr>
            <w:tcW w:type="dxa" w:w="1123"/>
          </w:tcPr>
          <w:p>
            <w:pPr>
              <w:spacing w:after="20"/>
              <w:jc w:val="right"/>
            </w:pPr>
            <w:r>
              <w:rPr>
                <w:color w:val="1C3A36"/>
                <w:sz w:val="16"/>
              </w:rPr>
              <w:t>-2,967</w:t>
            </w:r>
          </w:p>
        </w:tc>
        <w:tc>
          <w:tcPr>
            <w:tcW w:type="dxa" w:w="1123"/>
          </w:tcPr>
          <w:p>
            <w:pPr>
              <w:spacing w:after="20"/>
              <w:jc w:val="right"/>
            </w:pPr>
            <w:r>
              <w:rPr>
                <w:color w:val="1C3A36"/>
                <w:sz w:val="16"/>
              </w:rPr>
              <w:t>-3,218</w:t>
            </w:r>
          </w:p>
        </w:tc>
        <w:tc>
          <w:tcPr>
            <w:tcW w:type="dxa" w:w="1123"/>
          </w:tcPr>
          <w:p>
            <w:pPr>
              <w:spacing w:after="20"/>
              <w:jc w:val="right"/>
            </w:pPr>
            <w:r>
              <w:rPr>
                <w:color w:val="1C3A36"/>
                <w:sz w:val="16"/>
              </w:rPr>
              <w:t>-2,417</w:t>
            </w:r>
          </w:p>
        </w:tc>
        <w:tc>
          <w:tcPr>
            <w:tcW w:type="dxa" w:w="1123"/>
          </w:tcPr>
          <w:p>
            <w:pPr>
              <w:spacing w:after="20"/>
              <w:jc w:val="right"/>
            </w:pPr>
            <w:r>
              <w:rPr>
                <w:color w:val="1C3A36"/>
                <w:sz w:val="16"/>
              </w:rPr>
              <w:t>-854</w:t>
            </w:r>
          </w:p>
        </w:tc>
        <w:tc>
          <w:tcPr>
            <w:tcW w:type="dxa" w:w="1123"/>
          </w:tcPr>
          <w:p>
            <w:pPr>
              <w:spacing w:after="20"/>
              <w:jc w:val="right"/>
            </w:pPr>
            <w:r>
              <w:rPr>
                <w:color w:val="1C3A36"/>
                <w:sz w:val="16"/>
              </w:rPr>
              <w:t>360</w:t>
            </w:r>
          </w:p>
        </w:tc>
        <w:tc>
          <w:tcPr>
            <w:tcW w:type="dxa" w:w="1123"/>
          </w:tcPr>
          <w:p>
            <w:pPr>
              <w:spacing w:after="20"/>
              <w:jc w:val="right"/>
            </w:pPr>
            <w:r>
              <w:rPr>
                <w:color w:val="1C3A36"/>
                <w:sz w:val="16"/>
              </w:rPr>
              <w:t>1,224</w:t>
            </w:r>
          </w:p>
        </w:tc>
      </w:tr>
      <w:tr>
        <w:tc>
          <w:tcPr>
            <w:tcW w:type="dxa" w:w="3312"/>
          </w:tcPr>
          <w:p>
            <w:pPr>
              <w:spacing w:after="20"/>
            </w:pPr>
            <w:r>
              <w:rPr>
                <w:color w:val="1C3A36"/>
                <w:sz w:val="16"/>
              </w:rPr>
              <w:t>Equity attributable to owners</w:t>
            </w:r>
          </w:p>
        </w:tc>
        <w:tc>
          <w:tcPr>
            <w:tcW w:type="dxa" w:w="1123"/>
          </w:tcPr>
          <w:p>
            <w:pPr>
              <w:spacing w:after="20"/>
              <w:jc w:val="right"/>
            </w:pPr>
            <w:r>
              <w:rPr>
                <w:color w:val="1C3A36"/>
                <w:sz w:val="16"/>
              </w:rPr>
              <w:t>7,534</w:t>
            </w:r>
          </w:p>
        </w:tc>
        <w:tc>
          <w:tcPr>
            <w:tcW w:type="dxa" w:w="1123"/>
          </w:tcPr>
          <w:p>
            <w:pPr>
              <w:spacing w:after="20"/>
              <w:jc w:val="right"/>
            </w:pPr>
            <w:r>
              <w:rPr>
                <w:color w:val="1C3A36"/>
                <w:sz w:val="16"/>
              </w:rPr>
              <w:t>7,950</w:t>
            </w:r>
          </w:p>
        </w:tc>
        <w:tc>
          <w:tcPr>
            <w:tcW w:type="dxa" w:w="1123"/>
          </w:tcPr>
          <w:p>
            <w:pPr>
              <w:spacing w:after="20"/>
              <w:jc w:val="right"/>
            </w:pPr>
            <w:r>
              <w:rPr>
                <w:color w:val="1C3A36"/>
                <w:sz w:val="16"/>
              </w:rPr>
              <w:t>8,409</w:t>
            </w:r>
          </w:p>
        </w:tc>
        <w:tc>
          <w:tcPr>
            <w:tcW w:type="dxa" w:w="1123"/>
          </w:tcPr>
          <w:p>
            <w:pPr>
              <w:spacing w:after="20"/>
              <w:jc w:val="right"/>
            </w:pPr>
            <w:r>
              <w:rPr>
                <w:color w:val="1C3A36"/>
                <w:sz w:val="16"/>
              </w:rPr>
              <w:t>8,409</w:t>
            </w:r>
          </w:p>
        </w:tc>
        <w:tc>
          <w:tcPr>
            <w:tcW w:type="dxa" w:w="1123"/>
          </w:tcPr>
          <w:p>
            <w:pPr>
              <w:spacing w:after="20"/>
              <w:jc w:val="right"/>
            </w:pPr>
            <w:r>
              <w:rPr>
                <w:color w:val="1C3A36"/>
                <w:sz w:val="16"/>
              </w:rPr>
              <w:t>8,783</w:t>
            </w:r>
          </w:p>
        </w:tc>
        <w:tc>
          <w:tcPr>
            <w:tcW w:type="dxa" w:w="1123"/>
          </w:tcPr>
          <w:p>
            <w:pPr>
              <w:spacing w:after="20"/>
              <w:jc w:val="right"/>
            </w:pPr>
            <w:r>
              <w:rPr>
                <w:color w:val="1C3A36"/>
                <w:sz w:val="16"/>
              </w:rPr>
              <w:t>9,272</w:t>
            </w:r>
          </w:p>
        </w:tc>
      </w:tr>
    </w:tbl>
    <w:p>
      <w:pPr>
        <w:spacing w:after="40"/>
      </w:pPr>
    </w:p>
    <w:p>
      <w:pPr>
        <w:spacing w:after="200" w:before="0"/>
      </w:pPr>
      <w:r>
        <w:rPr>
          <w:b w:val="0"/>
          <w:i/>
          <w:color w:val="6E7B77"/>
          <w:sz w:val="17"/>
        </w:rPr>
        <w:t>*FY2023 column is the restated 1-January-2024 position from the FY2025 filing — the same basis as FY2024/25. Forecast columns roll fleet assets, working capital, net debt and equity; the intermediate rows are audited history only.</w:t>
      </w:r>
    </w:p>
    <w:p>
      <w:pPr>
        <w:spacing w:after="80" w:before="200"/>
      </w:pPr>
      <w:r>
        <w:rPr>
          <w:b/>
          <w:i w:val="0"/>
          <w:color w:val="1C3A36"/>
          <w:sz w:val="24"/>
        </w:rPr>
        <w:t>A.3  Cash-flow markers (AED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1123"/>
        <w:gridCol w:w="1123"/>
        <w:gridCol w:w="1123"/>
        <w:gridCol w:w="1123"/>
        <w:gridCol w:w="1123"/>
        <w:gridCol w:w="1123"/>
      </w:tblGrid>
      <w:tr>
        <w:tc>
          <w:tcPr>
            <w:tcW w:type="dxa" w:w="3312"/>
            <w:shd w:val="clear" w:color="auto" w:fill="EAF0EE"/>
          </w:tcPr>
          <w:p>
            <w:pPr>
              <w:spacing w:after="20"/>
            </w:pPr>
            <w:r>
              <w:rPr>
                <w:b/>
                <w:color w:val="1C3A36"/>
                <w:sz w:val="16"/>
              </w:rPr>
            </w:r>
          </w:p>
        </w:tc>
        <w:tc>
          <w:tcPr>
            <w:tcW w:type="dxa" w:w="1123"/>
            <w:shd w:val="clear" w:color="auto" w:fill="EAF0EE"/>
          </w:tcPr>
          <w:p>
            <w:pPr>
              <w:spacing w:after="20"/>
            </w:pPr>
            <w:r>
              <w:rPr>
                <w:b/>
                <w:color w:val="1C3A36"/>
                <w:sz w:val="16"/>
              </w:rPr>
              <w:t>FY2023</w:t>
            </w:r>
          </w:p>
        </w:tc>
        <w:tc>
          <w:tcPr>
            <w:tcW w:type="dxa" w:w="1123"/>
            <w:shd w:val="clear" w:color="auto" w:fill="EAF0EE"/>
          </w:tcPr>
          <w:p>
            <w:pPr>
              <w:spacing w:after="20"/>
            </w:pPr>
            <w:r>
              <w:rPr>
                <w:b/>
                <w:color w:val="1C3A36"/>
                <w:sz w:val="16"/>
              </w:rPr>
              <w:t>FY2024</w:t>
            </w:r>
          </w:p>
        </w:tc>
        <w:tc>
          <w:tcPr>
            <w:tcW w:type="dxa" w:w="1123"/>
            <w:shd w:val="clear" w:color="auto" w:fill="EAF0EE"/>
          </w:tcPr>
          <w:p>
            <w:pPr>
              <w:spacing w:after="20"/>
            </w:pPr>
            <w:r>
              <w:rPr>
                <w:b/>
                <w:color w:val="1C3A36"/>
                <w:sz w:val="16"/>
              </w:rPr>
              <w:t>FY2025</w:t>
            </w:r>
          </w:p>
        </w:tc>
        <w:tc>
          <w:tcPr>
            <w:tcW w:type="dxa" w:w="1123"/>
            <w:shd w:val="clear" w:color="auto" w:fill="EAF0EE"/>
          </w:tcPr>
          <w:p>
            <w:pPr>
              <w:spacing w:after="20"/>
            </w:pPr>
            <w:r>
              <w:rPr>
                <w:b/>
                <w:color w:val="1C3A36"/>
                <w:sz w:val="16"/>
              </w:rPr>
              <w:t>FY2026E</w:t>
            </w:r>
          </w:p>
        </w:tc>
        <w:tc>
          <w:tcPr>
            <w:tcW w:type="dxa" w:w="1123"/>
            <w:shd w:val="clear" w:color="auto" w:fill="EAF0EE"/>
          </w:tcPr>
          <w:p>
            <w:pPr>
              <w:spacing w:after="20"/>
            </w:pPr>
            <w:r>
              <w:rPr>
                <w:b/>
                <w:color w:val="1C3A36"/>
                <w:sz w:val="16"/>
              </w:rPr>
              <w:t>FY2028E</w:t>
            </w:r>
          </w:p>
        </w:tc>
        <w:tc>
          <w:tcPr>
            <w:tcW w:type="dxa" w:w="1123"/>
            <w:shd w:val="clear" w:color="auto" w:fill="EAF0EE"/>
          </w:tcPr>
          <w:p>
            <w:pPr>
              <w:spacing w:after="20"/>
            </w:pPr>
            <w:r>
              <w:rPr>
                <w:b/>
                <w:color w:val="1C3A36"/>
                <w:sz w:val="16"/>
              </w:rPr>
              <w:t>FY2030E</w:t>
            </w:r>
          </w:p>
        </w:tc>
      </w:tr>
      <w:tr>
        <w:tc>
          <w:tcPr>
            <w:tcW w:type="dxa" w:w="3312"/>
          </w:tcPr>
          <w:p>
            <w:pPr>
              <w:spacing w:after="20"/>
            </w:pPr>
            <w:r>
              <w:rPr>
                <w:color w:val="1C3A36"/>
                <w:sz w:val="16"/>
              </w:rPr>
              <w:t>Net cash from operating activities</w:t>
            </w:r>
          </w:p>
        </w:tc>
        <w:tc>
          <w:tcPr>
            <w:tcW w:type="dxa" w:w="1123"/>
          </w:tcPr>
          <w:p>
            <w:pPr>
              <w:spacing w:after="20"/>
              <w:jc w:val="right"/>
            </w:pPr>
            <w:r>
              <w:rPr>
                <w:color w:val="1C3A36"/>
                <w:sz w:val="16"/>
              </w:rPr>
              <w:t>2,304</w:t>
            </w:r>
          </w:p>
        </w:tc>
        <w:tc>
          <w:tcPr>
            <w:tcW w:type="dxa" w:w="1123"/>
          </w:tcPr>
          <w:p>
            <w:pPr>
              <w:spacing w:after="20"/>
              <w:jc w:val="right"/>
            </w:pPr>
            <w:r>
              <w:rPr>
                <w:color w:val="1C3A36"/>
                <w:sz w:val="16"/>
              </w:rPr>
              <w:t>2,279</w:t>
            </w:r>
          </w:p>
        </w:tc>
        <w:tc>
          <w:tcPr>
            <w:tcW w:type="dxa" w:w="1123"/>
          </w:tcPr>
          <w:p>
            <w:pPr>
              <w:spacing w:after="20"/>
              <w:jc w:val="right"/>
            </w:pPr>
            <w:r>
              <w:rPr>
                <w:color w:val="1C3A36"/>
                <w:sz w:val="16"/>
              </w:rPr>
              <w:t>2,860</w:t>
            </w:r>
          </w:p>
        </w:tc>
        <w:tc>
          <w:tcPr>
            <w:tcW w:type="dxa" w:w="1123"/>
          </w:tcPr>
          <w:p>
            <w:pPr>
              <w:spacing w:after="20"/>
              <w:jc w:val="right"/>
            </w:pPr>
            <w:r>
              <w:rPr>
                <w:color w:val="1C3A36"/>
                <w:sz w:val="16"/>
              </w:rPr>
              <w:t>—</w:t>
            </w:r>
          </w:p>
        </w:tc>
        <w:tc>
          <w:tcPr>
            <w:tcW w:type="dxa" w:w="1123"/>
          </w:tcPr>
          <w:p>
            <w:pPr>
              <w:spacing w:after="20"/>
              <w:jc w:val="right"/>
            </w:pPr>
            <w:r>
              <w:rPr>
                <w:color w:val="1C3A36"/>
                <w:sz w:val="16"/>
              </w:rPr>
              <w:t>—</w:t>
            </w:r>
          </w:p>
        </w:tc>
        <w:tc>
          <w:tcPr>
            <w:tcW w:type="dxa" w:w="1123"/>
          </w:tcPr>
          <w:p>
            <w:pPr>
              <w:spacing w:after="20"/>
              <w:jc w:val="right"/>
            </w:pPr>
            <w:r>
              <w:rPr>
                <w:color w:val="1C3A36"/>
                <w:sz w:val="16"/>
              </w:rPr>
              <w:t>—</w:t>
            </w:r>
          </w:p>
        </w:tc>
      </w:tr>
      <w:tr>
        <w:tc>
          <w:tcPr>
            <w:tcW w:type="dxa" w:w="3312"/>
          </w:tcPr>
          <w:p>
            <w:pPr>
              <w:spacing w:after="20"/>
            </w:pPr>
            <w:r>
              <w:rPr>
                <w:color w:val="1C3A36"/>
                <w:sz w:val="16"/>
              </w:rPr>
              <w:t>Fleet capex incl. aircraft advances</w:t>
            </w:r>
          </w:p>
        </w:tc>
        <w:tc>
          <w:tcPr>
            <w:tcW w:type="dxa" w:w="1123"/>
          </w:tcPr>
          <w:p>
            <w:pPr>
              <w:spacing w:after="20"/>
              <w:jc w:val="right"/>
            </w:pPr>
            <w:r>
              <w:rPr>
                <w:color w:val="1C3A36"/>
                <w:sz w:val="16"/>
              </w:rPr>
              <w:t>378</w:t>
            </w:r>
          </w:p>
        </w:tc>
        <w:tc>
          <w:tcPr>
            <w:tcW w:type="dxa" w:w="1123"/>
          </w:tcPr>
          <w:p>
            <w:pPr>
              <w:spacing w:after="20"/>
              <w:jc w:val="right"/>
            </w:pPr>
            <w:r>
              <w:rPr>
                <w:color w:val="1C3A36"/>
                <w:sz w:val="16"/>
              </w:rPr>
              <w:t>580</w:t>
            </w:r>
          </w:p>
        </w:tc>
        <w:tc>
          <w:tcPr>
            <w:tcW w:type="dxa" w:w="1123"/>
          </w:tcPr>
          <w:p>
            <w:pPr>
              <w:spacing w:after="20"/>
              <w:jc w:val="right"/>
            </w:pPr>
            <w:r>
              <w:rPr>
                <w:color w:val="1C3A36"/>
                <w:sz w:val="16"/>
              </w:rPr>
              <w:t>2,328</w:t>
            </w:r>
          </w:p>
        </w:tc>
        <w:tc>
          <w:tcPr>
            <w:tcW w:type="dxa" w:w="1123"/>
          </w:tcPr>
          <w:p>
            <w:pPr>
              <w:spacing w:after="20"/>
              <w:jc w:val="right"/>
            </w:pPr>
            <w:r>
              <w:rPr>
                <w:color w:val="1C3A36"/>
                <w:sz w:val="16"/>
              </w:rPr>
              <w:t>2,000</w:t>
            </w:r>
          </w:p>
        </w:tc>
        <w:tc>
          <w:tcPr>
            <w:tcW w:type="dxa" w:w="1123"/>
          </w:tcPr>
          <w:p>
            <w:pPr>
              <w:spacing w:after="20"/>
              <w:jc w:val="right"/>
            </w:pPr>
            <w:r>
              <w:rPr>
                <w:color w:val="1C3A36"/>
                <w:sz w:val="16"/>
              </w:rPr>
              <w:t>1,900</w:t>
            </w:r>
          </w:p>
        </w:tc>
        <w:tc>
          <w:tcPr>
            <w:tcW w:type="dxa" w:w="1123"/>
          </w:tcPr>
          <w:p>
            <w:pPr>
              <w:spacing w:after="20"/>
              <w:jc w:val="right"/>
            </w:pPr>
            <w:r>
              <w:rPr>
                <w:color w:val="1C3A36"/>
                <w:sz w:val="16"/>
              </w:rPr>
              <w:t>2,000</w:t>
            </w:r>
          </w:p>
        </w:tc>
      </w:tr>
      <w:tr>
        <w:tc>
          <w:tcPr>
            <w:tcW w:type="dxa" w:w="3312"/>
          </w:tcPr>
          <w:p>
            <w:pPr>
              <w:spacing w:after="20"/>
            </w:pPr>
            <w:r>
              <w:rPr>
                <w:color w:val="1C3A36"/>
                <w:sz w:val="16"/>
              </w:rPr>
              <w:t>Free cash flow to the firm (model basis)</w:t>
            </w:r>
          </w:p>
        </w:tc>
        <w:tc>
          <w:tcPr>
            <w:tcW w:type="dxa" w:w="1123"/>
          </w:tcPr>
          <w:p>
            <w:pPr>
              <w:spacing w:after="20"/>
              <w:jc w:val="right"/>
            </w:pPr>
            <w:r>
              <w:rPr>
                <w:color w:val="1C3A36"/>
                <w:sz w:val="16"/>
              </w:rPr>
              <w:t>—</w:t>
            </w:r>
          </w:p>
        </w:tc>
        <w:tc>
          <w:tcPr>
            <w:tcW w:type="dxa" w:w="1123"/>
          </w:tcPr>
          <w:p>
            <w:pPr>
              <w:spacing w:after="20"/>
              <w:jc w:val="right"/>
            </w:pPr>
            <w:r>
              <w:rPr>
                <w:color w:val="1C3A36"/>
                <w:sz w:val="16"/>
              </w:rPr>
              <w:t>—</w:t>
            </w:r>
          </w:p>
        </w:tc>
        <w:tc>
          <w:tcPr>
            <w:tcW w:type="dxa" w:w="1123"/>
          </w:tcPr>
          <w:p>
            <w:pPr>
              <w:spacing w:after="20"/>
              <w:jc w:val="right"/>
            </w:pPr>
            <w:r>
              <w:rPr>
                <w:color w:val="1C3A36"/>
                <w:sz w:val="16"/>
              </w:rPr>
              <w:t>—</w:t>
            </w:r>
          </w:p>
        </w:tc>
        <w:tc>
          <w:tcPr>
            <w:tcW w:type="dxa" w:w="1123"/>
          </w:tcPr>
          <w:p>
            <w:pPr>
              <w:spacing w:after="20"/>
              <w:jc w:val="right"/>
            </w:pPr>
            <w:r>
              <w:rPr>
                <w:color w:val="1C3A36"/>
                <w:sz w:val="16"/>
              </w:rPr>
              <w:t>-448</w:t>
            </w:r>
          </w:p>
        </w:tc>
        <w:tc>
          <w:tcPr>
            <w:tcW w:type="dxa" w:w="1123"/>
          </w:tcPr>
          <w:p>
            <w:pPr>
              <w:spacing w:after="20"/>
              <w:jc w:val="right"/>
            </w:pPr>
            <w:r>
              <w:rPr>
                <w:color w:val="1C3A36"/>
                <w:sz w:val="16"/>
              </w:rPr>
              <w:t>808</w:t>
            </w:r>
          </w:p>
        </w:tc>
        <w:tc>
          <w:tcPr>
            <w:tcW w:type="dxa" w:w="1123"/>
          </w:tcPr>
          <w:p>
            <w:pPr>
              <w:spacing w:after="20"/>
              <w:jc w:val="right"/>
            </w:pPr>
            <w:r>
              <w:rPr>
                <w:color w:val="1C3A36"/>
                <w:sz w:val="16"/>
              </w:rPr>
              <w:t>985</w:t>
            </w:r>
          </w:p>
        </w:tc>
      </w:tr>
      <w:tr>
        <w:tc>
          <w:tcPr>
            <w:tcW w:type="dxa" w:w="3312"/>
          </w:tcPr>
          <w:p>
            <w:pPr>
              <w:spacing w:after="20"/>
            </w:pPr>
            <w:r>
              <w:rPr>
                <w:color w:val="1C3A36"/>
                <w:sz w:val="16"/>
              </w:rPr>
              <w:t>Dividends paid to owners</w:t>
            </w:r>
          </w:p>
        </w:tc>
        <w:tc>
          <w:tcPr>
            <w:tcW w:type="dxa" w:w="1123"/>
          </w:tcPr>
          <w:p>
            <w:pPr>
              <w:spacing w:after="20"/>
              <w:jc w:val="right"/>
            </w:pPr>
            <w:r>
              <w:rPr>
                <w:color w:val="1C3A36"/>
                <w:sz w:val="16"/>
              </w:rPr>
              <w:t>700</w:t>
            </w:r>
          </w:p>
        </w:tc>
        <w:tc>
          <w:tcPr>
            <w:tcW w:type="dxa" w:w="1123"/>
          </w:tcPr>
          <w:p>
            <w:pPr>
              <w:spacing w:after="20"/>
              <w:jc w:val="right"/>
            </w:pPr>
            <w:r>
              <w:rPr>
                <w:color w:val="1C3A36"/>
                <w:sz w:val="16"/>
              </w:rPr>
              <w:t>933</w:t>
            </w:r>
          </w:p>
        </w:tc>
        <w:tc>
          <w:tcPr>
            <w:tcW w:type="dxa" w:w="1123"/>
          </w:tcPr>
          <w:p>
            <w:pPr>
              <w:spacing w:after="20"/>
              <w:jc w:val="right"/>
            </w:pPr>
            <w:r>
              <w:rPr>
                <w:color w:val="1C3A36"/>
                <w:sz w:val="16"/>
              </w:rPr>
              <w:t>1,167</w:t>
            </w:r>
          </w:p>
        </w:tc>
        <w:tc>
          <w:tcPr>
            <w:tcW w:type="dxa" w:w="1123"/>
          </w:tcPr>
          <w:p>
            <w:pPr>
              <w:spacing w:after="20"/>
              <w:jc w:val="right"/>
            </w:pPr>
            <w:r>
              <w:rPr>
                <w:color w:val="1C3A36"/>
                <w:sz w:val="16"/>
              </w:rPr>
              <w:t>1,226</w:t>
            </w:r>
          </w:p>
        </w:tc>
        <w:tc>
          <w:tcPr>
            <w:tcW w:type="dxa" w:w="1123"/>
          </w:tcPr>
          <w:p>
            <w:pPr>
              <w:spacing w:after="20"/>
              <w:jc w:val="right"/>
            </w:pPr>
            <w:r>
              <w:rPr>
                <w:color w:val="1C3A36"/>
                <w:sz w:val="16"/>
              </w:rPr>
              <w:t>1,288</w:t>
            </w:r>
          </w:p>
        </w:tc>
        <w:tc>
          <w:tcPr>
            <w:tcW w:type="dxa" w:w="1123"/>
          </w:tcPr>
          <w:p>
            <w:pPr>
              <w:spacing w:after="20"/>
              <w:jc w:val="right"/>
            </w:pPr>
            <w:r>
              <w:rPr>
                <w:color w:val="1C3A36"/>
                <w:sz w:val="16"/>
              </w:rPr>
              <w:t>1,415</w:t>
            </w:r>
          </w:p>
        </w:tc>
      </w:tr>
    </w:tbl>
    <w:p>
      <w:pPr>
        <w:spacing w:after="40"/>
      </w:pPr>
    </w:p>
    <w:p>
      <w:r>
        <w:br w:type="page"/>
      </w:r>
    </w:p>
    <w:p>
      <w:pPr>
        <w:spacing w:after="120" w:before="280"/>
      </w:pPr>
      <w:r>
        <w:rPr>
          <w:b/>
          <w:i w:val="0"/>
          <w:color w:val="1C3A36"/>
          <w:sz w:val="30"/>
        </w:rPr>
        <w:t>Appendix B — Peer frame, risk register, research register</w:t>
      </w:r>
    </w:p>
    <w:p>
      <w:pPr>
        <w:spacing w:after="80" w:before="200"/>
      </w:pPr>
      <w:r>
        <w:rPr>
          <w:b/>
          <w:i w:val="0"/>
          <w:color w:val="1C3A36"/>
          <w:sz w:val="24"/>
        </w:rPr>
        <w:t>B.1  Peer frame (cross-check only, never a build source)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92"/>
        <w:gridCol w:w="1944"/>
        <w:gridCol w:w="1584"/>
        <w:gridCol w:w="3960"/>
      </w:tblGrid>
      <w:tr>
        <w:tc>
          <w:tcPr>
            <w:tcW w:type="dxa" w:w="2592"/>
            <w:shd w:val="clear" w:color="auto" w:fill="EAF0EE"/>
          </w:tcPr>
          <w:p>
            <w:pPr>
              <w:spacing w:after="20"/>
            </w:pPr>
            <w:r>
              <w:rPr>
                <w:b/>
                <w:color w:val="1C3A36"/>
                <w:sz w:val="17"/>
              </w:rPr>
              <w:t>Carrier</w:t>
            </w:r>
          </w:p>
        </w:tc>
        <w:tc>
          <w:tcPr>
            <w:tcW w:type="dxa" w:w="1944"/>
            <w:shd w:val="clear" w:color="auto" w:fill="EAF0EE"/>
          </w:tcPr>
          <w:p>
            <w:pPr>
              <w:spacing w:after="20"/>
            </w:pPr>
            <w:r>
              <w:rPr>
                <w:b/>
                <w:color w:val="1C3A36"/>
                <w:sz w:val="17"/>
              </w:rPr>
              <w:t>Trailing P/E</w:t>
            </w:r>
          </w:p>
        </w:tc>
        <w:tc>
          <w:tcPr>
            <w:tcW w:type="dxa" w:w="1584"/>
            <w:shd w:val="clear" w:color="auto" w:fill="EAF0EE"/>
          </w:tcPr>
          <w:p>
            <w:pPr>
              <w:spacing w:after="20"/>
            </w:pPr>
            <w:r>
              <w:rPr>
                <w:b/>
                <w:color w:val="1C3A36"/>
                <w:sz w:val="17"/>
              </w:rPr>
              <w:t>EV/EBITDA</w:t>
            </w:r>
          </w:p>
        </w:tc>
        <w:tc>
          <w:tcPr>
            <w:tcW w:type="dxa" w:w="3960"/>
            <w:shd w:val="clear" w:color="auto" w:fill="EAF0EE"/>
          </w:tcPr>
          <w:p>
            <w:pPr>
              <w:spacing w:after="20"/>
            </w:pPr>
            <w:r>
              <w:rPr>
                <w:b/>
                <w:color w:val="1C3A36"/>
                <w:sz w:val="17"/>
              </w:rPr>
              <w:t>Basis</w:t>
            </w:r>
          </w:p>
        </w:tc>
      </w:tr>
      <w:tr>
        <w:tc>
          <w:tcPr>
            <w:tcW w:type="dxa" w:w="2592"/>
          </w:tcPr>
          <w:p>
            <w:pPr>
              <w:spacing w:after="20"/>
            </w:pPr>
            <w:r>
              <w:rPr>
                <w:color w:val="1C3A36"/>
                <w:sz w:val="17"/>
              </w:rPr>
              <w:t>Ryanair</w:t>
            </w:r>
          </w:p>
        </w:tc>
        <w:tc>
          <w:tcPr>
            <w:tcW w:type="dxa" w:w="1944"/>
          </w:tcPr>
          <w:p>
            <w:pPr>
              <w:spacing w:after="20"/>
              <w:jc w:val="right"/>
            </w:pPr>
            <w:r>
              <w:rPr>
                <w:color w:val="1C3A36"/>
                <w:sz w:val="17"/>
              </w:rPr>
              <w:t>12.6×</w:t>
            </w:r>
          </w:p>
        </w:tc>
        <w:tc>
          <w:tcPr>
            <w:tcW w:type="dxa" w:w="1584"/>
          </w:tcPr>
          <w:p>
            <w:pPr>
              <w:spacing w:after="20"/>
              <w:jc w:val="right"/>
            </w:pPr>
            <w:r>
              <w:rPr>
                <w:color w:val="1C3A36"/>
                <w:sz w:val="17"/>
              </w:rPr>
              <w:t>7.8×</w:t>
            </w:r>
          </w:p>
        </w:tc>
        <w:tc>
          <w:tcPr>
            <w:tcW w:type="dxa" w:w="3960"/>
          </w:tcPr>
          <w:p>
            <w:pPr>
              <w:spacing w:after="20"/>
              <w:jc w:val="right"/>
            </w:pPr>
            <w:r>
              <w:rPr>
                <w:color w:val="1C3A36"/>
                <w:sz w:val="17"/>
              </w:rPr>
              <w:t>trailing, USD ADR, 09-Aug-2026</w:t>
            </w:r>
          </w:p>
        </w:tc>
      </w:tr>
      <w:tr>
        <w:tc>
          <w:tcPr>
            <w:tcW w:type="dxa" w:w="2592"/>
          </w:tcPr>
          <w:p>
            <w:pPr>
              <w:spacing w:after="20"/>
            </w:pPr>
            <w:r>
              <w:rPr>
                <w:color w:val="1C3A36"/>
                <w:sz w:val="17"/>
              </w:rPr>
              <w:t>easyJet</w:t>
            </w:r>
          </w:p>
        </w:tc>
        <w:tc>
          <w:tcPr>
            <w:tcW w:type="dxa" w:w="1944"/>
          </w:tcPr>
          <w:p>
            <w:pPr>
              <w:spacing w:after="20"/>
              <w:jc w:val="right"/>
            </w:pPr>
            <w:r>
              <w:rPr>
                <w:color w:val="1C3A36"/>
                <w:sz w:val="17"/>
              </w:rPr>
              <w:t>12.4×</w:t>
            </w:r>
          </w:p>
        </w:tc>
        <w:tc>
          <w:tcPr>
            <w:tcW w:type="dxa" w:w="1584"/>
          </w:tcPr>
          <w:p>
            <w:pPr>
              <w:spacing w:after="20"/>
              <w:jc w:val="right"/>
            </w:pPr>
            <w:r>
              <w:rPr>
                <w:color w:val="1C3A36"/>
                <w:sz w:val="17"/>
              </w:rPr>
              <w:t>3.5×</w:t>
            </w:r>
          </w:p>
        </w:tc>
        <w:tc>
          <w:tcPr>
            <w:tcW w:type="dxa" w:w="3960"/>
          </w:tcPr>
          <w:p>
            <w:pPr>
              <w:spacing w:after="20"/>
              <w:jc w:val="right"/>
            </w:pPr>
            <w:r>
              <w:rPr>
                <w:color w:val="1C3A36"/>
                <w:sz w:val="17"/>
              </w:rPr>
              <w:t>trailing, GBP, 07-Aug-2026</w:t>
            </w:r>
          </w:p>
        </w:tc>
      </w:tr>
      <w:tr>
        <w:tc>
          <w:tcPr>
            <w:tcW w:type="dxa" w:w="2592"/>
          </w:tcPr>
          <w:p>
            <w:pPr>
              <w:spacing w:after="20"/>
            </w:pPr>
            <w:r>
              <w:rPr>
                <w:color w:val="1C3A36"/>
                <w:sz w:val="17"/>
              </w:rPr>
              <w:t>IndiGo</w:t>
            </w:r>
          </w:p>
        </w:tc>
        <w:tc>
          <w:tcPr>
            <w:tcW w:type="dxa" w:w="1944"/>
          </w:tcPr>
          <w:p>
            <w:pPr>
              <w:spacing w:after="20"/>
              <w:jc w:val="right"/>
            </w:pPr>
            <w:r>
              <w:rPr>
                <w:color w:val="1C3A36"/>
                <w:sz w:val="17"/>
              </w:rPr>
              <w:t>n/m (loss year)</w:t>
            </w:r>
          </w:p>
        </w:tc>
        <w:tc>
          <w:tcPr>
            <w:tcW w:type="dxa" w:w="1584"/>
          </w:tcPr>
          <w:p>
            <w:pPr>
              <w:spacing w:after="20"/>
              <w:jc w:val="right"/>
            </w:pPr>
            <w:r>
              <w:rPr>
                <w:color w:val="1C3A36"/>
                <w:sz w:val="17"/>
              </w:rPr>
              <w:t>11.1×</w:t>
            </w:r>
          </w:p>
        </w:tc>
        <w:tc>
          <w:tcPr>
            <w:tcW w:type="dxa" w:w="3960"/>
          </w:tcPr>
          <w:p>
            <w:pPr>
              <w:spacing w:after="20"/>
              <w:jc w:val="right"/>
            </w:pPr>
            <w:r>
              <w:rPr>
                <w:color w:val="1C3A36"/>
                <w:sz w:val="17"/>
              </w:rPr>
              <w:t>trailing, INR, 09-Aug-2026</w:t>
            </w:r>
          </w:p>
        </w:tc>
      </w:tr>
      <w:tr>
        <w:tc>
          <w:tcPr>
            <w:tcW w:type="dxa" w:w="2592"/>
          </w:tcPr>
          <w:p>
            <w:pPr>
              <w:spacing w:after="20"/>
            </w:pPr>
            <w:r>
              <w:rPr>
                <w:color w:val="1C3A36"/>
                <w:sz w:val="17"/>
              </w:rPr>
              <w:t>Pegasus</w:t>
            </w:r>
          </w:p>
        </w:tc>
        <w:tc>
          <w:tcPr>
            <w:tcW w:type="dxa" w:w="1944"/>
          </w:tcPr>
          <w:p>
            <w:pPr>
              <w:spacing w:after="20"/>
              <w:jc w:val="right"/>
            </w:pPr>
            <w:r>
              <w:rPr>
                <w:color w:val="1C3A36"/>
                <w:sz w:val="17"/>
              </w:rPr>
              <w:t>8.9×</w:t>
            </w:r>
          </w:p>
        </w:tc>
        <w:tc>
          <w:tcPr>
            <w:tcW w:type="dxa" w:w="1584"/>
          </w:tcPr>
          <w:p>
            <w:pPr>
              <w:spacing w:after="20"/>
              <w:jc w:val="right"/>
            </w:pPr>
            <w:r>
              <w:rPr>
                <w:color w:val="1C3A36"/>
                <w:sz w:val="17"/>
              </w:rPr>
              <w:t>6.6×</w:t>
            </w:r>
          </w:p>
        </w:tc>
        <w:tc>
          <w:tcPr>
            <w:tcW w:type="dxa" w:w="3960"/>
          </w:tcPr>
          <w:p>
            <w:pPr>
              <w:spacing w:after="20"/>
              <w:jc w:val="right"/>
            </w:pPr>
            <w:r>
              <w:rPr>
                <w:color w:val="1C3A36"/>
                <w:sz w:val="17"/>
              </w:rPr>
              <w:t>lira statutory accounts — caution</w:t>
            </w:r>
          </w:p>
        </w:tc>
      </w:tr>
      <w:tr>
        <w:tc>
          <w:tcPr>
            <w:tcW w:type="dxa" w:w="2592"/>
          </w:tcPr>
          <w:p>
            <w:pPr>
              <w:spacing w:after="20"/>
            </w:pPr>
            <w:r>
              <w:rPr>
                <w:color w:val="1C3A36"/>
                <w:sz w:val="17"/>
              </w:rPr>
              <w:t>Jazeera Airways</w:t>
            </w:r>
          </w:p>
        </w:tc>
        <w:tc>
          <w:tcPr>
            <w:tcW w:type="dxa" w:w="1944"/>
          </w:tcPr>
          <w:p>
            <w:pPr>
              <w:spacing w:after="20"/>
              <w:jc w:val="right"/>
            </w:pPr>
            <w:r>
              <w:rPr>
                <w:color w:val="1C3A36"/>
                <w:sz w:val="17"/>
              </w:rPr>
              <w:t>≈17.7× (computed)</w:t>
            </w:r>
          </w:p>
        </w:tc>
        <w:tc>
          <w:tcPr>
            <w:tcW w:type="dxa" w:w="1584"/>
          </w:tcPr>
          <w:p>
            <w:pPr>
              <w:spacing w:after="20"/>
              <w:jc w:val="right"/>
            </w:pPr>
            <w:r>
              <w:rPr>
                <w:color w:val="1C3A36"/>
                <w:sz w:val="17"/>
              </w:rPr>
              <w:t>n/d</w:t>
            </w:r>
          </w:p>
        </w:tc>
        <w:tc>
          <w:tcPr>
            <w:tcW w:type="dxa" w:w="3960"/>
          </w:tcPr>
          <w:p>
            <w:pPr>
              <w:spacing w:after="20"/>
              <w:jc w:val="right"/>
            </w:pPr>
            <w:r>
              <w:rPr>
                <w:color w:val="1C3A36"/>
                <w:sz w:val="17"/>
              </w:rPr>
              <w:t>KWD, market cap 07-Aug-2026 / FY2025 profit</w:t>
            </w:r>
          </w:p>
        </w:tc>
      </w:tr>
      <w:tr>
        <w:tc>
          <w:tcPr>
            <w:tcW w:type="dxa" w:w="2592"/>
          </w:tcPr>
          <w:p>
            <w:pPr>
              <w:spacing w:after="20"/>
            </w:pPr>
            <w:r>
              <w:rPr>
                <w:color w:val="1C3A36"/>
                <w:sz w:val="17"/>
              </w:rPr>
              <w:t>Air-transport sector aggregate</w:t>
            </w:r>
          </w:p>
        </w:tc>
        <w:tc>
          <w:tcPr>
            <w:tcW w:type="dxa" w:w="1944"/>
          </w:tcPr>
          <w:p>
            <w:pPr>
              <w:spacing w:after="20"/>
              <w:jc w:val="right"/>
            </w:pPr>
            <w:r>
              <w:rPr>
                <w:color w:val="1C3A36"/>
                <w:sz w:val="17"/>
              </w:rPr>
              <w:t>12.9×</w:t>
            </w:r>
          </w:p>
        </w:tc>
        <w:tc>
          <w:tcPr>
            <w:tcW w:type="dxa" w:w="1584"/>
          </w:tcPr>
          <w:p>
            <w:pPr>
              <w:spacing w:after="20"/>
              <w:jc w:val="right"/>
            </w:pPr>
            <w:r>
              <w:rPr>
                <w:color w:val="1C3A36"/>
                <w:sz w:val="17"/>
              </w:rPr>
              <w:t>7.6×</w:t>
            </w:r>
          </w:p>
        </w:tc>
        <w:tc>
          <w:tcPr>
            <w:tcW w:type="dxa" w:w="3960"/>
          </w:tcPr>
          <w:p>
            <w:pPr>
              <w:spacing w:after="20"/>
              <w:jc w:val="right"/>
            </w:pPr>
            <w:r>
              <w:rPr>
                <w:color w:val="1C3A36"/>
                <w:sz w:val="17"/>
              </w:rPr>
              <w:t>profitable firms, January-2026 dataset</w:t>
            </w:r>
          </w:p>
        </w:tc>
      </w:tr>
      <w:tr>
        <w:tc>
          <w:tcPr>
            <w:tcW w:type="dxa" w:w="2592"/>
            <w:shd w:val="clear" w:color="auto" w:fill="F6F1E6"/>
          </w:tcPr>
          <w:p>
            <w:pPr>
              <w:spacing w:after="20"/>
            </w:pPr>
            <w:r>
              <w:rPr>
                <w:b/>
                <w:color w:val="1C3A36"/>
                <w:sz w:val="17"/>
              </w:rPr>
              <w:t>Air Arabia at spot</w:t>
            </w:r>
          </w:p>
        </w:tc>
        <w:tc>
          <w:tcPr>
            <w:tcW w:type="dxa" w:w="1944"/>
            <w:shd w:val="clear" w:color="auto" w:fill="F6F1E6"/>
          </w:tcPr>
          <w:p>
            <w:pPr>
              <w:spacing w:after="20"/>
              <w:jc w:val="right"/>
            </w:pPr>
            <w:r>
              <w:rPr>
                <w:b/>
                <w:color w:val="1C3A36"/>
                <w:sz w:val="17"/>
              </w:rPr>
              <w:t>15.0×</w:t>
            </w:r>
          </w:p>
        </w:tc>
        <w:tc>
          <w:tcPr>
            <w:tcW w:type="dxa" w:w="1584"/>
            <w:shd w:val="clear" w:color="auto" w:fill="F6F1E6"/>
          </w:tcPr>
          <w:p>
            <w:pPr>
              <w:spacing w:after="20"/>
              <w:jc w:val="right"/>
            </w:pPr>
            <w:r>
              <w:rPr>
                <w:b/>
                <w:color w:val="1C3A36"/>
                <w:sz w:val="17"/>
              </w:rPr>
              <w:t>10.6×</w:t>
            </w:r>
          </w:p>
        </w:tc>
        <w:tc>
          <w:tcPr>
            <w:tcW w:type="dxa" w:w="3960"/>
            <w:shd w:val="clear" w:color="auto" w:fill="F6F1E6"/>
          </w:tcPr>
          <w:p>
            <w:pPr>
              <w:spacing w:after="20"/>
              <w:jc w:val="right"/>
            </w:pPr>
            <w:r>
              <w:rPr>
                <w:b/>
                <w:color w:val="1C3A36"/>
                <w:sz w:val="17"/>
              </w:rPr>
              <w:t>FY2025 audited, spot 07-Aug-2026</w:t>
            </w:r>
          </w:p>
        </w:tc>
      </w:tr>
    </w:tbl>
    <w:p>
      <w:pPr>
        <w:spacing w:after="40"/>
      </w:pPr>
    </w:p>
    <w:p>
      <w:pPr>
        <w:spacing w:after="80" w:before="200"/>
      </w:pPr>
      <w:r>
        <w:rPr>
          <w:b/>
          <w:i w:val="0"/>
          <w:color w:val="1C3A36"/>
          <w:sz w:val="24"/>
        </w:rPr>
        <w:t>B.2  Risk register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24"/>
        <w:gridCol w:w="3960"/>
        <w:gridCol w:w="3096"/>
      </w:tblGrid>
      <w:tr>
        <w:tc>
          <w:tcPr>
            <w:tcW w:type="dxa" w:w="3024"/>
            <w:shd w:val="clear" w:color="auto" w:fill="EAF0EE"/>
          </w:tcPr>
          <w:p>
            <w:pPr>
              <w:spacing w:after="20"/>
            </w:pPr>
            <w:r>
              <w:rPr>
                <w:b/>
                <w:color w:val="1C3A36"/>
                <w:sz w:val="17"/>
              </w:rPr>
              <w:t>Risk</w:t>
            </w:r>
          </w:p>
        </w:tc>
        <w:tc>
          <w:tcPr>
            <w:tcW w:type="dxa" w:w="3960"/>
            <w:shd w:val="clear" w:color="auto" w:fill="EAF0EE"/>
          </w:tcPr>
          <w:p>
            <w:pPr>
              <w:spacing w:after="20"/>
            </w:pPr>
            <w:r>
              <w:rPr>
                <w:b/>
                <w:color w:val="1C3A36"/>
                <w:sz w:val="17"/>
              </w:rPr>
              <w:t>Mechanism</w:t>
            </w:r>
          </w:p>
        </w:tc>
        <w:tc>
          <w:tcPr>
            <w:tcW w:type="dxa" w:w="3096"/>
            <w:shd w:val="clear" w:color="auto" w:fill="EAF0EE"/>
          </w:tcPr>
          <w:p>
            <w:pPr>
              <w:spacing w:after="20"/>
            </w:pPr>
            <w:r>
              <w:rPr>
                <w:b/>
                <w:color w:val="1C3A36"/>
                <w:sz w:val="17"/>
              </w:rPr>
              <w:t>Where it is priced</w:t>
            </w:r>
          </w:p>
        </w:tc>
      </w:tr>
      <w:tr>
        <w:tc>
          <w:tcPr>
            <w:tcW w:type="dxa" w:w="3024"/>
          </w:tcPr>
          <w:p>
            <w:pPr>
              <w:spacing w:after="20"/>
            </w:pPr>
            <w:r>
              <w:rPr>
                <w:color w:val="1C3A36"/>
                <w:sz w:val="17"/>
              </w:rPr>
              <w:t>Regional conflict / airspace closure</w:t>
            </w:r>
          </w:p>
        </w:tc>
        <w:tc>
          <w:tcPr>
            <w:tcW w:type="dxa" w:w="3960"/>
          </w:tcPr>
          <w:p>
            <w:pPr>
              <w:spacing w:after="20"/>
              <w:jc w:val="right"/>
            </w:pPr>
            <w:r>
              <w:rPr>
                <w:color w:val="1C3A36"/>
                <w:sz w:val="17"/>
              </w:rPr>
              <w:t>traffic and yields, as in Q1-2026</w:t>
            </w:r>
          </w:p>
        </w:tc>
        <w:tc>
          <w:tcPr>
            <w:tcW w:type="dxa" w:w="3096"/>
          </w:tcPr>
          <w:p>
            <w:pPr>
              <w:spacing w:after="20"/>
              <w:jc w:val="right"/>
            </w:pPr>
            <w:r>
              <w:rPr>
                <w:color w:val="1C3A36"/>
                <w:sz w:val="17"/>
              </w:rPr>
              <w:t>bear scenario; zones section</w:t>
            </w:r>
          </w:p>
        </w:tc>
      </w:tr>
      <w:tr>
        <w:tc>
          <w:tcPr>
            <w:tcW w:type="dxa" w:w="3024"/>
          </w:tcPr>
          <w:p>
            <w:pPr>
              <w:spacing w:after="20"/>
            </w:pPr>
            <w:r>
              <w:rPr>
                <w:color w:val="1C3A36"/>
                <w:sz w:val="17"/>
              </w:rPr>
              <w:t>Fuel above the official curve</w:t>
            </w:r>
          </w:p>
        </w:tc>
        <w:tc>
          <w:tcPr>
            <w:tcW w:type="dxa" w:w="3960"/>
          </w:tcPr>
          <w:p>
            <w:pPr>
              <w:spacing w:after="20"/>
              <w:jc w:val="right"/>
            </w:pPr>
            <w:r>
              <w:rPr>
                <w:color w:val="1C3A36"/>
                <w:sz w:val="17"/>
              </w:rPr>
              <w:t>largest single cost line (37% of direct costs)</w:t>
            </w:r>
          </w:p>
        </w:tc>
        <w:tc>
          <w:tcPr>
            <w:tcW w:type="dxa" w:w="3096"/>
          </w:tcPr>
          <w:p>
            <w:pPr>
              <w:spacing w:after="20"/>
              <w:jc w:val="right"/>
            </w:pPr>
            <w:r>
              <w:rPr>
                <w:color w:val="1C3A36"/>
                <w:sz w:val="17"/>
              </w:rPr>
              <w:t>the high-fuel framing, priced in full</w:t>
            </w:r>
          </w:p>
        </w:tc>
      </w:tr>
      <w:tr>
        <w:tc>
          <w:tcPr>
            <w:tcW w:type="dxa" w:w="3024"/>
          </w:tcPr>
          <w:p>
            <w:pPr>
              <w:spacing w:after="20"/>
            </w:pPr>
            <w:r>
              <w:rPr>
                <w:color w:val="1C3A36"/>
                <w:sz w:val="17"/>
              </w:rPr>
              <w:t>Delivery slippage</w:t>
            </w:r>
          </w:p>
        </w:tc>
        <w:tc>
          <w:tcPr>
            <w:tcW w:type="dxa" w:w="3960"/>
          </w:tcPr>
          <w:p>
            <w:pPr>
              <w:spacing w:after="20"/>
              <w:jc w:val="right"/>
            </w:pPr>
            <w:r>
              <w:rPr>
                <w:color w:val="1C3A36"/>
                <w:sz w:val="17"/>
              </w:rPr>
              <w:t>volume growth is fleet-led</w:t>
            </w:r>
          </w:p>
        </w:tc>
        <w:tc>
          <w:tcPr>
            <w:tcW w:type="dxa" w:w="3096"/>
          </w:tcPr>
          <w:p>
            <w:pPr>
              <w:spacing w:after="20"/>
              <w:jc w:val="right"/>
            </w:pPr>
            <w:r>
              <w:rPr>
                <w:color w:val="1C3A36"/>
                <w:sz w:val="17"/>
              </w:rPr>
              <w:t>capex/pax sensitivities</w:t>
            </w:r>
          </w:p>
        </w:tc>
      </w:tr>
      <w:tr>
        <w:tc>
          <w:tcPr>
            <w:tcW w:type="dxa" w:w="3024"/>
          </w:tcPr>
          <w:p>
            <w:pPr>
              <w:spacing w:after="20"/>
            </w:pPr>
            <w:r>
              <w:rPr>
                <w:color w:val="1C3A36"/>
                <w:sz w:val="17"/>
              </w:rPr>
              <w:t>Yield compression as capacity returns</w:t>
            </w:r>
          </w:p>
        </w:tc>
        <w:tc>
          <w:tcPr>
            <w:tcW w:type="dxa" w:w="3960"/>
          </w:tcPr>
          <w:p>
            <w:pPr>
              <w:spacing w:after="20"/>
              <w:jc w:val="right"/>
            </w:pPr>
            <w:r>
              <w:rPr>
                <w:color w:val="1C3A36"/>
                <w:sz w:val="17"/>
              </w:rPr>
              <w:t>FY2027 fare give-back already assumed</w:t>
            </w:r>
          </w:p>
        </w:tc>
        <w:tc>
          <w:tcPr>
            <w:tcW w:type="dxa" w:w="3096"/>
          </w:tcPr>
          <w:p>
            <w:pPr>
              <w:spacing w:after="20"/>
              <w:jc w:val="right"/>
            </w:pPr>
            <w:r>
              <w:rPr>
                <w:color w:val="1C3A36"/>
                <w:sz w:val="17"/>
              </w:rPr>
              <w:t>fare sensitivity ±6%</w:t>
            </w:r>
          </w:p>
        </w:tc>
      </w:tr>
      <w:tr>
        <w:tc>
          <w:tcPr>
            <w:tcW w:type="dxa" w:w="3024"/>
          </w:tcPr>
          <w:p>
            <w:pPr>
              <w:spacing w:after="20"/>
            </w:pPr>
            <w:r>
              <w:rPr>
                <w:color w:val="1C3A36"/>
                <w:sz w:val="17"/>
              </w:rPr>
              <w:t>JV startup losses (Saudi DMM)</w:t>
            </w:r>
          </w:p>
        </w:tc>
        <w:tc>
          <w:tcPr>
            <w:tcW w:type="dxa" w:w="3960"/>
          </w:tcPr>
          <w:p>
            <w:pPr>
              <w:spacing w:after="20"/>
              <w:jc w:val="right"/>
            </w:pPr>
            <w:r>
              <w:rPr>
                <w:color w:val="1C3A36"/>
                <w:sz w:val="17"/>
              </w:rPr>
              <w:t>associate line dip</w:t>
            </w:r>
          </w:p>
        </w:tc>
        <w:tc>
          <w:tcPr>
            <w:tcW w:type="dxa" w:w="3096"/>
          </w:tcPr>
          <w:p>
            <w:pPr>
              <w:spacing w:after="20"/>
              <w:jc w:val="right"/>
            </w:pPr>
            <w:r>
              <w:rPr>
                <w:color w:val="1C3A36"/>
                <w:sz w:val="17"/>
              </w:rPr>
              <w:t>FY2026 JV growth held flat</w:t>
            </w:r>
          </w:p>
        </w:tc>
      </w:tr>
      <w:tr>
        <w:tc>
          <w:tcPr>
            <w:tcW w:type="dxa" w:w="3024"/>
          </w:tcPr>
          <w:p>
            <w:pPr>
              <w:spacing w:after="20"/>
            </w:pPr>
            <w:r>
              <w:rPr>
                <w:color w:val="1C3A36"/>
                <w:sz w:val="17"/>
              </w:rPr>
              <w:t>Concentration: Sharjah hub slots</w:t>
            </w:r>
          </w:p>
        </w:tc>
        <w:tc>
          <w:tcPr>
            <w:tcW w:type="dxa" w:w="3960"/>
          </w:tcPr>
          <w:p>
            <w:pPr>
              <w:spacing w:after="20"/>
              <w:jc w:val="right"/>
            </w:pPr>
            <w:r>
              <w:rPr>
                <w:color w:val="1C3A36"/>
                <w:sz w:val="17"/>
              </w:rPr>
              <w:t>home-market advantage is also single-point exposure</w:t>
            </w:r>
          </w:p>
        </w:tc>
        <w:tc>
          <w:tcPr>
            <w:tcW w:type="dxa" w:w="3096"/>
          </w:tcPr>
          <w:p>
            <w:pPr>
              <w:spacing w:after="20"/>
              <w:jc w:val="right"/>
            </w:pPr>
            <w:r>
              <w:rPr>
                <w:color w:val="1C3A36"/>
                <w:sz w:val="17"/>
              </w:rPr>
              <w:t>caveats; not separately priced</w:t>
            </w:r>
          </w:p>
        </w:tc>
      </w:tr>
      <w:tr>
        <w:tc>
          <w:tcPr>
            <w:tcW w:type="dxa" w:w="3024"/>
          </w:tcPr>
          <w:p>
            <w:pPr>
              <w:spacing w:after="20"/>
            </w:pPr>
            <w:r>
              <w:rPr>
                <w:color w:val="1C3A36"/>
                <w:sz w:val="17"/>
              </w:rPr>
              <w:t>Rate path under the dollar peg</w:t>
            </w:r>
          </w:p>
        </w:tc>
        <w:tc>
          <w:tcPr>
            <w:tcW w:type="dxa" w:w="3960"/>
          </w:tcPr>
          <w:p>
            <w:pPr>
              <w:spacing w:after="20"/>
              <w:jc w:val="right"/>
            </w:pPr>
            <w:r>
              <w:rPr>
                <w:color w:val="1C3A36"/>
                <w:sz w:val="17"/>
              </w:rPr>
              <w:t>deposit income falls if the Fed cuts</w:t>
            </w:r>
          </w:p>
        </w:tc>
        <w:tc>
          <w:tcPr>
            <w:tcW w:type="dxa" w:w="3096"/>
          </w:tcPr>
          <w:p>
            <w:pPr>
              <w:spacing w:after="20"/>
              <w:jc w:val="right"/>
            </w:pPr>
            <w:r>
              <w:rPr>
                <w:color w:val="1C3A36"/>
                <w:sz w:val="17"/>
              </w:rPr>
              <w:t>deposit-yield path 4.4% → 3.7%</w:t>
            </w:r>
          </w:p>
        </w:tc>
      </w:tr>
    </w:tbl>
    <w:p>
      <w:pPr>
        <w:spacing w:after="40"/>
      </w:pPr>
    </w:p>
    <w:p>
      <w:pPr>
        <w:spacing w:after="80" w:before="200"/>
      </w:pPr>
      <w:r>
        <w:rPr>
          <w:b/>
          <w:i w:val="0"/>
          <w:color w:val="1C3A36"/>
          <w:sz w:val="24"/>
        </w:rPr>
        <w:t>B.3  Research register — where the study's facts come from</w:t>
      </w:r>
    </w:p>
    <w:p>
      <w:pPr>
        <w:spacing w:after="120" w:before="0"/>
      </w:pPr>
      <w:r>
        <w:rPr>
          <w:b w:val="0"/>
          <w:i w:val="0"/>
          <w:color w:val="1C3A36"/>
          <w:sz w:val="21"/>
        </w:rPr>
        <w:t>The build rests on 9 company-official documents (audited statements FY2022–FY2025, the reviewed Q1-2026 interim, the 2025 annual report and corporate press releases), 3 investor-presentation sources, and official-sector references (UAE central bank, the finance ministry's bond auctions, the January-2026 country-premium dataset, the airline association's monitors, the US energy agency's outlook). Three searches returned nothing and are recorded as such: seat/ASK disclosure, fuel-hedge ratios, and the owned-versus-leased forward delivery split. The full input-by-input listing, with dates and what each source contributed, is the companion bibliography document.</w:t>
      </w:r>
    </w:p>
    <w:p>
      <w:r>
        <w:br w:type="page"/>
      </w:r>
    </w:p>
    <w:p>
      <w:pPr>
        <w:spacing w:after="120" w:before="280"/>
      </w:pPr>
      <w:r>
        <w:rPr>
          <w:b/>
          <w:i w:val="0"/>
          <w:color w:val="1C3A36"/>
          <w:sz w:val="30"/>
        </w:rPr>
        <w:t>Appendix C — Expert panel</w:t>
      </w:r>
    </w:p>
    <w:p>
      <w:pPr>
        <w:spacing w:after="120" w:before="0"/>
      </w:pPr>
      <w:r>
        <w:rPr>
          <w:b w:val="0"/>
          <w:i w:val="0"/>
          <w:color w:val="1C3A36"/>
          <w:sz w:val="21"/>
        </w:rPr>
        <w:t>Three experts, labelled Expert 1/2/3, each committed to a genuinely different method, each showing complete workings and naming, in advance, the evidence that would prove them wrong.</w:t>
      </w:r>
    </w:p>
    <w:p>
      <w:pPr>
        <w:spacing w:after="80" w:before="200"/>
      </w:pPr>
      <w:r>
        <w:rPr>
          <w:b/>
          <w:i w:val="0"/>
          <w:color w:val="1C3A36"/>
          <w:sz w:val="24"/>
        </w:rPr>
        <w:t>C.1  Expert 1 — earnings power at a justified multiple</w:t>
      </w:r>
    </w:p>
    <w:p>
      <w:pPr>
        <w:spacing w:after="120" w:before="0"/>
      </w:pPr>
      <w:r>
        <w:rPr>
          <w:b w:val="0"/>
          <w:i w:val="0"/>
          <w:color w:val="1C3A36"/>
          <w:sz w:val="21"/>
        </w:rPr>
        <w:t>Worldview: an airline is worth what its mid-cycle earnings can be sold for. Cycles wash out; buy earnings power, not forecasts. Works best on established franchises with stable unit economics; fails at inflection points — a fleet doubling or a startup network breaks "mid-cycle".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192"/>
        <w:gridCol w:w="3888"/>
      </w:tblGrid>
      <w:tr>
        <w:tc>
          <w:tcPr>
            <w:tcW w:type="dxa" w:w="6192"/>
            <w:shd w:val="clear" w:color="auto" w:fill="EAF0EE"/>
          </w:tcPr>
          <w:p>
            <w:pPr>
              <w:spacing w:after="20"/>
            </w:pPr>
            <w:r>
              <w:rPr>
                <w:b/>
                <w:color w:val="1C3A36"/>
                <w:sz w:val="17"/>
              </w:rPr>
              <w:t>Line</w:t>
            </w:r>
          </w:p>
        </w:tc>
        <w:tc>
          <w:tcPr>
            <w:tcW w:type="dxa" w:w="3888"/>
            <w:shd w:val="clear" w:color="auto" w:fill="EAF0EE"/>
          </w:tcPr>
          <w:p>
            <w:pPr>
              <w:spacing w:after="20"/>
            </w:pPr>
            <w:r>
              <w:rPr>
                <w:b/>
                <w:color w:val="1C3A36"/>
                <w:sz w:val="17"/>
              </w:rPr>
              <w:t>Value</w:t>
            </w:r>
          </w:p>
        </w:tc>
      </w:tr>
      <w:tr>
        <w:tc>
          <w:tcPr>
            <w:tcW w:type="dxa" w:w="6192"/>
          </w:tcPr>
          <w:p>
            <w:pPr>
              <w:spacing w:after="20"/>
            </w:pPr>
            <w:r>
              <w:rPr>
                <w:color w:val="1C3A36"/>
                <w:sz w:val="17"/>
              </w:rPr>
              <w:t>Mid-cycle EBITDA margin (FY2028E)</w:t>
            </w:r>
          </w:p>
        </w:tc>
        <w:tc>
          <w:tcPr>
            <w:tcW w:type="dxa" w:w="3888"/>
          </w:tcPr>
          <w:p>
            <w:pPr>
              <w:spacing w:after="20"/>
              <w:jc w:val="right"/>
            </w:pPr>
            <w:r>
              <w:rPr>
                <w:color w:val="1C3A36"/>
                <w:sz w:val="17"/>
              </w:rPr>
              <w:t>23.5%</w:t>
            </w:r>
          </w:p>
        </w:tc>
      </w:tr>
      <w:tr>
        <w:tc>
          <w:tcPr>
            <w:tcW w:type="dxa" w:w="6192"/>
          </w:tcPr>
          <w:p>
            <w:pPr>
              <w:spacing w:after="20"/>
            </w:pPr>
            <w:r>
              <w:rPr>
                <w:color w:val="1C3A36"/>
                <w:sz w:val="17"/>
              </w:rPr>
              <w:t>Applied to FY2028E revenue (AED mn)</w:t>
            </w:r>
          </w:p>
        </w:tc>
        <w:tc>
          <w:tcPr>
            <w:tcW w:type="dxa" w:w="3888"/>
          </w:tcPr>
          <w:p>
            <w:pPr>
              <w:spacing w:after="20"/>
              <w:jc w:val="right"/>
            </w:pPr>
            <w:r>
              <w:rPr>
                <w:color w:val="1C3A36"/>
                <w:sz w:val="17"/>
              </w:rPr>
              <w:t>9,257</w:t>
            </w:r>
          </w:p>
        </w:tc>
      </w:tr>
      <w:tr>
        <w:tc>
          <w:tcPr>
            <w:tcW w:type="dxa" w:w="6192"/>
          </w:tcPr>
          <w:p>
            <w:pPr>
              <w:spacing w:after="20"/>
            </w:pPr>
            <w:r>
              <w:rPr>
                <w:color w:val="1C3A36"/>
                <w:sz w:val="17"/>
              </w:rPr>
              <w:t>plus fees/other income, less depreciation → EBIT (AED mn)</w:t>
            </w:r>
          </w:p>
        </w:tc>
        <w:tc>
          <w:tcPr>
            <w:tcW w:type="dxa" w:w="3888"/>
          </w:tcPr>
          <w:p>
            <w:pPr>
              <w:spacing w:after="20"/>
              <w:jc w:val="right"/>
            </w:pPr>
            <w:r>
              <w:rPr>
                <w:color w:val="1C3A36"/>
                <w:sz w:val="17"/>
              </w:rPr>
              <w:t>1,520</w:t>
            </w:r>
          </w:p>
        </w:tc>
      </w:tr>
      <w:tr>
        <w:tc>
          <w:tcPr>
            <w:tcW w:type="dxa" w:w="6192"/>
          </w:tcPr>
          <w:p>
            <w:pPr>
              <w:spacing w:after="20"/>
            </w:pPr>
            <w:r>
              <w:rPr>
                <w:color w:val="1C3A36"/>
                <w:sz w:val="17"/>
              </w:rPr>
              <w:t>plus net finance income (AED mn)</w:t>
            </w:r>
          </w:p>
        </w:tc>
        <w:tc>
          <w:tcPr>
            <w:tcW w:type="dxa" w:w="3888"/>
          </w:tcPr>
          <w:p>
            <w:pPr>
              <w:spacing w:after="20"/>
              <w:jc w:val="right"/>
            </w:pPr>
            <w:r>
              <w:rPr>
                <w:color w:val="1C3A36"/>
                <w:sz w:val="17"/>
              </w:rPr>
              <w:t>-7</w:t>
            </w:r>
          </w:p>
        </w:tc>
      </w:tr>
      <w:tr>
        <w:tc>
          <w:tcPr>
            <w:tcW w:type="dxa" w:w="6192"/>
          </w:tcPr>
          <w:p>
            <w:pPr>
              <w:spacing w:after="20"/>
            </w:pPr>
            <w:r>
              <w:rPr>
                <w:color w:val="1C3A36"/>
                <w:sz w:val="17"/>
              </w:rPr>
              <w:t>plus JV profit share (AED mn)</w:t>
            </w:r>
          </w:p>
        </w:tc>
        <w:tc>
          <w:tcPr>
            <w:tcW w:type="dxa" w:w="3888"/>
          </w:tcPr>
          <w:p>
            <w:pPr>
              <w:spacing w:after="20"/>
              <w:jc w:val="right"/>
            </w:pPr>
            <w:r>
              <w:rPr>
                <w:color w:val="1C3A36"/>
                <w:sz w:val="17"/>
              </w:rPr>
              <w:t>270</w:t>
            </w:r>
          </w:p>
        </w:tc>
      </w:tr>
      <w:tr>
        <w:tc>
          <w:tcPr>
            <w:tcW w:type="dxa" w:w="6192"/>
          </w:tcPr>
          <w:p>
            <w:pPr>
              <w:spacing w:after="20"/>
            </w:pPr>
            <w:r>
              <w:rPr>
                <w:color w:val="1C3A36"/>
                <w:sz w:val="17"/>
              </w:rPr>
              <w:t>× (1 − 15% tax) × (1 − minorities) ÷ 4,667mn shares → EPS (AED)</w:t>
            </w:r>
          </w:p>
        </w:tc>
        <w:tc>
          <w:tcPr>
            <w:tcW w:type="dxa" w:w="3888"/>
          </w:tcPr>
          <w:p>
            <w:pPr>
              <w:spacing w:after="20"/>
              <w:jc w:val="right"/>
            </w:pPr>
            <w:r>
              <w:rPr>
                <w:color w:val="1C3A36"/>
                <w:sz w:val="17"/>
              </w:rPr>
              <w:t>0.325</w:t>
            </w:r>
          </w:p>
        </w:tc>
      </w:tr>
      <w:tr>
        <w:tc>
          <w:tcPr>
            <w:tcW w:type="dxa" w:w="6192"/>
          </w:tcPr>
          <w:p>
            <w:pPr>
              <w:spacing w:after="20"/>
            </w:pPr>
            <w:r>
              <w:rPr>
                <w:color w:val="1C3A36"/>
                <w:sz w:val="17"/>
              </w:rPr>
              <w:t>× justified multiple 13× → value (AED/share, at the anchor)</w:t>
            </w:r>
          </w:p>
        </w:tc>
        <w:tc>
          <w:tcPr>
            <w:tcW w:type="dxa" w:w="3888"/>
          </w:tcPr>
          <w:p>
            <w:pPr>
              <w:spacing w:after="20"/>
              <w:jc w:val="right"/>
            </w:pPr>
            <w:r>
              <w:rPr>
                <w:color w:val="1C3A36"/>
                <w:sz w:val="17"/>
              </w:rPr>
              <w:t>4.15</w:t>
            </w:r>
          </w:p>
        </w:tc>
      </w:tr>
      <w:tr>
        <w:tc>
          <w:tcPr>
            <w:tcW w:type="dxa" w:w="6192"/>
            <w:shd w:val="clear" w:color="auto" w:fill="F6F1E6"/>
          </w:tcPr>
          <w:p>
            <w:pPr>
              <w:spacing w:after="20"/>
            </w:pPr>
            <w:r>
              <w:rPr>
                <w:b/>
                <w:color w:val="1C3A36"/>
                <w:sz w:val="17"/>
              </w:rPr>
              <w:t>Range at 10× / 16×</w:t>
            </w:r>
          </w:p>
        </w:tc>
        <w:tc>
          <w:tcPr>
            <w:tcW w:type="dxa" w:w="3888"/>
            <w:shd w:val="clear" w:color="auto" w:fill="F6F1E6"/>
          </w:tcPr>
          <w:p>
            <w:pPr>
              <w:spacing w:after="20"/>
              <w:jc w:val="right"/>
            </w:pPr>
            <w:r>
              <w:rPr>
                <w:b/>
                <w:color w:val="1C3A36"/>
                <w:sz w:val="17"/>
              </w:rPr>
              <w:t>3.13 – 5.18</w:t>
            </w:r>
          </w:p>
        </w:tc>
      </w:tr>
    </w:tbl>
    <w:p>
      <w:pPr>
        <w:spacing w:after="40"/>
      </w:pPr>
    </w:p>
    <w:p>
      <w:pPr>
        <w:spacing w:after="120" w:before="0"/>
      </w:pPr>
      <w:r>
        <w:rPr>
          <w:b w:val="0"/>
          <w:i w:val="0"/>
          <w:color w:val="1C3A36"/>
          <w:sz w:val="21"/>
        </w:rPr>
        <w:t>Named sensitivity: each turn of the multiple is AED 0.34 per share. Falsifier, stated in advance: if H1-2026 EBITDA margin prints below 20%, the mid-cycle margin is wrong and this valuation falls with it.</w:t>
      </w:r>
    </w:p>
    <w:p>
      <w:pPr>
        <w:spacing w:after="80" w:before="200"/>
      </w:pPr>
      <w:r>
        <w:rPr>
          <w:b/>
          <w:i w:val="0"/>
          <w:color w:val="1C3A36"/>
          <w:sz w:val="24"/>
        </w:rPr>
        <w:t>C.2  Expert 2 — owner cash earnings capitalised</w:t>
      </w:r>
    </w:p>
    <w:p>
      <w:pPr>
        <w:spacing w:after="120" w:before="0"/>
      </w:pPr>
      <w:r>
        <w:rPr>
          <w:b w:val="0"/>
          <w:i w:val="0"/>
          <w:color w:val="1C3A36"/>
          <w:sz w:val="21"/>
        </w:rPr>
        <w:t>Worldview: profits are an opinion, cash is a fact. Value the average free cash the firm will actually throw off, capitalise it at the perpetual rate, and credit the cash pile separately. Works best on steady cash machines; fails when today's capex buys tomorrow's cash flows — it penalises investment years.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192"/>
        <w:gridCol w:w="3888"/>
      </w:tblGrid>
      <w:tr>
        <w:tc>
          <w:tcPr>
            <w:tcW w:type="dxa" w:w="6192"/>
            <w:shd w:val="clear" w:color="auto" w:fill="EAF0EE"/>
          </w:tcPr>
          <w:p>
            <w:pPr>
              <w:spacing w:after="20"/>
            </w:pPr>
            <w:r>
              <w:rPr>
                <w:b/>
                <w:color w:val="1C3A36"/>
                <w:sz w:val="17"/>
              </w:rPr>
              <w:t>Line</w:t>
            </w:r>
          </w:p>
        </w:tc>
        <w:tc>
          <w:tcPr>
            <w:tcW w:type="dxa" w:w="3888"/>
            <w:shd w:val="clear" w:color="auto" w:fill="EAF0EE"/>
          </w:tcPr>
          <w:p>
            <w:pPr>
              <w:spacing w:after="20"/>
            </w:pPr>
            <w:r>
              <w:rPr>
                <w:b/>
                <w:color w:val="1C3A36"/>
                <w:sz w:val="17"/>
              </w:rPr>
              <w:t>Value</w:t>
            </w:r>
          </w:p>
        </w:tc>
      </w:tr>
      <w:tr>
        <w:tc>
          <w:tcPr>
            <w:tcW w:type="dxa" w:w="6192"/>
          </w:tcPr>
          <w:p>
            <w:pPr>
              <w:spacing w:after="20"/>
            </w:pPr>
            <w:r>
              <w:rPr>
                <w:color w:val="1C3A36"/>
                <w:sz w:val="17"/>
              </w:rPr>
              <w:t>Average FCFF, FY2028–30 (the steadier years, AED mn)</w:t>
            </w:r>
          </w:p>
        </w:tc>
        <w:tc>
          <w:tcPr>
            <w:tcW w:type="dxa" w:w="3888"/>
          </w:tcPr>
          <w:p>
            <w:pPr>
              <w:spacing w:after="20"/>
              <w:jc w:val="right"/>
            </w:pPr>
            <w:r>
              <w:rPr>
                <w:color w:val="1C3A36"/>
                <w:sz w:val="17"/>
              </w:rPr>
              <w:t>900</w:t>
            </w:r>
          </w:p>
        </w:tc>
      </w:tr>
      <w:tr>
        <w:tc>
          <w:tcPr>
            <w:tcW w:type="dxa" w:w="6192"/>
          </w:tcPr>
          <w:p>
            <w:pPr>
              <w:spacing w:after="20"/>
            </w:pPr>
            <w:r>
              <w:rPr>
                <w:color w:val="1C3A36"/>
                <w:sz w:val="17"/>
              </w:rPr>
              <w:t>plus after-tax net finance income (AED mn)</w:t>
            </w:r>
          </w:p>
        </w:tc>
        <w:tc>
          <w:tcPr>
            <w:tcW w:type="dxa" w:w="3888"/>
          </w:tcPr>
          <w:p>
            <w:pPr>
              <w:spacing w:after="20"/>
              <w:jc w:val="right"/>
            </w:pPr>
            <w:r>
              <w:rPr>
                <w:color w:val="1C3A36"/>
                <w:sz w:val="17"/>
              </w:rPr>
              <w:t>-7</w:t>
            </w:r>
          </w:p>
        </w:tc>
      </w:tr>
      <w:tr>
        <w:tc>
          <w:tcPr>
            <w:tcW w:type="dxa" w:w="6192"/>
          </w:tcPr>
          <w:p>
            <w:pPr>
              <w:spacing w:after="20"/>
            </w:pPr>
            <w:r>
              <w:rPr>
                <w:color w:val="1C3A36"/>
                <w:sz w:val="17"/>
              </w:rPr>
              <w:t>plus 40% of the JV profit share, after tax (the cash-remitted part, AED mn)</w:t>
            </w:r>
          </w:p>
        </w:tc>
        <w:tc>
          <w:tcPr>
            <w:tcW w:type="dxa" w:w="3888"/>
          </w:tcPr>
          <w:p>
            <w:pPr>
              <w:spacing w:after="20"/>
              <w:jc w:val="right"/>
            </w:pPr>
            <w:r>
              <w:rPr>
                <w:color w:val="1C3A36"/>
                <w:sz w:val="17"/>
              </w:rPr>
              <w:t>105</w:t>
            </w:r>
          </w:p>
        </w:tc>
      </w:tr>
      <w:tr>
        <w:tc>
          <w:tcPr>
            <w:tcW w:type="dxa" w:w="6192"/>
          </w:tcPr>
          <w:p>
            <w:pPr>
              <w:spacing w:after="20"/>
            </w:pPr>
            <w:r>
              <w:rPr>
                <w:color w:val="1C3A36"/>
                <w:sz w:val="17"/>
              </w:rPr>
              <w:t>Owner cash earnings (AED mn)</w:t>
            </w:r>
          </w:p>
        </w:tc>
        <w:tc>
          <w:tcPr>
            <w:tcW w:type="dxa" w:w="3888"/>
          </w:tcPr>
          <w:p>
            <w:pPr>
              <w:spacing w:after="20"/>
              <w:jc w:val="right"/>
            </w:pPr>
            <w:r>
              <w:rPr>
                <w:color w:val="1C3A36"/>
                <w:sz w:val="17"/>
              </w:rPr>
              <w:t>998</w:t>
            </w:r>
          </w:p>
        </w:tc>
      </w:tr>
      <w:tr>
        <w:tc>
          <w:tcPr>
            <w:tcW w:type="dxa" w:w="6192"/>
          </w:tcPr>
          <w:p>
            <w:pPr>
              <w:spacing w:after="20"/>
            </w:pPr>
            <w:r>
              <w:rPr>
                <w:color w:val="1C3A36"/>
                <w:sz w:val="17"/>
              </w:rPr>
              <w:t>Capitalised at 9.16% − 2.5% growth, plus half the net cash (haircut for permanence), per share</w:t>
            </w:r>
          </w:p>
        </w:tc>
        <w:tc>
          <w:tcPr>
            <w:tcW w:type="dxa" w:w="3888"/>
          </w:tcPr>
          <w:p>
            <w:pPr>
              <w:spacing w:after="20"/>
              <w:jc w:val="right"/>
            </w:pPr>
            <w:r>
              <w:rPr>
                <w:color w:val="1C3A36"/>
                <w:sz w:val="17"/>
              </w:rPr>
              <w:t>3.45</w:t>
            </w:r>
          </w:p>
        </w:tc>
      </w:tr>
      <w:tr>
        <w:tc>
          <w:tcPr>
            <w:tcW w:type="dxa" w:w="6192"/>
            <w:shd w:val="clear" w:color="auto" w:fill="F6F1E6"/>
          </w:tcPr>
          <w:p>
            <w:pPr>
              <w:spacing w:after="20"/>
            </w:pPr>
            <w:r>
              <w:rPr>
                <w:b/>
                <w:color w:val="1C3A36"/>
                <w:sz w:val="17"/>
              </w:rPr>
              <w:t>Range (tighter rate + full cash / wider rate, no cash)</w:t>
            </w:r>
          </w:p>
        </w:tc>
        <w:tc>
          <w:tcPr>
            <w:tcW w:type="dxa" w:w="3888"/>
            <w:shd w:val="clear" w:color="auto" w:fill="F6F1E6"/>
          </w:tcPr>
          <w:p>
            <w:pPr>
              <w:spacing w:after="20"/>
              <w:jc w:val="right"/>
            </w:pPr>
            <w:r>
              <w:rPr>
                <w:b/>
                <w:color w:val="1C3A36"/>
                <w:sz w:val="17"/>
              </w:rPr>
              <w:t>2.65 – 4.37</w:t>
            </w:r>
          </w:p>
        </w:tc>
      </w:tr>
    </w:tbl>
    <w:p>
      <w:pPr>
        <w:spacing w:after="40"/>
      </w:pPr>
    </w:p>
    <w:p>
      <w:pPr>
        <w:spacing w:after="120" w:before="0"/>
      </w:pPr>
      <w:r>
        <w:rPr>
          <w:b w:val="0"/>
          <w:i w:val="0"/>
          <w:color w:val="1C3A36"/>
          <w:sz w:val="21"/>
        </w:rPr>
        <w:t>Named sensitivity: every AED 100mn of sustained FCFF is about AED 0.31 per share at these rates. Falsifier: if FY2027 FCFF prints negative again, the "steadier years" average is fiction and the capitalisation collapses.</w:t>
      </w:r>
    </w:p>
    <w:p>
      <w:pPr>
        <w:spacing w:after="80" w:before="200"/>
      </w:pPr>
      <w:r>
        <w:rPr>
          <w:b/>
          <w:i w:val="0"/>
          <w:color w:val="1C3A36"/>
          <w:sz w:val="24"/>
        </w:rPr>
        <w:t>C.3  Expert 3 — cash returns against the cost of capital</w:t>
      </w:r>
    </w:p>
    <w:p>
      <w:pPr>
        <w:spacing w:after="120" w:before="0"/>
      </w:pPr>
      <w:r>
        <w:rPr>
          <w:b w:val="0"/>
          <w:i w:val="0"/>
          <w:color w:val="1C3A36"/>
          <w:sz w:val="21"/>
        </w:rPr>
        <w:t>Worldview: value is created only where the return on invested capital beats the cost of that capital; everything else is accounting. Start from invested capital, add the present value of the spread. Works best where capital and returns are measurable; fails when the capital base itself is mispriced — negative working capital makes the measured base small and the measured return huge.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192"/>
        <w:gridCol w:w="3888"/>
      </w:tblGrid>
      <w:tr>
        <w:tc>
          <w:tcPr>
            <w:tcW w:type="dxa" w:w="6192"/>
            <w:shd w:val="clear" w:color="auto" w:fill="EAF0EE"/>
          </w:tcPr>
          <w:p>
            <w:pPr>
              <w:spacing w:after="20"/>
            </w:pPr>
            <w:r>
              <w:rPr>
                <w:b/>
                <w:color w:val="1C3A36"/>
                <w:sz w:val="17"/>
              </w:rPr>
              <w:t>Line</w:t>
            </w:r>
          </w:p>
        </w:tc>
        <w:tc>
          <w:tcPr>
            <w:tcW w:type="dxa" w:w="3888"/>
            <w:shd w:val="clear" w:color="auto" w:fill="EAF0EE"/>
          </w:tcPr>
          <w:p>
            <w:pPr>
              <w:spacing w:after="20"/>
            </w:pPr>
            <w:r>
              <w:rPr>
                <w:b/>
                <w:color w:val="1C3A36"/>
                <w:sz w:val="17"/>
              </w:rPr>
              <w:t>Value</w:t>
            </w:r>
          </w:p>
        </w:tc>
      </w:tr>
      <w:tr>
        <w:tc>
          <w:tcPr>
            <w:tcW w:type="dxa" w:w="6192"/>
          </w:tcPr>
          <w:p>
            <w:pPr>
              <w:spacing w:after="20"/>
            </w:pPr>
            <w:r>
              <w:rPr>
                <w:color w:val="1C3A36"/>
                <w:sz w:val="17"/>
              </w:rPr>
              <w:t>Invested capital, FY2025 (fleet + intangibles + working capital, AED mn)</w:t>
            </w:r>
          </w:p>
        </w:tc>
        <w:tc>
          <w:tcPr>
            <w:tcW w:type="dxa" w:w="3888"/>
          </w:tcPr>
          <w:p>
            <w:pPr>
              <w:spacing w:after="20"/>
              <w:jc w:val="right"/>
            </w:pPr>
            <w:r>
              <w:rPr>
                <w:color w:val="1C3A36"/>
                <w:sz w:val="17"/>
              </w:rPr>
              <w:t>4,847</w:t>
            </w:r>
          </w:p>
        </w:tc>
      </w:tr>
      <w:tr>
        <w:tc>
          <w:tcPr>
            <w:tcW w:type="dxa" w:w="6192"/>
          </w:tcPr>
          <w:p>
            <w:pPr>
              <w:spacing w:after="20"/>
            </w:pPr>
            <w:r>
              <w:rPr>
                <w:color w:val="1C3A36"/>
                <w:sz w:val="17"/>
              </w:rPr>
              <w:t>PV of excess returns, explicit years (AED mn)</w:t>
            </w:r>
          </w:p>
        </w:tc>
        <w:tc>
          <w:tcPr>
            <w:tcW w:type="dxa" w:w="3888"/>
          </w:tcPr>
          <w:p>
            <w:pPr>
              <w:spacing w:after="20"/>
              <w:jc w:val="right"/>
            </w:pPr>
            <w:r>
              <w:rPr>
                <w:color w:val="1C3A36"/>
                <w:sz w:val="17"/>
              </w:rPr>
              <w:t>2,394</w:t>
            </w:r>
          </w:p>
        </w:tc>
      </w:tr>
      <w:tr>
        <w:tc>
          <w:tcPr>
            <w:tcW w:type="dxa" w:w="6192"/>
          </w:tcPr>
          <w:p>
            <w:pPr>
              <w:spacing w:after="20"/>
            </w:pPr>
            <w:r>
              <w:rPr>
                <w:color w:val="1C3A36"/>
                <w:sz w:val="17"/>
              </w:rPr>
              <w:t>PV of terminal excess returns (AED mn)</w:t>
            </w:r>
          </w:p>
        </w:tc>
        <w:tc>
          <w:tcPr>
            <w:tcW w:type="dxa" w:w="3888"/>
          </w:tcPr>
          <w:p>
            <w:pPr>
              <w:spacing w:after="20"/>
              <w:jc w:val="right"/>
            </w:pPr>
            <w:r>
              <w:rPr>
                <w:color w:val="1C3A36"/>
                <w:sz w:val="17"/>
              </w:rPr>
              <w:t>5,761</w:t>
            </w:r>
          </w:p>
        </w:tc>
      </w:tr>
      <w:tr>
        <w:tc>
          <w:tcPr>
            <w:tcW w:type="dxa" w:w="6192"/>
          </w:tcPr>
          <w:p>
            <w:pPr>
              <w:spacing w:after="20"/>
            </w:pPr>
            <w:r>
              <w:rPr>
                <w:color w:val="1C3A36"/>
                <w:sz w:val="17"/>
              </w:rPr>
              <w:t>Implied enterprise value (AED mn)</w:t>
            </w:r>
          </w:p>
        </w:tc>
        <w:tc>
          <w:tcPr>
            <w:tcW w:type="dxa" w:w="3888"/>
          </w:tcPr>
          <w:p>
            <w:pPr>
              <w:spacing w:after="20"/>
              <w:jc w:val="right"/>
            </w:pPr>
            <w:r>
              <w:rPr>
                <w:color w:val="1C3A36"/>
                <w:sz w:val="17"/>
              </w:rPr>
              <w:t>13,002</w:t>
            </w:r>
          </w:p>
        </w:tc>
      </w:tr>
      <w:tr>
        <w:tc>
          <w:tcPr>
            <w:tcW w:type="dxa" w:w="6192"/>
            <w:shd w:val="clear" w:color="auto" w:fill="F6F1E6"/>
          </w:tcPr>
          <w:p>
            <w:pPr>
              <w:spacing w:after="20"/>
            </w:pPr>
            <w:r>
              <w:rPr>
                <w:b/>
                <w:color w:val="1C3A36"/>
                <w:sz w:val="17"/>
              </w:rPr>
              <w:t>Through the same bridge (net cash, non-operating, JV at book, minorities), per share</w:t>
            </w:r>
          </w:p>
        </w:tc>
        <w:tc>
          <w:tcPr>
            <w:tcW w:type="dxa" w:w="3888"/>
            <w:shd w:val="clear" w:color="auto" w:fill="F6F1E6"/>
          </w:tcPr>
          <w:p>
            <w:pPr>
              <w:spacing w:after="20"/>
              <w:jc w:val="right"/>
            </w:pPr>
            <w:r>
              <w:rPr>
                <w:b/>
                <w:color w:val="1C3A36"/>
                <w:sz w:val="17"/>
              </w:rPr>
              <w:t>3.51</w:t>
            </w:r>
          </w:p>
        </w:tc>
      </w:tr>
      <w:tr>
        <w:tc>
          <w:tcPr>
            <w:tcW w:type="dxa" w:w="6192"/>
          </w:tcPr>
          <w:p>
            <w:pPr>
              <w:spacing w:after="20"/>
            </w:pPr>
            <w:r>
              <w:rPr>
                <w:color w:val="1C3A36"/>
                <w:sz w:val="17"/>
              </w:rPr>
              <w:t>Range (spread fades 40–45% / JV capitalised)</w:t>
            </w:r>
          </w:p>
        </w:tc>
        <w:tc>
          <w:tcPr>
            <w:tcW w:type="dxa" w:w="3888"/>
          </w:tcPr>
          <w:p>
            <w:pPr>
              <w:spacing w:after="20"/>
              <w:jc w:val="right"/>
            </w:pPr>
            <w:r>
              <w:rPr>
                <w:color w:val="1C3A36"/>
                <w:sz w:val="17"/>
              </w:rPr>
              <w:t>2.71 – 4.07</w:t>
            </w:r>
          </w:p>
        </w:tc>
      </w:tr>
    </w:tbl>
    <w:p>
      <w:pPr>
        <w:spacing w:after="40"/>
      </w:pPr>
    </w:p>
    <w:p>
      <w:pPr>
        <w:spacing w:after="120" w:before="0"/>
      </w:pPr>
      <w:r>
        <w:rPr>
          <w:b w:val="0"/>
          <w:i w:val="0"/>
          <w:color w:val="1C3A36"/>
          <w:sz w:val="21"/>
        </w:rPr>
        <w:t>The measured spread: forecast returns on invested capital of 15% / 17% / 15% / 15% / 14% against a ~8.7–8.9% cost of capital. Falsifier: if the FY2026 return on capital prints below the cost of capital (the fuel-spike year makes it close), the excess-return engine is idling and the base collapses toward invested capital plus cash.</w:t>
      </w:r>
    </w:p>
    <w:p>
      <w:pPr>
        <w:spacing w:after="80" w:before="200"/>
      </w:pPr>
      <w:r>
        <w:rPr>
          <w:b/>
          <w:i w:val="0"/>
          <w:color w:val="1C3A36"/>
          <w:sz w:val="24"/>
        </w:rPr>
        <w:t>C.4  Cross-examination</w:t>
      </w:r>
    </w:p>
    <w:p>
      <w:pPr>
        <w:pStyle w:val="ListBullet"/>
        <w:spacing w:after="60"/>
      </w:pPr>
      <w:r>
        <w:rPr>
          <w:b/>
          <w:color w:val="1C3A36"/>
          <w:sz w:val="21"/>
        </w:rPr>
        <w:t xml:space="preserve">Expert 2 to Expert 1:  </w:t>
      </w:r>
      <w:r>
        <w:rPr>
          <w:color w:val="1C3A36"/>
          <w:sz w:val="21"/>
        </w:rPr>
        <w:t>"Your multiple prices earnings the company must spend to keep. EPS is after depreciation but before the AED 1.9–2.0bn of yearly fleet spending — in an expansion, cash EPS is far lower." Expert 1 CONCEDES half: the multiple is struck at 13× rather than Jazeera's 17.7× precisely to haircut expansion-cycle earnings; the other half stands because leased deliveries never pass through capex.</w:t>
      </w:r>
    </w:p>
    <w:p>
      <w:pPr>
        <w:pStyle w:val="ListBullet"/>
        <w:spacing w:after="60"/>
      </w:pPr>
      <w:r>
        <w:rPr>
          <w:b/>
          <w:color w:val="1C3A36"/>
          <w:sz w:val="21"/>
        </w:rPr>
        <w:t xml:space="preserve">Expert 1 to Expert 2:  </w:t>
      </w:r>
      <w:r>
        <w:rPr>
          <w:color w:val="1C3A36"/>
          <w:sz w:val="21"/>
        </w:rPr>
        <w:t>"You average FY2028–30 cash flow and call it perpetual — but you exclude FY2026-27 precisely because they are investment years, then keep none of the growth that investment buys." Expert 2 REJECTS: the capitalisation already grows the base at 2.5% forever; counting the fleet's growth twice is how airlines get overvalued.</w:t>
      </w:r>
    </w:p>
    <w:p>
      <w:pPr>
        <w:pStyle w:val="ListBullet"/>
        <w:spacing w:after="60"/>
      </w:pPr>
      <w:r>
        <w:rPr>
          <w:b/>
          <w:color w:val="1C3A36"/>
          <w:sz w:val="21"/>
        </w:rPr>
        <w:t xml:space="preserve">Expert 3 to both:  </w:t>
      </w:r>
      <w:r>
        <w:rPr>
          <w:color w:val="1C3A36"/>
          <w:sz w:val="21"/>
        </w:rPr>
        <w:t>"Neither of you measures whether growth CREATES value. My spread says it does — barely: a ~14% terminal return against a ~8.7% bar. If the neo ramp lands at lease rates that push the true capital base up, the spread halves." Both CONCEDE the point defines the bear case; Expert 1 notes the measured spread has beaten the bar every audited year on record.</w:t>
      </w:r>
    </w:p>
    <w:p>
      <w:pPr>
        <w:pStyle w:val="ListBullet"/>
        <w:spacing w:after="60"/>
      </w:pPr>
      <w:r>
        <w:rPr>
          <w:b/>
          <w:color w:val="1C3A36"/>
          <w:sz w:val="21"/>
        </w:rPr>
        <w:t xml:space="preserve">All three on the JV network:  </w:t>
      </w:r>
      <w:r>
        <w:rPr>
          <w:color w:val="1C3A36"/>
          <w:sz w:val="21"/>
        </w:rPr>
        <w:t>Expert 1 would capitalise it (earnings are earnings), Expert 2 counts only remitted cash, Expert 3 carries it at book because its capital is unmeasurable from outside. The study keeps the disagreement: it IS the two published framings.</w:t>
      </w:r>
    </w:p>
    <w:p>
      <w:pPr>
        <w:spacing w:after="80" w:before="200"/>
      </w:pPr>
      <w:r>
        <w:rPr>
          <w:b/>
          <w:i w:val="0"/>
          <w:color w:val="1C3A36"/>
          <w:sz w:val="24"/>
        </w:rPr>
        <w:t>C.5  The three in one room</w:t>
      </w:r>
    </w:p>
    <w:p>
      <w:pPr>
        <w:spacing w:after="120" w:before="0"/>
      </w:pPr>
      <w:r>
        <w:rPr>
          <w:b w:val="0"/>
          <w:i w:val="0"/>
          <w:color w:val="1C3A36"/>
          <w:sz w:val="21"/>
        </w:rPr>
        <w:t>Ask the panel for one number and they refuse; ask for a region and they agree more than their methods suggest: Expert 1 at AED 4.15, Expert 2 at 3.45, Expert 3 at 3.51 — a median of 3.51, 33% below the market. Where they genuinely differ is not arithmetic but posture toward the ventures and the order book: the panel's whole spread is a debate about value that has not yet reached the consolidated accounts.</w:t>
      </w:r>
    </w:p>
    <w:p>
      <w:pPr>
        <w:spacing w:after="40"/>
        <w:jc w:val="center"/>
      </w:pPr>
      <w:r>
        <w:drawing>
          <wp:inline xmlns:a="http://schemas.openxmlformats.org/drawingml/2006/main" xmlns:pic="http://schemas.openxmlformats.org/drawingml/2006/picture">
            <wp:extent cx="6309360" cy="2276573"/>
            <wp:docPr id="8" name="Picture 8"/>
            <wp:cNvGraphicFramePr>
              <a:graphicFrameLocks noChangeAspect="1"/>
            </wp:cNvGraphicFramePr>
            <a:graphic>
              <a:graphicData uri="http://schemas.openxmlformats.org/drawingml/2006/picture">
                <pic:pic>
                  <pic:nvPicPr>
                    <pic:cNvPr id="0" name="figD1_experts.png"/>
                    <pic:cNvPicPr/>
                  </pic:nvPicPr>
                  <pic:blipFill>
                    <a:blip r:embed="rId16"/>
                    <a:stretch>
                      <a:fillRect/>
                    </a:stretch>
                  </pic:blipFill>
                  <pic:spPr>
                    <a:xfrm>
                      <a:off x="0" y="0"/>
                      <a:ext cx="6309360" cy="2276573"/>
                    </a:xfrm>
                    <a:prstGeom prst="rect"/>
                  </pic:spPr>
                </pic:pic>
              </a:graphicData>
            </a:graphic>
          </wp:inline>
        </w:drawing>
      </w:r>
    </w:p>
    <w:p>
      <w:pPr>
        <w:spacing w:after="200" w:before="0"/>
      </w:pPr>
      <w:r>
        <w:rPr>
          <w:b w:val="0"/>
          <w:i/>
          <w:color w:val="6E7B77"/>
          <w:sz w:val="17"/>
        </w:rPr>
        <w:t>Figure 8 — the three experts' ranges against the market price.</w:t>
      </w:r>
    </w:p>
    <w:p>
      <w:pPr>
        <w:spacing w:after="80" w:before="200"/>
      </w:pPr>
      <w:r>
        <w:rPr>
          <w:b/>
          <w:i w:val="0"/>
          <w:color w:val="1C3A36"/>
          <w:sz w:val="24"/>
        </w:rPr>
        <w:t>C.6  Reading the divergence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944"/>
        <w:gridCol w:w="2016"/>
        <w:gridCol w:w="1872"/>
        <w:gridCol w:w="2016"/>
      </w:tblGrid>
      <w:tr>
        <w:tc>
          <w:tcPr>
            <w:tcW w:type="dxa" w:w="2232"/>
            <w:shd w:val="clear" w:color="auto" w:fill="EAF0EE"/>
          </w:tcPr>
          <w:p>
            <w:pPr>
              <w:spacing w:after="20"/>
            </w:pPr>
            <w:r>
              <w:rPr>
                <w:b/>
                <w:color w:val="1C3A36"/>
                <w:sz w:val="16"/>
              </w:rPr>
              <w:t>Assumption</w:t>
            </w:r>
          </w:p>
        </w:tc>
        <w:tc>
          <w:tcPr>
            <w:tcW w:type="dxa" w:w="1944"/>
            <w:shd w:val="clear" w:color="auto" w:fill="EAF0EE"/>
          </w:tcPr>
          <w:p>
            <w:pPr>
              <w:spacing w:after="20"/>
            </w:pPr>
            <w:r>
              <w:rPr>
                <w:b/>
                <w:color w:val="1C3A36"/>
                <w:sz w:val="16"/>
              </w:rPr>
              <w:t>Expert 1</w:t>
            </w:r>
          </w:p>
        </w:tc>
        <w:tc>
          <w:tcPr>
            <w:tcW w:type="dxa" w:w="2016"/>
            <w:shd w:val="clear" w:color="auto" w:fill="EAF0EE"/>
          </w:tcPr>
          <w:p>
            <w:pPr>
              <w:spacing w:after="20"/>
            </w:pPr>
            <w:r>
              <w:rPr>
                <w:b/>
                <w:color w:val="1C3A36"/>
                <w:sz w:val="16"/>
              </w:rPr>
              <w:t>Expert 2</w:t>
            </w:r>
          </w:p>
        </w:tc>
        <w:tc>
          <w:tcPr>
            <w:tcW w:type="dxa" w:w="1872"/>
            <w:shd w:val="clear" w:color="auto" w:fill="EAF0EE"/>
          </w:tcPr>
          <w:p>
            <w:pPr>
              <w:spacing w:after="20"/>
            </w:pPr>
            <w:r>
              <w:rPr>
                <w:b/>
                <w:color w:val="1C3A36"/>
                <w:sz w:val="16"/>
              </w:rPr>
              <w:t>Expert 3</w:t>
            </w:r>
          </w:p>
        </w:tc>
        <w:tc>
          <w:tcPr>
            <w:tcW w:type="dxa" w:w="2016"/>
            <w:shd w:val="clear" w:color="auto" w:fill="EAF0EE"/>
          </w:tcPr>
          <w:p>
            <w:pPr>
              <w:spacing w:after="20"/>
            </w:pPr>
            <w:r>
              <w:rPr>
                <w:b/>
                <w:color w:val="1C3A36"/>
                <w:sz w:val="16"/>
              </w:rPr>
              <w:t>Drives</w:t>
            </w:r>
          </w:p>
        </w:tc>
      </w:tr>
      <w:tr>
        <w:tc>
          <w:tcPr>
            <w:tcW w:type="dxa" w:w="2232"/>
          </w:tcPr>
          <w:p>
            <w:pPr>
              <w:spacing w:after="20"/>
            </w:pPr>
            <w:r>
              <w:rPr>
                <w:color w:val="1C3A36"/>
                <w:sz w:val="16"/>
              </w:rPr>
              <w:t>Mid-cycle margin</w:t>
            </w:r>
          </w:p>
        </w:tc>
        <w:tc>
          <w:tcPr>
            <w:tcW w:type="dxa" w:w="1944"/>
          </w:tcPr>
          <w:p>
            <w:pPr>
              <w:spacing w:after="20"/>
              <w:jc w:val="right"/>
            </w:pPr>
            <w:r>
              <w:rPr>
                <w:color w:val="1C3A36"/>
                <w:sz w:val="16"/>
              </w:rPr>
              <w:t>23.5%</w:t>
            </w:r>
          </w:p>
        </w:tc>
        <w:tc>
          <w:tcPr>
            <w:tcW w:type="dxa" w:w="2016"/>
          </w:tcPr>
          <w:p>
            <w:pPr>
              <w:spacing w:after="20"/>
              <w:jc w:val="right"/>
            </w:pPr>
            <w:r>
              <w:rPr>
                <w:color w:val="1C3A36"/>
                <w:sz w:val="16"/>
              </w:rPr>
              <w:t>n/a (cash basis)</w:t>
            </w:r>
          </w:p>
        </w:tc>
        <w:tc>
          <w:tcPr>
            <w:tcW w:type="dxa" w:w="1872"/>
          </w:tcPr>
          <w:p>
            <w:pPr>
              <w:spacing w:after="20"/>
              <w:jc w:val="right"/>
            </w:pPr>
            <w:r>
              <w:rPr>
                <w:color w:val="1C3A36"/>
                <w:sz w:val="16"/>
              </w:rPr>
              <w:t>inside the spread</w:t>
            </w:r>
          </w:p>
        </w:tc>
        <w:tc>
          <w:tcPr>
            <w:tcW w:type="dxa" w:w="2016"/>
          </w:tcPr>
          <w:p>
            <w:pPr>
              <w:spacing w:after="20"/>
              <w:jc w:val="right"/>
            </w:pPr>
            <w:r>
              <w:rPr>
                <w:color w:val="1C3A36"/>
                <w:sz w:val="16"/>
              </w:rPr>
              <w:t>E1 vs E2 gap</w:t>
            </w:r>
          </w:p>
        </w:tc>
      </w:tr>
      <w:tr>
        <w:tc>
          <w:tcPr>
            <w:tcW w:type="dxa" w:w="2232"/>
          </w:tcPr>
          <w:p>
            <w:pPr>
              <w:spacing w:after="20"/>
            </w:pPr>
            <w:r>
              <w:rPr>
                <w:color w:val="1C3A36"/>
                <w:sz w:val="16"/>
              </w:rPr>
              <w:t>Investment years FY2026-27</w:t>
            </w:r>
          </w:p>
        </w:tc>
        <w:tc>
          <w:tcPr>
            <w:tcW w:type="dxa" w:w="1944"/>
          </w:tcPr>
          <w:p>
            <w:pPr>
              <w:spacing w:after="20"/>
              <w:jc w:val="right"/>
            </w:pPr>
            <w:r>
              <w:rPr>
                <w:color w:val="1C3A36"/>
                <w:sz w:val="16"/>
              </w:rPr>
              <w:t>in the multiple</w:t>
            </w:r>
          </w:p>
        </w:tc>
        <w:tc>
          <w:tcPr>
            <w:tcW w:type="dxa" w:w="2016"/>
          </w:tcPr>
          <w:p>
            <w:pPr>
              <w:spacing w:after="20"/>
              <w:jc w:val="right"/>
            </w:pPr>
            <w:r>
              <w:rPr>
                <w:color w:val="1C3A36"/>
                <w:sz w:val="16"/>
              </w:rPr>
              <w:t>excluded from the base</w:t>
            </w:r>
          </w:p>
        </w:tc>
        <w:tc>
          <w:tcPr>
            <w:tcW w:type="dxa" w:w="1872"/>
          </w:tcPr>
          <w:p>
            <w:pPr>
              <w:spacing w:after="20"/>
              <w:jc w:val="right"/>
            </w:pPr>
            <w:r>
              <w:rPr>
                <w:color w:val="1C3A36"/>
                <w:sz w:val="16"/>
              </w:rPr>
              <w:t>in the spread years</w:t>
            </w:r>
          </w:p>
        </w:tc>
        <w:tc>
          <w:tcPr>
            <w:tcW w:type="dxa" w:w="2016"/>
          </w:tcPr>
          <w:p>
            <w:pPr>
              <w:spacing w:after="20"/>
              <w:jc w:val="right"/>
            </w:pPr>
            <w:r>
              <w:rPr>
                <w:color w:val="1C3A36"/>
                <w:sz w:val="16"/>
              </w:rPr>
              <w:t>E2's low base</w:t>
            </w:r>
          </w:p>
        </w:tc>
      </w:tr>
      <w:tr>
        <w:tc>
          <w:tcPr>
            <w:tcW w:type="dxa" w:w="2232"/>
          </w:tcPr>
          <w:p>
            <w:pPr>
              <w:spacing w:after="20"/>
            </w:pPr>
            <w:r>
              <w:rPr>
                <w:color w:val="1C3A36"/>
                <w:sz w:val="16"/>
              </w:rPr>
              <w:t>JV network</w:t>
            </w:r>
          </w:p>
        </w:tc>
        <w:tc>
          <w:tcPr>
            <w:tcW w:type="dxa" w:w="1944"/>
          </w:tcPr>
          <w:p>
            <w:pPr>
              <w:spacing w:after="20"/>
              <w:jc w:val="right"/>
            </w:pPr>
            <w:r>
              <w:rPr>
                <w:color w:val="1C3A36"/>
                <w:sz w:val="16"/>
              </w:rPr>
              <w:t>would capitalise</w:t>
            </w:r>
          </w:p>
        </w:tc>
        <w:tc>
          <w:tcPr>
            <w:tcW w:type="dxa" w:w="2016"/>
          </w:tcPr>
          <w:p>
            <w:pPr>
              <w:spacing w:after="20"/>
              <w:jc w:val="right"/>
            </w:pPr>
            <w:r>
              <w:rPr>
                <w:color w:val="1C3A36"/>
                <w:sz w:val="16"/>
              </w:rPr>
              <w:t>cash remitted only (40%)</w:t>
            </w:r>
          </w:p>
        </w:tc>
        <w:tc>
          <w:tcPr>
            <w:tcW w:type="dxa" w:w="1872"/>
          </w:tcPr>
          <w:p>
            <w:pPr>
              <w:spacing w:after="20"/>
              <w:jc w:val="right"/>
            </w:pPr>
            <w:r>
              <w:rPr>
                <w:color w:val="1C3A36"/>
                <w:sz w:val="16"/>
              </w:rPr>
              <w:t>at book</w:t>
            </w:r>
          </w:p>
        </w:tc>
        <w:tc>
          <w:tcPr>
            <w:tcW w:type="dxa" w:w="2016"/>
          </w:tcPr>
          <w:p>
            <w:pPr>
              <w:spacing w:after="20"/>
              <w:jc w:val="right"/>
            </w:pPr>
            <w:r>
              <w:rPr>
                <w:color w:val="1C3A36"/>
                <w:sz w:val="16"/>
              </w:rPr>
              <w:t>the whole panel-vs-market gap</w:t>
            </w:r>
          </w:p>
        </w:tc>
      </w:tr>
      <w:tr>
        <w:tc>
          <w:tcPr>
            <w:tcW w:type="dxa" w:w="2232"/>
          </w:tcPr>
          <w:p>
            <w:pPr>
              <w:spacing w:after="20"/>
            </w:pPr>
            <w:r>
              <w:rPr>
                <w:color w:val="1C3A36"/>
                <w:sz w:val="16"/>
              </w:rPr>
              <w:t>Net cash</w:t>
            </w:r>
          </w:p>
        </w:tc>
        <w:tc>
          <w:tcPr>
            <w:tcW w:type="dxa" w:w="1944"/>
          </w:tcPr>
          <w:p>
            <w:pPr>
              <w:spacing w:after="20"/>
              <w:jc w:val="right"/>
            </w:pPr>
            <w:r>
              <w:rPr>
                <w:color w:val="1C3A36"/>
                <w:sz w:val="16"/>
              </w:rPr>
              <w:t>implicitly in the multiple</w:t>
            </w:r>
          </w:p>
        </w:tc>
        <w:tc>
          <w:tcPr>
            <w:tcW w:type="dxa" w:w="2016"/>
          </w:tcPr>
          <w:p>
            <w:pPr>
              <w:spacing w:after="20"/>
              <w:jc w:val="right"/>
            </w:pPr>
            <w:r>
              <w:rPr>
                <w:color w:val="1C3A36"/>
                <w:sz w:val="16"/>
              </w:rPr>
              <w:t>half credited</w:t>
            </w:r>
          </w:p>
        </w:tc>
        <w:tc>
          <w:tcPr>
            <w:tcW w:type="dxa" w:w="1872"/>
          </w:tcPr>
          <w:p>
            <w:pPr>
              <w:spacing w:after="20"/>
              <w:jc w:val="right"/>
            </w:pPr>
            <w:r>
              <w:rPr>
                <w:color w:val="1C3A36"/>
                <w:sz w:val="16"/>
              </w:rPr>
              <w:t>fully in the bridge</w:t>
            </w:r>
          </w:p>
        </w:tc>
        <w:tc>
          <w:tcPr>
            <w:tcW w:type="dxa" w:w="2016"/>
          </w:tcPr>
          <w:p>
            <w:pPr>
              <w:spacing w:after="20"/>
              <w:jc w:val="right"/>
            </w:pPr>
            <w:r>
              <w:rPr>
                <w:color w:val="1C3A36"/>
                <w:sz w:val="16"/>
              </w:rPr>
              <w:t>E2 vs E3 gap</w:t>
            </w:r>
          </w:p>
        </w:tc>
      </w:tr>
      <w:tr>
        <w:tc>
          <w:tcPr>
            <w:tcW w:type="dxa" w:w="2232"/>
          </w:tcPr>
          <w:p>
            <w:pPr>
              <w:spacing w:after="20"/>
            </w:pPr>
            <w:r>
              <w:rPr>
                <w:color w:val="1C3A36"/>
                <w:sz w:val="16"/>
              </w:rPr>
              <w:t>Terminal growth</w:t>
            </w:r>
          </w:p>
        </w:tc>
        <w:tc>
          <w:tcPr>
            <w:tcW w:type="dxa" w:w="1944"/>
          </w:tcPr>
          <w:p>
            <w:pPr>
              <w:spacing w:after="20"/>
              <w:jc w:val="right"/>
            </w:pPr>
            <w:r>
              <w:rPr>
                <w:color w:val="1C3A36"/>
                <w:sz w:val="16"/>
              </w:rPr>
              <w:t>in the multiple</w:t>
            </w:r>
          </w:p>
        </w:tc>
        <w:tc>
          <w:tcPr>
            <w:tcW w:type="dxa" w:w="2016"/>
          </w:tcPr>
          <w:p>
            <w:pPr>
              <w:spacing w:after="20"/>
              <w:jc w:val="right"/>
            </w:pPr>
            <w:r>
              <w:rPr>
                <w:color w:val="1C3A36"/>
                <w:sz w:val="16"/>
              </w:rPr>
              <w:t>2.5%</w:t>
            </w:r>
          </w:p>
        </w:tc>
        <w:tc>
          <w:tcPr>
            <w:tcW w:type="dxa" w:w="1872"/>
          </w:tcPr>
          <w:p>
            <w:pPr>
              <w:spacing w:after="20"/>
              <w:jc w:val="right"/>
            </w:pPr>
            <w:r>
              <w:rPr>
                <w:color w:val="1C3A36"/>
                <w:sz w:val="16"/>
              </w:rPr>
              <w:t>2.5%</w:t>
            </w:r>
          </w:p>
        </w:tc>
        <w:tc>
          <w:tcPr>
            <w:tcW w:type="dxa" w:w="2016"/>
          </w:tcPr>
          <w:p>
            <w:pPr>
              <w:spacing w:after="20"/>
              <w:jc w:val="right"/>
            </w:pPr>
            <w:r>
              <w:rPr>
                <w:color w:val="1C3A36"/>
                <w:sz w:val="16"/>
              </w:rPr>
              <w:t>small between panellists</w:t>
            </w:r>
          </w:p>
        </w:tc>
      </w:tr>
    </w:tbl>
    <w:p>
      <w:pPr>
        <w:spacing w:after="40"/>
      </w:pPr>
    </w:p>
    <w:p>
      <w:r>
        <w:br w:type="page"/>
      </w:r>
    </w:p>
    <w:p>
      <w:pPr>
        <w:spacing w:after="120" w:before="280"/>
      </w:pPr>
      <w:r>
        <w:rPr>
          <w:b/>
          <w:i w:val="0"/>
          <w:color w:val="1C3A36"/>
          <w:sz w:val="30"/>
        </w:rPr>
        <w:t>About this series</w:t>
      </w:r>
    </w:p>
    <w:p>
      <w:pPr>
        <w:spacing w:after="120" w:before="0"/>
      </w:pPr>
      <w:r>
        <w:rPr>
          <w:b w:val="0"/>
          <w:i w:val="0"/>
          <w:color w:val="1C3A36"/>
          <w:sz w:val="21"/>
        </w:rPr>
        <w:t>Testahil publishes independent, educational valuation studies of listed companies across the Gulf, Egypt and beyond, each built the same way: primary sources only for the company's own numbers, a unit-level forecast wherever disclosure allows, four valuation lenses, a calibrated probability map for the share price, an adversarial expert panel — and a companion workbook that calculates rather than stores, so every assumption can be changed and every consequence seen. Forecast bands are tracked publicly and scored against their outcomes when they mature.</w:t>
      </w:r>
    </w:p>
    <w:p>
      <w:pPr>
        <w:spacing w:after="120" w:before="280"/>
      </w:pPr>
      <w:r>
        <w:rPr>
          <w:b/>
          <w:i w:val="0"/>
          <w:color w:val="1C3A36"/>
          <w:sz w:val="30"/>
        </w:rPr>
        <w:t>Disclosure &amp; disclaimer</w:t>
      </w:r>
    </w:p>
    <w:p>
      <w:pPr>
        <w:spacing w:after="120" w:before="0"/>
      </w:pPr>
      <w:r>
        <w:rPr>
          <w:b w:val="0"/>
          <w:i w:val="0"/>
          <w:color w:val="1C3A36"/>
          <w:sz w:val="18"/>
        </w:rPr>
        <w:t>This document is educational analysis, not investment advice, not an offer, and not a solicitation. It contains no rating and no price target; all values are model outputs presented as ranges with their assumptions. The authors hold no position in Air Arabia PJSC and receive no compensation from any company mentioned. Figures are believed accurate as of 9 August 2026 but are not warranted; audited financial statements of Air Arabia PJSC remain the authoritative record. Investing involves risk, including loss of principal. Nothing here accounts for any reader's objectives or constraints. Seek licensed advice before acting.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