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4896"/>
        <w:gridCol w:w="4896"/>
      </w:tblGrid>
      <w:tr>
        <w:tc>
          <w:tcPr>
            <w:tcW w:type="dxa" w:w="6336"/>
            <w:shd w:val="clear" w:fill="1C3A36"/>
          </w:tcPr>
          <w:p>
            <w:pPr>
              <w:jc w:val="left"/>
            </w:pPr>
            <w:r>
              <w:rPr>
                <w:b/>
                <w:color w:val="FFFFFF"/>
                <w:sz w:val="18"/>
              </w:rPr>
              <w:t>Testahil · Independent Valuation Study — Educational Analysis</w:t>
            </w:r>
          </w:p>
        </w:tc>
        <w:tc>
          <w:tcPr>
            <w:tcW w:type="dxa" w:w="3456"/>
            <w:shd w:val="clear" w:fill="1C3A36"/>
          </w:tcPr>
          <w:p>
            <w:pPr>
              <w:jc w:val="right"/>
            </w:pPr>
            <w:r>
              <w:rPr>
                <w:b/>
                <w:color w:val="FFFFFF"/>
                <w:sz w:val="18"/>
              </w:rPr>
              <w:t>Not investment advice</w:t>
            </w:r>
          </w:p>
        </w:tc>
      </w:tr>
    </w:tbl>
    <w:p>
      <w:pPr>
        <w:spacing w:after="40"/>
      </w:pPr>
    </w:p>
    <w:p>
      <w:pPr>
        <w:spacing w:after="40"/>
      </w:pPr>
      <w:r>
        <w:rPr>
          <w:b/>
          <w:i w:val="0"/>
          <w:sz w:val="26"/>
        </w:rPr>
        <w:t>Independent Valuation Study — Educational Analysis</w:t>
      </w:r>
    </w:p>
    <w:p>
      <w:pPr>
        <w:spacing w:after="40"/>
      </w:pPr>
      <w:r>
        <w:rPr>
          <w:b/>
          <w:i w:val="0"/>
          <w:sz w:val="32"/>
        </w:rPr>
        <w:t>Egypt Aluminum Company (EGX: EGAL)</w:t>
      </w:r>
    </w:p>
    <w:p>
      <w:pPr>
        <w:spacing w:after="120"/>
      </w:pPr>
      <w:r>
        <w:rPr>
          <w:b w:val="0"/>
          <w:i/>
          <w:sz w:val="20"/>
        </w:rPr>
        <w:t>Fundamental analysis · Technical analysis · Monte Carlo simulation — one integrated read</w:t>
      </w:r>
    </w:p>
    <w:p>
      <w:pPr>
        <w:spacing w:after="160"/>
      </w:pPr>
      <w:r>
        <w:rPr>
          <w:b/>
          <w:i w:val="0"/>
          <w:sz w:val="19"/>
        </w:rPr>
        <w:t>Anchor:</w:t>
      </w:r>
      <w:r>
        <w:rPr>
          <w:b w:val="0"/>
          <w:i w:val="0"/>
          <w:sz w:val="19"/>
        </w:rPr>
        <w:t xml:space="preserve"> EGP 285.88 (01 Jul 2026 close) · 412.5 m shares · mkt cap ≈ EGP 117.9 bn (~US$2.4 bn at EGP/USD 49.1) · the Nag Hammadi primary-aluminium smelter, ~320 kt nameplate, ~62% of revenue exported, 89.8% state-owned via Metallurgical Industries Holding · prices and probabilities computed 01–03 Jul 2026 from the attached daily history · primary lens: consolidated FCFF discounted cash flow, cross-checked on replacement cost per tonne, relative multiples and normalized earnings power · the electricity tariff, the EGP, and the US$900 m Trafigura capacity-doubling partnership (signed 6/10 May 2026) are the swing factors.</w:t>
      </w:r>
    </w:p>
    <w:tbl>
      <w:tblPr>
        <w:tblW w:type="auto" w:w="0"/>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9792"/>
      </w:tblGrid>
      <w:tr>
        <w:tc>
          <w:tcPr>
            <w:tcW w:type="dxa" w:w="9792"/>
            <w:shd w:val="clear" w:fill="F2EEE4"/>
          </w:tcPr>
          <w:p>
            <w:r>
              <w:rPr>
                <w:sz w:val="17"/>
              </w:rPr>
            </w:r>
            <w:r>
              <w:rPr>
                <w:b/>
                <w:sz w:val="17"/>
              </w:rPr>
              <w:t>READ FIRST — what this document is, and is not.</w:t>
            </w:r>
            <w:r>
              <w:rPr>
                <w:b w:val="0"/>
                <w:sz w:val="17"/>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 including Egypt's Financial Regulatory Authority (FRA) —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(FY2024/25 results released 24 Aug 2025; 9M FY2025/26 release, May 2026); several balance-sheet and cost lines are reconstructions from disclosed anchors and are flagged as derived. Forward-looking inputs — the normalized aluminium price, the electricity-cost path, the WACC, the multiples, the replacement-cost mark and the Monte-Carlo factor probabilities — are the preparer's judgments and are flagged throughout. Consult a licensed financial advisor before any investment decision.</w:t>
            </w:r>
          </w:p>
        </w:tc>
      </w:tr>
    </w:tbl>
    <w:p>
      <w:pPr>
        <w:spacing w:after="40"/>
      </w:pPr>
    </w:p>
    <w:p>
      <w:pPr>
        <w:pStyle w:val="Heading1"/>
      </w:pPr>
      <w:r>
        <w:t>Headline</w:t>
      </w:r>
    </w:p>
    <w:p>
      <w:pPr>
        <w:spacing w:after="120"/>
      </w:pPr>
      <w:r>
        <w:rPr>
          <w:b/>
          <w:i w:val="0"/>
          <w:sz w:val="19"/>
        </w:rPr>
        <w:t>The model's read: fully valued to modestly rich — the tape has pre-paid part of a doubling that has not yet been financed.</w:t>
      </w:r>
      <w:r>
        <w:rPr>
          <w:b w:val="0"/>
          <w:i w:val="0"/>
          <w:sz w:val="19"/>
        </w:rPr>
        <w:t xml:space="preserve"> At EGP 286 the shares sit about 12% above our weighted central estimate of EGP 250. The four lenses tell one coherent story with different accents: a consolidated DCF on the smelter's own cash generation lands at EGP 268, a normalized mid-cycle earnings-power read at EGP 265, a relative read on global smelter multiples at EGP 235, and a replacement-cost mark on the existing 320 kt of capacity — the sceptic's floor — at EGP 210. What the market is paying above all of these is, in effect, an advance on two things: a blow-out FY2025/26 close (9M net profit EGP 10.4 bn, tracking the company's EGP 13.7 bn full-year target) and the US$900 m Trafigura partnership signed in May 2026 that would roughly double capacity toward ~600 kt. Both are real; neither is banked — the company's own FY2026/27 budget of EGP 11.1 bn concedes the coming year steps down, and the expansion has a term sheet, not a financing close. Technically the stock is consolidating that advance — below its 20- and 50-day averages, RSI at 39, MACD negative — while still riding a 200-day average far below price. Over three months the calibrated Monte Carlo places the 5th–95th percentile band at roughly EGP 231–452 with the median at EGP 326, above spot, because EGAL's own five-year history carries a genuine secular drift that the Step-0 backtest validates — a statement about the tape's demonstrated trend, deliberately not about the §1 value gap.</w:t>
      </w:r>
    </w:p>
    <w:p>
      <w:pPr>
        <w:pStyle w:val="Heading1"/>
      </w:pPr>
      <w:r>
        <w:t>Valuation summary — every read at a glance</w:t>
      </w:r>
    </w:p>
    <w:p>
      <w:pPr>
        <w:spacing w:after="120"/>
      </w:pPr>
      <w:r>
        <w:rPr>
          <w:b w:val="0"/>
          <w:i w:val="0"/>
          <w:sz w:val="20"/>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3312"/>
            <w:shd w:val="clear" w:fill="1C3A36"/>
          </w:tcPr>
          <w:p>
            <w:pPr>
              <w:spacing w:after="40"/>
            </w:pPr>
            <w:r>
              <w:rPr>
                <w:b/>
                <w:color w:val="FFFFFF"/>
                <w:sz w:val="17"/>
              </w:rPr>
              <w:t>Lens / read</w:t>
            </w:r>
          </w:p>
        </w:tc>
        <w:tc>
          <w:tcPr>
            <w:tcW w:type="dxa" w:w="3312"/>
            <w:shd w:val="clear" w:fill="1C3A36"/>
          </w:tcPr>
          <w:p>
            <w:pPr>
              <w:spacing w:after="40"/>
            </w:pPr>
            <w:r>
              <w:rPr>
                <w:b/>
                <w:color w:val="FFFFFF"/>
                <w:sz w:val="17"/>
              </w:rPr>
              <w:t>What it measures</w:t>
            </w:r>
          </w:p>
        </w:tc>
        <w:tc>
          <w:tcPr>
            <w:tcW w:type="dxa" w:w="1728"/>
            <w:shd w:val="clear" w:fill="1C3A36"/>
          </w:tcPr>
          <w:p>
            <w:pPr>
              <w:spacing w:after="40"/>
            </w:pPr>
            <w:r>
              <w:rPr>
                <w:b/>
                <w:color w:val="FFFFFF"/>
                <w:sz w:val="17"/>
              </w:rPr>
              <w:t>Output</w:t>
            </w:r>
          </w:p>
        </w:tc>
        <w:tc>
          <w:tcPr>
            <w:tcW w:type="dxa" w:w="1440"/>
            <w:shd w:val="clear" w:fill="1C3A36"/>
          </w:tcPr>
          <w:p>
            <w:pPr>
              <w:spacing w:after="40"/>
            </w:pPr>
            <w:r>
              <w:rPr>
                <w:b/>
                <w:color w:val="FFFFFF"/>
                <w:sz w:val="17"/>
              </w:rPr>
              <w:t>Takeaway</w:t>
            </w:r>
          </w:p>
        </w:tc>
      </w:tr>
      <w:tr>
        <w:tc>
          <w:tcPr>
            <w:tcW w:type="dxa" w:w="3312"/>
          </w:tcPr>
          <w:p>
            <w:pPr>
              <w:spacing w:after="40"/>
            </w:pPr>
            <w:r>
              <w:rPr>
                <w:b/>
                <w:sz w:val="17"/>
              </w:rPr>
              <w:t>FUNDAMENTAL — what the business is worth (the anchor)</w:t>
            </w:r>
          </w:p>
        </w:tc>
        <w:tc>
          <w:tcPr>
            <w:tcW w:type="dxa" w:w="3312"/>
          </w:tcPr>
          <w:p>
            <w:pPr>
              <w:spacing w:after="40"/>
            </w:pPr>
            <w:r>
              <w:rPr>
                <w:b w:val="0"/>
                <w:sz w:val="17"/>
              </w:rPr>
            </w:r>
          </w:p>
        </w:tc>
        <w:tc>
          <w:tcPr>
            <w:tcW w:type="dxa" w:w="1728"/>
          </w:tcPr>
          <w:p>
            <w:pPr>
              <w:spacing w:after="40"/>
            </w:pPr>
            <w:r>
              <w:rPr>
                <w:b w:val="0"/>
                <w:sz w:val="17"/>
              </w:rPr>
            </w:r>
          </w:p>
        </w:tc>
        <w:tc>
          <w:tcPr>
            <w:tcW w:type="dxa" w:w="1440"/>
          </w:tcPr>
          <w:p>
            <w:pPr>
              <w:spacing w:after="40"/>
            </w:pPr>
            <w:r>
              <w:rPr>
                <w:b w:val="0"/>
                <w:sz w:val="17"/>
              </w:rPr>
            </w:r>
          </w:p>
        </w:tc>
      </w:tr>
      <w:tr>
        <w:tc>
          <w:tcPr>
            <w:tcW w:type="dxa" w:w="3312"/>
          </w:tcPr>
          <w:p>
            <w:pPr>
              <w:spacing w:after="40"/>
            </w:pPr>
            <w:r>
              <w:rPr>
                <w:b w:val="0"/>
                <w:sz w:val="17"/>
              </w:rPr>
              <w:t>Discounted cash flow (primary)</w:t>
            </w:r>
          </w:p>
        </w:tc>
        <w:tc>
          <w:tcPr>
            <w:tcW w:type="dxa" w:w="3312"/>
          </w:tcPr>
          <w:p>
            <w:pPr>
              <w:spacing w:after="40"/>
            </w:pPr>
            <w:r>
              <w:rPr>
                <w:b w:val="0"/>
                <w:sz w:val="17"/>
              </w:rPr>
              <w:t>PV of 5-yr FCFF + terminal, 20% WACC</w:t>
            </w:r>
          </w:p>
        </w:tc>
        <w:tc>
          <w:tcPr>
            <w:tcW w:type="dxa" w:w="1728"/>
          </w:tcPr>
          <w:p>
            <w:pPr>
              <w:spacing w:after="40"/>
            </w:pPr>
            <w:r>
              <w:rPr>
                <w:b w:val="0"/>
                <w:sz w:val="17"/>
              </w:rPr>
              <w:t>EGP 268</w:t>
            </w:r>
          </w:p>
        </w:tc>
        <w:tc>
          <w:tcPr>
            <w:tcW w:type="dxa" w:w="1440"/>
          </w:tcPr>
          <w:p>
            <w:pPr>
              <w:spacing w:after="40"/>
            </w:pPr>
            <w:r>
              <w:rPr>
                <w:b w:val="0"/>
                <w:sz w:val="17"/>
              </w:rPr>
              <w:t>−6% vs spot</w:t>
            </w:r>
          </w:p>
        </w:tc>
      </w:tr>
      <w:tr>
        <w:tc>
          <w:tcPr>
            <w:tcW w:type="dxa" w:w="3312"/>
          </w:tcPr>
          <w:p>
            <w:pPr>
              <w:spacing w:after="40"/>
            </w:pPr>
            <w:r>
              <w:rPr>
                <w:b w:val="0"/>
                <w:sz w:val="17"/>
              </w:rPr>
              <w:t>Relative multiples</w:t>
            </w:r>
          </w:p>
        </w:tc>
        <w:tc>
          <w:tcPr>
            <w:tcW w:type="dxa" w:w="3312"/>
          </w:tcPr>
          <w:p>
            <w:pPr>
              <w:spacing w:after="40"/>
            </w:pPr>
            <w:r>
              <w:rPr>
                <w:b w:val="0"/>
                <w:sz w:val="17"/>
              </w:rPr>
              <w:t>Normalized EBITDA × 6.5× EV/EBITDA</w:t>
            </w:r>
          </w:p>
        </w:tc>
        <w:tc>
          <w:tcPr>
            <w:tcW w:type="dxa" w:w="1728"/>
          </w:tcPr>
          <w:p>
            <w:pPr>
              <w:spacing w:after="40"/>
            </w:pPr>
            <w:r>
              <w:rPr>
                <w:b w:val="0"/>
                <w:sz w:val="17"/>
              </w:rPr>
              <w:t>EGP 235</w:t>
            </w:r>
          </w:p>
        </w:tc>
        <w:tc>
          <w:tcPr>
            <w:tcW w:type="dxa" w:w="1440"/>
          </w:tcPr>
          <w:p>
            <w:pPr>
              <w:spacing w:after="40"/>
            </w:pPr>
            <w:r>
              <w:rPr>
                <w:b w:val="0"/>
                <w:sz w:val="17"/>
              </w:rPr>
              <w:t>−18%</w:t>
            </w:r>
          </w:p>
        </w:tc>
      </w:tr>
      <w:tr>
        <w:tc>
          <w:tcPr>
            <w:tcW w:type="dxa" w:w="3312"/>
          </w:tcPr>
          <w:p>
            <w:pPr>
              <w:spacing w:after="40"/>
            </w:pPr>
            <w:r>
              <w:rPr>
                <w:b w:val="0"/>
                <w:sz w:val="17"/>
              </w:rPr>
              <w:t>Normalized earnings power</w:t>
            </w:r>
          </w:p>
        </w:tc>
        <w:tc>
          <w:tcPr>
            <w:tcW w:type="dxa" w:w="3312"/>
          </w:tcPr>
          <w:p>
            <w:pPr>
              <w:spacing w:after="40"/>
            </w:pPr>
            <w:r>
              <w:rPr>
                <w:b w:val="0"/>
                <w:sz w:val="17"/>
              </w:rPr>
              <w:t>Mid-cycle NP × 9.5× P/E</w:t>
            </w:r>
          </w:p>
        </w:tc>
        <w:tc>
          <w:tcPr>
            <w:tcW w:type="dxa" w:w="1728"/>
          </w:tcPr>
          <w:p>
            <w:pPr>
              <w:spacing w:after="40"/>
            </w:pPr>
            <w:r>
              <w:rPr>
                <w:b w:val="0"/>
                <w:sz w:val="17"/>
              </w:rPr>
              <w:t>EGP 265</w:t>
            </w:r>
          </w:p>
        </w:tc>
        <w:tc>
          <w:tcPr>
            <w:tcW w:type="dxa" w:w="1440"/>
          </w:tcPr>
          <w:p>
            <w:pPr>
              <w:spacing w:after="40"/>
            </w:pPr>
            <w:r>
              <w:rPr>
                <w:b w:val="0"/>
                <w:sz w:val="17"/>
              </w:rPr>
              <w:t>−7%</w:t>
            </w:r>
          </w:p>
        </w:tc>
      </w:tr>
      <w:tr>
        <w:tc>
          <w:tcPr>
            <w:tcW w:type="dxa" w:w="3312"/>
          </w:tcPr>
          <w:p>
            <w:pPr>
              <w:spacing w:after="40"/>
            </w:pPr>
            <w:r>
              <w:rPr>
                <w:b w:val="0"/>
                <w:sz w:val="17"/>
              </w:rPr>
              <w:t>Replacement cost / EV per tonne</w:t>
            </w:r>
          </w:p>
        </w:tc>
        <w:tc>
          <w:tcPr>
            <w:tcW w:type="dxa" w:w="3312"/>
          </w:tcPr>
          <w:p>
            <w:pPr>
              <w:spacing w:after="40"/>
            </w:pPr>
            <w:r>
              <w:rPr>
                <w:b w:val="0"/>
                <w:sz w:val="17"/>
              </w:rPr>
              <w:t>320 kt × US$5,500/t, aged</w:t>
            </w:r>
          </w:p>
        </w:tc>
        <w:tc>
          <w:tcPr>
            <w:tcW w:type="dxa" w:w="1728"/>
          </w:tcPr>
          <w:p>
            <w:pPr>
              <w:spacing w:after="40"/>
            </w:pPr>
            <w:r>
              <w:rPr>
                <w:b w:val="0"/>
                <w:sz w:val="17"/>
              </w:rPr>
              <w:t>EGP 210</w:t>
            </w:r>
          </w:p>
        </w:tc>
        <w:tc>
          <w:tcPr>
            <w:tcW w:type="dxa" w:w="1440"/>
          </w:tcPr>
          <w:p>
            <w:pPr>
              <w:spacing w:after="40"/>
            </w:pPr>
            <w:r>
              <w:rPr>
                <w:b w:val="0"/>
                <w:sz w:val="17"/>
              </w:rPr>
              <w:t>−27% · the floor</w:t>
            </w:r>
          </w:p>
        </w:tc>
      </w:tr>
      <w:tr>
        <w:tc>
          <w:tcPr>
            <w:tcW w:type="dxa" w:w="3312"/>
          </w:tcPr>
          <w:p>
            <w:pPr>
              <w:spacing w:after="40"/>
            </w:pPr>
            <w:r>
              <w:rPr>
                <w:b/>
                <w:sz w:val="17"/>
              </w:rPr>
              <w:t>Weighted central</w:t>
            </w:r>
          </w:p>
        </w:tc>
        <w:tc>
          <w:tcPr>
            <w:tcW w:type="dxa" w:w="3312"/>
          </w:tcPr>
          <w:p>
            <w:pPr>
              <w:spacing w:after="40"/>
            </w:pPr>
            <w:r>
              <w:rPr>
                <w:b/>
                <w:sz w:val="17"/>
              </w:rPr>
              <w:t>Blend 35 / 25 / 25 / 15</w:t>
            </w:r>
          </w:p>
        </w:tc>
        <w:tc>
          <w:tcPr>
            <w:tcW w:type="dxa" w:w="1728"/>
          </w:tcPr>
          <w:p>
            <w:pPr>
              <w:spacing w:after="40"/>
            </w:pPr>
            <w:r>
              <w:rPr>
                <w:b/>
                <w:sz w:val="17"/>
              </w:rPr>
              <w:t>EGP 250</w:t>
            </w:r>
          </w:p>
        </w:tc>
        <w:tc>
          <w:tcPr>
            <w:tcW w:type="dxa" w:w="1440"/>
          </w:tcPr>
          <w:p>
            <w:pPr>
              <w:spacing w:after="40"/>
            </w:pPr>
            <w:r>
              <w:rPr>
                <w:b/>
                <w:sz w:val="17"/>
              </w:rPr>
              <w:t>−12% vs EGP 286</w:t>
            </w:r>
          </w:p>
        </w:tc>
      </w:tr>
      <w:tr>
        <w:tc>
          <w:tcPr>
            <w:tcW w:type="dxa" w:w="3312"/>
          </w:tcPr>
          <w:p>
            <w:pPr>
              <w:spacing w:after="40"/>
            </w:pPr>
            <w:r>
              <w:rPr>
                <w:b/>
                <w:sz w:val="17"/>
              </w:rPr>
              <w:t>TECHNICAL — what the tape is doing (timing, not value)</w:t>
            </w:r>
          </w:p>
        </w:tc>
        <w:tc>
          <w:tcPr>
            <w:tcW w:type="dxa" w:w="3312"/>
          </w:tcPr>
          <w:p>
            <w:pPr>
              <w:spacing w:after="40"/>
            </w:pPr>
            <w:r>
              <w:rPr>
                <w:b w:val="0"/>
                <w:sz w:val="17"/>
              </w:rPr>
            </w:r>
          </w:p>
        </w:tc>
        <w:tc>
          <w:tcPr>
            <w:tcW w:type="dxa" w:w="1728"/>
          </w:tcPr>
          <w:p>
            <w:pPr>
              <w:spacing w:after="40"/>
            </w:pPr>
            <w:r>
              <w:rPr>
                <w:b w:val="0"/>
                <w:sz w:val="17"/>
              </w:rPr>
            </w:r>
          </w:p>
        </w:tc>
        <w:tc>
          <w:tcPr>
            <w:tcW w:type="dxa" w:w="1440"/>
          </w:tcPr>
          <w:p>
            <w:pPr>
              <w:spacing w:after="40"/>
            </w:pPr>
            <w:r>
              <w:rPr>
                <w:b w:val="0"/>
                <w:sz w:val="17"/>
              </w:rPr>
            </w:r>
          </w:p>
        </w:tc>
      </w:tr>
      <w:tr>
        <w:tc>
          <w:tcPr>
            <w:tcW w:type="dxa" w:w="3312"/>
          </w:tcPr>
          <w:p>
            <w:pPr>
              <w:spacing w:after="40"/>
            </w:pPr>
            <w:r>
              <w:rPr>
                <w:b w:val="0"/>
                <w:sz w:val="17"/>
              </w:rPr>
              <w:t>Trend &amp; momentum</w:t>
            </w:r>
          </w:p>
        </w:tc>
        <w:tc>
          <w:tcPr>
            <w:tcW w:type="dxa" w:w="3312"/>
          </w:tcPr>
          <w:p>
            <w:pPr>
              <w:spacing w:after="40"/>
            </w:pPr>
            <w:r>
              <w:rPr>
                <w:b w:val="0"/>
                <w:sz w:val="17"/>
              </w:rPr>
              <w:t>Price vs the 20/50/100/200-day averages</w:t>
            </w:r>
          </w:p>
        </w:tc>
        <w:tc>
          <w:tcPr>
            <w:tcW w:type="dxa" w:w="1728"/>
          </w:tcPr>
          <w:p>
            <w:pPr>
              <w:spacing w:after="40"/>
            </w:pPr>
            <w:r>
              <w:rPr>
                <w:b w:val="0"/>
                <w:sz w:val="17"/>
              </w:rPr>
              <w:t>Below 20/50/100, above 200</w:t>
            </w:r>
          </w:p>
        </w:tc>
        <w:tc>
          <w:tcPr>
            <w:tcW w:type="dxa" w:w="1440"/>
          </w:tcPr>
          <w:p>
            <w:pPr>
              <w:spacing w:after="40"/>
            </w:pPr>
            <w:r>
              <w:rPr>
                <w:b w:val="0"/>
                <w:sz w:val="17"/>
              </w:rPr>
              <w:t>Consolidating an uptrend</w:t>
            </w:r>
          </w:p>
        </w:tc>
      </w:tr>
      <w:tr>
        <w:tc>
          <w:tcPr>
            <w:tcW w:type="dxa" w:w="3312"/>
          </w:tcPr>
          <w:p>
            <w:pPr>
              <w:spacing w:after="40"/>
            </w:pPr>
            <w:r>
              <w:rPr>
                <w:b w:val="0"/>
                <w:sz w:val="17"/>
              </w:rPr>
              <w:t>Momentum / range</w:t>
            </w:r>
          </w:p>
        </w:tc>
        <w:tc>
          <w:tcPr>
            <w:tcW w:type="dxa" w:w="3312"/>
          </w:tcPr>
          <w:p>
            <w:pPr>
              <w:spacing w:after="40"/>
            </w:pPr>
            <w:r>
              <w:rPr>
                <w:b w:val="0"/>
                <w:sz w:val="17"/>
              </w:rPr>
              <w:t>RSI · MACD · 52-week range</w:t>
            </w:r>
          </w:p>
        </w:tc>
        <w:tc>
          <w:tcPr>
            <w:tcW w:type="dxa" w:w="1728"/>
          </w:tcPr>
          <w:p>
            <w:pPr>
              <w:spacing w:after="40"/>
            </w:pPr>
            <w:r>
              <w:rPr>
                <w:b w:val="0"/>
                <w:sz w:val="17"/>
              </w:rPr>
              <w:t>RSI 39 · MACD hist −2.1 · 152–338</w:t>
            </w:r>
          </w:p>
        </w:tc>
        <w:tc>
          <w:tcPr>
            <w:tcW w:type="dxa" w:w="1440"/>
          </w:tcPr>
          <w:p>
            <w:pPr>
              <w:spacing w:after="40"/>
            </w:pPr>
            <w:r>
              <w:rPr>
                <w:b w:val="0"/>
                <w:sz w:val="17"/>
              </w:rPr>
              <w:t>Cooling, not broken</w:t>
            </w:r>
          </w:p>
        </w:tc>
      </w:tr>
      <w:tr>
        <w:tc>
          <w:tcPr>
            <w:tcW w:type="dxa" w:w="3312"/>
          </w:tcPr>
          <w:p>
            <w:pPr>
              <w:spacing w:after="40"/>
            </w:pPr>
            <w:r>
              <w:rPr>
                <w:b/>
                <w:sz w:val="17"/>
              </w:rPr>
              <w:t>MONTE CARLO — where price could go in 3 months (paths from spot)</w:t>
            </w:r>
          </w:p>
        </w:tc>
        <w:tc>
          <w:tcPr>
            <w:tcW w:type="dxa" w:w="3312"/>
          </w:tcPr>
          <w:p>
            <w:pPr>
              <w:spacing w:after="40"/>
            </w:pPr>
            <w:r>
              <w:rPr>
                <w:b w:val="0"/>
                <w:sz w:val="17"/>
              </w:rPr>
            </w:r>
          </w:p>
        </w:tc>
        <w:tc>
          <w:tcPr>
            <w:tcW w:type="dxa" w:w="1728"/>
          </w:tcPr>
          <w:p>
            <w:pPr>
              <w:spacing w:after="40"/>
            </w:pPr>
            <w:r>
              <w:rPr>
                <w:b w:val="0"/>
                <w:sz w:val="17"/>
              </w:rPr>
            </w:r>
          </w:p>
        </w:tc>
        <w:tc>
          <w:tcPr>
            <w:tcW w:type="dxa" w:w="1440"/>
          </w:tcPr>
          <w:p>
            <w:pPr>
              <w:spacing w:after="40"/>
            </w:pPr>
            <w:r>
              <w:rPr>
                <w:b w:val="0"/>
                <w:sz w:val="17"/>
              </w:rPr>
            </w:r>
          </w:p>
        </w:tc>
      </w:tr>
      <w:tr>
        <w:tc>
          <w:tcPr>
            <w:tcW w:type="dxa" w:w="3312"/>
          </w:tcPr>
          <w:p>
            <w:pPr>
              <w:spacing w:after="40"/>
            </w:pPr>
            <w:r>
              <w:rPr>
                <w:b w:val="0"/>
                <w:sz w:val="17"/>
              </w:rPr>
              <w:t>T+20 sessions</w:t>
            </w:r>
          </w:p>
        </w:tc>
        <w:tc>
          <w:tcPr>
            <w:tcW w:type="dxa" w:w="3312"/>
          </w:tcPr>
          <w:p>
            <w:pPr>
              <w:spacing w:after="40"/>
            </w:pPr>
            <w:r>
              <w:rPr>
                <w:b w:val="0"/>
                <w:sz w:val="17"/>
              </w:rPr>
              <w:t>50,000 paths · 16 factors</w:t>
            </w:r>
          </w:p>
        </w:tc>
        <w:tc>
          <w:tcPr>
            <w:tcW w:type="dxa" w:w="1728"/>
          </w:tcPr>
          <w:p>
            <w:pPr>
              <w:spacing w:after="40"/>
            </w:pPr>
            <w:r>
              <w:rPr>
                <w:b w:val="0"/>
                <w:sz w:val="17"/>
              </w:rPr>
              <w:t>p5 245 · p50 299 · p95 362</w:t>
            </w:r>
          </w:p>
        </w:tc>
        <w:tc>
          <w:tcPr>
            <w:tcW w:type="dxa" w:w="1440"/>
          </w:tcPr>
          <w:p>
            <w:pPr>
              <w:spacing w:after="40"/>
            </w:pPr>
            <w:r>
              <w:rPr>
                <w:b w:val="0"/>
                <w:sz w:val="17"/>
              </w:rPr>
              <w:t>Median above spot</w:t>
            </w:r>
          </w:p>
        </w:tc>
      </w:tr>
      <w:tr>
        <w:tc>
          <w:tcPr>
            <w:tcW w:type="dxa" w:w="3312"/>
          </w:tcPr>
          <w:p>
            <w:pPr>
              <w:spacing w:after="40"/>
            </w:pPr>
            <w:r>
              <w:rPr>
                <w:b w:val="0"/>
                <w:sz w:val="17"/>
              </w:rPr>
              <w:t>T+60 sessions</w:t>
            </w:r>
          </w:p>
        </w:tc>
        <w:tc>
          <w:tcPr>
            <w:tcW w:type="dxa" w:w="3312"/>
          </w:tcPr>
          <w:p>
            <w:pPr>
              <w:spacing w:after="40"/>
            </w:pPr>
            <w:r>
              <w:rPr>
                <w:b w:val="0"/>
                <w:sz w:val="17"/>
              </w:rPr>
              <w:t>same engine, longer horizon</w:t>
            </w:r>
          </w:p>
        </w:tc>
        <w:tc>
          <w:tcPr>
            <w:tcW w:type="dxa" w:w="1728"/>
          </w:tcPr>
          <w:p>
            <w:pPr>
              <w:spacing w:after="40"/>
            </w:pPr>
            <w:r>
              <w:rPr>
                <w:b w:val="0"/>
                <w:sz w:val="17"/>
              </w:rPr>
              <w:t>p5 231 · p50 326 · p95 452</w:t>
            </w:r>
          </w:p>
        </w:tc>
        <w:tc>
          <w:tcPr>
            <w:tcW w:type="dxa" w:w="1440"/>
          </w:tcPr>
          <w:p>
            <w:pPr>
              <w:spacing w:after="40"/>
            </w:pPr>
            <w:r>
              <w:rPr>
                <w:b w:val="0"/>
                <w:sz w:val="17"/>
              </w:rPr>
              <w:t>Wide, right-shifted</w:t>
            </w:r>
          </w:p>
        </w:tc>
      </w:tr>
      <w:tr>
        <w:tc>
          <w:tcPr>
            <w:tcW w:type="dxa" w:w="3312"/>
          </w:tcPr>
          <w:p>
            <w:pPr>
              <w:spacing w:after="40"/>
            </w:pPr>
            <w:r>
              <w:rPr>
                <w:b/>
                <w:sz w:val="17"/>
              </w:rPr>
              <w:t>EXPERT PANEL — three independent methods (Appendix D)</w:t>
            </w:r>
          </w:p>
        </w:tc>
        <w:tc>
          <w:tcPr>
            <w:tcW w:type="dxa" w:w="3312"/>
          </w:tcPr>
          <w:p>
            <w:pPr>
              <w:spacing w:after="40"/>
            </w:pPr>
            <w:r>
              <w:rPr>
                <w:b w:val="0"/>
                <w:sz w:val="17"/>
              </w:rPr>
            </w:r>
          </w:p>
        </w:tc>
        <w:tc>
          <w:tcPr>
            <w:tcW w:type="dxa" w:w="1728"/>
          </w:tcPr>
          <w:p>
            <w:pPr>
              <w:spacing w:after="40"/>
            </w:pPr>
            <w:r>
              <w:rPr>
                <w:b w:val="0"/>
                <w:sz w:val="17"/>
              </w:rPr>
            </w:r>
          </w:p>
        </w:tc>
        <w:tc>
          <w:tcPr>
            <w:tcW w:type="dxa" w:w="1440"/>
          </w:tcPr>
          <w:p>
            <w:pPr>
              <w:spacing w:after="40"/>
            </w:pPr>
            <w:r>
              <w:rPr>
                <w:b w:val="0"/>
                <w:sz w:val="17"/>
              </w:rPr>
            </w:r>
          </w:p>
        </w:tc>
      </w:tr>
      <w:tr>
        <w:tc>
          <w:tcPr>
            <w:tcW w:type="dxa" w:w="3312"/>
          </w:tcPr>
          <w:p>
            <w:pPr>
              <w:spacing w:after="40"/>
            </w:pPr>
            <w:r>
              <w:rPr>
                <w:b w:val="0"/>
                <w:sz w:val="17"/>
              </w:rPr>
              <w:t>Expert 1 — normalized earnings power</w:t>
            </w:r>
          </w:p>
        </w:tc>
        <w:tc>
          <w:tcPr>
            <w:tcW w:type="dxa" w:w="3312"/>
          </w:tcPr>
          <w:p>
            <w:pPr>
              <w:spacing w:after="40"/>
            </w:pPr>
            <w:r>
              <w:rPr>
                <w:b w:val="0"/>
                <w:sz w:val="17"/>
              </w:rPr>
              <w:t>Mid-cycle NP × justified multiple</w:t>
            </w:r>
          </w:p>
        </w:tc>
        <w:tc>
          <w:tcPr>
            <w:tcW w:type="dxa" w:w="1728"/>
          </w:tcPr>
          <w:p>
            <w:pPr>
              <w:spacing w:after="40"/>
            </w:pPr>
            <w:r>
              <w:rPr>
                <w:b w:val="0"/>
                <w:sz w:val="17"/>
              </w:rPr>
              <w:t>EGP 265</w:t>
            </w:r>
          </w:p>
        </w:tc>
        <w:tc>
          <w:tcPr>
            <w:tcW w:type="dxa" w:w="1440"/>
          </w:tcPr>
          <w:p>
            <w:pPr>
              <w:spacing w:after="40"/>
            </w:pPr>
            <w:r>
              <w:rPr>
                <w:b w:val="0"/>
                <w:sz w:val="17"/>
              </w:rPr>
              <w:t>The through-cycle read</w:t>
            </w:r>
          </w:p>
        </w:tc>
      </w:tr>
      <w:tr>
        <w:tc>
          <w:tcPr>
            <w:tcW w:type="dxa" w:w="3312"/>
          </w:tcPr>
          <w:p>
            <w:pPr>
              <w:spacing w:after="40"/>
            </w:pPr>
            <w:r>
              <w:rPr>
                <w:b w:val="0"/>
                <w:sz w:val="17"/>
              </w:rPr>
              <w:t>Expert 2 — realizable assets &amp; cash quality</w:t>
            </w:r>
          </w:p>
        </w:tc>
        <w:tc>
          <w:tcPr>
            <w:tcW w:type="dxa" w:w="3312"/>
          </w:tcPr>
          <w:p>
            <w:pPr>
              <w:spacing w:after="40"/>
            </w:pPr>
            <w:r>
              <w:rPr>
                <w:b w:val="0"/>
                <w:sz w:val="17"/>
              </w:rPr>
              <w:t>Conservative asset marks + cash test</w:t>
            </w:r>
          </w:p>
        </w:tc>
        <w:tc>
          <w:tcPr>
            <w:tcW w:type="dxa" w:w="1728"/>
          </w:tcPr>
          <w:p>
            <w:pPr>
              <w:spacing w:after="40"/>
            </w:pPr>
            <w:r>
              <w:rPr>
                <w:b w:val="0"/>
                <w:sz w:val="17"/>
              </w:rPr>
              <w:t>EGP 244</w:t>
            </w:r>
          </w:p>
        </w:tc>
        <w:tc>
          <w:tcPr>
            <w:tcW w:type="dxa" w:w="1440"/>
          </w:tcPr>
          <w:p>
            <w:pPr>
              <w:spacing w:after="40"/>
            </w:pPr>
            <w:r>
              <w:rPr>
                <w:b w:val="0"/>
                <w:sz w:val="17"/>
              </w:rPr>
              <w:t>Most conservative</w:t>
            </w:r>
          </w:p>
        </w:tc>
      </w:tr>
      <w:tr>
        <w:tc>
          <w:tcPr>
            <w:tcW w:type="dxa" w:w="3312"/>
          </w:tcPr>
          <w:p>
            <w:pPr>
              <w:spacing w:after="40"/>
            </w:pPr>
            <w:r>
              <w:rPr>
                <w:b w:val="0"/>
                <w:sz w:val="17"/>
              </w:rPr>
              <w:t>Expert 3 — policy-scenario weighted</w:t>
            </w:r>
          </w:p>
        </w:tc>
        <w:tc>
          <w:tcPr>
            <w:tcW w:type="dxa" w:w="3312"/>
          </w:tcPr>
          <w:p>
            <w:pPr>
              <w:spacing w:after="40"/>
            </w:pPr>
            <w:r>
              <w:rPr>
                <w:b w:val="0"/>
                <w:sz w:val="17"/>
              </w:rPr>
              <w:t>Tariff/EGP/state-action scenario tree</w:t>
            </w:r>
          </w:p>
        </w:tc>
        <w:tc>
          <w:tcPr>
            <w:tcW w:type="dxa" w:w="1728"/>
          </w:tcPr>
          <w:p>
            <w:pPr>
              <w:spacing w:after="40"/>
            </w:pPr>
            <w:r>
              <w:rPr>
                <w:b w:val="0"/>
                <w:sz w:val="17"/>
              </w:rPr>
              <w:t>EGP 272</w:t>
            </w:r>
          </w:p>
        </w:tc>
        <w:tc>
          <w:tcPr>
            <w:tcW w:type="dxa" w:w="1440"/>
          </w:tcPr>
          <w:p>
            <w:pPr>
              <w:spacing w:after="40"/>
            </w:pPr>
            <w:r>
              <w:rPr>
                <w:b w:val="0"/>
                <w:sz w:val="17"/>
              </w:rPr>
              <w:t>Widest range</w:t>
            </w:r>
          </w:p>
        </w:tc>
      </w:tr>
      <w:tr>
        <w:tc>
          <w:tcPr>
            <w:tcW w:type="dxa" w:w="3312"/>
          </w:tcPr>
          <w:p>
            <w:pPr>
              <w:spacing w:after="40"/>
            </w:pPr>
            <w:r>
              <w:rPr>
                <w:b/>
                <w:sz w:val="17"/>
              </w:rPr>
              <w:t>Panel range</w:t>
            </w:r>
          </w:p>
        </w:tc>
        <w:tc>
          <w:tcPr>
            <w:tcW w:type="dxa" w:w="3312"/>
          </w:tcPr>
          <w:p>
            <w:pPr>
              <w:spacing w:after="40"/>
            </w:pPr>
            <w:r>
              <w:rPr>
                <w:b/>
                <w:sz w:val="17"/>
              </w:rPr>
              <w:t>Spread = the policy question</w:t>
            </w:r>
          </w:p>
        </w:tc>
        <w:tc>
          <w:tcPr>
            <w:tcW w:type="dxa" w:w="1728"/>
          </w:tcPr>
          <w:p>
            <w:pPr>
              <w:spacing w:after="40"/>
            </w:pPr>
            <w:r>
              <w:rPr>
                <w:b/>
                <w:sz w:val="17"/>
              </w:rPr>
              <w:t>EGP 244–272</w:t>
            </w:r>
          </w:p>
        </w:tc>
        <w:tc>
          <w:tcPr>
            <w:tcW w:type="dxa" w:w="1440"/>
          </w:tcPr>
          <w:p>
            <w:pPr>
              <w:spacing w:after="40"/>
            </w:pPr>
            <w:r>
              <w:rPr>
                <w:b/>
                <w:sz w:val="17"/>
              </w:rPr>
              <w:t>Centres ~EGP 260</w:t>
            </w:r>
          </w:p>
        </w:tc>
      </w:tr>
    </w:tbl>
    <w:p>
      <w:pPr>
        <w:spacing w:after="40"/>
      </w:pPr>
    </w:p>
    <w:p>
      <w:pPr>
        <w:spacing w:after="120"/>
      </w:pPr>
      <w:r>
        <w:rPr>
          <w:b/>
          <w:i w:val="0"/>
          <w:sz w:val="19"/>
        </w:rPr>
        <w:t>Bottom line.</w:t>
      </w:r>
      <w:r>
        <w:rPr>
          <w:b w:val="0"/>
          <w:i w:val="0"/>
          <w:sz w:val="19"/>
        </w:rPr>
        <w:t xml:space="preserve"> Every fundamental lens lands below the price, and they disagree only on how far — EGP 210 on assets, EGP 235 on peers, EGP 265–268 on earnings and cash. The three experts span a narrow EGP 244–272 and centre near EGP 260. The tape and the probabilistic map lean the other way: a validated secular drift puts the three-month median at EGP 326. The honest summary is a stock priced ahead of its lenses on the strength of a record year and an unfinanced expansion, in a market whose own history keeps rewarding exactly that.</w:t>
      </w:r>
    </w:p>
    <w:p>
      <w:pPr>
        <w:pStyle w:val="Heading1"/>
      </w:pPr>
      <w:r>
        <w:t>Company overview — Egypt Aluminum at a glance</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4896"/>
        <w:gridCol w:w="4896"/>
      </w:tblGrid>
      <w:tr>
        <w:tc>
          <w:tcPr>
            <w:tcW w:type="dxa" w:w="3168"/>
            <w:shd w:val="clear" w:fill="1C3A36"/>
          </w:tcPr>
          <w:p>
            <w:pPr>
              <w:spacing w:after="40"/>
            </w:pPr>
            <w:r>
              <w:rPr>
                <w:b/>
                <w:color w:val="FFFFFF"/>
                <w:sz w:val="17"/>
              </w:rPr>
              <w:t>Item</w:t>
            </w:r>
          </w:p>
        </w:tc>
        <w:tc>
          <w:tcPr>
            <w:tcW w:type="dxa" w:w="6624"/>
            <w:shd w:val="clear" w:fill="1C3A36"/>
          </w:tcPr>
          <w:p>
            <w:pPr>
              <w:spacing w:after="40"/>
            </w:pPr>
            <w:r>
              <w:rPr>
                <w:b/>
                <w:color w:val="FFFFFF"/>
                <w:sz w:val="17"/>
              </w:rPr>
              <w:t>Value</w:t>
            </w:r>
          </w:p>
        </w:tc>
      </w:tr>
      <w:tr>
        <w:tc>
          <w:tcPr>
            <w:tcW w:type="dxa" w:w="3168"/>
          </w:tcPr>
          <w:p>
            <w:pPr>
              <w:spacing w:after="40"/>
            </w:pPr>
            <w:r>
              <w:rPr>
                <w:b w:val="0"/>
                <w:sz w:val="17"/>
              </w:rPr>
              <w:t>Listed entity</w:t>
            </w:r>
          </w:p>
        </w:tc>
        <w:tc>
          <w:tcPr>
            <w:tcW w:type="dxa" w:w="6624"/>
          </w:tcPr>
          <w:p>
            <w:pPr>
              <w:spacing w:after="40"/>
            </w:pPr>
            <w:r>
              <w:rPr>
                <w:b w:val="0"/>
                <w:sz w:val="17"/>
              </w:rPr>
              <w:t>Egypt Aluminum Company (Egyptalum) · EGX: EGAL</w:t>
            </w:r>
          </w:p>
        </w:tc>
      </w:tr>
      <w:tr>
        <w:tc>
          <w:tcPr>
            <w:tcW w:type="dxa" w:w="3168"/>
          </w:tcPr>
          <w:p>
            <w:pPr>
              <w:spacing w:after="40"/>
            </w:pPr>
            <w:r>
              <w:rPr>
                <w:b w:val="0"/>
                <w:sz w:val="17"/>
              </w:rPr>
              <w:t>What it is</w:t>
            </w:r>
          </w:p>
        </w:tc>
        <w:tc>
          <w:tcPr>
            <w:tcW w:type="dxa" w:w="6624"/>
          </w:tcPr>
          <w:p>
            <w:pPr>
              <w:spacing w:after="40"/>
            </w:pPr>
            <w:r>
              <w:rPr>
                <w:b w:val="0"/>
                <w:sz w:val="17"/>
              </w:rPr>
              <w:t>Egypt's sole primary-aluminium producer — smelter complex at Nag Hammadi, Qena (ingot, billet, wire rod, rolled)</w:t>
            </w:r>
          </w:p>
        </w:tc>
      </w:tr>
      <w:tr>
        <w:tc>
          <w:tcPr>
            <w:tcW w:type="dxa" w:w="3168"/>
          </w:tcPr>
          <w:p>
            <w:pPr>
              <w:spacing w:after="40"/>
            </w:pPr>
            <w:r>
              <w:rPr>
                <w:b w:val="0"/>
                <w:sz w:val="17"/>
              </w:rPr>
              <w:t>Spot / date</w:t>
            </w:r>
          </w:p>
        </w:tc>
        <w:tc>
          <w:tcPr>
            <w:tcW w:type="dxa" w:w="6624"/>
          </w:tcPr>
          <w:p>
            <w:pPr>
              <w:spacing w:after="40"/>
            </w:pPr>
            <w:r>
              <w:rPr>
                <w:b w:val="0"/>
                <w:sz w:val="17"/>
              </w:rPr>
              <w:t>EGP 285.88 · 01 Jul 2026 close</w:t>
            </w:r>
          </w:p>
        </w:tc>
      </w:tr>
      <w:tr>
        <w:tc>
          <w:tcPr>
            <w:tcW w:type="dxa" w:w="3168"/>
          </w:tcPr>
          <w:p>
            <w:pPr>
              <w:spacing w:after="40"/>
            </w:pPr>
            <w:r>
              <w:rPr>
                <w:b w:val="0"/>
                <w:sz w:val="17"/>
              </w:rPr>
              <w:t>Shares · market cap</w:t>
            </w:r>
          </w:p>
        </w:tc>
        <w:tc>
          <w:tcPr>
            <w:tcW w:type="dxa" w:w="6624"/>
          </w:tcPr>
          <w:p>
            <w:pPr>
              <w:spacing w:after="40"/>
            </w:pPr>
            <w:r>
              <w:rPr>
                <w:b w:val="0"/>
                <w:sz w:val="17"/>
              </w:rPr>
              <w:t>412.5 m (paid-in EGP 1,650 m) · EGP 117.9 bn (~US$2.4 bn)</w:t>
            </w:r>
          </w:p>
        </w:tc>
      </w:tr>
      <w:tr>
        <w:tc>
          <w:tcPr>
            <w:tcW w:type="dxa" w:w="3168"/>
          </w:tcPr>
          <w:p>
            <w:pPr>
              <w:spacing w:after="40"/>
            </w:pPr>
            <w:r>
              <w:rPr>
                <w:b w:val="0"/>
                <w:sz w:val="17"/>
              </w:rPr>
              <w:t>Ownership</w:t>
            </w:r>
          </w:p>
        </w:tc>
        <w:tc>
          <w:tcPr>
            <w:tcW w:type="dxa" w:w="6624"/>
          </w:tcPr>
          <w:p>
            <w:pPr>
              <w:spacing w:after="40"/>
            </w:pPr>
            <w:r>
              <w:rPr>
                <w:b w:val="0"/>
                <w:sz w:val="17"/>
              </w:rPr>
              <w:t>Metallurgical Industries Holding (state) ~89.8% · free float ~10%</w:t>
            </w:r>
          </w:p>
        </w:tc>
      </w:tr>
      <w:tr>
        <w:tc>
          <w:tcPr>
            <w:tcW w:type="dxa" w:w="3168"/>
          </w:tcPr>
          <w:p>
            <w:pPr>
              <w:spacing w:after="40"/>
            </w:pPr>
            <w:r>
              <w:rPr>
                <w:b w:val="0"/>
                <w:sz w:val="17"/>
              </w:rPr>
              <w:t>Capacity / output</w:t>
            </w:r>
          </w:p>
        </w:tc>
        <w:tc>
          <w:tcPr>
            <w:tcW w:type="dxa" w:w="6624"/>
          </w:tcPr>
          <w:p>
            <w:pPr>
              <w:spacing w:after="40"/>
            </w:pPr>
            <w:r>
              <w:rPr>
                <w:b w:val="0"/>
                <w:sz w:val="17"/>
              </w:rPr>
              <w:t>~320 kt/yr nameplate · ~272 kt produced FY24/25 (est.)</w:t>
            </w:r>
          </w:p>
        </w:tc>
      </w:tr>
      <w:tr>
        <w:tc>
          <w:tcPr>
            <w:tcW w:type="dxa" w:w="3168"/>
          </w:tcPr>
          <w:p>
            <w:pPr>
              <w:spacing w:after="40"/>
            </w:pPr>
            <w:r>
              <w:rPr>
                <w:b w:val="0"/>
                <w:sz w:val="17"/>
              </w:rPr>
              <w:t>FY24/25 revenue / net profit</w:t>
            </w:r>
          </w:p>
        </w:tc>
        <w:tc>
          <w:tcPr>
            <w:tcW w:type="dxa" w:w="6624"/>
          </w:tcPr>
          <w:p>
            <w:pPr>
              <w:spacing w:after="40"/>
            </w:pPr>
            <w:r>
              <w:rPr>
                <w:b w:val="0"/>
                <w:sz w:val="17"/>
              </w:rPr>
              <w:t>EGP 43.18 bn (+31.6%) · EGP 10.18 bn (EPS 24.68)</w:t>
            </w:r>
          </w:p>
        </w:tc>
      </w:tr>
      <w:tr>
        <w:tc>
          <w:tcPr>
            <w:tcW w:type="dxa" w:w="3168"/>
          </w:tcPr>
          <w:p>
            <w:pPr>
              <w:spacing w:after="40"/>
            </w:pPr>
            <w:r>
              <w:rPr>
                <w:b w:val="0"/>
                <w:sz w:val="17"/>
              </w:rPr>
              <w:t>9M FY25/26 · FY25/26 target</w:t>
            </w:r>
          </w:p>
        </w:tc>
        <w:tc>
          <w:tcPr>
            <w:tcW w:type="dxa" w:w="6624"/>
          </w:tcPr>
          <w:p>
            <w:pPr>
              <w:spacing w:after="40"/>
            </w:pPr>
            <w:r>
              <w:rPr>
                <w:b w:val="0"/>
                <w:sz w:val="17"/>
              </w:rPr>
              <w:t>NP EGP 10.4 bn (+5% YoY) · company target EGP 13.71 bn</w:t>
            </w:r>
          </w:p>
        </w:tc>
      </w:tr>
      <w:tr>
        <w:tc>
          <w:tcPr>
            <w:tcW w:type="dxa" w:w="3168"/>
          </w:tcPr>
          <w:p>
            <w:pPr>
              <w:spacing w:after="40"/>
            </w:pPr>
            <w:r>
              <w:rPr>
                <w:b w:val="0"/>
                <w:sz w:val="17"/>
              </w:rPr>
              <w:t>Balance sheet</w:t>
            </w:r>
          </w:p>
        </w:tc>
        <w:tc>
          <w:tcPr>
            <w:tcW w:type="dxa" w:w="6624"/>
          </w:tcPr>
          <w:p>
            <w:pPr>
              <w:spacing w:after="40"/>
            </w:pPr>
            <w:r>
              <w:rPr>
                <w:b w:val="0"/>
                <w:sz w:val="17"/>
              </w:rPr>
              <w:t>Net cash ≈ EGP 9.0 bn est. (disclosed EGP 6.9 bn, Sep-2025); effectively debt-free</w:t>
            </w:r>
          </w:p>
        </w:tc>
      </w:tr>
      <w:tr>
        <w:tc>
          <w:tcPr>
            <w:tcW w:type="dxa" w:w="3168"/>
          </w:tcPr>
          <w:p>
            <w:pPr>
              <w:spacing w:after="40"/>
            </w:pPr>
            <w:r>
              <w:rPr>
                <w:b w:val="0"/>
                <w:sz w:val="17"/>
              </w:rPr>
              <w:t>Export share</w:t>
            </w:r>
          </w:p>
        </w:tc>
        <w:tc>
          <w:tcPr>
            <w:tcW w:type="dxa" w:w="6624"/>
          </w:tcPr>
          <w:p>
            <w:pPr>
              <w:spacing w:after="40"/>
            </w:pPr>
            <w:r>
              <w:rPr>
                <w:b w:val="0"/>
                <w:sz w:val="17"/>
              </w:rPr>
              <w:t>~62% of revenue exported, ~60% of exports EU-bound (CBAM-exposed)</w:t>
            </w:r>
          </w:p>
        </w:tc>
      </w:tr>
      <w:tr>
        <w:tc>
          <w:tcPr>
            <w:tcW w:type="dxa" w:w="3168"/>
          </w:tcPr>
          <w:p>
            <w:pPr>
              <w:spacing w:after="40"/>
            </w:pPr>
            <w:r>
              <w:rPr>
                <w:b w:val="0"/>
                <w:sz w:val="17"/>
              </w:rPr>
              <w:t>Corporate events</w:t>
            </w:r>
          </w:p>
        </w:tc>
        <w:tc>
          <w:tcPr>
            <w:tcW w:type="dxa" w:w="6624"/>
          </w:tcPr>
          <w:p>
            <w:pPr>
              <w:spacing w:after="40"/>
            </w:pPr>
            <w:r>
              <w:rPr>
                <w:b w:val="0"/>
                <w:sz w:val="17"/>
              </w:rPr>
              <w:t>US$900 m Trafigura strategic partnership toward ~600 kt (6/10 May 2026) · Scatec 1.1 GW solar PPA · Alba alumina-refinery MOU</w:t>
            </w:r>
          </w:p>
        </w:tc>
      </w:tr>
      <w:tr>
        <w:tc>
          <w:tcPr>
            <w:tcW w:type="dxa" w:w="3168"/>
          </w:tcPr>
          <w:p>
            <w:pPr>
              <w:spacing w:after="40"/>
            </w:pPr>
            <w:r>
              <w:rPr>
                <w:b w:val="0"/>
                <w:sz w:val="17"/>
              </w:rPr>
              <w:t>52-week range</w:t>
            </w:r>
          </w:p>
        </w:tc>
        <w:tc>
          <w:tcPr>
            <w:tcW w:type="dxa" w:w="6624"/>
          </w:tcPr>
          <w:p>
            <w:pPr>
              <w:spacing w:after="40"/>
            </w:pPr>
            <w:r>
              <w:rPr>
                <w:b w:val="0"/>
                <w:sz w:val="17"/>
              </w:rPr>
              <w:t>EGP 152.01 – 338.00</w:t>
            </w:r>
          </w:p>
        </w:tc>
      </w:tr>
    </w:tbl>
    <w:p>
      <w:pPr>
        <w:spacing w:after="40"/>
      </w:pPr>
    </w:p>
    <w:p>
      <w:pPr>
        <w:spacing w:after="160"/>
      </w:pPr>
      <w:r>
        <w:rPr>
          <w:b w:val="0"/>
          <w:i/>
          <w:sz w:val="17"/>
        </w:rPr>
        <w:t>Source: company disclosure via EGX/Mubasher (FY24/25 release 24 Aug 2025; 9M FY25/26, May 2026), partnership announcements 6/10 May 2026, exchange data. Values rounded; items marked est. are the preparer's reconstructions.</w:t>
      </w:r>
    </w:p>
    <w:p>
      <w:pPr>
        <w:pStyle w:val="Heading1"/>
      </w:pPr>
      <w:r>
        <w:t>1  Fundamental valuation</w:t>
      </w:r>
    </w:p>
    <w:p>
      <w:pPr>
        <w:spacing w:after="120"/>
      </w:pPr>
      <w:r>
        <w:rPr>
          <w:b w:val="0"/>
          <w:i w:val="0"/>
          <w:sz w:val="19"/>
        </w:rPr>
        <w:t xml:space="preserve">We value EGAL as what it is: a single-site, energy-intensive commodity producer with a fortress balance sheet, a state majority owner, and one transformational option on the table. The primary lens is a </w:t>
      </w:r>
      <w:r>
        <w:rPr>
          <w:b/>
          <w:i w:val="0"/>
          <w:sz w:val="19"/>
        </w:rPr>
        <w:t>consolidated FCFF discounted cash flow</w:t>
      </w:r>
      <w:r>
        <w:rPr>
          <w:b w:val="0"/>
          <w:i w:val="0"/>
          <w:sz w:val="19"/>
        </w:rPr>
        <w:t>, because the equity story here is ultimately a cash-conversion story — the smelter converts LME aluminium, an administered electricity price and an exchange rate into an unusually clean stream of Egyptian-pound cash, and the balance sheet proves it (net cash even after decades of state ownership). A replacement-cost read per tonne of capacity anchors the asset floor; relative multiples place the name against the global smelter set; a normalized earnings-power read strips the cycle. The weights and the football field are in §1.5; the swing factor — the electricity tariff and the Trafigura doubling — is dissected in §1.7 and the sensitivity grid in §1.9. Throughout, one discipline holds: nothing from this section leaks into the §3 simulation drift.</w:t>
      </w:r>
    </w:p>
    <w:p>
      <w:pPr>
        <w:pStyle w:val="Heading2"/>
      </w:pPr>
      <w:r>
        <w:t>1.1  Consolidated DCF — the primary lens</w:t>
      </w:r>
    </w:p>
    <w:p>
      <w:pPr>
        <w:spacing w:after="120"/>
      </w:pPr>
      <w:r>
        <w:rPr>
          <w:b w:val="0"/>
          <w:i w:val="0"/>
          <w:sz w:val="19"/>
        </w:rPr>
        <w:t xml:space="preserve">We discount five explicit years of free cash flow to the firm (FY2026/27–FY2030/31), built line-by-line in the companion model from revenue growth, gross margin, capex and working-capital drivers, then add a Gordon terminal value and today's net cash. Three choices matter. First, the forecast </w:t>
      </w:r>
      <w:r>
        <w:rPr>
          <w:b/>
          <w:i w:val="0"/>
          <w:sz w:val="19"/>
        </w:rPr>
        <w:t>steps down before it grows</w:t>
      </w:r>
      <w:r>
        <w:rPr>
          <w:b w:val="0"/>
          <w:i w:val="0"/>
          <w:sz w:val="19"/>
        </w:rPr>
        <w:t xml:space="preserve">: FY2025/26 closes near the company's EGP 13.7 bn target, but FY2026/27 follows the company's own EGP 11.1 bn budget direction (we model EGP 11.8 bn) — softer LME assumptions, a stronger pound and a higher electricity tariff are the stated reasons — before resuming ~10% nominal growth. Second, the </w:t>
      </w:r>
      <w:r>
        <w:rPr>
          <w:b/>
          <w:i w:val="0"/>
          <w:sz w:val="19"/>
        </w:rPr>
        <w:t>WACC is 20% in nominal EGP</w:t>
      </w:r>
      <w:r>
        <w:rPr>
          <w:b w:val="0"/>
          <w:i w:val="0"/>
          <w:sz w:val="19"/>
        </w:rPr>
        <w:t xml:space="preserve">: with 12-month T-bills still in the high teens and an equity premium on a single-site, majority-state industrial, a lower rate would flatter. Third, </w:t>
      </w:r>
      <w:r>
        <w:rPr>
          <w:b/>
          <w:i w:val="0"/>
          <w:sz w:val="19"/>
        </w:rPr>
        <w:t>terminal growth is 12% nominal</w:t>
      </w:r>
      <w:r>
        <w:rPr>
          <w:b w:val="0"/>
          <w:i w:val="0"/>
          <w:sz w:val="19"/>
        </w:rPr>
        <w:t xml:space="preserve"> — roughly Egyptian trend inflation plus a point, i.e. a real terminal growth near zero for a capacity-capped smelter (the Trafigura doubling is deliberately NOT in these cash flows; §1.7 prices it as an option).</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3744"/>
            <w:shd w:val="clear" w:fill="1C3A36"/>
          </w:tcPr>
          <w:p>
            <w:pPr>
              <w:spacing w:after="40"/>
            </w:pPr>
            <w:r>
              <w:rPr>
                <w:b/>
                <w:color w:val="FFFFFF"/>
                <w:sz w:val="17"/>
              </w:rPr>
              <w:t>DCF input</w:t>
            </w:r>
          </w:p>
        </w:tc>
        <w:tc>
          <w:tcPr>
            <w:tcW w:type="dxa" w:w="2016"/>
            <w:shd w:val="clear" w:fill="1C3A36"/>
          </w:tcPr>
          <w:p>
            <w:pPr>
              <w:spacing w:after="40"/>
            </w:pPr>
            <w:r>
              <w:rPr>
                <w:b/>
                <w:color w:val="FFFFFF"/>
                <w:sz w:val="17"/>
              </w:rPr>
              <w:t>Bear</w:t>
            </w:r>
          </w:p>
        </w:tc>
        <w:tc>
          <w:tcPr>
            <w:tcW w:type="dxa" w:w="2016"/>
            <w:shd w:val="clear" w:fill="1C3A36"/>
          </w:tcPr>
          <w:p>
            <w:pPr>
              <w:spacing w:after="40"/>
            </w:pPr>
            <w:r>
              <w:rPr>
                <w:b/>
                <w:color w:val="FFFFFF"/>
                <w:sz w:val="17"/>
              </w:rPr>
              <w:t>Base</w:t>
            </w:r>
          </w:p>
        </w:tc>
        <w:tc>
          <w:tcPr>
            <w:tcW w:type="dxa" w:w="2016"/>
            <w:shd w:val="clear" w:fill="1C3A36"/>
          </w:tcPr>
          <w:p>
            <w:pPr>
              <w:spacing w:after="40"/>
            </w:pPr>
            <w:r>
              <w:rPr>
                <w:b/>
                <w:color w:val="FFFFFF"/>
                <w:sz w:val="17"/>
              </w:rPr>
              <w:t>Bull</w:t>
            </w:r>
          </w:p>
        </w:tc>
      </w:tr>
      <w:tr>
        <w:tc>
          <w:tcPr>
            <w:tcW w:type="dxa" w:w="3744"/>
          </w:tcPr>
          <w:p>
            <w:pPr>
              <w:spacing w:after="40"/>
            </w:pPr>
            <w:r>
              <w:rPr>
                <w:b w:val="0"/>
                <w:sz w:val="17"/>
              </w:rPr>
              <w:t>FCFF, FY27E–FY31E (EGP bn)</w:t>
            </w:r>
          </w:p>
        </w:tc>
        <w:tc>
          <w:tcPr>
            <w:tcW w:type="dxa" w:w="2016"/>
          </w:tcPr>
          <w:p>
            <w:pPr>
              <w:spacing w:after="40"/>
              <w:jc w:val="right"/>
            </w:pPr>
            <w:r>
              <w:rPr>
                <w:b w:val="0"/>
                <w:sz w:val="17"/>
              </w:rPr>
              <w:t>−15% path</w:t>
            </w:r>
          </w:p>
        </w:tc>
        <w:tc>
          <w:tcPr>
            <w:tcW w:type="dxa" w:w="2016"/>
          </w:tcPr>
          <w:p>
            <w:pPr>
              <w:spacing w:after="40"/>
              <w:jc w:val="right"/>
            </w:pPr>
            <w:r>
              <w:rPr>
                <w:b w:val="0"/>
                <w:sz w:val="17"/>
              </w:rPr>
              <w:t>8.6 → 12.9</w:t>
            </w:r>
          </w:p>
        </w:tc>
        <w:tc>
          <w:tcPr>
            <w:tcW w:type="dxa" w:w="2016"/>
          </w:tcPr>
          <w:p>
            <w:pPr>
              <w:spacing w:after="40"/>
              <w:jc w:val="right"/>
            </w:pPr>
            <w:r>
              <w:rPr>
                <w:b w:val="0"/>
                <w:sz w:val="17"/>
              </w:rPr>
              <w:t>+10% path</w:t>
            </w:r>
          </w:p>
        </w:tc>
      </w:tr>
      <w:tr>
        <w:tc>
          <w:tcPr>
            <w:tcW w:type="dxa" w:w="3744"/>
          </w:tcPr>
          <w:p>
            <w:pPr>
              <w:spacing w:after="40"/>
            </w:pPr>
            <w:r>
              <w:rPr>
                <w:b w:val="0"/>
                <w:sz w:val="17"/>
              </w:rPr>
              <w:t>WACC (nominal EGP)</w:t>
            </w:r>
          </w:p>
        </w:tc>
        <w:tc>
          <w:tcPr>
            <w:tcW w:type="dxa" w:w="2016"/>
          </w:tcPr>
          <w:p>
            <w:pPr>
              <w:spacing w:after="40"/>
              <w:jc w:val="right"/>
            </w:pPr>
            <w:r>
              <w:rPr>
                <w:b w:val="0"/>
                <w:sz w:val="17"/>
              </w:rPr>
              <w:t>23.0%</w:t>
            </w:r>
          </w:p>
        </w:tc>
        <w:tc>
          <w:tcPr>
            <w:tcW w:type="dxa" w:w="2016"/>
          </w:tcPr>
          <w:p>
            <w:pPr>
              <w:spacing w:after="40"/>
              <w:jc w:val="right"/>
            </w:pPr>
            <w:r>
              <w:rPr>
                <w:b w:val="0"/>
                <w:sz w:val="17"/>
              </w:rPr>
              <w:t>20.0%</w:t>
            </w:r>
          </w:p>
        </w:tc>
        <w:tc>
          <w:tcPr>
            <w:tcW w:type="dxa" w:w="2016"/>
          </w:tcPr>
          <w:p>
            <w:pPr>
              <w:spacing w:after="40"/>
              <w:jc w:val="right"/>
            </w:pPr>
            <w:r>
              <w:rPr>
                <w:b w:val="0"/>
                <w:sz w:val="17"/>
              </w:rPr>
              <w:t>18.5%</w:t>
            </w:r>
          </w:p>
        </w:tc>
      </w:tr>
      <w:tr>
        <w:tc>
          <w:tcPr>
            <w:tcW w:type="dxa" w:w="3744"/>
          </w:tcPr>
          <w:p>
            <w:pPr>
              <w:spacing w:after="40"/>
            </w:pPr>
            <w:r>
              <w:rPr>
                <w:b w:val="0"/>
                <w:sz w:val="17"/>
              </w:rPr>
              <w:t>Terminal growth (nominal)</w:t>
            </w:r>
          </w:p>
        </w:tc>
        <w:tc>
          <w:tcPr>
            <w:tcW w:type="dxa" w:w="2016"/>
          </w:tcPr>
          <w:p>
            <w:pPr>
              <w:spacing w:after="40"/>
              <w:jc w:val="right"/>
            </w:pPr>
            <w:r>
              <w:rPr>
                <w:b w:val="0"/>
                <w:sz w:val="17"/>
              </w:rPr>
              <w:t>11.0%</w:t>
            </w:r>
          </w:p>
        </w:tc>
        <w:tc>
          <w:tcPr>
            <w:tcW w:type="dxa" w:w="2016"/>
          </w:tcPr>
          <w:p>
            <w:pPr>
              <w:spacing w:after="40"/>
              <w:jc w:val="right"/>
            </w:pPr>
            <w:r>
              <w:rPr>
                <w:b w:val="0"/>
                <w:sz w:val="17"/>
              </w:rPr>
              <w:t>12.0%</w:t>
            </w:r>
          </w:p>
        </w:tc>
        <w:tc>
          <w:tcPr>
            <w:tcW w:type="dxa" w:w="2016"/>
          </w:tcPr>
          <w:p>
            <w:pPr>
              <w:spacing w:after="40"/>
              <w:jc w:val="right"/>
            </w:pPr>
            <w:r>
              <w:rPr>
                <w:b w:val="0"/>
                <w:sz w:val="17"/>
              </w:rPr>
              <w:t>13.0%</w:t>
            </w:r>
          </w:p>
        </w:tc>
      </w:tr>
      <w:tr>
        <w:tc>
          <w:tcPr>
            <w:tcW w:type="dxa" w:w="3744"/>
          </w:tcPr>
          <w:p>
            <w:pPr>
              <w:spacing w:after="40"/>
            </w:pPr>
            <w:r>
              <w:rPr>
                <w:b w:val="0"/>
                <w:sz w:val="17"/>
              </w:rPr>
              <w:t>Enterprise value (EGP bn)</w:t>
            </w:r>
          </w:p>
        </w:tc>
        <w:tc>
          <w:tcPr>
            <w:tcW w:type="dxa" w:w="2016"/>
          </w:tcPr>
          <w:p>
            <w:pPr>
              <w:spacing w:after="40"/>
              <w:jc w:val="right"/>
            </w:pPr>
            <w:r>
              <w:rPr>
                <w:b w:val="0"/>
                <w:sz w:val="17"/>
              </w:rPr>
              <w:t>75</w:t>
            </w:r>
          </w:p>
        </w:tc>
        <w:tc>
          <w:tcPr>
            <w:tcW w:type="dxa" w:w="2016"/>
          </w:tcPr>
          <w:p>
            <w:pPr>
              <w:spacing w:after="40"/>
              <w:jc w:val="right"/>
            </w:pPr>
            <w:r>
              <w:rPr>
                <w:b w:val="0"/>
                <w:sz w:val="17"/>
              </w:rPr>
              <w:t>101.7</w:t>
            </w:r>
          </w:p>
        </w:tc>
        <w:tc>
          <w:tcPr>
            <w:tcW w:type="dxa" w:w="2016"/>
          </w:tcPr>
          <w:p>
            <w:pPr>
              <w:spacing w:after="40"/>
              <w:jc w:val="right"/>
            </w:pPr>
            <w:r>
              <w:rPr>
                <w:b w:val="0"/>
                <w:sz w:val="17"/>
              </w:rPr>
              <w:t>150</w:t>
            </w:r>
          </w:p>
        </w:tc>
      </w:tr>
      <w:tr>
        <w:tc>
          <w:tcPr>
            <w:tcW w:type="dxa" w:w="3744"/>
          </w:tcPr>
          <w:p>
            <w:pPr>
              <w:spacing w:after="40"/>
            </w:pPr>
            <w:r>
              <w:rPr>
                <w:b w:val="0"/>
                <w:sz w:val="17"/>
              </w:rPr>
              <w:t>+ Net cash (EGP bn)</w:t>
            </w:r>
          </w:p>
        </w:tc>
        <w:tc>
          <w:tcPr>
            <w:tcW w:type="dxa" w:w="2016"/>
          </w:tcPr>
          <w:p>
            <w:pPr>
              <w:spacing w:after="40"/>
              <w:jc w:val="right"/>
            </w:pPr>
            <w:r>
              <w:rPr>
                <w:b w:val="0"/>
                <w:sz w:val="17"/>
              </w:rPr>
              <w:t>9.0</w:t>
            </w:r>
          </w:p>
        </w:tc>
        <w:tc>
          <w:tcPr>
            <w:tcW w:type="dxa" w:w="2016"/>
          </w:tcPr>
          <w:p>
            <w:pPr>
              <w:spacing w:after="40"/>
              <w:jc w:val="right"/>
            </w:pPr>
            <w:r>
              <w:rPr>
                <w:b w:val="0"/>
                <w:sz w:val="17"/>
              </w:rPr>
              <w:t>9.0</w:t>
            </w:r>
          </w:p>
        </w:tc>
        <w:tc>
          <w:tcPr>
            <w:tcW w:type="dxa" w:w="2016"/>
          </w:tcPr>
          <w:p>
            <w:pPr>
              <w:spacing w:after="40"/>
              <w:jc w:val="right"/>
            </w:pPr>
            <w:r>
              <w:rPr>
                <w:b w:val="0"/>
                <w:sz w:val="17"/>
              </w:rPr>
              <w:t>9.0</w:t>
            </w:r>
          </w:p>
        </w:tc>
      </w:tr>
      <w:tr>
        <w:tc>
          <w:tcPr>
            <w:tcW w:type="dxa" w:w="3744"/>
          </w:tcPr>
          <w:p>
            <w:pPr>
              <w:spacing w:after="40"/>
            </w:pPr>
            <w:r>
              <w:rPr>
                <w:b w:val="0"/>
                <w:sz w:val="17"/>
              </w:rPr>
              <w:t>Fair value (EGP/share)</w:t>
            </w:r>
          </w:p>
        </w:tc>
        <w:tc>
          <w:tcPr>
            <w:tcW w:type="dxa" w:w="2016"/>
          </w:tcPr>
          <w:p>
            <w:pPr>
              <w:spacing w:after="40"/>
              <w:jc w:val="right"/>
            </w:pPr>
            <w:r>
              <w:rPr>
                <w:b w:val="0"/>
                <w:sz w:val="17"/>
              </w:rPr>
              <w:t>205</w:t>
            </w:r>
          </w:p>
        </w:tc>
        <w:tc>
          <w:tcPr>
            <w:tcW w:type="dxa" w:w="2016"/>
          </w:tcPr>
          <w:p>
            <w:pPr>
              <w:spacing w:after="40"/>
              <w:jc w:val="right"/>
            </w:pPr>
            <w:r>
              <w:rPr>
                <w:b w:val="0"/>
                <w:sz w:val="17"/>
              </w:rPr>
              <w:t>268</w:t>
            </w:r>
          </w:p>
        </w:tc>
        <w:tc>
          <w:tcPr>
            <w:tcW w:type="dxa" w:w="2016"/>
          </w:tcPr>
          <w:p>
            <w:pPr>
              <w:spacing w:after="40"/>
              <w:jc w:val="right"/>
            </w:pPr>
            <w:r>
              <w:rPr>
                <w:b w:val="0"/>
                <w:sz w:val="17"/>
              </w:rPr>
              <w:t>385</w:t>
            </w:r>
          </w:p>
        </w:tc>
      </w:tr>
    </w:tbl>
    <w:p>
      <w:pPr>
        <w:spacing w:after="40"/>
      </w:pPr>
    </w:p>
    <w:p>
      <w:pPr>
        <w:spacing w:after="40"/>
      </w:pPr>
      <w:r>
        <w:rPr>
          <w:b/>
          <w:i w:val="0"/>
          <w:sz w:val="19"/>
        </w:rPr>
        <w:t>The explicit five-year FCFF build (base case)</w:t>
      </w:r>
      <w:r>
        <w:rPr>
          <w:b w:val="0"/>
          <w:i w:val="0"/>
          <w:sz w:val="19"/>
        </w:rPr>
        <w:t xml:space="preserve"> — every line links to the Assumptions drivers in the companion model (DCF sheet):</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1632"/>
        <w:gridCol w:w="1632"/>
        <w:gridCol w:w="1632"/>
        <w:gridCol w:w="1632"/>
        <w:gridCol w:w="1632"/>
        <w:gridCol w:w="1632"/>
      </w:tblGrid>
      <w:tr>
        <w:tc>
          <w:tcPr>
            <w:tcW w:type="dxa" w:w="3312"/>
            <w:shd w:val="clear" w:fill="1C3A36"/>
          </w:tcPr>
          <w:p>
            <w:pPr>
              <w:spacing w:after="40"/>
            </w:pPr>
            <w:r>
              <w:rPr>
                <w:b/>
                <w:color w:val="FFFFFF"/>
                <w:sz w:val="16"/>
              </w:rPr>
              <w:t>EGP m</w:t>
            </w:r>
          </w:p>
        </w:tc>
        <w:tc>
          <w:tcPr>
            <w:tcW w:type="dxa" w:w="1296"/>
            <w:shd w:val="clear" w:fill="1C3A36"/>
          </w:tcPr>
          <w:p>
            <w:pPr>
              <w:spacing w:after="40"/>
            </w:pPr>
            <w:r>
              <w:rPr>
                <w:b/>
                <w:color w:val="FFFFFF"/>
                <w:sz w:val="16"/>
              </w:rPr>
              <w:t>F27E</w:t>
            </w:r>
          </w:p>
        </w:tc>
        <w:tc>
          <w:tcPr>
            <w:tcW w:type="dxa" w:w="1296"/>
            <w:shd w:val="clear" w:fill="1C3A36"/>
          </w:tcPr>
          <w:p>
            <w:pPr>
              <w:spacing w:after="40"/>
            </w:pPr>
            <w:r>
              <w:rPr>
                <w:b/>
                <w:color w:val="FFFFFF"/>
                <w:sz w:val="16"/>
              </w:rPr>
              <w:t>F28E</w:t>
            </w:r>
          </w:p>
        </w:tc>
        <w:tc>
          <w:tcPr>
            <w:tcW w:type="dxa" w:w="1296"/>
            <w:shd w:val="clear" w:fill="1C3A36"/>
          </w:tcPr>
          <w:p>
            <w:pPr>
              <w:spacing w:after="40"/>
            </w:pPr>
            <w:r>
              <w:rPr>
                <w:b/>
                <w:color w:val="FFFFFF"/>
                <w:sz w:val="16"/>
              </w:rPr>
              <w:t>F29E</w:t>
            </w:r>
          </w:p>
        </w:tc>
        <w:tc>
          <w:tcPr>
            <w:tcW w:type="dxa" w:w="1296"/>
            <w:shd w:val="clear" w:fill="1C3A36"/>
          </w:tcPr>
          <w:p>
            <w:pPr>
              <w:spacing w:after="40"/>
            </w:pPr>
            <w:r>
              <w:rPr>
                <w:b/>
                <w:color w:val="FFFFFF"/>
                <w:sz w:val="16"/>
              </w:rPr>
              <w:t>F30E</w:t>
            </w:r>
          </w:p>
        </w:tc>
        <w:tc>
          <w:tcPr>
            <w:tcW w:type="dxa" w:w="1296"/>
            <w:shd w:val="clear" w:fill="1C3A36"/>
          </w:tcPr>
          <w:p>
            <w:pPr>
              <w:spacing w:after="40"/>
            </w:pPr>
            <w:r>
              <w:rPr>
                <w:b/>
                <w:color w:val="FFFFFF"/>
                <w:sz w:val="16"/>
              </w:rPr>
              <w:t>F31E</w:t>
            </w:r>
          </w:p>
        </w:tc>
      </w:tr>
      <w:tr>
        <w:tc>
          <w:tcPr>
            <w:tcW w:type="dxa" w:w="3312"/>
          </w:tcPr>
          <w:p>
            <w:pPr>
              <w:spacing w:after="40"/>
            </w:pPr>
            <w:r>
              <w:rPr>
                <w:b w:val="0"/>
                <w:sz w:val="16"/>
              </w:rPr>
              <w:t>EBIT</w:t>
            </w:r>
          </w:p>
        </w:tc>
        <w:tc>
          <w:tcPr>
            <w:tcW w:type="dxa" w:w="1296"/>
          </w:tcPr>
          <w:p>
            <w:pPr>
              <w:spacing w:after="40"/>
              <w:jc w:val="right"/>
            </w:pPr>
            <w:r>
              <w:rPr>
                <w:b w:val="0"/>
                <w:sz w:val="16"/>
              </w:rPr>
              <w:t>13,228</w:t>
            </w:r>
          </w:p>
        </w:tc>
        <w:tc>
          <w:tcPr>
            <w:tcW w:type="dxa" w:w="1296"/>
          </w:tcPr>
          <w:p>
            <w:pPr>
              <w:spacing w:after="40"/>
              <w:jc w:val="right"/>
            </w:pPr>
            <w:r>
              <w:rPr>
                <w:b w:val="0"/>
                <w:sz w:val="16"/>
              </w:rPr>
              <w:t>14,654</w:t>
            </w:r>
          </w:p>
        </w:tc>
        <w:tc>
          <w:tcPr>
            <w:tcW w:type="dxa" w:w="1296"/>
          </w:tcPr>
          <w:p>
            <w:pPr>
              <w:spacing w:after="40"/>
              <w:jc w:val="right"/>
            </w:pPr>
            <w:r>
              <w:rPr>
                <w:b w:val="0"/>
                <w:sz w:val="16"/>
              </w:rPr>
              <w:t>16,310</w:t>
            </w:r>
          </w:p>
        </w:tc>
        <w:tc>
          <w:tcPr>
            <w:tcW w:type="dxa" w:w="1296"/>
          </w:tcPr>
          <w:p>
            <w:pPr>
              <w:spacing w:after="40"/>
              <w:jc w:val="right"/>
            </w:pPr>
            <w:r>
              <w:rPr>
                <w:b w:val="0"/>
                <w:sz w:val="16"/>
              </w:rPr>
              <w:t>17,941</w:t>
            </w:r>
          </w:p>
        </w:tc>
        <w:tc>
          <w:tcPr>
            <w:tcW w:type="dxa" w:w="1296"/>
          </w:tcPr>
          <w:p>
            <w:pPr>
              <w:spacing w:after="40"/>
              <w:jc w:val="right"/>
            </w:pPr>
            <w:r>
              <w:rPr>
                <w:b w:val="0"/>
                <w:sz w:val="16"/>
              </w:rPr>
              <w:t>19,735</w:t>
            </w:r>
          </w:p>
        </w:tc>
      </w:tr>
      <w:tr>
        <w:tc>
          <w:tcPr>
            <w:tcW w:type="dxa" w:w="3312"/>
          </w:tcPr>
          <w:p>
            <w:pPr>
              <w:spacing w:after="40"/>
            </w:pPr>
            <w:r>
              <w:rPr>
                <w:b w:val="0"/>
                <w:sz w:val="16"/>
              </w:rPr>
              <w:t>NOPAT = EBIT × (1 − 22.5%)</w:t>
            </w:r>
          </w:p>
        </w:tc>
        <w:tc>
          <w:tcPr>
            <w:tcW w:type="dxa" w:w="1296"/>
          </w:tcPr>
          <w:p>
            <w:pPr>
              <w:spacing w:after="40"/>
              <w:jc w:val="right"/>
            </w:pPr>
            <w:r>
              <w:rPr>
                <w:b w:val="0"/>
                <w:sz w:val="16"/>
              </w:rPr>
              <w:t>10,252</w:t>
            </w:r>
          </w:p>
        </w:tc>
        <w:tc>
          <w:tcPr>
            <w:tcW w:type="dxa" w:w="1296"/>
          </w:tcPr>
          <w:p>
            <w:pPr>
              <w:spacing w:after="40"/>
              <w:jc w:val="right"/>
            </w:pPr>
            <w:r>
              <w:rPr>
                <w:b w:val="0"/>
                <w:sz w:val="16"/>
              </w:rPr>
              <w:t>11,357</w:t>
            </w:r>
          </w:p>
        </w:tc>
        <w:tc>
          <w:tcPr>
            <w:tcW w:type="dxa" w:w="1296"/>
          </w:tcPr>
          <w:p>
            <w:pPr>
              <w:spacing w:after="40"/>
              <w:jc w:val="right"/>
            </w:pPr>
            <w:r>
              <w:rPr>
                <w:b w:val="0"/>
                <w:sz w:val="16"/>
              </w:rPr>
              <w:t>12,640</w:t>
            </w:r>
          </w:p>
        </w:tc>
        <w:tc>
          <w:tcPr>
            <w:tcW w:type="dxa" w:w="1296"/>
          </w:tcPr>
          <w:p>
            <w:pPr>
              <w:spacing w:after="40"/>
              <w:jc w:val="right"/>
            </w:pPr>
            <w:r>
              <w:rPr>
                <w:b w:val="0"/>
                <w:sz w:val="16"/>
              </w:rPr>
              <w:t>13,904</w:t>
            </w:r>
          </w:p>
        </w:tc>
        <w:tc>
          <w:tcPr>
            <w:tcW w:type="dxa" w:w="1296"/>
          </w:tcPr>
          <w:p>
            <w:pPr>
              <w:spacing w:after="40"/>
              <w:jc w:val="right"/>
            </w:pPr>
            <w:r>
              <w:rPr>
                <w:b w:val="0"/>
                <w:sz w:val="16"/>
              </w:rPr>
              <w:t>15,295</w:t>
            </w:r>
          </w:p>
        </w:tc>
      </w:tr>
      <w:tr>
        <w:tc>
          <w:tcPr>
            <w:tcW w:type="dxa" w:w="3312"/>
          </w:tcPr>
          <w:p>
            <w:pPr>
              <w:spacing w:after="40"/>
            </w:pPr>
            <w:r>
              <w:rPr>
                <w:b w:val="0"/>
                <w:sz w:val="16"/>
              </w:rPr>
              <w:t>+ D&amp;A</w:t>
            </w:r>
          </w:p>
        </w:tc>
        <w:tc>
          <w:tcPr>
            <w:tcW w:type="dxa" w:w="1296"/>
          </w:tcPr>
          <w:p>
            <w:pPr>
              <w:spacing w:after="40"/>
              <w:jc w:val="right"/>
            </w:pPr>
            <w:r>
              <w:rPr>
                <w:b w:val="0"/>
                <w:sz w:val="16"/>
              </w:rPr>
              <w:t>950</w:t>
            </w:r>
          </w:p>
        </w:tc>
        <w:tc>
          <w:tcPr>
            <w:tcW w:type="dxa" w:w="1296"/>
          </w:tcPr>
          <w:p>
            <w:pPr>
              <w:spacing w:after="40"/>
              <w:jc w:val="right"/>
            </w:pPr>
            <w:r>
              <w:rPr>
                <w:b w:val="0"/>
                <w:sz w:val="16"/>
              </w:rPr>
              <w:t>1,100</w:t>
            </w:r>
          </w:p>
        </w:tc>
        <w:tc>
          <w:tcPr>
            <w:tcW w:type="dxa" w:w="1296"/>
          </w:tcPr>
          <w:p>
            <w:pPr>
              <w:spacing w:after="40"/>
              <w:jc w:val="right"/>
            </w:pPr>
            <w:r>
              <w:rPr>
                <w:b w:val="0"/>
                <w:sz w:val="16"/>
              </w:rPr>
              <w:t>1,250</w:t>
            </w:r>
          </w:p>
        </w:tc>
        <w:tc>
          <w:tcPr>
            <w:tcW w:type="dxa" w:w="1296"/>
          </w:tcPr>
          <w:p>
            <w:pPr>
              <w:spacing w:after="40"/>
              <w:jc w:val="right"/>
            </w:pPr>
            <w:r>
              <w:rPr>
                <w:b w:val="0"/>
                <w:sz w:val="16"/>
              </w:rPr>
              <w:t>1,350</w:t>
            </w:r>
          </w:p>
        </w:tc>
        <w:tc>
          <w:tcPr>
            <w:tcW w:type="dxa" w:w="1296"/>
          </w:tcPr>
          <w:p>
            <w:pPr>
              <w:spacing w:after="40"/>
              <w:jc w:val="right"/>
            </w:pPr>
            <w:r>
              <w:rPr>
                <w:b w:val="0"/>
                <w:sz w:val="16"/>
              </w:rPr>
              <w:t>1,450</w:t>
            </w:r>
          </w:p>
        </w:tc>
      </w:tr>
      <w:tr>
        <w:tc>
          <w:tcPr>
            <w:tcW w:type="dxa" w:w="3312"/>
          </w:tcPr>
          <w:p>
            <w:pPr>
              <w:spacing w:after="40"/>
            </w:pPr>
            <w:r>
              <w:rPr>
                <w:b w:val="0"/>
                <w:sz w:val="16"/>
              </w:rPr>
              <w:t>− Capex</w:t>
            </w:r>
          </w:p>
        </w:tc>
        <w:tc>
          <w:tcPr>
            <w:tcW w:type="dxa" w:w="1296"/>
          </w:tcPr>
          <w:p>
            <w:pPr>
              <w:spacing w:after="40"/>
              <w:jc w:val="right"/>
            </w:pPr>
            <w:r>
              <w:rPr>
                <w:b w:val="0"/>
                <w:sz w:val="16"/>
              </w:rPr>
              <w:t>(2,200)</w:t>
            </w:r>
          </w:p>
        </w:tc>
        <w:tc>
          <w:tcPr>
            <w:tcW w:type="dxa" w:w="1296"/>
          </w:tcPr>
          <w:p>
            <w:pPr>
              <w:spacing w:after="40"/>
              <w:jc w:val="right"/>
            </w:pPr>
            <w:r>
              <w:rPr>
                <w:b w:val="0"/>
                <w:sz w:val="16"/>
              </w:rPr>
              <w:t>(2,600)</w:t>
            </w:r>
          </w:p>
        </w:tc>
        <w:tc>
          <w:tcPr>
            <w:tcW w:type="dxa" w:w="1296"/>
          </w:tcPr>
          <w:p>
            <w:pPr>
              <w:spacing w:after="40"/>
              <w:jc w:val="right"/>
            </w:pPr>
            <w:r>
              <w:rPr>
                <w:b w:val="0"/>
                <w:sz w:val="16"/>
              </w:rPr>
              <w:t>(2,800)</w:t>
            </w:r>
          </w:p>
        </w:tc>
        <w:tc>
          <w:tcPr>
            <w:tcW w:type="dxa" w:w="1296"/>
          </w:tcPr>
          <w:p>
            <w:pPr>
              <w:spacing w:after="40"/>
              <w:jc w:val="right"/>
            </w:pPr>
            <w:r>
              <w:rPr>
                <w:b w:val="0"/>
                <w:sz w:val="16"/>
              </w:rPr>
              <w:t>(3,000)</w:t>
            </w:r>
          </w:p>
        </w:tc>
        <w:tc>
          <w:tcPr>
            <w:tcW w:type="dxa" w:w="1296"/>
          </w:tcPr>
          <w:p>
            <w:pPr>
              <w:spacing w:after="40"/>
              <w:jc w:val="right"/>
            </w:pPr>
            <w:r>
              <w:rPr>
                <w:b w:val="0"/>
                <w:sz w:val="16"/>
              </w:rPr>
              <w:t>(3,200)</w:t>
            </w:r>
          </w:p>
        </w:tc>
      </w:tr>
      <w:tr>
        <w:tc>
          <w:tcPr>
            <w:tcW w:type="dxa" w:w="3312"/>
          </w:tcPr>
          <w:p>
            <w:pPr>
              <w:spacing w:after="40"/>
            </w:pPr>
            <w:r>
              <w:rPr>
                <w:b w:val="0"/>
                <w:sz w:val="16"/>
              </w:rPr>
              <w:t>− Change in working capital</w:t>
            </w:r>
          </w:p>
        </w:tc>
        <w:tc>
          <w:tcPr>
            <w:tcW w:type="dxa" w:w="1296"/>
          </w:tcPr>
          <w:p>
            <w:pPr>
              <w:spacing w:after="40"/>
              <w:jc w:val="right"/>
            </w:pPr>
            <w:r>
              <w:rPr>
                <w:b w:val="0"/>
                <w:sz w:val="16"/>
              </w:rPr>
              <w:t>(405)</w:t>
            </w:r>
          </w:p>
        </w:tc>
        <w:tc>
          <w:tcPr>
            <w:tcW w:type="dxa" w:w="1296"/>
          </w:tcPr>
          <w:p>
            <w:pPr>
              <w:spacing w:after="40"/>
              <w:jc w:val="right"/>
            </w:pPr>
            <w:r>
              <w:rPr>
                <w:b w:val="0"/>
                <w:sz w:val="16"/>
              </w:rPr>
              <w:t>(623)</w:t>
            </w:r>
          </w:p>
        </w:tc>
        <w:tc>
          <w:tcPr>
            <w:tcW w:type="dxa" w:w="1296"/>
          </w:tcPr>
          <w:p>
            <w:pPr>
              <w:spacing w:after="40"/>
              <w:jc w:val="right"/>
            </w:pPr>
            <w:r>
              <w:rPr>
                <w:b w:val="0"/>
                <w:sz w:val="16"/>
              </w:rPr>
              <w:t>(691)</w:t>
            </w:r>
          </w:p>
        </w:tc>
        <w:tc>
          <w:tcPr>
            <w:tcW w:type="dxa" w:w="1296"/>
          </w:tcPr>
          <w:p>
            <w:pPr>
              <w:spacing w:after="40"/>
              <w:jc w:val="right"/>
            </w:pPr>
            <w:r>
              <w:rPr>
                <w:b w:val="0"/>
                <w:sz w:val="16"/>
              </w:rPr>
              <w:t>(760)</w:t>
            </w:r>
          </w:p>
        </w:tc>
        <w:tc>
          <w:tcPr>
            <w:tcW w:type="dxa" w:w="1296"/>
          </w:tcPr>
          <w:p>
            <w:pPr>
              <w:spacing w:after="40"/>
              <w:jc w:val="right"/>
            </w:pPr>
            <w:r>
              <w:rPr>
                <w:b w:val="0"/>
                <w:sz w:val="16"/>
              </w:rPr>
              <w:t>(837)</w:t>
            </w:r>
          </w:p>
        </w:tc>
      </w:tr>
      <w:tr>
        <w:tc>
          <w:tcPr>
            <w:tcW w:type="dxa" w:w="3312"/>
          </w:tcPr>
          <w:p>
            <w:pPr>
              <w:spacing w:after="40"/>
            </w:pPr>
            <w:r>
              <w:rPr>
                <w:b/>
                <w:sz w:val="16"/>
              </w:rPr>
              <w:t>FCFF</w:t>
            </w:r>
          </w:p>
        </w:tc>
        <w:tc>
          <w:tcPr>
            <w:tcW w:type="dxa" w:w="1296"/>
          </w:tcPr>
          <w:p>
            <w:pPr>
              <w:spacing w:after="40"/>
              <w:jc w:val="right"/>
            </w:pPr>
            <w:r>
              <w:rPr>
                <w:b/>
                <w:sz w:val="16"/>
              </w:rPr>
              <w:t>8,597</w:t>
            </w:r>
          </w:p>
        </w:tc>
        <w:tc>
          <w:tcPr>
            <w:tcW w:type="dxa" w:w="1296"/>
          </w:tcPr>
          <w:p>
            <w:pPr>
              <w:spacing w:after="40"/>
              <w:jc w:val="right"/>
            </w:pPr>
            <w:r>
              <w:rPr>
                <w:b/>
                <w:sz w:val="16"/>
              </w:rPr>
              <w:t>9,234</w:t>
            </w:r>
          </w:p>
        </w:tc>
        <w:tc>
          <w:tcPr>
            <w:tcW w:type="dxa" w:w="1296"/>
          </w:tcPr>
          <w:p>
            <w:pPr>
              <w:spacing w:after="40"/>
              <w:jc w:val="right"/>
            </w:pPr>
            <w:r>
              <w:rPr>
                <w:b/>
                <w:sz w:val="16"/>
              </w:rPr>
              <w:t>10,399</w:t>
            </w:r>
          </w:p>
        </w:tc>
        <w:tc>
          <w:tcPr>
            <w:tcW w:type="dxa" w:w="1296"/>
          </w:tcPr>
          <w:p>
            <w:pPr>
              <w:spacing w:after="40"/>
              <w:jc w:val="right"/>
            </w:pPr>
            <w:r>
              <w:rPr>
                <w:b/>
                <w:sz w:val="16"/>
              </w:rPr>
              <w:t>11,494</w:t>
            </w:r>
          </w:p>
        </w:tc>
        <w:tc>
          <w:tcPr>
            <w:tcW w:type="dxa" w:w="1296"/>
          </w:tcPr>
          <w:p>
            <w:pPr>
              <w:spacing w:after="40"/>
              <w:jc w:val="right"/>
            </w:pPr>
            <w:r>
              <w:rPr>
                <w:b/>
                <w:sz w:val="16"/>
              </w:rPr>
              <w:t>12,708</w:t>
            </w:r>
          </w:p>
        </w:tc>
      </w:tr>
      <w:tr>
        <w:tc>
          <w:tcPr>
            <w:tcW w:type="dxa" w:w="3312"/>
          </w:tcPr>
          <w:p>
            <w:pPr>
              <w:spacing w:after="40"/>
            </w:pPr>
            <w:r>
              <w:rPr>
                <w:b w:val="0"/>
                <w:sz w:val="16"/>
              </w:rPr>
              <w:t>Discount factor @ 20%</w:t>
            </w:r>
          </w:p>
        </w:tc>
        <w:tc>
          <w:tcPr>
            <w:tcW w:type="dxa" w:w="1296"/>
          </w:tcPr>
          <w:p>
            <w:pPr>
              <w:spacing w:after="40"/>
              <w:jc w:val="right"/>
            </w:pPr>
            <w:r>
              <w:rPr>
                <w:b w:val="0"/>
                <w:sz w:val="16"/>
              </w:rPr>
              <w:t>0.833</w:t>
            </w:r>
          </w:p>
        </w:tc>
        <w:tc>
          <w:tcPr>
            <w:tcW w:type="dxa" w:w="1296"/>
          </w:tcPr>
          <w:p>
            <w:pPr>
              <w:spacing w:after="40"/>
              <w:jc w:val="right"/>
            </w:pPr>
            <w:r>
              <w:rPr>
                <w:b w:val="0"/>
                <w:sz w:val="16"/>
              </w:rPr>
              <w:t>0.694</w:t>
            </w:r>
          </w:p>
        </w:tc>
        <w:tc>
          <w:tcPr>
            <w:tcW w:type="dxa" w:w="1296"/>
          </w:tcPr>
          <w:p>
            <w:pPr>
              <w:spacing w:after="40"/>
              <w:jc w:val="right"/>
            </w:pPr>
            <w:r>
              <w:rPr>
                <w:b w:val="0"/>
                <w:sz w:val="16"/>
              </w:rPr>
              <w:t>0.579</w:t>
            </w:r>
          </w:p>
        </w:tc>
        <w:tc>
          <w:tcPr>
            <w:tcW w:type="dxa" w:w="1296"/>
          </w:tcPr>
          <w:p>
            <w:pPr>
              <w:spacing w:after="40"/>
              <w:jc w:val="right"/>
            </w:pPr>
            <w:r>
              <w:rPr>
                <w:b w:val="0"/>
                <w:sz w:val="16"/>
              </w:rPr>
              <w:t>0.482</w:t>
            </w:r>
          </w:p>
        </w:tc>
        <w:tc>
          <w:tcPr>
            <w:tcW w:type="dxa" w:w="1296"/>
          </w:tcPr>
          <w:p>
            <w:pPr>
              <w:spacing w:after="40"/>
              <w:jc w:val="right"/>
            </w:pPr>
            <w:r>
              <w:rPr>
                <w:b w:val="0"/>
                <w:sz w:val="16"/>
              </w:rPr>
              <w:t>0.402</w:t>
            </w:r>
          </w:p>
        </w:tc>
      </w:tr>
      <w:tr>
        <w:tc>
          <w:tcPr>
            <w:tcW w:type="dxa" w:w="3312"/>
          </w:tcPr>
          <w:p>
            <w:pPr>
              <w:spacing w:after="40"/>
            </w:pPr>
            <w:r>
              <w:rPr>
                <w:b w:val="0"/>
                <w:sz w:val="16"/>
              </w:rPr>
              <w:t>PV of FCFF</w:t>
            </w:r>
          </w:p>
        </w:tc>
        <w:tc>
          <w:tcPr>
            <w:tcW w:type="dxa" w:w="1296"/>
          </w:tcPr>
          <w:p>
            <w:pPr>
              <w:spacing w:after="40"/>
              <w:jc w:val="right"/>
            </w:pPr>
            <w:r>
              <w:rPr>
                <w:b w:val="0"/>
                <w:sz w:val="16"/>
              </w:rPr>
              <w:t>7,164</w:t>
            </w:r>
          </w:p>
        </w:tc>
        <w:tc>
          <w:tcPr>
            <w:tcW w:type="dxa" w:w="1296"/>
          </w:tcPr>
          <w:p>
            <w:pPr>
              <w:spacing w:after="40"/>
              <w:jc w:val="right"/>
            </w:pPr>
            <w:r>
              <w:rPr>
                <w:b w:val="0"/>
                <w:sz w:val="16"/>
              </w:rPr>
              <w:t>6,412</w:t>
            </w:r>
          </w:p>
        </w:tc>
        <w:tc>
          <w:tcPr>
            <w:tcW w:type="dxa" w:w="1296"/>
          </w:tcPr>
          <w:p>
            <w:pPr>
              <w:spacing w:after="40"/>
              <w:jc w:val="right"/>
            </w:pPr>
            <w:r>
              <w:rPr>
                <w:b w:val="0"/>
                <w:sz w:val="16"/>
              </w:rPr>
              <w:t>6,018</w:t>
            </w:r>
          </w:p>
        </w:tc>
        <w:tc>
          <w:tcPr>
            <w:tcW w:type="dxa" w:w="1296"/>
          </w:tcPr>
          <w:p>
            <w:pPr>
              <w:spacing w:after="40"/>
              <w:jc w:val="right"/>
            </w:pPr>
            <w:r>
              <w:rPr>
                <w:b w:val="0"/>
                <w:sz w:val="16"/>
              </w:rPr>
              <w:t>5,543</w:t>
            </w:r>
          </w:p>
        </w:tc>
        <w:tc>
          <w:tcPr>
            <w:tcW w:type="dxa" w:w="1296"/>
          </w:tcPr>
          <w:p>
            <w:pPr>
              <w:spacing w:after="40"/>
              <w:jc w:val="right"/>
            </w:pPr>
            <w:r>
              <w:rPr>
                <w:b w:val="0"/>
                <w:sz w:val="16"/>
              </w:rPr>
              <w:t>5,108</w:t>
            </w:r>
          </w:p>
        </w:tc>
      </w:tr>
    </w:tbl>
    <w:p>
      <w:pPr>
        <w:spacing w:after="40"/>
      </w:pP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4896"/>
        <w:gridCol w:w="4896"/>
      </w:tblGrid>
      <w:tr>
        <w:tc>
          <w:tcPr>
            <w:tcW w:type="dxa" w:w="6336"/>
            <w:shd w:val="clear" w:fill="1C3A36"/>
          </w:tcPr>
          <w:p>
            <w:pPr>
              <w:spacing w:after="40"/>
            </w:pPr>
            <w:r>
              <w:rPr>
                <w:b/>
                <w:color w:val="FFFFFF"/>
                <w:sz w:val="17"/>
              </w:rPr>
              <w:t>Bridge to value</w:t>
            </w:r>
          </w:p>
        </w:tc>
        <w:tc>
          <w:tcPr>
            <w:tcW w:type="dxa" w:w="3456"/>
            <w:shd w:val="clear" w:fill="1C3A36"/>
          </w:tcPr>
          <w:p>
            <w:pPr>
              <w:spacing w:after="40"/>
            </w:pPr>
            <w:r>
              <w:rPr>
                <w:b/>
                <w:color w:val="FFFFFF"/>
                <w:sz w:val="17"/>
              </w:rPr>
              <w:t>EGP m / per share</w:t>
            </w:r>
          </w:p>
        </w:tc>
      </w:tr>
      <w:tr>
        <w:tc>
          <w:tcPr>
            <w:tcW w:type="dxa" w:w="6336"/>
          </w:tcPr>
          <w:p>
            <w:pPr>
              <w:spacing w:after="40"/>
            </w:pPr>
            <w:r>
              <w:rPr>
                <w:b w:val="0"/>
                <w:sz w:val="17"/>
              </w:rPr>
              <w:t>Σ PV of explicit FCFF, F27E–F31E</w:t>
            </w:r>
          </w:p>
        </w:tc>
        <w:tc>
          <w:tcPr>
            <w:tcW w:type="dxa" w:w="3456"/>
          </w:tcPr>
          <w:p>
            <w:pPr>
              <w:spacing w:after="40"/>
              <w:jc w:val="right"/>
            </w:pPr>
            <w:r>
              <w:rPr>
                <w:b w:val="0"/>
                <w:sz w:val="17"/>
              </w:rPr>
              <w:t>30,245</w:t>
            </w:r>
          </w:p>
        </w:tc>
      </w:tr>
      <w:tr>
        <w:tc>
          <w:tcPr>
            <w:tcW w:type="dxa" w:w="6336"/>
          </w:tcPr>
          <w:p>
            <w:pPr>
              <w:spacing w:after="40"/>
            </w:pPr>
            <w:r>
              <w:rPr>
                <w:b w:val="0"/>
                <w:sz w:val="17"/>
              </w:rPr>
              <w:t>Terminal value (12,708 × 1.12 / (20% − 12%))</w:t>
            </w:r>
          </w:p>
        </w:tc>
        <w:tc>
          <w:tcPr>
            <w:tcW w:type="dxa" w:w="3456"/>
          </w:tcPr>
          <w:p>
            <w:pPr>
              <w:spacing w:after="40"/>
              <w:jc w:val="right"/>
            </w:pPr>
            <w:r>
              <w:rPr>
                <w:b w:val="0"/>
                <w:sz w:val="17"/>
              </w:rPr>
              <w:t>177,912</w:t>
            </w:r>
          </w:p>
        </w:tc>
      </w:tr>
      <w:tr>
        <w:tc>
          <w:tcPr>
            <w:tcW w:type="dxa" w:w="6336"/>
          </w:tcPr>
          <w:p>
            <w:pPr>
              <w:spacing w:after="40"/>
            </w:pPr>
            <w:r>
              <w:rPr>
                <w:b w:val="0"/>
                <w:sz w:val="17"/>
              </w:rPr>
              <w:t>PV of terminal value</w:t>
            </w:r>
          </w:p>
        </w:tc>
        <w:tc>
          <w:tcPr>
            <w:tcW w:type="dxa" w:w="3456"/>
          </w:tcPr>
          <w:p>
            <w:pPr>
              <w:spacing w:after="40"/>
              <w:jc w:val="right"/>
            </w:pPr>
            <w:r>
              <w:rPr>
                <w:b w:val="0"/>
                <w:sz w:val="17"/>
              </w:rPr>
              <w:t>71,499</w:t>
            </w:r>
          </w:p>
        </w:tc>
      </w:tr>
      <w:tr>
        <w:tc>
          <w:tcPr>
            <w:tcW w:type="dxa" w:w="6336"/>
          </w:tcPr>
          <w:p>
            <w:pPr>
              <w:spacing w:after="40"/>
            </w:pPr>
            <w:r>
              <w:rPr>
                <w:b w:val="0"/>
                <w:sz w:val="17"/>
              </w:rPr>
              <w:t>Enterprise value</w:t>
            </w:r>
          </w:p>
        </w:tc>
        <w:tc>
          <w:tcPr>
            <w:tcW w:type="dxa" w:w="3456"/>
          </w:tcPr>
          <w:p>
            <w:pPr>
              <w:spacing w:after="40"/>
              <w:jc w:val="right"/>
            </w:pPr>
            <w:r>
              <w:rPr>
                <w:b w:val="0"/>
                <w:sz w:val="17"/>
              </w:rPr>
              <w:t>101,744</w:t>
            </w:r>
          </w:p>
        </w:tc>
      </w:tr>
      <w:tr>
        <w:tc>
          <w:tcPr>
            <w:tcW w:type="dxa" w:w="6336"/>
          </w:tcPr>
          <w:p>
            <w:pPr>
              <w:spacing w:after="40"/>
            </w:pPr>
            <w:r>
              <w:rPr>
                <w:b w:val="0"/>
                <w:sz w:val="17"/>
              </w:rPr>
              <w:t>+ Net cash</w:t>
            </w:r>
          </w:p>
        </w:tc>
        <w:tc>
          <w:tcPr>
            <w:tcW w:type="dxa" w:w="3456"/>
          </w:tcPr>
          <w:p>
            <w:pPr>
              <w:spacing w:after="40"/>
              <w:jc w:val="right"/>
            </w:pPr>
            <w:r>
              <w:rPr>
                <w:b w:val="0"/>
                <w:sz w:val="17"/>
              </w:rPr>
              <w:t>9,000</w:t>
            </w:r>
          </w:p>
        </w:tc>
      </w:tr>
      <w:tr>
        <w:tc>
          <w:tcPr>
            <w:tcW w:type="dxa" w:w="6336"/>
          </w:tcPr>
          <w:p>
            <w:pPr>
              <w:spacing w:after="40"/>
            </w:pPr>
            <w:r>
              <w:rPr>
                <w:b w:val="0"/>
                <w:sz w:val="17"/>
              </w:rPr>
              <w:t>Equity value</w:t>
            </w:r>
          </w:p>
        </w:tc>
        <w:tc>
          <w:tcPr>
            <w:tcW w:type="dxa" w:w="3456"/>
          </w:tcPr>
          <w:p>
            <w:pPr>
              <w:spacing w:after="40"/>
              <w:jc w:val="right"/>
            </w:pPr>
            <w:r>
              <w:rPr>
                <w:b w:val="0"/>
                <w:sz w:val="17"/>
              </w:rPr>
              <w:t>110,744</w:t>
            </w:r>
          </w:p>
        </w:tc>
      </w:tr>
      <w:tr>
        <w:tc>
          <w:tcPr>
            <w:tcW w:type="dxa" w:w="6336"/>
          </w:tcPr>
          <w:p>
            <w:pPr>
              <w:spacing w:after="40"/>
            </w:pPr>
            <w:r>
              <w:rPr>
                <w:b/>
                <w:sz w:val="17"/>
              </w:rPr>
              <w:t>DCF value per share (÷ 412.5 m)</w:t>
            </w:r>
          </w:p>
        </w:tc>
        <w:tc>
          <w:tcPr>
            <w:tcW w:type="dxa" w:w="3456"/>
          </w:tcPr>
          <w:p>
            <w:pPr>
              <w:spacing w:after="40"/>
              <w:jc w:val="right"/>
            </w:pPr>
            <w:r>
              <w:rPr>
                <w:b/>
                <w:sz w:val="17"/>
              </w:rPr>
              <w:t>EGP 268.5</w:t>
            </w:r>
          </w:p>
        </w:tc>
      </w:tr>
    </w:tbl>
    <w:p>
      <w:pPr>
        <w:spacing w:after="40"/>
      </w:pPr>
    </w:p>
    <w:p>
      <w:pPr>
        <w:spacing w:after="120"/>
      </w:pPr>
      <w:r>
        <w:rPr>
          <w:b w:val="0"/>
          <w:i w:val="0"/>
          <w:sz w:val="19"/>
        </w:rPr>
        <w:t xml:space="preserve">The DCF base of </w:t>
      </w:r>
      <w:r>
        <w:rPr>
          <w:b/>
          <w:i w:val="0"/>
          <w:sz w:val="19"/>
        </w:rPr>
        <w:t>EGP 268</w:t>
      </w:r>
      <w:r>
        <w:rPr>
          <w:b w:val="0"/>
          <w:i w:val="0"/>
          <w:sz w:val="19"/>
        </w:rPr>
        <w:t xml:space="preserve"> sits 6% below spot. Its message is precise: at a 20% cost of capital, the market price already capitalizes the existing smelter's cash flows in full plus roughly EGP 7 bn of something else — the expansion, the FY25/26 exit rate, or simply the market's lower discount rate. The bear–bull span (EGP 205–385) is dominated by the WACC, which is why §1.9 grids it explicitly.</w:t>
      </w:r>
    </w:p>
    <w:p>
      <w:pPr>
        <w:pStyle w:val="Heading2"/>
      </w:pPr>
      <w:r>
        <w:t>1.2  Replacement cost and EV per tonne — the asset cross-check</w:t>
      </w:r>
    </w:p>
    <w:p>
      <w:pPr>
        <w:spacing w:after="120"/>
      </w:pPr>
      <w:r>
        <w:rPr>
          <w:b w:val="0"/>
          <w:i w:val="0"/>
          <w:sz w:val="19"/>
        </w:rPr>
        <w:t xml:space="preserve">A smelter is a machine with a market price: new-build primary-aluminium capacity costs roughly </w:t>
      </w:r>
      <w:r>
        <w:rPr>
          <w:b/>
          <w:i w:val="0"/>
          <w:sz w:val="19"/>
        </w:rPr>
        <w:t>US$5,000–6,000 per tonne</w:t>
      </w:r>
      <w:r>
        <w:rPr>
          <w:b w:val="0"/>
          <w:i w:val="0"/>
          <w:sz w:val="19"/>
        </w:rPr>
        <w:t>, and control transactions in the Gulf cluster around that mark. EGAL's ~320 kt at US$5,500/t is EGP 86.4 bn at EGP/USD 49.1; we apply a 15% age-and-technology discount (Nag Hammadi is a mature prebake complex, upgraded over decades but not a greenfield), add a deliberately partial EGP 4 bn credit for the Trafigura expansion option (term sheet, not a financing close), and add net cash.</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3264"/>
        <w:gridCol w:w="3264"/>
        <w:gridCol w:w="3264"/>
      </w:tblGrid>
      <w:tr>
        <w:tc>
          <w:tcPr>
            <w:tcW w:type="dxa" w:w="4896"/>
            <w:shd w:val="clear" w:fill="1C3A36"/>
          </w:tcPr>
          <w:p>
            <w:pPr>
              <w:spacing w:after="40"/>
            </w:pPr>
            <w:r>
              <w:rPr>
                <w:b/>
                <w:color w:val="FFFFFF"/>
                <w:sz w:val="17"/>
              </w:rPr>
              <w:t>Replacement build</w:t>
            </w:r>
          </w:p>
        </w:tc>
        <w:tc>
          <w:tcPr>
            <w:tcW w:type="dxa" w:w="2304"/>
            <w:shd w:val="clear" w:fill="1C3A36"/>
          </w:tcPr>
          <w:p>
            <w:pPr>
              <w:spacing w:after="40"/>
            </w:pPr>
            <w:r>
              <w:rPr>
                <w:b/>
                <w:color w:val="FFFFFF"/>
                <w:sz w:val="17"/>
              </w:rPr>
              <w:t>EGP bn</w:t>
            </w:r>
          </w:p>
        </w:tc>
        <w:tc>
          <w:tcPr>
            <w:tcW w:type="dxa" w:w="2304"/>
            <w:shd w:val="clear" w:fill="1C3A36"/>
          </w:tcPr>
          <w:p>
            <w:pPr>
              <w:spacing w:after="40"/>
            </w:pPr>
            <w:r>
              <w:rPr>
                <w:b/>
                <w:color w:val="FFFFFF"/>
                <w:sz w:val="17"/>
              </w:rPr>
              <w:t>EGP/share</w:t>
            </w:r>
          </w:p>
        </w:tc>
      </w:tr>
      <w:tr>
        <w:tc>
          <w:tcPr>
            <w:tcW w:type="dxa" w:w="4896"/>
          </w:tcPr>
          <w:p>
            <w:pPr>
              <w:spacing w:after="40"/>
            </w:pPr>
            <w:r>
              <w:rPr>
                <w:b w:val="0"/>
                <w:sz w:val="17"/>
              </w:rPr>
              <w:t>320 kt × US$5,500/t × 49.1</w:t>
            </w:r>
          </w:p>
        </w:tc>
        <w:tc>
          <w:tcPr>
            <w:tcW w:type="dxa" w:w="2304"/>
          </w:tcPr>
          <w:p>
            <w:pPr>
              <w:spacing w:after="40"/>
              <w:jc w:val="right"/>
            </w:pPr>
            <w:r>
              <w:rPr>
                <w:b w:val="0"/>
                <w:sz w:val="17"/>
              </w:rPr>
              <w:t>86.4</w:t>
            </w:r>
          </w:p>
        </w:tc>
        <w:tc>
          <w:tcPr>
            <w:tcW w:type="dxa" w:w="2304"/>
          </w:tcPr>
          <w:p>
            <w:pPr>
              <w:spacing w:after="40"/>
              <w:jc w:val="right"/>
            </w:pPr>
            <w:r>
              <w:rPr>
                <w:b w:val="0"/>
                <w:sz w:val="17"/>
              </w:rPr>
              <w:t>209</w:t>
            </w:r>
          </w:p>
        </w:tc>
      </w:tr>
      <w:tr>
        <w:tc>
          <w:tcPr>
            <w:tcW w:type="dxa" w:w="4896"/>
          </w:tcPr>
          <w:p>
            <w:pPr>
              <w:spacing w:after="40"/>
            </w:pPr>
            <w:r>
              <w:rPr>
                <w:b w:val="0"/>
                <w:sz w:val="17"/>
              </w:rPr>
              <w:t>less: 15% age/technology discount</w:t>
            </w:r>
          </w:p>
        </w:tc>
        <w:tc>
          <w:tcPr>
            <w:tcW w:type="dxa" w:w="2304"/>
          </w:tcPr>
          <w:p>
            <w:pPr>
              <w:spacing w:after="40"/>
              <w:jc w:val="right"/>
            </w:pPr>
            <w:r>
              <w:rPr>
                <w:b w:val="0"/>
                <w:sz w:val="17"/>
              </w:rPr>
              <w:t>(13.0)</w:t>
            </w:r>
          </w:p>
        </w:tc>
        <w:tc>
          <w:tcPr>
            <w:tcW w:type="dxa" w:w="2304"/>
          </w:tcPr>
          <w:p>
            <w:pPr>
              <w:spacing w:after="40"/>
              <w:jc w:val="right"/>
            </w:pPr>
            <w:r>
              <w:rPr>
                <w:b w:val="0"/>
                <w:sz w:val="17"/>
              </w:rPr>
              <w:t>(31)</w:t>
            </w:r>
          </w:p>
        </w:tc>
      </w:tr>
      <w:tr>
        <w:tc>
          <w:tcPr>
            <w:tcW w:type="dxa" w:w="4896"/>
          </w:tcPr>
          <w:p>
            <w:pPr>
              <w:spacing w:after="40"/>
            </w:pPr>
            <w:r>
              <w:rPr>
                <w:b w:val="0"/>
                <w:sz w:val="17"/>
              </w:rPr>
              <w:t>plus: expansion option credit (partial)</w:t>
            </w:r>
          </w:p>
        </w:tc>
        <w:tc>
          <w:tcPr>
            <w:tcW w:type="dxa" w:w="2304"/>
          </w:tcPr>
          <w:p>
            <w:pPr>
              <w:spacing w:after="40"/>
              <w:jc w:val="right"/>
            </w:pPr>
            <w:r>
              <w:rPr>
                <w:b w:val="0"/>
                <w:sz w:val="17"/>
              </w:rPr>
              <w:t>4.0</w:t>
            </w:r>
          </w:p>
        </w:tc>
        <w:tc>
          <w:tcPr>
            <w:tcW w:type="dxa" w:w="2304"/>
          </w:tcPr>
          <w:p>
            <w:pPr>
              <w:spacing w:after="40"/>
              <w:jc w:val="right"/>
            </w:pPr>
            <w:r>
              <w:rPr>
                <w:b w:val="0"/>
                <w:sz w:val="17"/>
              </w:rPr>
              <w:t>10</w:t>
            </w:r>
          </w:p>
        </w:tc>
      </w:tr>
      <w:tr>
        <w:tc>
          <w:tcPr>
            <w:tcW w:type="dxa" w:w="4896"/>
          </w:tcPr>
          <w:p>
            <w:pPr>
              <w:spacing w:after="40"/>
            </w:pPr>
            <w:r>
              <w:rPr>
                <w:b w:val="0"/>
                <w:sz w:val="17"/>
              </w:rPr>
              <w:t>plus: net cash</w:t>
            </w:r>
          </w:p>
        </w:tc>
        <w:tc>
          <w:tcPr>
            <w:tcW w:type="dxa" w:w="2304"/>
          </w:tcPr>
          <w:p>
            <w:pPr>
              <w:spacing w:after="40"/>
              <w:jc w:val="right"/>
            </w:pPr>
            <w:r>
              <w:rPr>
                <w:b w:val="0"/>
                <w:sz w:val="17"/>
              </w:rPr>
              <w:t>9.0</w:t>
            </w:r>
          </w:p>
        </w:tc>
        <w:tc>
          <w:tcPr>
            <w:tcW w:type="dxa" w:w="2304"/>
          </w:tcPr>
          <w:p>
            <w:pPr>
              <w:spacing w:after="40"/>
              <w:jc w:val="right"/>
            </w:pPr>
            <w:r>
              <w:rPr>
                <w:b w:val="0"/>
                <w:sz w:val="17"/>
              </w:rPr>
              <w:t>22</w:t>
            </w:r>
          </w:p>
        </w:tc>
      </w:tr>
      <w:tr>
        <w:tc>
          <w:tcPr>
            <w:tcW w:type="dxa" w:w="4896"/>
          </w:tcPr>
          <w:p>
            <w:pPr>
              <w:spacing w:after="40"/>
            </w:pPr>
            <w:r>
              <w:rPr>
                <w:b/>
                <w:sz w:val="17"/>
              </w:rPr>
              <w:t>Replacement equity value</w:t>
            </w:r>
          </w:p>
        </w:tc>
        <w:tc>
          <w:tcPr>
            <w:tcW w:type="dxa" w:w="2304"/>
          </w:tcPr>
          <w:p>
            <w:pPr>
              <w:spacing w:after="40"/>
              <w:jc w:val="right"/>
            </w:pPr>
            <w:r>
              <w:rPr>
                <w:b/>
                <w:sz w:val="17"/>
              </w:rPr>
              <w:t>86.5</w:t>
            </w:r>
          </w:p>
        </w:tc>
        <w:tc>
          <w:tcPr>
            <w:tcW w:type="dxa" w:w="2304"/>
          </w:tcPr>
          <w:p>
            <w:pPr>
              <w:spacing w:after="40"/>
              <w:jc w:val="right"/>
            </w:pPr>
            <w:r>
              <w:rPr>
                <w:b/>
                <w:sz w:val="17"/>
              </w:rPr>
              <w:t>210</w:t>
            </w:r>
          </w:p>
        </w:tc>
      </w:tr>
    </w:tbl>
    <w:p>
      <w:pPr>
        <w:spacing w:after="40"/>
      </w:pPr>
    </w:p>
    <w:p>
      <w:pPr>
        <w:spacing w:after="120"/>
      </w:pPr>
      <w:r>
        <w:rPr>
          <w:b/>
          <w:i w:val="0"/>
          <w:sz w:val="19"/>
        </w:rPr>
        <w:t>Replacement base ≈ EGP 210</w:t>
      </w:r>
      <w:r>
        <w:rPr>
          <w:b w:val="0"/>
          <w:i w:val="0"/>
          <w:sz w:val="19"/>
        </w:rPr>
        <w:t xml:space="preserve"> — the floor of the four lenses, and the number a strategic buyer would negotiate from. The market is paying ~US$7,600 per existing tonne net of cash: a one-third premium to new-build, which only the doubling (dropping the paid price per tonne toward ~US$4,100 on ~600 kt) or the sub-market power contract can justify. Both are exactly the two things not yet contractual.</w:t>
      </w:r>
    </w:p>
    <w:p>
      <w:pPr>
        <w:pStyle w:val="Heading2"/>
      </w:pPr>
      <w:r>
        <w:t>1.3  Relative multiples</w:t>
      </w:r>
    </w:p>
    <w:p>
      <w:pPr>
        <w:spacing w:after="120"/>
      </w:pPr>
      <w:r>
        <w:rPr>
          <w:b w:val="0"/>
          <w:i w:val="0"/>
          <w:sz w:val="19"/>
        </w:rPr>
        <w:t xml:space="preserve">On its own trailing numbers EGAL screens midway through the global set: at spot, trailing P/E is ~11.6× on FY24/25 earnings (~8.8× on the FY25/26 close) and EV/EBITDA ~9.1× trailing. The global smelter cohort — Alcoa, Norsk Hydro, Century, Hindalco, Hongqiao, Alba, Ma'aden (Appendix C) — trades ~4.5–7× EV/EBITDA outside the Saudi outlier. We mark the lens on a </w:t>
      </w:r>
      <w:r>
        <w:rPr>
          <w:b/>
          <w:i w:val="0"/>
          <w:sz w:val="19"/>
        </w:rPr>
        <w:t>normalized EBITDA of EGP 13.5 bn</w:t>
      </w:r>
      <w:r>
        <w:rPr>
          <w:b w:val="0"/>
          <w:i w:val="0"/>
          <w:sz w:val="19"/>
        </w:rPr>
        <w:t xml:space="preserve"> (between FY24/25's 11.9 and FY25/26E's ~15.9) and a </w:t>
      </w:r>
      <w:r>
        <w:rPr>
          <w:b/>
          <w:i w:val="0"/>
          <w:sz w:val="19"/>
        </w:rPr>
        <w:t>6.5× multiple</w:t>
      </w:r>
      <w:r>
        <w:rPr>
          <w:b w:val="0"/>
          <w:i w:val="0"/>
          <w:sz w:val="19"/>
        </w:rPr>
        <w:t xml:space="preserve"> — a half-turn below Alba, the closest analogue (Gulf, gas-powered, state-anchored), reflecting EGAL's single-site concentration, ~10% free float and administered power price, partly offset by the net cash and the expansion pipeline.</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4032"/>
            <w:shd w:val="clear" w:fill="1C3A36"/>
          </w:tcPr>
          <w:p>
            <w:pPr>
              <w:spacing w:after="40"/>
            </w:pPr>
            <w:r>
              <w:rPr>
                <w:b/>
                <w:color w:val="FFFFFF"/>
                <w:sz w:val="17"/>
              </w:rPr>
              <w:t>Relative basis</w:t>
            </w:r>
          </w:p>
        </w:tc>
        <w:tc>
          <w:tcPr>
            <w:tcW w:type="dxa" w:w="1872"/>
            <w:shd w:val="clear" w:fill="1C3A36"/>
          </w:tcPr>
          <w:p>
            <w:pPr>
              <w:spacing w:after="40"/>
            </w:pPr>
            <w:r>
              <w:rPr>
                <w:b/>
                <w:color w:val="FFFFFF"/>
                <w:sz w:val="17"/>
              </w:rPr>
              <w:t>Bear</w:t>
            </w:r>
          </w:p>
        </w:tc>
        <w:tc>
          <w:tcPr>
            <w:tcW w:type="dxa" w:w="1872"/>
            <w:shd w:val="clear" w:fill="1C3A36"/>
          </w:tcPr>
          <w:p>
            <w:pPr>
              <w:spacing w:after="40"/>
            </w:pPr>
            <w:r>
              <w:rPr>
                <w:b/>
                <w:color w:val="FFFFFF"/>
                <w:sz w:val="17"/>
              </w:rPr>
              <w:t>Base</w:t>
            </w:r>
          </w:p>
        </w:tc>
        <w:tc>
          <w:tcPr>
            <w:tcW w:type="dxa" w:w="1872"/>
            <w:shd w:val="clear" w:fill="1C3A36"/>
          </w:tcPr>
          <w:p>
            <w:pPr>
              <w:spacing w:after="40"/>
            </w:pPr>
            <w:r>
              <w:rPr>
                <w:b/>
                <w:color w:val="FFFFFF"/>
                <w:sz w:val="17"/>
              </w:rPr>
              <w:t>Bull</w:t>
            </w:r>
          </w:p>
        </w:tc>
      </w:tr>
      <w:tr>
        <w:tc>
          <w:tcPr>
            <w:tcW w:type="dxa" w:w="4032"/>
          </w:tcPr>
          <w:p>
            <w:pPr>
              <w:spacing w:after="40"/>
            </w:pPr>
            <w:r>
              <w:rPr>
                <w:b w:val="0"/>
                <w:sz w:val="17"/>
              </w:rPr>
              <w:t>Normalized EBITDA (EGP bn)</w:t>
            </w:r>
          </w:p>
        </w:tc>
        <w:tc>
          <w:tcPr>
            <w:tcW w:type="dxa" w:w="1872"/>
          </w:tcPr>
          <w:p>
            <w:pPr>
              <w:spacing w:after="40"/>
              <w:jc w:val="right"/>
            </w:pPr>
            <w:r>
              <w:rPr>
                <w:b w:val="0"/>
                <w:sz w:val="17"/>
              </w:rPr>
              <w:t>12.0</w:t>
            </w:r>
          </w:p>
        </w:tc>
        <w:tc>
          <w:tcPr>
            <w:tcW w:type="dxa" w:w="1872"/>
          </w:tcPr>
          <w:p>
            <w:pPr>
              <w:spacing w:after="40"/>
              <w:jc w:val="right"/>
            </w:pPr>
            <w:r>
              <w:rPr>
                <w:b w:val="0"/>
                <w:sz w:val="17"/>
              </w:rPr>
              <w:t>13.5</w:t>
            </w:r>
          </w:p>
        </w:tc>
        <w:tc>
          <w:tcPr>
            <w:tcW w:type="dxa" w:w="1872"/>
          </w:tcPr>
          <w:p>
            <w:pPr>
              <w:spacing w:after="40"/>
              <w:jc w:val="right"/>
            </w:pPr>
            <w:r>
              <w:rPr>
                <w:b w:val="0"/>
                <w:sz w:val="17"/>
              </w:rPr>
              <w:t>15.0</w:t>
            </w:r>
          </w:p>
        </w:tc>
      </w:tr>
      <w:tr>
        <w:tc>
          <w:tcPr>
            <w:tcW w:type="dxa" w:w="4032"/>
          </w:tcPr>
          <w:p>
            <w:pPr>
              <w:spacing w:after="40"/>
            </w:pPr>
            <w:r>
              <w:rPr>
                <w:b w:val="0"/>
                <w:sz w:val="17"/>
              </w:rPr>
              <w:t>EV/EBITDA multiple</w:t>
            </w:r>
          </w:p>
        </w:tc>
        <w:tc>
          <w:tcPr>
            <w:tcW w:type="dxa" w:w="1872"/>
          </w:tcPr>
          <w:p>
            <w:pPr>
              <w:spacing w:after="40"/>
              <w:jc w:val="right"/>
            </w:pPr>
            <w:r>
              <w:rPr>
                <w:b w:val="0"/>
                <w:sz w:val="17"/>
              </w:rPr>
              <w:t>5.0×</w:t>
            </w:r>
          </w:p>
        </w:tc>
        <w:tc>
          <w:tcPr>
            <w:tcW w:type="dxa" w:w="1872"/>
          </w:tcPr>
          <w:p>
            <w:pPr>
              <w:spacing w:after="40"/>
              <w:jc w:val="right"/>
            </w:pPr>
            <w:r>
              <w:rPr>
                <w:b w:val="0"/>
                <w:sz w:val="17"/>
              </w:rPr>
              <w:t>6.5×</w:t>
            </w:r>
          </w:p>
        </w:tc>
        <w:tc>
          <w:tcPr>
            <w:tcW w:type="dxa" w:w="1872"/>
          </w:tcPr>
          <w:p>
            <w:pPr>
              <w:spacing w:after="40"/>
              <w:jc w:val="right"/>
            </w:pPr>
            <w:r>
              <w:rPr>
                <w:b w:val="0"/>
                <w:sz w:val="17"/>
              </w:rPr>
              <w:t>8.0×</w:t>
            </w:r>
          </w:p>
        </w:tc>
      </w:tr>
      <w:tr>
        <w:tc>
          <w:tcPr>
            <w:tcW w:type="dxa" w:w="4032"/>
          </w:tcPr>
          <w:p>
            <w:pPr>
              <w:spacing w:after="40"/>
            </w:pPr>
            <w:r>
              <w:rPr>
                <w:b w:val="0"/>
                <w:sz w:val="17"/>
              </w:rPr>
              <w:t>Fair value (EGP/share)</w:t>
            </w:r>
          </w:p>
        </w:tc>
        <w:tc>
          <w:tcPr>
            <w:tcW w:type="dxa" w:w="1872"/>
          </w:tcPr>
          <w:p>
            <w:pPr>
              <w:spacing w:after="40"/>
              <w:jc w:val="right"/>
            </w:pPr>
            <w:r>
              <w:rPr>
                <w:b w:val="0"/>
                <w:sz w:val="17"/>
              </w:rPr>
              <w:t>167</w:t>
            </w:r>
          </w:p>
        </w:tc>
        <w:tc>
          <w:tcPr>
            <w:tcW w:type="dxa" w:w="1872"/>
          </w:tcPr>
          <w:p>
            <w:pPr>
              <w:spacing w:after="40"/>
              <w:jc w:val="right"/>
            </w:pPr>
            <w:r>
              <w:rPr>
                <w:b w:val="0"/>
                <w:sz w:val="17"/>
              </w:rPr>
              <w:t>235</w:t>
            </w:r>
          </w:p>
        </w:tc>
        <w:tc>
          <w:tcPr>
            <w:tcW w:type="dxa" w:w="1872"/>
          </w:tcPr>
          <w:p>
            <w:pPr>
              <w:spacing w:after="40"/>
              <w:jc w:val="right"/>
            </w:pPr>
            <w:r>
              <w:rPr>
                <w:b w:val="0"/>
                <w:sz w:val="17"/>
              </w:rPr>
              <w:t>313</w:t>
            </w:r>
          </w:p>
        </w:tc>
      </w:tr>
    </w:tbl>
    <w:p>
      <w:pPr>
        <w:spacing w:after="40"/>
      </w:pPr>
    </w:p>
    <w:p>
      <w:pPr>
        <w:spacing w:after="120"/>
      </w:pPr>
      <w:r>
        <w:rPr>
          <w:b/>
          <w:i w:val="0"/>
          <w:sz w:val="19"/>
        </w:rPr>
        <w:t>Relative base ≈ EGP 235</w:t>
      </w:r>
      <w:r>
        <w:rPr>
          <w:b w:val="0"/>
          <w:i w:val="0"/>
          <w:sz w:val="19"/>
        </w:rPr>
        <w:t xml:space="preserve"> (−18%) — the lens a global mining investor would anchor on, and the sternest of the earnings-based three. It treats EGAL as one smelter among many and gives no credit for the doubling.</w:t>
      </w:r>
    </w:p>
    <w:p>
      <w:pPr>
        <w:pStyle w:val="Heading2"/>
      </w:pPr>
      <w:r>
        <w:t>1.4  Normalized earnings power</w:t>
      </w:r>
    </w:p>
    <w:p>
      <w:pPr>
        <w:spacing w:after="120"/>
      </w:pPr>
      <w:r>
        <w:rPr>
          <w:b w:val="0"/>
          <w:i w:val="0"/>
          <w:sz w:val="19"/>
        </w:rPr>
        <w:t xml:space="preserve">Strip the cycle and ask what the machine earns mid-cycle. We normalize to LME US$2,550/t (the 2019–26 real average band), a 1.30× realized product premium (rolled, rod and local pricing have historically realized ~30% over LME), 275 kt of sales, EGP/USD 50, a ~30% EBITDA margin net of a partially-escalated electricity tariff (between FY24/25's 27.6% and FY25/26E's ~32%), and today's interest income on the cash pile at fading rates — a </w:t>
      </w:r>
      <w:r>
        <w:rPr>
          <w:b/>
          <w:i w:val="0"/>
          <w:sz w:val="19"/>
        </w:rPr>
        <w:t>mid-cycle net profit of ~EGP 11.5 bn</w:t>
      </w:r>
      <w:r>
        <w:rPr>
          <w:b w:val="0"/>
          <w:i w:val="0"/>
          <w:sz w:val="19"/>
        </w:rPr>
        <w:t xml:space="preserve"> (EPS ~27.9), versus EGP 10.2 bn reported FY24/25 and ~13.4 bn tracking FY25/26. On that we place a justified P/E of </w:t>
      </w:r>
      <w:r>
        <w:rPr>
          <w:b/>
          <w:i w:val="0"/>
          <w:sz w:val="19"/>
        </w:rPr>
        <w:t>9.5×</w:t>
      </w:r>
      <w:r>
        <w:rPr>
          <w:b w:val="0"/>
          <w:i w:val="0"/>
          <w:sz w:val="19"/>
        </w:rPr>
        <w:t>: above EGAL's pre-float 4–7× era (the market cap was then trapped by a 49-to-31 pound), below Alba's ~11×, acknowledging the float and governance discount.</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4032"/>
            <w:shd w:val="clear" w:fill="1C3A36"/>
          </w:tcPr>
          <w:p>
            <w:pPr>
              <w:spacing w:after="40"/>
            </w:pPr>
            <w:r>
              <w:rPr>
                <w:b/>
                <w:color w:val="FFFFFF"/>
                <w:sz w:val="17"/>
              </w:rPr>
              <w:t>Normalized-earnings basis</w:t>
            </w:r>
          </w:p>
        </w:tc>
        <w:tc>
          <w:tcPr>
            <w:tcW w:type="dxa" w:w="1872"/>
            <w:shd w:val="clear" w:fill="1C3A36"/>
          </w:tcPr>
          <w:p>
            <w:pPr>
              <w:spacing w:after="40"/>
            </w:pPr>
            <w:r>
              <w:rPr>
                <w:b/>
                <w:color w:val="FFFFFF"/>
                <w:sz w:val="17"/>
              </w:rPr>
              <w:t>Bear</w:t>
            </w:r>
          </w:p>
        </w:tc>
        <w:tc>
          <w:tcPr>
            <w:tcW w:type="dxa" w:w="1872"/>
            <w:shd w:val="clear" w:fill="1C3A36"/>
          </w:tcPr>
          <w:p>
            <w:pPr>
              <w:spacing w:after="40"/>
            </w:pPr>
            <w:r>
              <w:rPr>
                <w:b/>
                <w:color w:val="FFFFFF"/>
                <w:sz w:val="17"/>
              </w:rPr>
              <w:t>Base</w:t>
            </w:r>
          </w:p>
        </w:tc>
        <w:tc>
          <w:tcPr>
            <w:tcW w:type="dxa" w:w="1872"/>
            <w:shd w:val="clear" w:fill="1C3A36"/>
          </w:tcPr>
          <w:p>
            <w:pPr>
              <w:spacing w:after="40"/>
            </w:pPr>
            <w:r>
              <w:rPr>
                <w:b/>
                <w:color w:val="FFFFFF"/>
                <w:sz w:val="17"/>
              </w:rPr>
              <w:t>Bull</w:t>
            </w:r>
          </w:p>
        </w:tc>
      </w:tr>
      <w:tr>
        <w:tc>
          <w:tcPr>
            <w:tcW w:type="dxa" w:w="4032"/>
          </w:tcPr>
          <w:p>
            <w:pPr>
              <w:spacing w:after="40"/>
            </w:pPr>
            <w:r>
              <w:rPr>
                <w:b w:val="0"/>
                <w:sz w:val="17"/>
              </w:rPr>
              <w:t>Mid-cycle net profit (EGP bn)</w:t>
            </w:r>
          </w:p>
        </w:tc>
        <w:tc>
          <w:tcPr>
            <w:tcW w:type="dxa" w:w="1872"/>
          </w:tcPr>
          <w:p>
            <w:pPr>
              <w:spacing w:after="40"/>
              <w:jc w:val="right"/>
            </w:pPr>
            <w:r>
              <w:rPr>
                <w:b w:val="0"/>
                <w:sz w:val="17"/>
              </w:rPr>
              <w:t>9.5</w:t>
            </w:r>
          </w:p>
        </w:tc>
        <w:tc>
          <w:tcPr>
            <w:tcW w:type="dxa" w:w="1872"/>
          </w:tcPr>
          <w:p>
            <w:pPr>
              <w:spacing w:after="40"/>
              <w:jc w:val="right"/>
            </w:pPr>
            <w:r>
              <w:rPr>
                <w:b w:val="0"/>
                <w:sz w:val="17"/>
              </w:rPr>
              <w:t>11.5</w:t>
            </w:r>
          </w:p>
        </w:tc>
        <w:tc>
          <w:tcPr>
            <w:tcW w:type="dxa" w:w="1872"/>
          </w:tcPr>
          <w:p>
            <w:pPr>
              <w:spacing w:after="40"/>
              <w:jc w:val="right"/>
            </w:pPr>
            <w:r>
              <w:rPr>
                <w:b w:val="0"/>
                <w:sz w:val="17"/>
              </w:rPr>
              <w:t>13.5</w:t>
            </w:r>
          </w:p>
        </w:tc>
      </w:tr>
      <w:tr>
        <w:tc>
          <w:tcPr>
            <w:tcW w:type="dxa" w:w="4032"/>
          </w:tcPr>
          <w:p>
            <w:pPr>
              <w:spacing w:after="40"/>
            </w:pPr>
            <w:r>
              <w:rPr>
                <w:b w:val="0"/>
                <w:sz w:val="17"/>
              </w:rPr>
              <w:t>Justified P/E</w:t>
            </w:r>
          </w:p>
        </w:tc>
        <w:tc>
          <w:tcPr>
            <w:tcW w:type="dxa" w:w="1872"/>
          </w:tcPr>
          <w:p>
            <w:pPr>
              <w:spacing w:after="40"/>
              <w:jc w:val="right"/>
            </w:pPr>
            <w:r>
              <w:rPr>
                <w:b w:val="0"/>
                <w:sz w:val="17"/>
              </w:rPr>
              <w:t>7.5×</w:t>
            </w:r>
          </w:p>
        </w:tc>
        <w:tc>
          <w:tcPr>
            <w:tcW w:type="dxa" w:w="1872"/>
          </w:tcPr>
          <w:p>
            <w:pPr>
              <w:spacing w:after="40"/>
              <w:jc w:val="right"/>
            </w:pPr>
            <w:r>
              <w:rPr>
                <w:b w:val="0"/>
                <w:sz w:val="17"/>
              </w:rPr>
              <w:t>9.5×</w:t>
            </w:r>
          </w:p>
        </w:tc>
        <w:tc>
          <w:tcPr>
            <w:tcW w:type="dxa" w:w="1872"/>
          </w:tcPr>
          <w:p>
            <w:pPr>
              <w:spacing w:after="40"/>
              <w:jc w:val="right"/>
            </w:pPr>
            <w:r>
              <w:rPr>
                <w:b w:val="0"/>
                <w:sz w:val="17"/>
              </w:rPr>
              <w:t>11.5×</w:t>
            </w:r>
          </w:p>
        </w:tc>
      </w:tr>
      <w:tr>
        <w:tc>
          <w:tcPr>
            <w:tcW w:type="dxa" w:w="4032"/>
          </w:tcPr>
          <w:p>
            <w:pPr>
              <w:spacing w:after="40"/>
            </w:pPr>
            <w:r>
              <w:rPr>
                <w:b w:val="0"/>
                <w:sz w:val="17"/>
              </w:rPr>
              <w:t>Fair value (EGP/share)</w:t>
            </w:r>
          </w:p>
        </w:tc>
        <w:tc>
          <w:tcPr>
            <w:tcW w:type="dxa" w:w="1872"/>
          </w:tcPr>
          <w:p>
            <w:pPr>
              <w:spacing w:after="40"/>
              <w:jc w:val="right"/>
            </w:pPr>
            <w:r>
              <w:rPr>
                <w:b w:val="0"/>
                <w:sz w:val="17"/>
              </w:rPr>
              <w:t>173</w:t>
            </w:r>
          </w:p>
        </w:tc>
        <w:tc>
          <w:tcPr>
            <w:tcW w:type="dxa" w:w="1872"/>
          </w:tcPr>
          <w:p>
            <w:pPr>
              <w:spacing w:after="40"/>
              <w:jc w:val="right"/>
            </w:pPr>
            <w:r>
              <w:rPr>
                <w:b w:val="0"/>
                <w:sz w:val="17"/>
              </w:rPr>
              <w:t>265</w:t>
            </w:r>
          </w:p>
        </w:tc>
        <w:tc>
          <w:tcPr>
            <w:tcW w:type="dxa" w:w="1872"/>
          </w:tcPr>
          <w:p>
            <w:pPr>
              <w:spacing w:after="40"/>
              <w:jc w:val="right"/>
            </w:pPr>
            <w:r>
              <w:rPr>
                <w:b w:val="0"/>
                <w:sz w:val="17"/>
              </w:rPr>
              <w:t>376</w:t>
            </w:r>
          </w:p>
        </w:tc>
      </w:tr>
    </w:tbl>
    <w:p>
      <w:pPr>
        <w:spacing w:after="40"/>
      </w:pPr>
    </w:p>
    <w:p>
      <w:pPr>
        <w:spacing w:after="120"/>
      </w:pPr>
      <w:r>
        <w:rPr>
          <w:b/>
          <w:i w:val="0"/>
          <w:sz w:val="19"/>
        </w:rPr>
        <w:t>Normalized base ≈ EGP 265</w:t>
      </w:r>
      <w:r>
        <w:rPr>
          <w:b w:val="0"/>
          <w:i w:val="0"/>
          <w:sz w:val="19"/>
        </w:rPr>
        <w:t xml:space="preserve"> — nearly on top of the DCF, which is reassuring since the two share only the mid-cycle margin judgment.</w:t>
      </w:r>
    </w:p>
    <w:p>
      <w:pPr>
        <w:pStyle w:val="Heading2"/>
      </w:pPr>
      <w:r>
        <w:t>1.5  Synthesis — four lenses</w:t>
      </w:r>
    </w:p>
    <w:p>
      <w:pPr>
        <w:spacing w:after="120"/>
      </w:pPr>
      <w:r>
        <w:rPr>
          <w:b w:val="0"/>
          <w:i w:val="0"/>
          <w:sz w:val="19"/>
        </w:rPr>
        <w:t>We weight the DCF most heavily because cash conversion is this company's proven character; the two earnings lenses carry the through-cycle read; the replacement lens anchors the floor a strategic buyer would pay.</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1958"/>
        <w:gridCol w:w="1958"/>
        <w:gridCol w:w="1958"/>
        <w:gridCol w:w="1958"/>
        <w:gridCol w:w="1958"/>
      </w:tblGrid>
      <w:tr>
        <w:tc>
          <w:tcPr>
            <w:tcW w:type="dxa" w:w="3744"/>
            <w:shd w:val="clear" w:fill="1C3A36"/>
          </w:tcPr>
          <w:p>
            <w:pPr>
              <w:spacing w:after="40"/>
            </w:pPr>
            <w:r>
              <w:rPr>
                <w:b/>
                <w:color w:val="FFFFFF"/>
                <w:sz w:val="17"/>
              </w:rPr>
              <w:t>Lens</w:t>
            </w:r>
          </w:p>
        </w:tc>
        <w:tc>
          <w:tcPr>
            <w:tcW w:type="dxa" w:w="1440"/>
            <w:shd w:val="clear" w:fill="1C3A36"/>
          </w:tcPr>
          <w:p>
            <w:pPr>
              <w:spacing w:after="40"/>
            </w:pPr>
            <w:r>
              <w:rPr>
                <w:b/>
                <w:color w:val="FFFFFF"/>
                <w:sz w:val="17"/>
              </w:rPr>
              <w:t>Weight</w:t>
            </w:r>
          </w:p>
        </w:tc>
        <w:tc>
          <w:tcPr>
            <w:tcW w:type="dxa" w:w="1512"/>
            <w:shd w:val="clear" w:fill="1C3A36"/>
          </w:tcPr>
          <w:p>
            <w:pPr>
              <w:spacing w:after="40"/>
            </w:pPr>
            <w:r>
              <w:rPr>
                <w:b/>
                <w:color w:val="FFFFFF"/>
                <w:sz w:val="17"/>
              </w:rPr>
              <w:t>Bear</w:t>
            </w:r>
          </w:p>
        </w:tc>
        <w:tc>
          <w:tcPr>
            <w:tcW w:type="dxa" w:w="1512"/>
            <w:shd w:val="clear" w:fill="1C3A36"/>
          </w:tcPr>
          <w:p>
            <w:pPr>
              <w:spacing w:after="40"/>
            </w:pPr>
            <w:r>
              <w:rPr>
                <w:b/>
                <w:color w:val="FFFFFF"/>
                <w:sz w:val="17"/>
              </w:rPr>
              <w:t>Base</w:t>
            </w:r>
          </w:p>
        </w:tc>
        <w:tc>
          <w:tcPr>
            <w:tcW w:type="dxa" w:w="1512"/>
            <w:shd w:val="clear" w:fill="1C3A36"/>
          </w:tcPr>
          <w:p>
            <w:pPr>
              <w:spacing w:after="40"/>
            </w:pPr>
            <w:r>
              <w:rPr>
                <w:b/>
                <w:color w:val="FFFFFF"/>
                <w:sz w:val="17"/>
              </w:rPr>
              <w:t>Bull</w:t>
            </w:r>
          </w:p>
        </w:tc>
      </w:tr>
      <w:tr>
        <w:tc>
          <w:tcPr>
            <w:tcW w:type="dxa" w:w="3744"/>
          </w:tcPr>
          <w:p>
            <w:pPr>
              <w:spacing w:after="40"/>
            </w:pPr>
            <w:r>
              <w:rPr>
                <w:b w:val="0"/>
                <w:sz w:val="17"/>
              </w:rPr>
              <w:t>Discounted cash flow (primary)</w:t>
            </w:r>
          </w:p>
        </w:tc>
        <w:tc>
          <w:tcPr>
            <w:tcW w:type="dxa" w:w="1440"/>
          </w:tcPr>
          <w:p>
            <w:pPr>
              <w:spacing w:after="40"/>
              <w:jc w:val="right"/>
            </w:pPr>
            <w:r>
              <w:rPr>
                <w:b w:val="0"/>
                <w:sz w:val="17"/>
              </w:rPr>
              <w:t>35%</w:t>
            </w:r>
          </w:p>
        </w:tc>
        <w:tc>
          <w:tcPr>
            <w:tcW w:type="dxa" w:w="1512"/>
          </w:tcPr>
          <w:p>
            <w:pPr>
              <w:spacing w:after="40"/>
              <w:jc w:val="right"/>
            </w:pPr>
            <w:r>
              <w:rPr>
                <w:b w:val="0"/>
                <w:sz w:val="17"/>
              </w:rPr>
              <w:t>205</w:t>
            </w:r>
          </w:p>
        </w:tc>
        <w:tc>
          <w:tcPr>
            <w:tcW w:type="dxa" w:w="1512"/>
          </w:tcPr>
          <w:p>
            <w:pPr>
              <w:spacing w:after="40"/>
              <w:jc w:val="right"/>
            </w:pPr>
            <w:r>
              <w:rPr>
                <w:b w:val="0"/>
                <w:sz w:val="17"/>
              </w:rPr>
              <w:t>268</w:t>
            </w:r>
          </w:p>
        </w:tc>
        <w:tc>
          <w:tcPr>
            <w:tcW w:type="dxa" w:w="1512"/>
          </w:tcPr>
          <w:p>
            <w:pPr>
              <w:spacing w:after="40"/>
              <w:jc w:val="right"/>
            </w:pPr>
            <w:r>
              <w:rPr>
                <w:b w:val="0"/>
                <w:sz w:val="17"/>
              </w:rPr>
              <w:t>385</w:t>
            </w:r>
          </w:p>
        </w:tc>
      </w:tr>
      <w:tr>
        <w:tc>
          <w:tcPr>
            <w:tcW w:type="dxa" w:w="3744"/>
          </w:tcPr>
          <w:p>
            <w:pPr>
              <w:spacing w:after="40"/>
            </w:pPr>
            <w:r>
              <w:rPr>
                <w:b w:val="0"/>
                <w:sz w:val="17"/>
              </w:rPr>
              <w:t>Relative multiples</w:t>
            </w:r>
          </w:p>
        </w:tc>
        <w:tc>
          <w:tcPr>
            <w:tcW w:type="dxa" w:w="1440"/>
          </w:tcPr>
          <w:p>
            <w:pPr>
              <w:spacing w:after="40"/>
              <w:jc w:val="right"/>
            </w:pPr>
            <w:r>
              <w:rPr>
                <w:b w:val="0"/>
                <w:sz w:val="17"/>
              </w:rPr>
              <w:t>25%</w:t>
            </w:r>
          </w:p>
        </w:tc>
        <w:tc>
          <w:tcPr>
            <w:tcW w:type="dxa" w:w="1512"/>
          </w:tcPr>
          <w:p>
            <w:pPr>
              <w:spacing w:after="40"/>
              <w:jc w:val="right"/>
            </w:pPr>
            <w:r>
              <w:rPr>
                <w:b w:val="0"/>
                <w:sz w:val="17"/>
              </w:rPr>
              <w:t>167</w:t>
            </w:r>
          </w:p>
        </w:tc>
        <w:tc>
          <w:tcPr>
            <w:tcW w:type="dxa" w:w="1512"/>
          </w:tcPr>
          <w:p>
            <w:pPr>
              <w:spacing w:after="40"/>
              <w:jc w:val="right"/>
            </w:pPr>
            <w:r>
              <w:rPr>
                <w:b w:val="0"/>
                <w:sz w:val="17"/>
              </w:rPr>
              <w:t>235</w:t>
            </w:r>
          </w:p>
        </w:tc>
        <w:tc>
          <w:tcPr>
            <w:tcW w:type="dxa" w:w="1512"/>
          </w:tcPr>
          <w:p>
            <w:pPr>
              <w:spacing w:after="40"/>
              <w:jc w:val="right"/>
            </w:pPr>
            <w:r>
              <w:rPr>
                <w:b w:val="0"/>
                <w:sz w:val="17"/>
              </w:rPr>
              <w:t>313</w:t>
            </w:r>
          </w:p>
        </w:tc>
      </w:tr>
      <w:tr>
        <w:tc>
          <w:tcPr>
            <w:tcW w:type="dxa" w:w="3744"/>
          </w:tcPr>
          <w:p>
            <w:pPr>
              <w:spacing w:after="40"/>
            </w:pPr>
            <w:r>
              <w:rPr>
                <w:b w:val="0"/>
                <w:sz w:val="17"/>
              </w:rPr>
              <w:t>Normalized earnings power</w:t>
            </w:r>
          </w:p>
        </w:tc>
        <w:tc>
          <w:tcPr>
            <w:tcW w:type="dxa" w:w="1440"/>
          </w:tcPr>
          <w:p>
            <w:pPr>
              <w:spacing w:after="40"/>
              <w:jc w:val="right"/>
            </w:pPr>
            <w:r>
              <w:rPr>
                <w:b w:val="0"/>
                <w:sz w:val="17"/>
              </w:rPr>
              <w:t>25%</w:t>
            </w:r>
          </w:p>
        </w:tc>
        <w:tc>
          <w:tcPr>
            <w:tcW w:type="dxa" w:w="1512"/>
          </w:tcPr>
          <w:p>
            <w:pPr>
              <w:spacing w:after="40"/>
              <w:jc w:val="right"/>
            </w:pPr>
            <w:r>
              <w:rPr>
                <w:b w:val="0"/>
                <w:sz w:val="17"/>
              </w:rPr>
              <w:t>173</w:t>
            </w:r>
          </w:p>
        </w:tc>
        <w:tc>
          <w:tcPr>
            <w:tcW w:type="dxa" w:w="1512"/>
          </w:tcPr>
          <w:p>
            <w:pPr>
              <w:spacing w:after="40"/>
              <w:jc w:val="right"/>
            </w:pPr>
            <w:r>
              <w:rPr>
                <w:b w:val="0"/>
                <w:sz w:val="17"/>
              </w:rPr>
              <w:t>265</w:t>
            </w:r>
          </w:p>
        </w:tc>
        <w:tc>
          <w:tcPr>
            <w:tcW w:type="dxa" w:w="1512"/>
          </w:tcPr>
          <w:p>
            <w:pPr>
              <w:spacing w:after="40"/>
              <w:jc w:val="right"/>
            </w:pPr>
            <w:r>
              <w:rPr>
                <w:b w:val="0"/>
                <w:sz w:val="17"/>
              </w:rPr>
              <w:t>376</w:t>
            </w:r>
          </w:p>
        </w:tc>
      </w:tr>
      <w:tr>
        <w:tc>
          <w:tcPr>
            <w:tcW w:type="dxa" w:w="3744"/>
          </w:tcPr>
          <w:p>
            <w:pPr>
              <w:spacing w:after="40"/>
            </w:pPr>
            <w:r>
              <w:rPr>
                <w:b w:val="0"/>
                <w:sz w:val="17"/>
              </w:rPr>
              <w:t>Replacement cost / EV per tonne</w:t>
            </w:r>
          </w:p>
        </w:tc>
        <w:tc>
          <w:tcPr>
            <w:tcW w:type="dxa" w:w="1440"/>
          </w:tcPr>
          <w:p>
            <w:pPr>
              <w:spacing w:after="40"/>
              <w:jc w:val="right"/>
            </w:pPr>
            <w:r>
              <w:rPr>
                <w:b w:val="0"/>
                <w:sz w:val="17"/>
              </w:rPr>
              <w:t>15%</w:t>
            </w:r>
          </w:p>
        </w:tc>
        <w:tc>
          <w:tcPr>
            <w:tcW w:type="dxa" w:w="1512"/>
          </w:tcPr>
          <w:p>
            <w:pPr>
              <w:spacing w:after="40"/>
              <w:jc w:val="right"/>
            </w:pPr>
            <w:r>
              <w:rPr>
                <w:b w:val="0"/>
                <w:sz w:val="17"/>
              </w:rPr>
              <w:t>175</w:t>
            </w:r>
          </w:p>
        </w:tc>
        <w:tc>
          <w:tcPr>
            <w:tcW w:type="dxa" w:w="1512"/>
          </w:tcPr>
          <w:p>
            <w:pPr>
              <w:spacing w:after="40"/>
              <w:jc w:val="right"/>
            </w:pPr>
            <w:r>
              <w:rPr>
                <w:b w:val="0"/>
                <w:sz w:val="17"/>
              </w:rPr>
              <w:t>210</w:t>
            </w:r>
          </w:p>
        </w:tc>
        <w:tc>
          <w:tcPr>
            <w:tcW w:type="dxa" w:w="1512"/>
          </w:tcPr>
          <w:p>
            <w:pPr>
              <w:spacing w:after="40"/>
              <w:jc w:val="right"/>
            </w:pPr>
            <w:r>
              <w:rPr>
                <w:b w:val="0"/>
                <w:sz w:val="17"/>
              </w:rPr>
              <w:t>340</w:t>
            </w:r>
          </w:p>
        </w:tc>
      </w:tr>
      <w:tr>
        <w:tc>
          <w:tcPr>
            <w:tcW w:type="dxa" w:w="3744"/>
          </w:tcPr>
          <w:p>
            <w:pPr>
              <w:spacing w:after="40"/>
            </w:pPr>
            <w:r>
              <w:rPr>
                <w:b/>
                <w:sz w:val="17"/>
              </w:rPr>
              <w:t>Weighted central</w:t>
            </w:r>
          </w:p>
        </w:tc>
        <w:tc>
          <w:tcPr>
            <w:tcW w:type="dxa" w:w="1440"/>
          </w:tcPr>
          <w:p>
            <w:pPr>
              <w:spacing w:after="40"/>
              <w:jc w:val="right"/>
            </w:pPr>
            <w:r>
              <w:rPr>
                <w:b w:val="0"/>
                <w:sz w:val="17"/>
              </w:rPr>
            </w:r>
          </w:p>
        </w:tc>
        <w:tc>
          <w:tcPr>
            <w:tcW w:type="dxa" w:w="1512"/>
          </w:tcPr>
          <w:p>
            <w:pPr>
              <w:spacing w:after="40"/>
              <w:jc w:val="right"/>
            </w:pPr>
            <w:r>
              <w:rPr>
                <w:b/>
                <w:sz w:val="17"/>
              </w:rPr>
              <w:t>183</w:t>
            </w:r>
          </w:p>
        </w:tc>
        <w:tc>
          <w:tcPr>
            <w:tcW w:type="dxa" w:w="1512"/>
          </w:tcPr>
          <w:p>
            <w:pPr>
              <w:spacing w:after="40"/>
              <w:jc w:val="right"/>
            </w:pPr>
            <w:r>
              <w:rPr>
                <w:b/>
                <w:sz w:val="17"/>
              </w:rPr>
              <w:t>250</w:t>
            </w:r>
          </w:p>
        </w:tc>
        <w:tc>
          <w:tcPr>
            <w:tcW w:type="dxa" w:w="1512"/>
          </w:tcPr>
          <w:p>
            <w:pPr>
              <w:spacing w:after="40"/>
              <w:jc w:val="right"/>
            </w:pPr>
            <w:r>
              <w:rPr>
                <w:b/>
                <w:sz w:val="17"/>
              </w:rPr>
              <w:t>358</w:t>
            </w:r>
          </w:p>
        </w:tc>
      </w:tr>
    </w:tbl>
    <w:p>
      <w:pPr>
        <w:spacing w:after="40"/>
      </w:pPr>
    </w:p>
    <w:p>
      <w:pPr>
        <w:jc w:val="center"/>
      </w:pPr>
      <w:r>
        <w:drawing>
          <wp:inline xmlns:a="http://schemas.openxmlformats.org/drawingml/2006/main" xmlns:pic="http://schemas.openxmlformats.org/drawingml/2006/picture">
            <wp:extent cx="5852160" cy="2569241"/>
            <wp:docPr id="1" name="Picture 1"/>
            <wp:cNvGraphicFramePr>
              <a:graphicFrameLocks noChangeAspect="1"/>
            </wp:cNvGraphicFramePr>
            <a:graphic>
              <a:graphicData uri="http://schemas.openxmlformats.org/drawingml/2006/picture">
                <pic:pic>
                  <pic:nvPicPr>
                    <pic:cNvPr id="0" name="fig1_field.png"/>
                    <pic:cNvPicPr/>
                  </pic:nvPicPr>
                  <pic:blipFill>
                    <a:blip r:embed="rId9"/>
                    <a:stretch>
                      <a:fillRect/>
                    </a:stretch>
                  </pic:blipFill>
                  <pic:spPr>
                    <a:xfrm>
                      <a:off x="0" y="0"/>
                      <a:ext cx="5852160" cy="2569241"/>
                    </a:xfrm>
                    <a:prstGeom prst="rect"/>
                  </pic:spPr>
                </pic:pic>
              </a:graphicData>
            </a:graphic>
          </wp:inline>
        </w:drawing>
      </w:r>
    </w:p>
    <w:p>
      <w:pPr>
        <w:spacing w:after="160"/>
      </w:pPr>
      <w:r>
        <w:rPr>
          <w:b w:val="0"/>
          <w:i/>
          <w:sz w:val="17"/>
        </w:rPr>
        <w:t>Figure 1 — Valuation football field. Bars span bear–bull per lens; the brass tick is each base case; the gold band is the blended central range; the dark line is spot.</w:t>
      </w:r>
    </w:p>
    <w:p>
      <w:pPr>
        <w:spacing w:after="120"/>
      </w:pPr>
      <w:r>
        <w:rPr>
          <w:b/>
          <w:i w:val="0"/>
          <w:sz w:val="19"/>
        </w:rPr>
        <w:t>Central fair value ≈ EGP 250/share</w:t>
      </w:r>
      <w:r>
        <w:rPr>
          <w:b w:val="0"/>
          <w:i w:val="0"/>
          <w:sz w:val="19"/>
        </w:rPr>
        <w:t>, about 12% below spot. Note the shape of the disagreement: the two earnings lenses cluster at 265–268 while the asset and peer lenses sit at 210–235. The market has sided with the earnings lenses and then some — which is a bet that FY25/26's exit rate is the new normal and that the doubling closes. Neither is unreasonable; neither is in hand.</w:t>
      </w:r>
    </w:p>
    <w:p>
      <w:pPr>
        <w:pStyle w:val="Heading2"/>
      </w:pPr>
      <w:r>
        <w:t>1.6  The asset — a deeper look at the machine</w:t>
      </w:r>
    </w:p>
    <w:p>
      <w:pPr>
        <w:spacing w:after="120"/>
      </w:pPr>
      <w:r>
        <w:rPr>
          <w:b w:val="0"/>
          <w:i w:val="0"/>
          <w:sz w:val="19"/>
        </w:rPr>
        <w:t xml:space="preserve">One site, three inputs, one output. The Nag Hammadi complex takes </w:t>
      </w:r>
      <w:r>
        <w:rPr>
          <w:b/>
          <w:i w:val="0"/>
          <w:sz w:val="19"/>
        </w:rPr>
        <w:t>alumina</w:t>
      </w:r>
      <w:r>
        <w:rPr>
          <w:b w:val="0"/>
          <w:i w:val="0"/>
          <w:sz w:val="19"/>
        </w:rPr>
        <w:t xml:space="preserve"> (imported; the May-2026 Alba MOU studies a domestic refinery), </w:t>
      </w:r>
      <w:r>
        <w:rPr>
          <w:b/>
          <w:i w:val="0"/>
          <w:sz w:val="19"/>
        </w:rPr>
        <w:t>electricity</w:t>
      </w:r>
      <w:r>
        <w:rPr>
          <w:b w:val="0"/>
          <w:i w:val="0"/>
          <w:sz w:val="19"/>
        </w:rPr>
        <w:t xml:space="preserve"> (~14–15 MWh per tonne, the defining cost, bought from the state grid at an administered industrial tariff that has been rising in steps since 2024), and </w:t>
      </w:r>
      <w:r>
        <w:rPr>
          <w:b/>
          <w:i w:val="0"/>
          <w:sz w:val="19"/>
        </w:rPr>
        <w:t>labour</w:t>
      </w:r>
      <w:r>
        <w:rPr>
          <w:b w:val="0"/>
          <w:i w:val="0"/>
          <w:sz w:val="19"/>
        </w:rPr>
        <w:t>, and ships roughly 60% of its ingot, billet and rod abroad — predominantly to the EU, which is why the CBAM's definitive phase (from January 2026) is a line item, not a footnote. The financial character is singular on the EGX: a commodity exporter whose revenue is LME-in-dollars while its cost base is pounds, so the March-2024 flotation that crushed importers doubled EGAL's margin — and the pound's 2025–26 appreciation to ~49 is now quietly giving some back. The cash pile (≈EGP 9 bn est.) earns high-teens treasury yields, itself ~15% of pre-tax profit.</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3264"/>
        <w:gridCol w:w="3264"/>
        <w:gridCol w:w="3264"/>
      </w:tblGrid>
      <w:tr>
        <w:tc>
          <w:tcPr>
            <w:tcW w:type="dxa" w:w="2448"/>
            <w:shd w:val="clear" w:fill="1C3A36"/>
          </w:tcPr>
          <w:p>
            <w:pPr>
              <w:spacing w:after="40"/>
            </w:pPr>
            <w:r>
              <w:rPr>
                <w:b/>
                <w:color w:val="FFFFFF"/>
                <w:sz w:val="17"/>
              </w:rPr>
              <w:t>Dimension</w:t>
            </w:r>
          </w:p>
        </w:tc>
        <w:tc>
          <w:tcPr>
            <w:tcW w:type="dxa" w:w="4608"/>
            <w:shd w:val="clear" w:fill="1C3A36"/>
          </w:tcPr>
          <w:p>
            <w:pPr>
              <w:spacing w:after="40"/>
            </w:pPr>
            <w:r>
              <w:rPr>
                <w:b/>
                <w:color w:val="FFFFFF"/>
                <w:sz w:val="17"/>
              </w:rPr>
              <w:t>Reading</w:t>
            </w:r>
          </w:p>
        </w:tc>
        <w:tc>
          <w:tcPr>
            <w:tcW w:type="dxa" w:w="2736"/>
            <w:shd w:val="clear" w:fill="1C3A36"/>
          </w:tcPr>
          <w:p>
            <w:pPr>
              <w:spacing w:after="40"/>
            </w:pPr>
            <w:r>
              <w:rPr>
                <w:b/>
                <w:color w:val="FFFFFF"/>
                <w:sz w:val="17"/>
              </w:rPr>
              <w:t>Swing role</w:t>
            </w:r>
          </w:p>
        </w:tc>
      </w:tr>
      <w:tr>
        <w:tc>
          <w:tcPr>
            <w:tcW w:type="dxa" w:w="2448"/>
          </w:tcPr>
          <w:p>
            <w:pPr>
              <w:spacing w:after="40"/>
            </w:pPr>
            <w:r>
              <w:rPr>
                <w:b w:val="0"/>
                <w:sz w:val="17"/>
              </w:rPr>
              <w:t>Revenue driver</w:t>
            </w:r>
          </w:p>
        </w:tc>
        <w:tc>
          <w:tcPr>
            <w:tcW w:type="dxa" w:w="4608"/>
          </w:tcPr>
          <w:p>
            <w:pPr>
              <w:spacing w:after="40"/>
            </w:pPr>
            <w:r>
              <w:rPr>
                <w:b w:val="0"/>
                <w:sz w:val="17"/>
              </w:rPr>
              <w:t>LME US$/t × EGP/USD × volume</w:t>
            </w:r>
          </w:p>
        </w:tc>
        <w:tc>
          <w:tcPr>
            <w:tcW w:type="dxa" w:w="2736"/>
          </w:tcPr>
          <w:p>
            <w:pPr>
              <w:spacing w:after="40"/>
            </w:pPr>
            <w:r>
              <w:rPr>
                <w:b w:val="0"/>
                <w:sz w:val="17"/>
              </w:rPr>
              <w:t>Dominant, external</w:t>
            </w:r>
          </w:p>
        </w:tc>
      </w:tr>
      <w:tr>
        <w:tc>
          <w:tcPr>
            <w:tcW w:type="dxa" w:w="2448"/>
          </w:tcPr>
          <w:p>
            <w:pPr>
              <w:spacing w:after="40"/>
            </w:pPr>
            <w:r>
              <w:rPr>
                <w:b w:val="0"/>
                <w:sz w:val="17"/>
              </w:rPr>
              <w:t>Cost driver</w:t>
            </w:r>
          </w:p>
        </w:tc>
        <w:tc>
          <w:tcPr>
            <w:tcW w:type="dxa" w:w="4608"/>
          </w:tcPr>
          <w:p>
            <w:pPr>
              <w:spacing w:after="40"/>
            </w:pPr>
            <w:r>
              <w:rPr>
                <w:b w:val="0"/>
                <w:sz w:val="17"/>
              </w:rPr>
              <w:t>Administered electricity tariff (~40% of cash cost)</w:t>
            </w:r>
          </w:p>
        </w:tc>
        <w:tc>
          <w:tcPr>
            <w:tcW w:type="dxa" w:w="2736"/>
          </w:tcPr>
          <w:p>
            <w:pPr>
              <w:spacing w:after="40"/>
            </w:pPr>
            <w:r>
              <w:rPr>
                <w:b w:val="0"/>
                <w:sz w:val="17"/>
              </w:rPr>
              <w:t>The policy lever</w:t>
            </w:r>
          </w:p>
        </w:tc>
      </w:tr>
      <w:tr>
        <w:tc>
          <w:tcPr>
            <w:tcW w:type="dxa" w:w="2448"/>
          </w:tcPr>
          <w:p>
            <w:pPr>
              <w:spacing w:after="40"/>
            </w:pPr>
            <w:r>
              <w:rPr>
                <w:b w:val="0"/>
                <w:sz w:val="17"/>
              </w:rPr>
              <w:t>Balance sheet</w:t>
            </w:r>
          </w:p>
        </w:tc>
        <w:tc>
          <w:tcPr>
            <w:tcW w:type="dxa" w:w="4608"/>
          </w:tcPr>
          <w:p>
            <w:pPr>
              <w:spacing w:after="40"/>
            </w:pPr>
            <w:r>
              <w:rPr>
                <w:b w:val="0"/>
                <w:sz w:val="17"/>
              </w:rPr>
              <w:t>Net cash ≈ EGP 9 bn, debt-free</w:t>
            </w:r>
          </w:p>
        </w:tc>
        <w:tc>
          <w:tcPr>
            <w:tcW w:type="dxa" w:w="2736"/>
          </w:tcPr>
          <w:p>
            <w:pPr>
              <w:spacing w:after="40"/>
            </w:pPr>
            <w:r>
              <w:rPr>
                <w:b w:val="0"/>
                <w:sz w:val="17"/>
              </w:rPr>
              <w:t>Cushion + option funding</w:t>
            </w:r>
          </w:p>
        </w:tc>
      </w:tr>
      <w:tr>
        <w:tc>
          <w:tcPr>
            <w:tcW w:type="dxa" w:w="2448"/>
          </w:tcPr>
          <w:p>
            <w:pPr>
              <w:spacing w:after="40"/>
            </w:pPr>
            <w:r>
              <w:rPr>
                <w:b w:val="0"/>
                <w:sz w:val="17"/>
              </w:rPr>
              <w:t>Capacity</w:t>
            </w:r>
          </w:p>
        </w:tc>
        <w:tc>
          <w:tcPr>
            <w:tcW w:type="dxa" w:w="4608"/>
          </w:tcPr>
          <w:p>
            <w:pPr>
              <w:spacing w:after="40"/>
            </w:pPr>
            <w:r>
              <w:rPr>
                <w:b w:val="0"/>
                <w:sz w:val="17"/>
              </w:rPr>
              <w:t>320 kt fixed until expansion closes</w:t>
            </w:r>
          </w:p>
        </w:tc>
        <w:tc>
          <w:tcPr>
            <w:tcW w:type="dxa" w:w="2736"/>
          </w:tcPr>
          <w:p>
            <w:pPr>
              <w:spacing w:after="40"/>
            </w:pPr>
            <w:r>
              <w:rPr>
                <w:b w:val="0"/>
                <w:sz w:val="17"/>
              </w:rPr>
              <w:t>Caps the upside</w:t>
            </w:r>
          </w:p>
        </w:tc>
      </w:tr>
      <w:tr>
        <w:tc>
          <w:tcPr>
            <w:tcW w:type="dxa" w:w="2448"/>
          </w:tcPr>
          <w:p>
            <w:pPr>
              <w:spacing w:after="40"/>
            </w:pPr>
            <w:r>
              <w:rPr>
                <w:b w:val="0"/>
                <w:sz w:val="17"/>
              </w:rPr>
              <w:t>Ownership</w:t>
            </w:r>
          </w:p>
        </w:tc>
        <w:tc>
          <w:tcPr>
            <w:tcW w:type="dxa" w:w="4608"/>
          </w:tcPr>
          <w:p>
            <w:pPr>
              <w:spacing w:after="40"/>
            </w:pPr>
            <w:r>
              <w:rPr>
                <w:b w:val="0"/>
                <w:sz w:val="17"/>
              </w:rPr>
              <w:t>MIH 89.8%, float ~10%</w:t>
            </w:r>
          </w:p>
        </w:tc>
        <w:tc>
          <w:tcPr>
            <w:tcW w:type="dxa" w:w="2736"/>
          </w:tcPr>
          <w:p>
            <w:pPr>
              <w:spacing w:after="40"/>
            </w:pPr>
            <w:r>
              <w:rPr>
                <w:b w:val="0"/>
                <w:sz w:val="17"/>
              </w:rPr>
              <w:t>Discount + privatization option</w:t>
            </w:r>
          </w:p>
        </w:tc>
      </w:tr>
      <w:tr>
        <w:tc>
          <w:tcPr>
            <w:tcW w:type="dxa" w:w="2448"/>
          </w:tcPr>
          <w:p>
            <w:pPr>
              <w:spacing w:after="40"/>
            </w:pPr>
            <w:r>
              <w:rPr>
                <w:b w:val="0"/>
                <w:sz w:val="17"/>
              </w:rPr>
              <w:t>Growth option</w:t>
            </w:r>
          </w:p>
        </w:tc>
        <w:tc>
          <w:tcPr>
            <w:tcW w:type="dxa" w:w="4608"/>
          </w:tcPr>
          <w:p>
            <w:pPr>
              <w:spacing w:after="40"/>
            </w:pPr>
            <w:r>
              <w:rPr>
                <w:b w:val="0"/>
                <w:sz w:val="17"/>
              </w:rPr>
              <w:t>Trafigura US$900 m toward ~600 kt</w:t>
            </w:r>
          </w:p>
        </w:tc>
        <w:tc>
          <w:tcPr>
            <w:tcW w:type="dxa" w:w="2736"/>
          </w:tcPr>
          <w:p>
            <w:pPr>
              <w:spacing w:after="40"/>
            </w:pPr>
            <w:r>
              <w:rPr>
                <w:b w:val="0"/>
                <w:sz w:val="17"/>
              </w:rPr>
              <w:t>The re-rating case</w:t>
            </w:r>
          </w:p>
        </w:tc>
      </w:tr>
    </w:tbl>
    <w:p>
      <w:pPr>
        <w:spacing w:after="40"/>
      </w:pPr>
    </w:p>
    <w:p>
      <w:pPr>
        <w:spacing w:after="120"/>
      </w:pPr>
      <w:r>
        <w:rPr>
          <w:b w:val="0"/>
          <w:i w:val="0"/>
          <w:sz w:val="19"/>
        </w:rPr>
        <w:t>The scorecard's message: everything that can re-rate this equity — tariff, FX, expansion, float — is decided in Cairo or on the LME, not in Nag Hammadi. Operations are the constant; policy is the variable.</w:t>
      </w:r>
    </w:p>
    <w:p>
      <w:pPr>
        <w:pStyle w:val="Heading2"/>
      </w:pPr>
      <w:r>
        <w:t>1.7  The crux — the tariff and the doubling</w:t>
      </w:r>
    </w:p>
    <w:p>
      <w:pPr>
        <w:spacing w:after="120"/>
      </w:pPr>
      <w:r>
        <w:rPr>
          <w:b w:val="0"/>
          <w:i w:val="0"/>
          <w:sz w:val="19"/>
        </w:rPr>
        <w:t xml:space="preserve">Two judgments drive the valuation more than any other. First, </w:t>
      </w:r>
      <w:r>
        <w:rPr>
          <w:b/>
          <w:i w:val="0"/>
          <w:sz w:val="19"/>
        </w:rPr>
        <w:t>the electricity price</w:t>
      </w:r>
      <w:r>
        <w:rPr>
          <w:b w:val="0"/>
          <w:i w:val="0"/>
          <w:sz w:val="19"/>
        </w:rPr>
        <w:t xml:space="preserve">. A smelter is congealed electricity: at ~14.5 MWh/t, every EGP 0.10/kWh of tariff is roughly EGP 1.45 bn of annual cost on current output — about EGP 2.7 of EPS, or ~EGP 26/share at the base multiple. Egypt has been walking industrial tariffs toward cost-recovery since 2024, and each step lands directly on this margin; the 1.1 GW Scatec solar PPA is management's structural answer (cheaper, CBAM-cleaner power for the expansion era) but delivers over years, not quarters. Our normalized ~30% EBITDA margin already concedes a further tariff step; a full cost-recovery scenario takes the margin toward 24–25% and the central value toward EGP 210. Second, </w:t>
      </w:r>
      <w:r>
        <w:rPr>
          <w:b/>
          <w:i w:val="0"/>
          <w:sz w:val="19"/>
        </w:rPr>
        <w:t>the Trafigura doubling</w:t>
      </w:r>
      <w:r>
        <w:rPr>
          <w:b w:val="0"/>
          <w:i w:val="0"/>
          <w:sz w:val="19"/>
        </w:rPr>
        <w:t>. The 6/10 May 2026 agreements — US$900 m headline, offtake-anchored, EFG Hermes advising — would take capacity toward ~600 kt and transform the EV/tonne math (§1.2). We credit it EGP 4 bn (~EGP 10/share) as a partial option, not the ~EGP 40–60/share a financed, permitted, power-secured project would justify. The market, at EGP 36 above our central, is arguably paying most of the full option today. The gap between a term sheet and a financing close is where this stock's next EGP 50 lives — in either direction.</w:t>
      </w:r>
    </w:p>
    <w:p>
      <w:pPr>
        <w:pStyle w:val="Heading2"/>
      </w:pPr>
      <w:r>
        <w:t>1.8  Macro and country — the pound, the tariff state, CBAM and the rate cycle</w:t>
      </w:r>
    </w:p>
    <w:p>
      <w:pPr>
        <w:spacing w:after="120"/>
      </w:pPr>
      <w:r>
        <w:rPr>
          <w:b w:val="0"/>
          <w:i w:val="0"/>
          <w:sz w:val="19"/>
        </w:rPr>
        <w:t xml:space="preserve">EGAL is the EGX's purest macro instrument. </w:t>
      </w:r>
      <w:r>
        <w:rPr>
          <w:b/>
          <w:i w:val="0"/>
          <w:sz w:val="19"/>
        </w:rPr>
        <w:t>The pound</w:t>
      </w:r>
      <w:r>
        <w:rPr>
          <w:b w:val="0"/>
          <w:i w:val="0"/>
          <w:sz w:val="19"/>
        </w:rPr>
        <w:t xml:space="preserve">: a net exporter with EGP costs, it is long devaluation — the March-2024 float built FY24/25's record — and the 2025–26 appreciation toward EGP 49 is a headwind the FY26/27 budget already concedes; every 1 EGP on the rate is roughly EGP 550 m of revenue on the export book. </w:t>
      </w:r>
      <w:r>
        <w:rPr>
          <w:b/>
          <w:i w:val="0"/>
          <w:sz w:val="19"/>
        </w:rPr>
        <w:t>The rate cycle</w:t>
      </w:r>
      <w:r>
        <w:rPr>
          <w:b w:val="0"/>
          <w:i w:val="0"/>
          <w:sz w:val="19"/>
        </w:rPr>
        <w:t xml:space="preserve">: CBE easing from the 2024 peak cuts the cash pile's interest income (we fade it from EGP 2.3 bn toward 1.5 bn) but lowers the discount rate the market applies to everything — historically a net positive for the multiple. </w:t>
      </w:r>
      <w:r>
        <w:rPr>
          <w:b/>
          <w:i w:val="0"/>
          <w:sz w:val="19"/>
        </w:rPr>
        <w:t>CBAM</w:t>
      </w:r>
      <w:r>
        <w:rPr>
          <w:b w:val="0"/>
          <w:i w:val="0"/>
          <w:sz w:val="19"/>
        </w:rPr>
        <w:t xml:space="preserve">: the EU's carbon border price enters its definitive phase in 2026; grid-powered Egyptian aluminium carries a meaningful embedded-carbon bill against Hydro's hydropower and Alba's gas, and ~60% of exports are EU-bound. The Scatec PPA is the mitigation; the interim cost is a realized-price haircut we carry inside the normalized margin. </w:t>
      </w:r>
      <w:r>
        <w:rPr>
          <w:b/>
          <w:i w:val="0"/>
          <w:sz w:val="19"/>
        </w:rPr>
        <w:t>The state</w:t>
      </w:r>
      <w:r>
        <w:rPr>
          <w:b w:val="0"/>
          <w:i w:val="0"/>
          <w:sz w:val="19"/>
        </w:rPr>
        <w:t>: MIH's 89.8% is both the discount (float, governance) and the option — Egypt's privatization program has repeatedly floated stake-sale candidates, and a genuine secondary offering would be the single fastest multiple re-rater on this register. None of these four levers is operational; all four are priced daily.</w:t>
      </w:r>
    </w:p>
    <w:p>
      <w:pPr>
        <w:pStyle w:val="Heading2"/>
      </w:pPr>
      <w:r>
        <w:t>1.9  DCF sensitivity — WACC against terminal growth</w:t>
      </w:r>
    </w:p>
    <w:p>
      <w:pPr>
        <w:spacing w:after="120"/>
      </w:pPr>
      <w:r>
        <w:rPr>
          <w:b w:val="0"/>
          <w:i w:val="0"/>
          <w:sz w:val="19"/>
        </w:rPr>
        <w:t>Holding the cash-flow path at base, the grid re-prices the DCF across the cost of capital and nominal terminal growth. The market price of EGP 286 is consistent with roughly a 19% WACC on 12.5% growth — i.e. the market is already discounting at bull-case rates.</w:t>
      </w:r>
    </w:p>
    <w:p>
      <w:pPr>
        <w:jc w:val="center"/>
      </w:pPr>
      <w:r>
        <w:drawing>
          <wp:inline xmlns:a="http://schemas.openxmlformats.org/drawingml/2006/main" xmlns:pic="http://schemas.openxmlformats.org/drawingml/2006/picture">
            <wp:extent cx="5852160" cy="2763520"/>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852160" cy="2763520"/>
                    </a:xfrm>
                    <a:prstGeom prst="rect"/>
                  </pic:spPr>
                </pic:pic>
              </a:graphicData>
            </a:graphic>
          </wp:inline>
        </w:drawing>
      </w:r>
    </w:p>
    <w:p>
      <w:pPr>
        <w:spacing w:after="160"/>
      </w:pPr>
      <w:r>
        <w:rPr>
          <w:b w:val="0"/>
          <w:i/>
          <w:sz w:val="17"/>
        </w:rPr>
        <w:t>Figure 2 — DCF value per share (EGP) across WACC × terminal growth; the live grid is on the model's Sensitivity sheet.</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4176"/>
            <w:shd w:val="clear" w:fill="1C3A36"/>
          </w:tcPr>
          <w:p>
            <w:pPr>
              <w:spacing w:after="40"/>
            </w:pPr>
            <w:r>
              <w:rPr>
                <w:b/>
                <w:color w:val="FFFFFF"/>
                <w:sz w:val="17"/>
              </w:rPr>
              <w:t>Scenario</w:t>
            </w:r>
          </w:p>
        </w:tc>
        <w:tc>
          <w:tcPr>
            <w:tcW w:type="dxa" w:w="1872"/>
            <w:shd w:val="clear" w:fill="1C3A36"/>
          </w:tcPr>
          <w:p>
            <w:pPr>
              <w:spacing w:after="40"/>
            </w:pPr>
            <w:r>
              <w:rPr>
                <w:b/>
                <w:color w:val="FFFFFF"/>
                <w:sz w:val="17"/>
              </w:rPr>
              <w:t>WACC</w:t>
            </w:r>
          </w:p>
        </w:tc>
        <w:tc>
          <w:tcPr>
            <w:tcW w:type="dxa" w:w="1872"/>
            <w:shd w:val="clear" w:fill="1C3A36"/>
          </w:tcPr>
          <w:p>
            <w:pPr>
              <w:spacing w:after="40"/>
            </w:pPr>
            <w:r>
              <w:rPr>
                <w:b/>
                <w:color w:val="FFFFFF"/>
                <w:sz w:val="17"/>
              </w:rPr>
              <w:t>g</w:t>
            </w:r>
          </w:p>
        </w:tc>
        <w:tc>
          <w:tcPr>
            <w:tcW w:type="dxa" w:w="1872"/>
            <w:shd w:val="clear" w:fill="1C3A36"/>
          </w:tcPr>
          <w:p>
            <w:pPr>
              <w:spacing w:after="40"/>
            </w:pPr>
            <w:r>
              <w:rPr>
                <w:b/>
                <w:color w:val="FFFFFF"/>
                <w:sz w:val="17"/>
              </w:rPr>
              <w:t>Value (EGP)</w:t>
            </w:r>
          </w:p>
        </w:tc>
      </w:tr>
      <w:tr>
        <w:tc>
          <w:tcPr>
            <w:tcW w:type="dxa" w:w="4176"/>
          </w:tcPr>
          <w:p>
            <w:pPr>
              <w:spacing w:after="40"/>
            </w:pPr>
            <w:r>
              <w:rPr>
                <w:b w:val="0"/>
                <w:sz w:val="17"/>
              </w:rPr>
              <w:t>Bear — rates stay high</w:t>
            </w:r>
          </w:p>
        </w:tc>
        <w:tc>
          <w:tcPr>
            <w:tcW w:type="dxa" w:w="1872"/>
          </w:tcPr>
          <w:p>
            <w:pPr>
              <w:spacing w:after="40"/>
              <w:jc w:val="right"/>
            </w:pPr>
            <w:r>
              <w:rPr>
                <w:b w:val="0"/>
                <w:sz w:val="17"/>
              </w:rPr>
              <w:t>23.0%</w:t>
            </w:r>
          </w:p>
        </w:tc>
        <w:tc>
          <w:tcPr>
            <w:tcW w:type="dxa" w:w="1872"/>
          </w:tcPr>
          <w:p>
            <w:pPr>
              <w:spacing w:after="40"/>
              <w:jc w:val="right"/>
            </w:pPr>
            <w:r>
              <w:rPr>
                <w:b w:val="0"/>
                <w:sz w:val="17"/>
              </w:rPr>
              <w:t>11.0%</w:t>
            </w:r>
          </w:p>
        </w:tc>
        <w:tc>
          <w:tcPr>
            <w:tcW w:type="dxa" w:w="1872"/>
          </w:tcPr>
          <w:p>
            <w:pPr>
              <w:spacing w:after="40"/>
              <w:jc w:val="right"/>
            </w:pPr>
            <w:r>
              <w:rPr>
                <w:b w:val="0"/>
                <w:sz w:val="17"/>
              </w:rPr>
              <w:t>≈205</w:t>
            </w:r>
          </w:p>
        </w:tc>
      </w:tr>
      <w:tr>
        <w:tc>
          <w:tcPr>
            <w:tcW w:type="dxa" w:w="4176"/>
          </w:tcPr>
          <w:p>
            <w:pPr>
              <w:spacing w:after="40"/>
            </w:pPr>
            <w:r>
              <w:rPr>
                <w:b w:val="0"/>
                <w:sz w:val="17"/>
              </w:rPr>
              <w:t>Base</w:t>
            </w:r>
          </w:p>
        </w:tc>
        <w:tc>
          <w:tcPr>
            <w:tcW w:type="dxa" w:w="1872"/>
          </w:tcPr>
          <w:p>
            <w:pPr>
              <w:spacing w:after="40"/>
              <w:jc w:val="right"/>
            </w:pPr>
            <w:r>
              <w:rPr>
                <w:b w:val="0"/>
                <w:sz w:val="17"/>
              </w:rPr>
              <w:t>20.0%</w:t>
            </w:r>
          </w:p>
        </w:tc>
        <w:tc>
          <w:tcPr>
            <w:tcW w:type="dxa" w:w="1872"/>
          </w:tcPr>
          <w:p>
            <w:pPr>
              <w:spacing w:after="40"/>
              <w:jc w:val="right"/>
            </w:pPr>
            <w:r>
              <w:rPr>
                <w:b w:val="0"/>
                <w:sz w:val="17"/>
              </w:rPr>
              <w:t>12.0%</w:t>
            </w:r>
          </w:p>
        </w:tc>
        <w:tc>
          <w:tcPr>
            <w:tcW w:type="dxa" w:w="1872"/>
          </w:tcPr>
          <w:p>
            <w:pPr>
              <w:spacing w:after="40"/>
              <w:jc w:val="right"/>
            </w:pPr>
            <w:r>
              <w:rPr>
                <w:b w:val="0"/>
                <w:sz w:val="17"/>
              </w:rPr>
              <w:t>268</w:t>
            </w:r>
          </w:p>
        </w:tc>
      </w:tr>
      <w:tr>
        <w:tc>
          <w:tcPr>
            <w:tcW w:type="dxa" w:w="4176"/>
          </w:tcPr>
          <w:p>
            <w:pPr>
              <w:spacing w:after="40"/>
            </w:pPr>
            <w:r>
              <w:rPr>
                <w:b w:val="0"/>
                <w:sz w:val="17"/>
              </w:rPr>
              <w:t>Bull — easing cycle completes</w:t>
            </w:r>
          </w:p>
        </w:tc>
        <w:tc>
          <w:tcPr>
            <w:tcW w:type="dxa" w:w="1872"/>
          </w:tcPr>
          <w:p>
            <w:pPr>
              <w:spacing w:after="40"/>
              <w:jc w:val="right"/>
            </w:pPr>
            <w:r>
              <w:rPr>
                <w:b w:val="0"/>
                <w:sz w:val="17"/>
              </w:rPr>
              <w:t>18.5%</w:t>
            </w:r>
          </w:p>
        </w:tc>
        <w:tc>
          <w:tcPr>
            <w:tcW w:type="dxa" w:w="1872"/>
          </w:tcPr>
          <w:p>
            <w:pPr>
              <w:spacing w:after="40"/>
              <w:jc w:val="right"/>
            </w:pPr>
            <w:r>
              <w:rPr>
                <w:b w:val="0"/>
                <w:sz w:val="17"/>
              </w:rPr>
              <w:t>13.0%</w:t>
            </w:r>
          </w:p>
        </w:tc>
        <w:tc>
          <w:tcPr>
            <w:tcW w:type="dxa" w:w="1872"/>
          </w:tcPr>
          <w:p>
            <w:pPr>
              <w:spacing w:after="40"/>
              <w:jc w:val="right"/>
            </w:pPr>
            <w:r>
              <w:rPr>
                <w:b w:val="0"/>
                <w:sz w:val="17"/>
              </w:rPr>
              <w:t>≈385</w:t>
            </w:r>
          </w:p>
        </w:tc>
      </w:tr>
    </w:tbl>
    <w:p>
      <w:pPr>
        <w:spacing w:after="40"/>
      </w:pPr>
    </w:p>
    <w:p>
      <w:pPr>
        <w:pStyle w:val="Heading1"/>
      </w:pPr>
      <w:r>
        <w:t>2  Technical and price structure</w:t>
      </w:r>
    </w:p>
    <w:p>
      <w:pPr>
        <w:spacing w:after="120"/>
      </w:pPr>
      <w:r>
        <w:rPr>
          <w:b w:val="0"/>
          <w:i w:val="0"/>
          <w:sz w:val="19"/>
        </w:rPr>
        <w:t>The tape is a strong trend catching its breath. EGAL has risen roughly 25-fold over the five-and-a-half-year sample — the post-float re-rating of a dollar-earning exporter — and the last quarter is the first genuine consolidation since late-2024: price sits below the 20-day (EGP 301) and 50-day (307) averages and fractionally below the 100-day (288), while the 200-day (244) still trails ~15% beneath spot. RSI at 39 is soft but nowhere near oversold; the MACD histogram is negative and shallowing. Structure: the March-2026 high at EGP 338 caps the range, the 200-day and the EGP 240–250 shelf (which coincides with our fundamental central) mark the supports that matter.</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3264"/>
        <w:gridCol w:w="3264"/>
        <w:gridCol w:w="3264"/>
      </w:tblGrid>
      <w:tr>
        <w:tc>
          <w:tcPr>
            <w:tcW w:type="dxa" w:w="2448"/>
            <w:shd w:val="clear" w:fill="1C3A36"/>
          </w:tcPr>
          <w:p>
            <w:pPr>
              <w:spacing w:after="40"/>
            </w:pPr>
            <w:r>
              <w:rPr>
                <w:b/>
                <w:color w:val="FFFFFF"/>
                <w:sz w:val="17"/>
              </w:rPr>
              <w:t>Indicator</w:t>
            </w:r>
          </w:p>
        </w:tc>
        <w:tc>
          <w:tcPr>
            <w:tcW w:type="dxa" w:w="3744"/>
            <w:shd w:val="clear" w:fill="1C3A36"/>
          </w:tcPr>
          <w:p>
            <w:pPr>
              <w:spacing w:after="40"/>
            </w:pPr>
            <w:r>
              <w:rPr>
                <w:b/>
                <w:color w:val="FFFFFF"/>
                <w:sz w:val="17"/>
              </w:rPr>
              <w:t>Reading</w:t>
            </w:r>
          </w:p>
        </w:tc>
        <w:tc>
          <w:tcPr>
            <w:tcW w:type="dxa" w:w="3600"/>
            <w:shd w:val="clear" w:fill="1C3A36"/>
          </w:tcPr>
          <w:p>
            <w:pPr>
              <w:spacing w:after="40"/>
            </w:pPr>
            <w:r>
              <w:rPr>
                <w:b/>
                <w:color w:val="FFFFFF"/>
                <w:sz w:val="17"/>
              </w:rPr>
              <w:t>Signal</w:t>
            </w:r>
          </w:p>
        </w:tc>
      </w:tr>
      <w:tr>
        <w:tc>
          <w:tcPr>
            <w:tcW w:type="dxa" w:w="2448"/>
          </w:tcPr>
          <w:p>
            <w:pPr>
              <w:spacing w:after="40"/>
            </w:pPr>
            <w:r>
              <w:rPr>
                <w:b w:val="0"/>
                <w:sz w:val="17"/>
              </w:rPr>
              <w:t>Spot</w:t>
            </w:r>
          </w:p>
        </w:tc>
        <w:tc>
          <w:tcPr>
            <w:tcW w:type="dxa" w:w="3744"/>
          </w:tcPr>
          <w:p>
            <w:pPr>
              <w:spacing w:after="40"/>
            </w:pPr>
            <w:r>
              <w:rPr>
                <w:b w:val="0"/>
                <w:sz w:val="17"/>
              </w:rPr>
              <w:t>EGP 285.88</w:t>
            </w:r>
          </w:p>
        </w:tc>
        <w:tc>
          <w:tcPr>
            <w:tcW w:type="dxa" w:w="3600"/>
          </w:tcPr>
          <w:p>
            <w:pPr>
              <w:spacing w:after="40"/>
            </w:pPr>
            <w:r>
              <w:rPr>
                <w:b w:val="0"/>
                <w:sz w:val="17"/>
              </w:rPr>
              <w:t>—</w:t>
            </w:r>
          </w:p>
        </w:tc>
      </w:tr>
      <w:tr>
        <w:tc>
          <w:tcPr>
            <w:tcW w:type="dxa" w:w="2448"/>
          </w:tcPr>
          <w:p>
            <w:pPr>
              <w:spacing w:after="40"/>
            </w:pPr>
            <w:r>
              <w:rPr>
                <w:b w:val="0"/>
                <w:sz w:val="17"/>
              </w:rPr>
              <w:t>SMA 20 / 50</w:t>
            </w:r>
          </w:p>
        </w:tc>
        <w:tc>
          <w:tcPr>
            <w:tcW w:type="dxa" w:w="3744"/>
          </w:tcPr>
          <w:p>
            <w:pPr>
              <w:spacing w:after="40"/>
            </w:pPr>
            <w:r>
              <w:rPr>
                <w:b w:val="0"/>
                <w:sz w:val="17"/>
              </w:rPr>
              <w:t>EGP 301 / 307</w:t>
            </w:r>
          </w:p>
        </w:tc>
        <w:tc>
          <w:tcPr>
            <w:tcW w:type="dxa" w:w="3600"/>
          </w:tcPr>
          <w:p>
            <w:pPr>
              <w:spacing w:after="40"/>
            </w:pPr>
            <w:r>
              <w:rPr>
                <w:b w:val="0"/>
                <w:sz w:val="17"/>
              </w:rPr>
              <w:t>Below both — short-term corrective</w:t>
            </w:r>
          </w:p>
        </w:tc>
      </w:tr>
      <w:tr>
        <w:tc>
          <w:tcPr>
            <w:tcW w:type="dxa" w:w="2448"/>
          </w:tcPr>
          <w:p>
            <w:pPr>
              <w:spacing w:after="40"/>
            </w:pPr>
            <w:r>
              <w:rPr>
                <w:b w:val="0"/>
                <w:sz w:val="17"/>
              </w:rPr>
              <w:t>SMA 100 / 200</w:t>
            </w:r>
          </w:p>
        </w:tc>
        <w:tc>
          <w:tcPr>
            <w:tcW w:type="dxa" w:w="3744"/>
          </w:tcPr>
          <w:p>
            <w:pPr>
              <w:spacing w:after="40"/>
            </w:pPr>
            <w:r>
              <w:rPr>
                <w:b w:val="0"/>
                <w:sz w:val="17"/>
              </w:rPr>
              <w:t>EGP 288 / 244</w:t>
            </w:r>
          </w:p>
        </w:tc>
        <w:tc>
          <w:tcPr>
            <w:tcW w:type="dxa" w:w="3600"/>
          </w:tcPr>
          <w:p>
            <w:pPr>
              <w:spacing w:after="40"/>
            </w:pPr>
            <w:r>
              <w:rPr>
                <w:b w:val="0"/>
                <w:sz w:val="17"/>
              </w:rPr>
              <w:t>At the 100; well above the 200 — primary trend intact</w:t>
            </w:r>
          </w:p>
        </w:tc>
      </w:tr>
      <w:tr>
        <w:tc>
          <w:tcPr>
            <w:tcW w:type="dxa" w:w="2448"/>
          </w:tcPr>
          <w:p>
            <w:pPr>
              <w:spacing w:after="40"/>
            </w:pPr>
            <w:r>
              <w:rPr>
                <w:b w:val="0"/>
                <w:sz w:val="17"/>
              </w:rPr>
              <w:t>RSI (14)</w:t>
            </w:r>
          </w:p>
        </w:tc>
        <w:tc>
          <w:tcPr>
            <w:tcW w:type="dxa" w:w="3744"/>
          </w:tcPr>
          <w:p>
            <w:pPr>
              <w:spacing w:after="40"/>
            </w:pPr>
            <w:r>
              <w:rPr>
                <w:b w:val="0"/>
                <w:sz w:val="17"/>
              </w:rPr>
              <w:t>38.6</w:t>
            </w:r>
          </w:p>
        </w:tc>
        <w:tc>
          <w:tcPr>
            <w:tcW w:type="dxa" w:w="3600"/>
          </w:tcPr>
          <w:p>
            <w:pPr>
              <w:spacing w:after="40"/>
            </w:pPr>
            <w:r>
              <w:rPr>
                <w:b w:val="0"/>
                <w:sz w:val="17"/>
              </w:rPr>
              <w:t>Soft, not oversold</w:t>
            </w:r>
          </w:p>
        </w:tc>
      </w:tr>
      <w:tr>
        <w:tc>
          <w:tcPr>
            <w:tcW w:type="dxa" w:w="2448"/>
          </w:tcPr>
          <w:p>
            <w:pPr>
              <w:spacing w:after="40"/>
            </w:pPr>
            <w:r>
              <w:rPr>
                <w:b w:val="0"/>
                <w:sz w:val="17"/>
              </w:rPr>
              <w:t>MACD (12,26,9)</w:t>
            </w:r>
          </w:p>
        </w:tc>
        <w:tc>
          <w:tcPr>
            <w:tcW w:type="dxa" w:w="3744"/>
          </w:tcPr>
          <w:p>
            <w:pPr>
              <w:spacing w:after="40"/>
            </w:pPr>
            <w:r>
              <w:rPr>
                <w:b w:val="0"/>
                <w:sz w:val="17"/>
              </w:rPr>
              <w:t>-8.9 line / -6.8 signal / -2.1 hist</w:t>
            </w:r>
          </w:p>
        </w:tc>
        <w:tc>
          <w:tcPr>
            <w:tcW w:type="dxa" w:w="3600"/>
          </w:tcPr>
          <w:p>
            <w:pPr>
              <w:spacing w:after="40"/>
            </w:pPr>
            <w:r>
              <w:rPr>
                <w:b w:val="0"/>
                <w:sz w:val="17"/>
              </w:rPr>
              <w:t>Bearish, momentum fading at a slowing rate</w:t>
            </w:r>
          </w:p>
        </w:tc>
      </w:tr>
      <w:tr>
        <w:tc>
          <w:tcPr>
            <w:tcW w:type="dxa" w:w="2448"/>
          </w:tcPr>
          <w:p>
            <w:pPr>
              <w:spacing w:after="40"/>
            </w:pPr>
            <w:r>
              <w:rPr>
                <w:b w:val="0"/>
                <w:sz w:val="17"/>
              </w:rPr>
              <w:t>52-week range</w:t>
            </w:r>
          </w:p>
        </w:tc>
        <w:tc>
          <w:tcPr>
            <w:tcW w:type="dxa" w:w="3744"/>
          </w:tcPr>
          <w:p>
            <w:pPr>
              <w:spacing w:after="40"/>
            </w:pPr>
            <w:r>
              <w:rPr>
                <w:b w:val="0"/>
                <w:sz w:val="17"/>
              </w:rPr>
              <w:t>EGP 152.01 – 338.00</w:t>
            </w:r>
          </w:p>
        </w:tc>
        <w:tc>
          <w:tcPr>
            <w:tcW w:type="dxa" w:w="3600"/>
          </w:tcPr>
          <w:p>
            <w:pPr>
              <w:spacing w:after="40"/>
            </w:pPr>
            <w:r>
              <w:rPr>
                <w:b w:val="0"/>
                <w:sz w:val="17"/>
              </w:rPr>
              <w:t>Upper-middle of range</w:t>
            </w:r>
          </w:p>
        </w:tc>
      </w:tr>
      <w:tr>
        <w:tc>
          <w:tcPr>
            <w:tcW w:type="dxa" w:w="2448"/>
          </w:tcPr>
          <w:p>
            <w:pPr>
              <w:spacing w:after="40"/>
            </w:pPr>
            <w:r>
              <w:rPr>
                <w:b w:val="0"/>
                <w:sz w:val="17"/>
              </w:rPr>
              <w:t>Realized vol (252d)</w:t>
            </w:r>
          </w:p>
        </w:tc>
        <w:tc>
          <w:tcPr>
            <w:tcW w:type="dxa" w:w="3744"/>
          </w:tcPr>
          <w:p>
            <w:pPr>
              <w:spacing w:after="40"/>
            </w:pPr>
            <w:r>
              <w:rPr>
                <w:b w:val="0"/>
                <w:sz w:val="17"/>
              </w:rPr>
              <w:t>42.4%</w:t>
            </w:r>
          </w:p>
        </w:tc>
        <w:tc>
          <w:tcPr>
            <w:tcW w:type="dxa" w:w="3600"/>
          </w:tcPr>
          <w:p>
            <w:pPr>
              <w:spacing w:after="40"/>
            </w:pPr>
            <w:r>
              <w:rPr>
                <w:b w:val="0"/>
                <w:sz w:val="17"/>
              </w:rPr>
              <w:t>Elevated — a frontier single-name</w:t>
            </w:r>
          </w:p>
        </w:tc>
      </w:tr>
    </w:tbl>
    <w:p>
      <w:pPr>
        <w:spacing w:after="40"/>
      </w:pPr>
    </w:p>
    <w:p>
      <w:pPr>
        <w:jc w:val="center"/>
      </w:pPr>
      <w:r>
        <w:drawing>
          <wp:inline xmlns:a="http://schemas.openxmlformats.org/drawingml/2006/main" xmlns:pic="http://schemas.openxmlformats.org/drawingml/2006/picture">
            <wp:extent cx="5852160" cy="2569241"/>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569241"/>
                    </a:xfrm>
                    <a:prstGeom prst="rect"/>
                  </pic:spPr>
                </pic:pic>
              </a:graphicData>
            </a:graphic>
          </wp:inline>
        </w:drawing>
      </w:r>
    </w:p>
    <w:p>
      <w:pPr>
        <w:spacing w:after="160"/>
      </w:pPr>
      <w:r>
        <w:rPr>
          <w:b w:val="0"/>
          <w:i/>
          <w:sz w:val="17"/>
        </w:rPr>
        <w:t>Figure 3 — Price versus the moving-average stack, last 260 sessions.</w:t>
      </w:r>
    </w:p>
    <w:p>
      <w:pPr>
        <w:spacing w:after="120"/>
      </w:pPr>
      <w:r>
        <w:rPr>
          <w:b w:val="0"/>
          <w:i w:val="0"/>
          <w:sz w:val="19"/>
        </w:rPr>
        <w:t>For the probabilistic work this matters in one way: a below-short-trend, above-long-trend tape is exactly the configuration where a secular-drift engine earns its keep or breaks — §3's drift is on because five years of EGAL's own distribution, tested out-of-sample in Appendix B, says it should be. The near-term correction widens the left tail; it does not, on the evidence, end the regime.</w:t>
      </w:r>
    </w:p>
    <w:p>
      <w:pPr>
        <w:pStyle w:val="Heading1"/>
      </w:pPr>
      <w:r>
        <w:t>3  Monte Carlo — a probabilistic price map</w:t>
      </w:r>
    </w:p>
    <w:p>
      <w:pPr>
        <w:spacing w:after="120"/>
      </w:pPr>
      <w:r>
        <w:rPr>
          <w:b w:val="0"/>
          <w:i w:val="0"/>
          <w:sz w:val="19"/>
        </w:rPr>
        <w:t xml:space="preserve">We simulate 50,000 three-month price paths (seed 42) with the house v2 engine. </w:t>
      </w:r>
      <w:r>
        <w:rPr>
          <w:b/>
          <w:i w:val="0"/>
          <w:sz w:val="19"/>
        </w:rPr>
        <w:t>Width</w:t>
      </w:r>
      <w:r>
        <w:rPr>
          <w:b w:val="0"/>
          <w:i w:val="0"/>
          <w:sz w:val="19"/>
        </w:rPr>
        <w:t xml:space="preserve"> is set by a pooled log-HAR variance cascade (lags 1/5/22) on a gap-aware Yang-Zhang OHLC proxy — regime-conditional by construction — which reads the current tape at an annualized ≈40%, slightly below the trailing 252-day 42% because the recent consolidation is calmer than the year's storms. </w:t>
      </w:r>
      <w:r>
        <w:rPr>
          <w:b/>
          <w:i w:val="0"/>
          <w:sz w:val="19"/>
        </w:rPr>
        <w:t>Shape</w:t>
      </w:r>
      <w:r>
        <w:rPr>
          <w:b w:val="0"/>
          <w:i w:val="0"/>
          <w:sz w:val="19"/>
        </w:rPr>
        <w:t xml:space="preserve"> is unit-variance Student-t(5) via a per-path variance mixture: a tighter interquartile body and honest tails. </w:t>
      </w:r>
      <w:r>
        <w:rPr>
          <w:b/>
          <w:i w:val="0"/>
          <w:sz w:val="19"/>
        </w:rPr>
        <w:t>Drift</w:t>
      </w:r>
      <w:r>
        <w:rPr>
          <w:b w:val="0"/>
          <w:i w:val="0"/>
          <w:sz w:val="19"/>
        </w:rPr>
        <w:t xml:space="preserve"> is asset-class-conditional and, for EGAL, ON: the Step-0 backtest (Appendix B) shows the zero-drift configuration fails against the benchmark (CRPS skill −0.08, PIT piled in the top bins) while the secular configuration — the expanding mean of the name's own daily log-returns, ≈+15.6% over 60 sessions today — beats it (+0.15). On top sit sixteen factors: seven continuous drivers contributing a small net drift (-0.2%) and nine discrete events (net expected +0.7%). </w:t>
      </w:r>
      <w:r>
        <w:rPr>
          <w:b/>
          <w:i w:val="0"/>
          <w:sz w:val="19"/>
        </w:rPr>
        <w:t>By design the paths diffuse from spot and the §1 value gap is kept out of the drift</w:t>
      </w:r>
      <w:r>
        <w:rPr>
          <w:b w:val="0"/>
          <w:i w:val="0"/>
          <w:sz w:val="19"/>
        </w:rPr>
        <w:t xml:space="preserve"> — the ~12% fundamental discount lives in §1 only; what §3 carries is the tape's own validated momentum, a different and independently tested claim.</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1958"/>
        <w:gridCol w:w="1958"/>
        <w:gridCol w:w="1958"/>
        <w:gridCol w:w="1958"/>
        <w:gridCol w:w="1958"/>
      </w:tblGrid>
      <w:tr>
        <w:tc>
          <w:tcPr>
            <w:tcW w:type="dxa" w:w="3096"/>
            <w:shd w:val="clear" w:fill="1C3A36"/>
          </w:tcPr>
          <w:p>
            <w:pPr>
              <w:spacing w:after="40"/>
            </w:pPr>
            <w:r>
              <w:rPr>
                <w:b/>
                <w:color w:val="FFFFFF"/>
                <w:sz w:val="17"/>
              </w:rPr>
              <w:t>Continuous factor (7)</w:t>
            </w:r>
          </w:p>
        </w:tc>
        <w:tc>
          <w:tcPr>
            <w:tcW w:type="dxa" w:w="720"/>
            <w:shd w:val="clear" w:fill="1C3A36"/>
          </w:tcPr>
          <w:p>
            <w:pPr>
              <w:spacing w:after="40"/>
            </w:pPr>
            <w:r>
              <w:rPr>
                <w:b/>
                <w:color w:val="FFFFFF"/>
                <w:sz w:val="17"/>
              </w:rPr>
              <w:t>Dir.</w:t>
            </w:r>
          </w:p>
        </w:tc>
        <w:tc>
          <w:tcPr>
            <w:tcW w:type="dxa" w:w="3384"/>
            <w:shd w:val="clear" w:fill="1C3A36"/>
          </w:tcPr>
          <w:p>
            <w:pPr>
              <w:spacing w:after="40"/>
            </w:pPr>
            <w:r>
              <w:rPr>
                <w:b/>
                <w:color w:val="FFFFFF"/>
                <w:sz w:val="17"/>
              </w:rPr>
              <w:t>Discrete event (9)</w:t>
            </w:r>
          </w:p>
        </w:tc>
        <w:tc>
          <w:tcPr>
            <w:tcW w:type="dxa" w:w="1008"/>
            <w:shd w:val="clear" w:fill="1C3A36"/>
          </w:tcPr>
          <w:p>
            <w:pPr>
              <w:spacing w:after="40"/>
            </w:pPr>
            <w:r>
              <w:rPr>
                <w:b/>
                <w:color w:val="FFFFFF"/>
                <w:sz w:val="17"/>
              </w:rPr>
              <w:t>Prob.</w:t>
            </w:r>
          </w:p>
        </w:tc>
        <w:tc>
          <w:tcPr>
            <w:tcW w:type="dxa" w:w="1440"/>
            <w:shd w:val="clear" w:fill="1C3A36"/>
          </w:tcPr>
          <w:p>
            <w:pPr>
              <w:spacing w:after="40"/>
            </w:pPr>
            <w:r>
              <w:rPr>
                <w:b/>
                <w:color w:val="FFFFFF"/>
                <w:sz w:val="17"/>
              </w:rPr>
              <w:t>Mean impact</w:t>
            </w:r>
          </w:p>
        </w:tc>
      </w:tr>
      <w:tr>
        <w:tc>
          <w:tcPr>
            <w:tcW w:type="dxa" w:w="3096"/>
          </w:tcPr>
          <w:p>
            <w:pPr>
              <w:spacing w:after="40"/>
            </w:pPr>
            <w:r>
              <w:rPr>
                <w:b w:val="0"/>
                <w:sz w:val="17"/>
              </w:rPr>
              <w:t>LME aluminium price trend</w:t>
            </w:r>
          </w:p>
        </w:tc>
        <w:tc>
          <w:tcPr>
            <w:tcW w:type="dxa" w:w="720"/>
          </w:tcPr>
          <w:p>
            <w:pPr>
              <w:spacing w:after="40"/>
            </w:pPr>
            <w:r>
              <w:rPr>
                <w:b w:val="0"/>
                <w:sz w:val="17"/>
              </w:rPr>
              <w:t>+</w:t>
            </w:r>
          </w:p>
        </w:tc>
        <w:tc>
          <w:tcPr>
            <w:tcW w:type="dxa" w:w="3384"/>
          </w:tcPr>
          <w:p>
            <w:pPr>
              <w:spacing w:after="40"/>
            </w:pPr>
            <w:r>
              <w:rPr>
                <w:b w:val="0"/>
                <w:sz w:val="17"/>
              </w:rPr>
              <w:t>FY25/26 results &amp; dividend decision</w:t>
            </w:r>
          </w:p>
        </w:tc>
        <w:tc>
          <w:tcPr>
            <w:tcW w:type="dxa" w:w="1008"/>
          </w:tcPr>
          <w:p>
            <w:pPr>
              <w:spacing w:after="40"/>
            </w:pPr>
            <w:r>
              <w:rPr>
                <w:b w:val="0"/>
                <w:sz w:val="17"/>
              </w:rPr>
              <w:t>55%</w:t>
            </w:r>
          </w:p>
        </w:tc>
        <w:tc>
          <w:tcPr>
            <w:tcW w:type="dxa" w:w="1440"/>
          </w:tcPr>
          <w:p>
            <w:pPr>
              <w:spacing w:after="40"/>
            </w:pPr>
            <w:r>
              <w:rPr>
                <w:b w:val="0"/>
                <w:sz w:val="17"/>
              </w:rPr>
              <w:t>+3.0%</w:t>
            </w:r>
          </w:p>
        </w:tc>
      </w:tr>
      <w:tr>
        <w:tc>
          <w:tcPr>
            <w:tcW w:type="dxa" w:w="3096"/>
          </w:tcPr>
          <w:p>
            <w:pPr>
              <w:spacing w:after="40"/>
            </w:pPr>
            <w:r>
              <w:rPr>
                <w:b w:val="0"/>
                <w:sz w:val="17"/>
              </w:rPr>
              <w:t>EGP/USD path (appreciation bias)</w:t>
            </w:r>
          </w:p>
        </w:tc>
        <w:tc>
          <w:tcPr>
            <w:tcW w:type="dxa" w:w="720"/>
          </w:tcPr>
          <w:p>
            <w:pPr>
              <w:spacing w:after="40"/>
            </w:pPr>
            <w:r>
              <w:rPr>
                <w:b w:val="0"/>
                <w:sz w:val="17"/>
              </w:rPr>
              <w:t>−</w:t>
            </w:r>
          </w:p>
        </w:tc>
        <w:tc>
          <w:tcPr>
            <w:tcW w:type="dxa" w:w="3384"/>
          </w:tcPr>
          <w:p>
            <w:pPr>
              <w:spacing w:after="40"/>
            </w:pPr>
            <w:r>
              <w:rPr>
                <w:b w:val="0"/>
                <w:sz w:val="17"/>
              </w:rPr>
              <w:t>Trafigura definitive agreements / financing</w:t>
            </w:r>
          </w:p>
        </w:tc>
        <w:tc>
          <w:tcPr>
            <w:tcW w:type="dxa" w:w="1008"/>
          </w:tcPr>
          <w:p>
            <w:pPr>
              <w:spacing w:after="40"/>
            </w:pPr>
            <w:r>
              <w:rPr>
                <w:b w:val="0"/>
                <w:sz w:val="17"/>
              </w:rPr>
              <w:t>35%</w:t>
            </w:r>
          </w:p>
        </w:tc>
        <w:tc>
          <w:tcPr>
            <w:tcW w:type="dxa" w:w="1440"/>
          </w:tcPr>
          <w:p>
            <w:pPr>
              <w:spacing w:after="40"/>
            </w:pPr>
            <w:r>
              <w:rPr>
                <w:b w:val="0"/>
                <w:sz w:val="17"/>
              </w:rPr>
              <w:t>+5.0%</w:t>
            </w:r>
          </w:p>
        </w:tc>
      </w:tr>
      <w:tr>
        <w:tc>
          <w:tcPr>
            <w:tcW w:type="dxa" w:w="3096"/>
          </w:tcPr>
          <w:p>
            <w:pPr>
              <w:spacing w:after="40"/>
            </w:pPr>
            <w:r>
              <w:rPr>
                <w:b w:val="0"/>
                <w:sz w:val="17"/>
              </w:rPr>
              <w:t>EGX30 &amp; foreign flows</w:t>
            </w:r>
          </w:p>
        </w:tc>
        <w:tc>
          <w:tcPr>
            <w:tcW w:type="dxa" w:w="720"/>
          </w:tcPr>
          <w:p>
            <w:pPr>
              <w:spacing w:after="40"/>
            </w:pPr>
            <w:r>
              <w:rPr>
                <w:b w:val="0"/>
                <w:sz w:val="17"/>
              </w:rPr>
              <w:t>+</w:t>
            </w:r>
          </w:p>
        </w:tc>
        <w:tc>
          <w:tcPr>
            <w:tcW w:type="dxa" w:w="3384"/>
          </w:tcPr>
          <w:p>
            <w:pPr>
              <w:spacing w:after="40"/>
            </w:pPr>
            <w:r>
              <w:rPr>
                <w:b w:val="0"/>
                <w:sz w:val="17"/>
              </w:rPr>
              <w:t>Industrial electricity tariff hike</w:t>
            </w:r>
          </w:p>
        </w:tc>
        <w:tc>
          <w:tcPr>
            <w:tcW w:type="dxa" w:w="1008"/>
          </w:tcPr>
          <w:p>
            <w:pPr>
              <w:spacing w:after="40"/>
            </w:pPr>
            <w:r>
              <w:rPr>
                <w:b w:val="0"/>
                <w:sz w:val="17"/>
              </w:rPr>
              <w:t>40%</w:t>
            </w:r>
          </w:p>
        </w:tc>
        <w:tc>
          <w:tcPr>
            <w:tcW w:type="dxa" w:w="1440"/>
          </w:tcPr>
          <w:p>
            <w:pPr>
              <w:spacing w:after="40"/>
            </w:pPr>
            <w:r>
              <w:rPr>
                <w:b w:val="0"/>
                <w:sz w:val="17"/>
              </w:rPr>
              <w:t>−5.0%</w:t>
            </w:r>
          </w:p>
        </w:tc>
      </w:tr>
      <w:tr>
        <w:tc>
          <w:tcPr>
            <w:tcW w:type="dxa" w:w="3096"/>
          </w:tcPr>
          <w:p>
            <w:pPr>
              <w:spacing w:after="40"/>
            </w:pPr>
            <w:r>
              <w:rPr>
                <w:b w:val="0"/>
                <w:sz w:val="17"/>
              </w:rPr>
              <w:t>Electricity &amp; energy cost trajectory</w:t>
            </w:r>
          </w:p>
        </w:tc>
        <w:tc>
          <w:tcPr>
            <w:tcW w:type="dxa" w:w="720"/>
          </w:tcPr>
          <w:p>
            <w:pPr>
              <w:spacing w:after="40"/>
            </w:pPr>
            <w:r>
              <w:rPr>
                <w:b w:val="0"/>
                <w:sz w:val="17"/>
              </w:rPr>
              <w:t>−</w:t>
            </w:r>
          </w:p>
        </w:tc>
        <w:tc>
          <w:tcPr>
            <w:tcW w:type="dxa" w:w="3384"/>
          </w:tcPr>
          <w:p>
            <w:pPr>
              <w:spacing w:after="40"/>
            </w:pPr>
            <w:r>
              <w:rPr>
                <w:b w:val="0"/>
                <w:sz w:val="17"/>
              </w:rPr>
              <w:t>EGP step depreciation (&gt;4%)</w:t>
            </w:r>
          </w:p>
        </w:tc>
        <w:tc>
          <w:tcPr>
            <w:tcW w:type="dxa" w:w="1008"/>
          </w:tcPr>
          <w:p>
            <w:pPr>
              <w:spacing w:after="40"/>
            </w:pPr>
            <w:r>
              <w:rPr>
                <w:b w:val="0"/>
                <w:sz w:val="17"/>
              </w:rPr>
              <w:t>20%</w:t>
            </w:r>
          </w:p>
        </w:tc>
        <w:tc>
          <w:tcPr>
            <w:tcW w:type="dxa" w:w="1440"/>
          </w:tcPr>
          <w:p>
            <w:pPr>
              <w:spacing w:after="40"/>
            </w:pPr>
            <w:r>
              <w:rPr>
                <w:b w:val="0"/>
                <w:sz w:val="17"/>
              </w:rPr>
              <w:t>+6.0%</w:t>
            </w:r>
          </w:p>
        </w:tc>
      </w:tr>
      <w:tr>
        <w:tc>
          <w:tcPr>
            <w:tcW w:type="dxa" w:w="3096"/>
          </w:tcPr>
          <w:p>
            <w:pPr>
              <w:spacing w:after="40"/>
            </w:pPr>
            <w:r>
              <w:rPr>
                <w:b w:val="0"/>
                <w:sz w:val="17"/>
              </w:rPr>
              <w:t>Alumina / raw-material spread</w:t>
            </w:r>
          </w:p>
        </w:tc>
        <w:tc>
          <w:tcPr>
            <w:tcW w:type="dxa" w:w="720"/>
          </w:tcPr>
          <w:p>
            <w:pPr>
              <w:spacing w:after="40"/>
            </w:pPr>
            <w:r>
              <w:rPr>
                <w:b w:val="0"/>
                <w:sz w:val="17"/>
              </w:rPr>
              <w:t>−</w:t>
            </w:r>
          </w:p>
        </w:tc>
        <w:tc>
          <w:tcPr>
            <w:tcW w:type="dxa" w:w="3384"/>
          </w:tcPr>
          <w:p>
            <w:pPr>
              <w:spacing w:after="40"/>
            </w:pPr>
            <w:r>
              <w:rPr>
                <w:b w:val="0"/>
                <w:sz w:val="17"/>
              </w:rPr>
              <w:t>EGP appreciation extends (&lt;47.5)</w:t>
            </w:r>
          </w:p>
        </w:tc>
        <w:tc>
          <w:tcPr>
            <w:tcW w:type="dxa" w:w="1008"/>
          </w:tcPr>
          <w:p>
            <w:pPr>
              <w:spacing w:after="40"/>
            </w:pPr>
            <w:r>
              <w:rPr>
                <w:b w:val="0"/>
                <w:sz w:val="17"/>
              </w:rPr>
              <w:t>25%</w:t>
            </w:r>
          </w:p>
        </w:tc>
        <w:tc>
          <w:tcPr>
            <w:tcW w:type="dxa" w:w="1440"/>
          </w:tcPr>
          <w:p>
            <w:pPr>
              <w:spacing w:after="40"/>
            </w:pPr>
            <w:r>
              <w:rPr>
                <w:b w:val="0"/>
                <w:sz w:val="17"/>
              </w:rPr>
              <w:t>−4.0%</w:t>
            </w:r>
          </w:p>
        </w:tc>
      </w:tr>
      <w:tr>
        <w:tc>
          <w:tcPr>
            <w:tcW w:type="dxa" w:w="3096"/>
          </w:tcPr>
          <w:p>
            <w:pPr>
              <w:spacing w:after="40"/>
            </w:pPr>
            <w:r>
              <w:rPr>
                <w:b w:val="0"/>
                <w:sz w:val="17"/>
              </w:rPr>
              <w:t>Global industrial demand (PMI)</w:t>
            </w:r>
          </w:p>
        </w:tc>
        <w:tc>
          <w:tcPr>
            <w:tcW w:type="dxa" w:w="720"/>
          </w:tcPr>
          <w:p>
            <w:pPr>
              <w:spacing w:after="40"/>
            </w:pPr>
            <w:r>
              <w:rPr>
                <w:b w:val="0"/>
                <w:sz w:val="17"/>
              </w:rPr>
              <w:t>+</w:t>
            </w:r>
          </w:p>
        </w:tc>
        <w:tc>
          <w:tcPr>
            <w:tcW w:type="dxa" w:w="3384"/>
          </w:tcPr>
          <w:p>
            <w:pPr>
              <w:spacing w:after="40"/>
            </w:pPr>
            <w:r>
              <w:rPr>
                <w:b w:val="0"/>
                <w:sz w:val="17"/>
              </w:rPr>
              <w:t>CBAM cost ruling / EU order impact</w:t>
            </w:r>
          </w:p>
        </w:tc>
        <w:tc>
          <w:tcPr>
            <w:tcW w:type="dxa" w:w="1008"/>
          </w:tcPr>
          <w:p>
            <w:pPr>
              <w:spacing w:after="40"/>
            </w:pPr>
            <w:r>
              <w:rPr>
                <w:b w:val="0"/>
                <w:sz w:val="17"/>
              </w:rPr>
              <w:t>20%</w:t>
            </w:r>
          </w:p>
        </w:tc>
        <w:tc>
          <w:tcPr>
            <w:tcW w:type="dxa" w:w="1440"/>
          </w:tcPr>
          <w:p>
            <w:pPr>
              <w:spacing w:after="40"/>
            </w:pPr>
            <w:r>
              <w:rPr>
                <w:b w:val="0"/>
                <w:sz w:val="17"/>
              </w:rPr>
              <w:t>−4.0%</w:t>
            </w:r>
          </w:p>
        </w:tc>
      </w:tr>
      <w:tr>
        <w:tc>
          <w:tcPr>
            <w:tcW w:type="dxa" w:w="3096"/>
          </w:tcPr>
          <w:p>
            <w:pPr>
              <w:spacing w:after="40"/>
            </w:pPr>
            <w:r>
              <w:rPr>
                <w:b w:val="0"/>
                <w:sz w:val="17"/>
              </w:rPr>
              <w:t>CBAM &amp; export logistics drag</w:t>
            </w:r>
          </w:p>
        </w:tc>
        <w:tc>
          <w:tcPr>
            <w:tcW w:type="dxa" w:w="720"/>
          </w:tcPr>
          <w:p>
            <w:pPr>
              <w:spacing w:after="40"/>
            </w:pPr>
            <w:r>
              <w:rPr>
                <w:b w:val="0"/>
                <w:sz w:val="17"/>
              </w:rPr>
              <w:t>−</w:t>
            </w:r>
          </w:p>
        </w:tc>
        <w:tc>
          <w:tcPr>
            <w:tcW w:type="dxa" w:w="3384"/>
          </w:tcPr>
          <w:p>
            <w:pPr>
              <w:spacing w:after="40"/>
            </w:pPr>
            <w:r>
              <w:rPr>
                <w:b w:val="0"/>
                <w:sz w:val="17"/>
              </w:rPr>
              <w:t>MIH stake-sale / free-float event</w:t>
            </w:r>
          </w:p>
        </w:tc>
        <w:tc>
          <w:tcPr>
            <w:tcW w:type="dxa" w:w="1008"/>
          </w:tcPr>
          <w:p>
            <w:pPr>
              <w:spacing w:after="40"/>
            </w:pPr>
            <w:r>
              <w:rPr>
                <w:b w:val="0"/>
                <w:sz w:val="17"/>
              </w:rPr>
              <w:t>15%</w:t>
            </w:r>
          </w:p>
        </w:tc>
        <w:tc>
          <w:tcPr>
            <w:tcW w:type="dxa" w:w="1440"/>
          </w:tcPr>
          <w:p>
            <w:pPr>
              <w:spacing w:after="40"/>
            </w:pPr>
            <w:r>
              <w:rPr>
                <w:b w:val="0"/>
                <w:sz w:val="17"/>
              </w:rPr>
              <w:t>+6.0%</w:t>
            </w:r>
          </w:p>
        </w:tc>
      </w:tr>
      <w:tr>
        <w:tc>
          <w:tcPr>
            <w:tcW w:type="dxa" w:w="3096"/>
          </w:tcPr>
          <w:p>
            <w:pPr>
              <w:spacing w:after="40"/>
            </w:pPr>
            <w:r>
              <w:rPr>
                <w:b w:val="0"/>
                <w:sz w:val="17"/>
              </w:rPr>
            </w:r>
          </w:p>
        </w:tc>
        <w:tc>
          <w:tcPr>
            <w:tcW w:type="dxa" w:w="720"/>
          </w:tcPr>
          <w:p>
            <w:pPr>
              <w:spacing w:after="40"/>
            </w:pPr>
            <w:r>
              <w:rPr>
                <w:b w:val="0"/>
                <w:sz w:val="17"/>
              </w:rPr>
            </w:r>
          </w:p>
        </w:tc>
        <w:tc>
          <w:tcPr>
            <w:tcW w:type="dxa" w:w="3384"/>
          </w:tcPr>
          <w:p>
            <w:pPr>
              <w:spacing w:after="40"/>
            </w:pPr>
            <w:r>
              <w:rPr>
                <w:b w:val="0"/>
                <w:sz w:val="17"/>
              </w:rPr>
              <w:t>LME supply shock (China/energy)</w:t>
            </w:r>
          </w:p>
        </w:tc>
        <w:tc>
          <w:tcPr>
            <w:tcW w:type="dxa" w:w="1008"/>
          </w:tcPr>
          <w:p>
            <w:pPr>
              <w:spacing w:after="40"/>
            </w:pPr>
            <w:r>
              <w:rPr>
                <w:b w:val="0"/>
                <w:sz w:val="17"/>
              </w:rPr>
              <w:t>15%</w:t>
            </w:r>
          </w:p>
        </w:tc>
        <w:tc>
          <w:tcPr>
            <w:tcW w:type="dxa" w:w="1440"/>
          </w:tcPr>
          <w:p>
            <w:pPr>
              <w:spacing w:after="40"/>
            </w:pPr>
            <w:r>
              <w:rPr>
                <w:b w:val="0"/>
                <w:sz w:val="17"/>
              </w:rPr>
              <w:t>+5.0%</w:t>
            </w:r>
          </w:p>
        </w:tc>
      </w:tr>
      <w:tr>
        <w:tc>
          <w:tcPr>
            <w:tcW w:type="dxa" w:w="3096"/>
          </w:tcPr>
          <w:p>
            <w:pPr>
              <w:spacing w:after="40"/>
            </w:pPr>
            <w:r>
              <w:rPr>
                <w:b w:val="0"/>
                <w:sz w:val="17"/>
              </w:rPr>
            </w:r>
          </w:p>
        </w:tc>
        <w:tc>
          <w:tcPr>
            <w:tcW w:type="dxa" w:w="720"/>
          </w:tcPr>
          <w:p>
            <w:pPr>
              <w:spacing w:after="40"/>
            </w:pPr>
            <w:r>
              <w:rPr>
                <w:b w:val="0"/>
                <w:sz w:val="17"/>
              </w:rPr>
            </w:r>
          </w:p>
        </w:tc>
        <w:tc>
          <w:tcPr>
            <w:tcW w:type="dxa" w:w="3384"/>
          </w:tcPr>
          <w:p>
            <w:pPr>
              <w:spacing w:after="40"/>
            </w:pPr>
            <w:r>
              <w:rPr>
                <w:b w:val="0"/>
                <w:sz w:val="17"/>
              </w:rPr>
              <w:t>Global risk-off / EM outflow</w:t>
            </w:r>
          </w:p>
        </w:tc>
        <w:tc>
          <w:tcPr>
            <w:tcW w:type="dxa" w:w="1008"/>
          </w:tcPr>
          <w:p>
            <w:pPr>
              <w:spacing w:after="40"/>
            </w:pPr>
            <w:r>
              <w:rPr>
                <w:b w:val="0"/>
                <w:sz w:val="17"/>
              </w:rPr>
              <w:t>25%</w:t>
            </w:r>
          </w:p>
        </w:tc>
        <w:tc>
          <w:tcPr>
            <w:tcW w:type="dxa" w:w="1440"/>
          </w:tcPr>
          <w:p>
            <w:pPr>
              <w:spacing w:after="40"/>
            </w:pPr>
            <w:r>
              <w:rPr>
                <w:b w:val="0"/>
                <w:sz w:val="17"/>
              </w:rPr>
              <w:t>−7.0%</w:t>
            </w:r>
          </w:p>
        </w:tc>
      </w:tr>
    </w:tbl>
    <w:p>
      <w:pPr>
        <w:spacing w:after="40"/>
      </w:pPr>
    </w:p>
    <w:p>
      <w:pPr>
        <w:spacing w:after="160"/>
      </w:pPr>
      <w:r>
        <w:rPr>
          <w:b w:val="0"/>
          <w:i/>
          <w:sz w:val="17"/>
        </w:rPr>
        <w:t>The EGAL factor set is a new egx-industrial class in the factor library, structured 7C+9D like every class; magnitudes are starting judgments flagged calibrated=False pending the standing red-pen sign-off.</w:t>
      </w:r>
    </w:p>
    <w:p>
      <w:pPr>
        <w:spacing w:after="40"/>
      </w:pPr>
      <w:r>
        <w:rPr>
          <w:b/>
          <w:i w:val="0"/>
          <w:sz w:val="20"/>
        </w:rPr>
        <w:t>Percentile map (EGP/share):</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1632"/>
        <w:gridCol w:w="1632"/>
        <w:gridCol w:w="1632"/>
        <w:gridCol w:w="1632"/>
        <w:gridCol w:w="1632"/>
        <w:gridCol w:w="1632"/>
      </w:tblGrid>
      <w:tr>
        <w:tc>
          <w:tcPr>
            <w:tcW w:type="dxa" w:w="2592"/>
            <w:shd w:val="clear" w:fill="1C3A36"/>
          </w:tcPr>
          <w:p>
            <w:pPr>
              <w:spacing w:after="40"/>
            </w:pPr>
            <w:r>
              <w:rPr>
                <w:b/>
                <w:color w:val="FFFFFF"/>
                <w:sz w:val="17"/>
              </w:rPr>
              <w:t>Horizon</w:t>
            </w:r>
          </w:p>
        </w:tc>
        <w:tc>
          <w:tcPr>
            <w:tcW w:type="dxa" w:w="1440"/>
            <w:shd w:val="clear" w:fill="1C3A36"/>
          </w:tcPr>
          <w:p>
            <w:pPr>
              <w:spacing w:after="40"/>
            </w:pPr>
            <w:r>
              <w:rPr>
                <w:b/>
                <w:color w:val="FFFFFF"/>
                <w:sz w:val="17"/>
              </w:rPr>
              <w:t>p5</w:t>
            </w:r>
          </w:p>
        </w:tc>
        <w:tc>
          <w:tcPr>
            <w:tcW w:type="dxa" w:w="1440"/>
            <w:shd w:val="clear" w:fill="1C3A36"/>
          </w:tcPr>
          <w:p>
            <w:pPr>
              <w:spacing w:after="40"/>
            </w:pPr>
            <w:r>
              <w:rPr>
                <w:b/>
                <w:color w:val="FFFFFF"/>
                <w:sz w:val="17"/>
              </w:rPr>
              <w:t>p25</w:t>
            </w:r>
          </w:p>
        </w:tc>
        <w:tc>
          <w:tcPr>
            <w:tcW w:type="dxa" w:w="1440"/>
            <w:shd w:val="clear" w:fill="1C3A36"/>
          </w:tcPr>
          <w:p>
            <w:pPr>
              <w:spacing w:after="40"/>
            </w:pPr>
            <w:r>
              <w:rPr>
                <w:b/>
                <w:color w:val="FFFFFF"/>
                <w:sz w:val="17"/>
              </w:rPr>
              <w:t>p50</w:t>
            </w:r>
          </w:p>
        </w:tc>
        <w:tc>
          <w:tcPr>
            <w:tcW w:type="dxa" w:w="1440"/>
            <w:shd w:val="clear" w:fill="1C3A36"/>
          </w:tcPr>
          <w:p>
            <w:pPr>
              <w:spacing w:after="40"/>
            </w:pPr>
            <w:r>
              <w:rPr>
                <w:b/>
                <w:color w:val="FFFFFF"/>
                <w:sz w:val="17"/>
              </w:rPr>
              <w:t>p75</w:t>
            </w:r>
          </w:p>
        </w:tc>
        <w:tc>
          <w:tcPr>
            <w:tcW w:type="dxa" w:w="1440"/>
            <w:shd w:val="clear" w:fill="1C3A36"/>
          </w:tcPr>
          <w:p>
            <w:pPr>
              <w:spacing w:after="40"/>
            </w:pPr>
            <w:r>
              <w:rPr>
                <w:b/>
                <w:color w:val="FFFFFF"/>
                <w:sz w:val="17"/>
              </w:rPr>
              <w:t>p95</w:t>
            </w:r>
          </w:p>
        </w:tc>
      </w:tr>
      <w:tr>
        <w:tc>
          <w:tcPr>
            <w:tcW w:type="dxa" w:w="2592"/>
          </w:tcPr>
          <w:p>
            <w:pPr>
              <w:spacing w:after="40"/>
            </w:pPr>
            <w:r>
              <w:rPr>
                <w:b w:val="0"/>
                <w:sz w:val="17"/>
              </w:rPr>
              <w:t>T+20 sessions</w:t>
            </w:r>
          </w:p>
        </w:tc>
        <w:tc>
          <w:tcPr>
            <w:tcW w:type="dxa" w:w="1440"/>
          </w:tcPr>
          <w:p>
            <w:pPr>
              <w:spacing w:after="40"/>
              <w:jc w:val="right"/>
            </w:pPr>
            <w:r>
              <w:rPr>
                <w:b w:val="0"/>
                <w:sz w:val="17"/>
              </w:rPr>
              <w:t>245</w:t>
            </w:r>
          </w:p>
        </w:tc>
        <w:tc>
          <w:tcPr>
            <w:tcW w:type="dxa" w:w="1440"/>
          </w:tcPr>
          <w:p>
            <w:pPr>
              <w:spacing w:after="40"/>
              <w:jc w:val="right"/>
            </w:pPr>
            <w:r>
              <w:rPr>
                <w:b w:val="0"/>
                <w:sz w:val="17"/>
              </w:rPr>
              <w:t>278</w:t>
            </w:r>
          </w:p>
        </w:tc>
        <w:tc>
          <w:tcPr>
            <w:tcW w:type="dxa" w:w="1440"/>
          </w:tcPr>
          <w:p>
            <w:pPr>
              <w:spacing w:after="40"/>
              <w:jc w:val="right"/>
            </w:pPr>
            <w:r>
              <w:rPr>
                <w:b w:val="0"/>
                <w:sz w:val="17"/>
              </w:rPr>
              <w:t>299</w:t>
            </w:r>
          </w:p>
        </w:tc>
        <w:tc>
          <w:tcPr>
            <w:tcW w:type="dxa" w:w="1440"/>
          </w:tcPr>
          <w:p>
            <w:pPr>
              <w:spacing w:after="40"/>
              <w:jc w:val="right"/>
            </w:pPr>
            <w:r>
              <w:rPr>
                <w:b w:val="0"/>
                <w:sz w:val="17"/>
              </w:rPr>
              <w:t>321</w:t>
            </w:r>
          </w:p>
        </w:tc>
        <w:tc>
          <w:tcPr>
            <w:tcW w:type="dxa" w:w="1440"/>
          </w:tcPr>
          <w:p>
            <w:pPr>
              <w:spacing w:after="40"/>
              <w:jc w:val="right"/>
            </w:pPr>
            <w:r>
              <w:rPr>
                <w:b w:val="0"/>
                <w:sz w:val="17"/>
              </w:rPr>
              <w:t>362</w:t>
            </w:r>
          </w:p>
        </w:tc>
      </w:tr>
      <w:tr>
        <w:tc>
          <w:tcPr>
            <w:tcW w:type="dxa" w:w="2592"/>
          </w:tcPr>
          <w:p>
            <w:pPr>
              <w:spacing w:after="40"/>
            </w:pPr>
            <w:r>
              <w:rPr>
                <w:b w:val="0"/>
                <w:sz w:val="17"/>
              </w:rPr>
              <w:t>T+60 sessions</w:t>
            </w:r>
          </w:p>
        </w:tc>
        <w:tc>
          <w:tcPr>
            <w:tcW w:type="dxa" w:w="1440"/>
          </w:tcPr>
          <w:p>
            <w:pPr>
              <w:spacing w:after="40"/>
              <w:jc w:val="right"/>
            </w:pPr>
            <w:r>
              <w:rPr>
                <w:b w:val="0"/>
                <w:sz w:val="17"/>
              </w:rPr>
              <w:t>232</w:t>
            </w:r>
          </w:p>
        </w:tc>
        <w:tc>
          <w:tcPr>
            <w:tcW w:type="dxa" w:w="1440"/>
          </w:tcPr>
          <w:p>
            <w:pPr>
              <w:spacing w:after="40"/>
              <w:jc w:val="right"/>
            </w:pPr>
            <w:r>
              <w:rPr>
                <w:b w:val="0"/>
                <w:sz w:val="17"/>
              </w:rPr>
              <w:t>287</w:t>
            </w:r>
          </w:p>
        </w:tc>
        <w:tc>
          <w:tcPr>
            <w:tcW w:type="dxa" w:w="1440"/>
          </w:tcPr>
          <w:p>
            <w:pPr>
              <w:spacing w:after="40"/>
              <w:jc w:val="right"/>
            </w:pPr>
            <w:r>
              <w:rPr>
                <w:b w:val="0"/>
                <w:sz w:val="17"/>
              </w:rPr>
              <w:t>326</w:t>
            </w:r>
          </w:p>
        </w:tc>
        <w:tc>
          <w:tcPr>
            <w:tcW w:type="dxa" w:w="1440"/>
          </w:tcPr>
          <w:p>
            <w:pPr>
              <w:spacing w:after="40"/>
              <w:jc w:val="right"/>
            </w:pPr>
            <w:r>
              <w:rPr>
                <w:b w:val="0"/>
                <w:sz w:val="17"/>
              </w:rPr>
              <w:t>369</w:t>
            </w:r>
          </w:p>
        </w:tc>
        <w:tc>
          <w:tcPr>
            <w:tcW w:type="dxa" w:w="1440"/>
          </w:tcPr>
          <w:p>
            <w:pPr>
              <w:spacing w:after="40"/>
              <w:jc w:val="right"/>
            </w:pPr>
            <w:r>
              <w:rPr>
                <w:b w:val="0"/>
                <w:sz w:val="17"/>
              </w:rPr>
              <w:t>452</w:t>
            </w:r>
          </w:p>
        </w:tc>
      </w:tr>
    </w:tbl>
    <w:p>
      <w:pPr>
        <w:spacing w:after="40"/>
      </w:pPr>
    </w:p>
    <w:p>
      <w:pPr>
        <w:spacing w:after="120"/>
      </w:pPr>
      <w:r>
        <w:rPr>
          <w:b w:val="0"/>
          <w:i w:val="0"/>
          <w:sz w:val="19"/>
        </w:rPr>
        <w:t xml:space="preserve">Lead with the body, not the tail: the T+60 </w:t>
      </w:r>
      <w:r>
        <w:rPr>
          <w:b/>
          <w:i w:val="0"/>
          <w:sz w:val="19"/>
        </w:rPr>
        <w:t>interquartile band is EGP 287–369</w:t>
      </w:r>
      <w:r>
        <w:rPr>
          <w:b w:val="0"/>
          <w:i w:val="0"/>
          <w:sz w:val="19"/>
        </w:rPr>
        <w:t xml:space="preserve"> — about 29% of spot wide, which is EGAL's genuine quarter-ahead uncertainty, not padding — and at T+20 the band divides by roughly √3 to EGP 278–321. The median at EGP 326 carries the validated drift; simulated path vol prints ≈44% annualized, a touch above the diffusion because the discrete events both skew and widen.</w:t>
      </w:r>
    </w:p>
    <w:p>
      <w:pPr>
        <w:jc w:val="center"/>
      </w:pPr>
      <w:r>
        <w:drawing>
          <wp:inline xmlns:a="http://schemas.openxmlformats.org/drawingml/2006/main" xmlns:pic="http://schemas.openxmlformats.org/drawingml/2006/picture">
            <wp:extent cx="5852160" cy="2711977"/>
            <wp:docPr id="4" name="Picture 4"/>
            <wp:cNvGraphicFramePr>
              <a:graphicFrameLocks noChangeAspect="1"/>
            </wp:cNvGraphicFramePr>
            <a:graphic>
              <a:graphicData uri="http://schemas.openxmlformats.org/drawingml/2006/picture">
                <pic:pic>
                  <pic:nvPicPr>
                    <pic:cNvPr id="0" name="fig4_cone.png"/>
                    <pic:cNvPicPr/>
                  </pic:nvPicPr>
                  <pic:blipFill>
                    <a:blip r:embed="rId12"/>
                    <a:stretch>
                      <a:fillRect/>
                    </a:stretch>
                  </pic:blipFill>
                  <pic:spPr>
                    <a:xfrm>
                      <a:off x="0" y="0"/>
                      <a:ext cx="5852160" cy="2711977"/>
                    </a:xfrm>
                    <a:prstGeom prst="rect"/>
                  </pic:spPr>
                </pic:pic>
              </a:graphicData>
            </a:graphic>
          </wp:inline>
        </w:drawing>
      </w:r>
    </w:p>
    <w:p>
      <w:pPr>
        <w:spacing w:after="160"/>
      </w:pPr>
      <w:r>
        <w:rPr>
          <w:b w:val="0"/>
          <w:i/>
          <w:sz w:val="17"/>
        </w:rPr>
        <w:t>Figure 4 — Forward price cone to T+60. The median carries the Step-0-validated secular drift; the gold dotted line marks the EGP 250 fundamental central, deliberately below the median — the two claims are independent by construction.</w:t>
      </w:r>
    </w:p>
    <w:p>
      <w:pPr>
        <w:jc w:val="center"/>
      </w:pPr>
      <w:r>
        <w:drawing>
          <wp:inline xmlns:a="http://schemas.openxmlformats.org/drawingml/2006/main" xmlns:pic="http://schemas.openxmlformats.org/drawingml/2006/picture">
            <wp:extent cx="5852160" cy="2464067"/>
            <wp:docPr id="5" name="Picture 5"/>
            <wp:cNvGraphicFramePr>
              <a:graphicFrameLocks noChangeAspect="1"/>
            </wp:cNvGraphicFramePr>
            <a:graphic>
              <a:graphicData uri="http://schemas.openxmlformats.org/drawingml/2006/picture">
                <pic:pic>
                  <pic:nvPicPr>
                    <pic:cNvPr id="0" name="fig5_d20.png"/>
                    <pic:cNvPicPr/>
                  </pic:nvPicPr>
                  <pic:blipFill>
                    <a:blip r:embed="rId13"/>
                    <a:stretch>
                      <a:fillRect/>
                    </a:stretch>
                  </pic:blipFill>
                  <pic:spPr>
                    <a:xfrm>
                      <a:off x="0" y="0"/>
                      <a:ext cx="5852160" cy="2464067"/>
                    </a:xfrm>
                    <a:prstGeom prst="rect"/>
                  </pic:spPr>
                </pic:pic>
              </a:graphicData>
            </a:graphic>
          </wp:inline>
        </w:drawing>
      </w:r>
    </w:p>
    <w:p>
      <w:pPr>
        <w:spacing w:after="160"/>
      </w:pPr>
      <w:r>
        <w:rPr>
          <w:b w:val="0"/>
          <w:i/>
          <w:sz w:val="17"/>
        </w:rPr>
        <w:t>Figure 5 — Price distribution at T+20.</w:t>
      </w:r>
    </w:p>
    <w:p>
      <w:pPr>
        <w:jc w:val="center"/>
      </w:pPr>
      <w:r>
        <w:drawing>
          <wp:inline xmlns:a="http://schemas.openxmlformats.org/drawingml/2006/main" xmlns:pic="http://schemas.openxmlformats.org/drawingml/2006/picture">
            <wp:extent cx="5852160" cy="2464067"/>
            <wp:docPr id="6" name="Picture 6"/>
            <wp:cNvGraphicFramePr>
              <a:graphicFrameLocks noChangeAspect="1"/>
            </wp:cNvGraphicFramePr>
            <a:graphic>
              <a:graphicData uri="http://schemas.openxmlformats.org/drawingml/2006/picture">
                <pic:pic>
                  <pic:nvPicPr>
                    <pic:cNvPr id="0" name="fig6_d60.png"/>
                    <pic:cNvPicPr/>
                  </pic:nvPicPr>
                  <pic:blipFill>
                    <a:blip r:embed="rId14"/>
                    <a:stretch>
                      <a:fillRect/>
                    </a:stretch>
                  </pic:blipFill>
                  <pic:spPr>
                    <a:xfrm>
                      <a:off x="0" y="0"/>
                      <a:ext cx="5852160" cy="2464067"/>
                    </a:xfrm>
                    <a:prstGeom prst="rect"/>
                  </pic:spPr>
                </pic:pic>
              </a:graphicData>
            </a:graphic>
          </wp:inline>
        </w:drawing>
      </w:r>
    </w:p>
    <w:p>
      <w:pPr>
        <w:spacing w:after="160"/>
      </w:pPr>
      <w:r>
        <w:rPr>
          <w:b w:val="0"/>
          <w:i/>
          <w:sz w:val="17"/>
        </w:rPr>
        <w:t>Figure 6 — Price distribution at T+60.</w:t>
      </w:r>
    </w:p>
    <w:p>
      <w:pPr>
        <w:spacing w:after="40"/>
      </w:pPr>
      <w:r>
        <w:rPr>
          <w:b/>
          <w:i w:val="0"/>
          <w:sz w:val="20"/>
        </w:rPr>
        <w:t>Level-touch ladder</w:t>
      </w:r>
      <w:r>
        <w:rPr>
          <w:b w:val="0"/>
          <w:i w:val="0"/>
          <w:sz w:val="20"/>
        </w:rPr>
        <w:t xml:space="preserve"> — the probability that price touches a level at any point by the horizon (running max for upside, running min for downside):</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1728"/>
            <w:shd w:val="clear" w:fill="1C3A36"/>
          </w:tcPr>
          <w:p>
            <w:pPr>
              <w:spacing w:after="40"/>
            </w:pPr>
            <w:r>
              <w:rPr>
                <w:b/>
                <w:color w:val="FFFFFF"/>
                <w:sz w:val="17"/>
              </w:rPr>
              <w:t>Level</w:t>
            </w:r>
          </w:p>
        </w:tc>
        <w:tc>
          <w:tcPr>
            <w:tcW w:type="dxa" w:w="1728"/>
            <w:shd w:val="clear" w:fill="1C3A36"/>
          </w:tcPr>
          <w:p>
            <w:pPr>
              <w:spacing w:after="40"/>
            </w:pPr>
            <w:r>
              <w:rPr>
                <w:b/>
                <w:color w:val="FFFFFF"/>
                <w:sz w:val="17"/>
              </w:rPr>
              <w:t>T+20 touch</w:t>
            </w:r>
          </w:p>
        </w:tc>
        <w:tc>
          <w:tcPr>
            <w:tcW w:type="dxa" w:w="1728"/>
            <w:shd w:val="clear" w:fill="1C3A36"/>
          </w:tcPr>
          <w:p>
            <w:pPr>
              <w:spacing w:after="40"/>
            </w:pPr>
            <w:r>
              <w:rPr>
                <w:b/>
                <w:color w:val="FFFFFF"/>
                <w:sz w:val="17"/>
              </w:rPr>
              <w:t>T+60 touch</w:t>
            </w:r>
          </w:p>
        </w:tc>
        <w:tc>
          <w:tcPr>
            <w:tcW w:type="dxa" w:w="4608"/>
            <w:shd w:val="clear" w:fill="1C3A36"/>
          </w:tcPr>
          <w:p>
            <w:pPr>
              <w:spacing w:after="40"/>
            </w:pPr>
            <w:r>
              <w:rPr>
                <w:b/>
                <w:color w:val="FFFFFF"/>
                <w:sz w:val="17"/>
              </w:rPr>
              <w:t>Note</w:t>
            </w:r>
          </w:p>
        </w:tc>
      </w:tr>
      <w:tr>
        <w:tc>
          <w:tcPr>
            <w:tcW w:type="dxa" w:w="1728"/>
          </w:tcPr>
          <w:p>
            <w:pPr>
              <w:spacing w:after="40"/>
            </w:pPr>
            <w:r>
              <w:rPr>
                <w:b w:val="0"/>
                <w:sz w:val="17"/>
              </w:rPr>
              <w:t>EGP 340</w:t>
            </w:r>
          </w:p>
        </w:tc>
        <w:tc>
          <w:tcPr>
            <w:tcW w:type="dxa" w:w="1728"/>
          </w:tcPr>
          <w:p>
            <w:pPr>
              <w:spacing w:after="40"/>
              <w:jc w:val="right"/>
            </w:pPr>
            <w:r>
              <w:rPr>
                <w:b w:val="0"/>
                <w:sz w:val="17"/>
              </w:rPr>
              <w:t>17%</w:t>
            </w:r>
          </w:p>
        </w:tc>
        <w:tc>
          <w:tcPr>
            <w:tcW w:type="dxa" w:w="1728"/>
          </w:tcPr>
          <w:p>
            <w:pPr>
              <w:spacing w:after="40"/>
              <w:jc w:val="right"/>
            </w:pPr>
            <w:r>
              <w:rPr>
                <w:b w:val="0"/>
                <w:sz w:val="17"/>
              </w:rPr>
              <w:t>57%</w:t>
            </w:r>
          </w:p>
        </w:tc>
        <w:tc>
          <w:tcPr>
            <w:tcW w:type="dxa" w:w="4608"/>
          </w:tcPr>
          <w:p>
            <w:pPr>
              <w:spacing w:after="40"/>
            </w:pPr>
            <w:r>
              <w:rPr>
                <w:b w:val="0"/>
                <w:sz w:val="17"/>
              </w:rPr>
              <w:t>Above the March high (338)</w:t>
            </w:r>
          </w:p>
        </w:tc>
      </w:tr>
      <w:tr>
        <w:tc>
          <w:tcPr>
            <w:tcW w:type="dxa" w:w="1728"/>
          </w:tcPr>
          <w:p>
            <w:pPr>
              <w:spacing w:after="40"/>
            </w:pPr>
            <w:r>
              <w:rPr>
                <w:b w:val="0"/>
                <w:sz w:val="17"/>
              </w:rPr>
              <w:t>EGP 320</w:t>
            </w:r>
          </w:p>
        </w:tc>
        <w:tc>
          <w:tcPr>
            <w:tcW w:type="dxa" w:w="1728"/>
          </w:tcPr>
          <w:p>
            <w:pPr>
              <w:spacing w:after="40"/>
              <w:jc w:val="right"/>
            </w:pPr>
            <w:r>
              <w:rPr>
                <w:b w:val="0"/>
                <w:sz w:val="17"/>
              </w:rPr>
              <w:t>37%</w:t>
            </w:r>
          </w:p>
        </w:tc>
        <w:tc>
          <w:tcPr>
            <w:tcW w:type="dxa" w:w="1728"/>
          </w:tcPr>
          <w:p>
            <w:pPr>
              <w:spacing w:after="40"/>
              <w:jc w:val="right"/>
            </w:pPr>
            <w:r>
              <w:rPr>
                <w:b w:val="0"/>
                <w:sz w:val="17"/>
              </w:rPr>
              <w:t>74%</w:t>
            </w:r>
          </w:p>
        </w:tc>
        <w:tc>
          <w:tcPr>
            <w:tcW w:type="dxa" w:w="4608"/>
          </w:tcPr>
          <w:p>
            <w:pPr>
              <w:spacing w:after="40"/>
            </w:pPr>
            <w:r>
              <w:rPr>
                <w:b w:val="0"/>
                <w:sz w:val="17"/>
              </w:rPr>
              <w:t>Between high and spot</w:t>
            </w:r>
          </w:p>
        </w:tc>
      </w:tr>
      <w:tr>
        <w:tc>
          <w:tcPr>
            <w:tcW w:type="dxa" w:w="1728"/>
          </w:tcPr>
          <w:p>
            <w:pPr>
              <w:spacing w:after="40"/>
            </w:pPr>
            <w:r>
              <w:rPr>
                <w:b w:val="0"/>
                <w:sz w:val="17"/>
              </w:rPr>
              <w:t>EGP 300</w:t>
            </w:r>
          </w:p>
        </w:tc>
        <w:tc>
          <w:tcPr>
            <w:tcW w:type="dxa" w:w="1728"/>
          </w:tcPr>
          <w:p>
            <w:pPr>
              <w:spacing w:after="40"/>
              <w:jc w:val="right"/>
            </w:pPr>
            <w:r>
              <w:rPr>
                <w:b w:val="0"/>
                <w:sz w:val="17"/>
              </w:rPr>
              <w:t>69%</w:t>
            </w:r>
          </w:p>
        </w:tc>
        <w:tc>
          <w:tcPr>
            <w:tcW w:type="dxa" w:w="1728"/>
          </w:tcPr>
          <w:p>
            <w:pPr>
              <w:spacing w:after="40"/>
              <w:jc w:val="right"/>
            </w:pPr>
            <w:r>
              <w:rPr>
                <w:b w:val="0"/>
                <w:sz w:val="17"/>
              </w:rPr>
              <w:t>89%</w:t>
            </w:r>
          </w:p>
        </w:tc>
        <w:tc>
          <w:tcPr>
            <w:tcW w:type="dxa" w:w="4608"/>
          </w:tcPr>
          <w:p>
            <w:pPr>
              <w:spacing w:after="40"/>
            </w:pPr>
            <w:r>
              <w:rPr>
                <w:b w:val="0"/>
                <w:sz w:val="17"/>
              </w:rPr>
              <w:t>Round level just above spot</w:t>
            </w:r>
          </w:p>
        </w:tc>
      </w:tr>
      <w:tr>
        <w:tc>
          <w:tcPr>
            <w:tcW w:type="dxa" w:w="1728"/>
          </w:tcPr>
          <w:p>
            <w:pPr>
              <w:spacing w:after="40"/>
            </w:pPr>
            <w:r>
              <w:rPr>
                <w:b w:val="0"/>
                <w:sz w:val="17"/>
              </w:rPr>
              <w:t>EGP 270</w:t>
            </w:r>
          </w:p>
        </w:tc>
        <w:tc>
          <w:tcPr>
            <w:tcW w:type="dxa" w:w="1728"/>
          </w:tcPr>
          <w:p>
            <w:pPr>
              <w:spacing w:after="40"/>
              <w:jc w:val="right"/>
            </w:pPr>
            <w:r>
              <w:rPr>
                <w:b w:val="0"/>
                <w:sz w:val="17"/>
              </w:rPr>
              <w:t>37%</w:t>
            </w:r>
          </w:p>
        </w:tc>
        <w:tc>
          <w:tcPr>
            <w:tcW w:type="dxa" w:w="1728"/>
          </w:tcPr>
          <w:p>
            <w:pPr>
              <w:spacing w:after="40"/>
              <w:jc w:val="right"/>
            </w:pPr>
            <w:r>
              <w:rPr>
                <w:b w:val="0"/>
                <w:sz w:val="17"/>
              </w:rPr>
              <w:t>50%</w:t>
            </w:r>
          </w:p>
        </w:tc>
        <w:tc>
          <w:tcPr>
            <w:tcW w:type="dxa" w:w="4608"/>
          </w:tcPr>
          <w:p>
            <w:pPr>
              <w:spacing w:after="40"/>
            </w:pPr>
            <w:r>
              <w:rPr>
                <w:b w:val="0"/>
                <w:sz w:val="17"/>
              </w:rPr>
              <w:t>Fundamental-central / 200-day shelf</w:t>
            </w:r>
          </w:p>
        </w:tc>
      </w:tr>
      <w:tr>
        <w:tc>
          <w:tcPr>
            <w:tcW w:type="dxa" w:w="1728"/>
          </w:tcPr>
          <w:p>
            <w:pPr>
              <w:spacing w:after="40"/>
            </w:pPr>
            <w:r>
              <w:rPr>
                <w:b w:val="0"/>
                <w:sz w:val="17"/>
              </w:rPr>
              <w:t>EGP 250</w:t>
            </w:r>
          </w:p>
        </w:tc>
        <w:tc>
          <w:tcPr>
            <w:tcW w:type="dxa" w:w="1728"/>
          </w:tcPr>
          <w:p>
            <w:pPr>
              <w:spacing w:after="40"/>
              <w:jc w:val="right"/>
            </w:pPr>
            <w:r>
              <w:rPr>
                <w:b w:val="0"/>
                <w:sz w:val="17"/>
              </w:rPr>
              <w:t>12%</w:t>
            </w:r>
          </w:p>
        </w:tc>
        <w:tc>
          <w:tcPr>
            <w:tcW w:type="dxa" w:w="1728"/>
          </w:tcPr>
          <w:p>
            <w:pPr>
              <w:spacing w:after="40"/>
              <w:jc w:val="right"/>
            </w:pPr>
            <w:r>
              <w:rPr>
                <w:b w:val="0"/>
                <w:sz w:val="17"/>
              </w:rPr>
              <w:t>24%</w:t>
            </w:r>
          </w:p>
        </w:tc>
        <w:tc>
          <w:tcPr>
            <w:tcW w:type="dxa" w:w="4608"/>
          </w:tcPr>
          <w:p>
            <w:pPr>
              <w:spacing w:after="40"/>
            </w:pPr>
            <w:r>
              <w:rPr>
                <w:b w:val="0"/>
                <w:sz w:val="17"/>
              </w:rPr>
              <w:t>Lower band</w:t>
            </w:r>
          </w:p>
        </w:tc>
      </w:tr>
      <w:tr>
        <w:tc>
          <w:tcPr>
            <w:tcW w:type="dxa" w:w="1728"/>
          </w:tcPr>
          <w:p>
            <w:pPr>
              <w:spacing w:after="40"/>
            </w:pPr>
            <w:r>
              <w:rPr>
                <w:b w:val="0"/>
                <w:sz w:val="17"/>
              </w:rPr>
              <w:t>EGP 230</w:t>
            </w:r>
          </w:p>
        </w:tc>
        <w:tc>
          <w:tcPr>
            <w:tcW w:type="dxa" w:w="1728"/>
          </w:tcPr>
          <w:p>
            <w:pPr>
              <w:spacing w:after="40"/>
              <w:jc w:val="right"/>
            </w:pPr>
            <w:r>
              <w:rPr>
                <w:b w:val="0"/>
                <w:sz w:val="17"/>
              </w:rPr>
              <w:t>4%</w:t>
            </w:r>
          </w:p>
        </w:tc>
        <w:tc>
          <w:tcPr>
            <w:tcW w:type="dxa" w:w="1728"/>
          </w:tcPr>
          <w:p>
            <w:pPr>
              <w:spacing w:after="40"/>
              <w:jc w:val="right"/>
            </w:pPr>
            <w:r>
              <w:rPr>
                <w:b w:val="0"/>
                <w:sz w:val="17"/>
              </w:rPr>
              <w:t>11%</w:t>
            </w:r>
          </w:p>
        </w:tc>
        <w:tc>
          <w:tcPr>
            <w:tcW w:type="dxa" w:w="4608"/>
          </w:tcPr>
          <w:p>
            <w:pPr>
              <w:spacing w:after="40"/>
            </w:pPr>
            <w:r>
              <w:rPr>
                <w:b w:val="0"/>
                <w:sz w:val="17"/>
              </w:rPr>
              <w:t>Deep support</w:t>
            </w:r>
          </w:p>
        </w:tc>
      </w:tr>
      <w:tr>
        <w:tc>
          <w:tcPr>
            <w:tcW w:type="dxa" w:w="1728"/>
          </w:tcPr>
          <w:p>
            <w:pPr>
              <w:spacing w:after="40"/>
            </w:pPr>
            <w:r>
              <w:rPr>
                <w:b w:val="0"/>
                <w:sz w:val="17"/>
              </w:rPr>
              <w:t>EGP 210</w:t>
            </w:r>
          </w:p>
        </w:tc>
        <w:tc>
          <w:tcPr>
            <w:tcW w:type="dxa" w:w="1728"/>
          </w:tcPr>
          <w:p>
            <w:pPr>
              <w:spacing w:after="40"/>
              <w:jc w:val="right"/>
            </w:pPr>
            <w:r>
              <w:rPr>
                <w:b w:val="0"/>
                <w:sz w:val="17"/>
              </w:rPr>
              <w:t>1%</w:t>
            </w:r>
          </w:p>
        </w:tc>
        <w:tc>
          <w:tcPr>
            <w:tcW w:type="dxa" w:w="1728"/>
          </w:tcPr>
          <w:p>
            <w:pPr>
              <w:spacing w:after="40"/>
              <w:jc w:val="right"/>
            </w:pPr>
            <w:r>
              <w:rPr>
                <w:b w:val="0"/>
                <w:sz w:val="17"/>
              </w:rPr>
              <w:t>5%</w:t>
            </w:r>
          </w:p>
        </w:tc>
        <w:tc>
          <w:tcPr>
            <w:tcW w:type="dxa" w:w="4608"/>
          </w:tcPr>
          <w:p>
            <w:pPr>
              <w:spacing w:after="40"/>
            </w:pPr>
            <w:r>
              <w:rPr>
                <w:b w:val="0"/>
                <w:sz w:val="17"/>
              </w:rPr>
              <w:t>Toward the 52-week low</w:t>
            </w:r>
          </w:p>
        </w:tc>
      </w:tr>
    </w:tbl>
    <w:p>
      <w:pPr>
        <w:spacing w:after="40"/>
      </w:pPr>
    </w:p>
    <w:p>
      <w:pPr>
        <w:pStyle w:val="Heading1"/>
      </w:pPr>
      <w:r>
        <w:t>4  Comparison of the lenses, and a verdict</w:t>
      </w:r>
    </w:p>
    <w:p>
      <w:pPr>
        <w:spacing w:after="120"/>
      </w:pPr>
      <w:r>
        <w:rPr>
          <w:b w:val="0"/>
          <w:i w:val="0"/>
          <w:sz w:val="19"/>
        </w:rPr>
        <w:t xml:space="preserve">Three readings sit side by side and, unusually, all three genuinely disagree. The </w:t>
      </w:r>
      <w:r>
        <w:rPr>
          <w:b/>
          <w:i w:val="0"/>
          <w:sz w:val="19"/>
        </w:rPr>
        <w:t>fundamental</w:t>
      </w:r>
      <w:r>
        <w:rPr>
          <w:b w:val="0"/>
          <w:i w:val="0"/>
          <w:sz w:val="19"/>
        </w:rPr>
        <w:t xml:space="preserve"> lenses cluster at EGP 210–268 with a central of 250 — the stock is 12% above the blend, and above every single lens. The </w:t>
      </w:r>
      <w:r>
        <w:rPr>
          <w:b/>
          <w:i w:val="0"/>
          <w:sz w:val="19"/>
        </w:rPr>
        <w:t>technical</w:t>
      </w:r>
      <w:r>
        <w:rPr>
          <w:b w:val="0"/>
          <w:i w:val="0"/>
          <w:sz w:val="19"/>
        </w:rPr>
        <w:t xml:space="preserve"> picture is a strong primary uptrend in a six-week correction — below the short averages, far above the 200-day. The </w:t>
      </w:r>
      <w:r>
        <w:rPr>
          <w:b/>
          <w:i w:val="0"/>
          <w:sz w:val="19"/>
        </w:rPr>
        <w:t>probabilistic</w:t>
      </w:r>
      <w:r>
        <w:rPr>
          <w:b w:val="0"/>
          <w:i w:val="0"/>
          <w:sz w:val="19"/>
        </w:rPr>
        <w:t xml:space="preserve"> map, whose drift is validated out-of-sample rather than assumed, puts the three-month median at EGP 326 with an interquartile band of 287–369: the tape's own five-year behaviour, projected forward, points modestly up even as the value lenses point down.</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3264"/>
        <w:gridCol w:w="3264"/>
        <w:gridCol w:w="3264"/>
      </w:tblGrid>
      <w:tr>
        <w:tc>
          <w:tcPr>
            <w:tcW w:type="dxa" w:w="2592"/>
            <w:shd w:val="clear" w:fill="1C3A36"/>
          </w:tcPr>
          <w:p>
            <w:pPr>
              <w:spacing w:after="40"/>
            </w:pPr>
            <w:r>
              <w:rPr>
                <w:b/>
                <w:color w:val="FFFFFF"/>
                <w:sz w:val="17"/>
              </w:rPr>
              <w:t>Lens</w:t>
            </w:r>
          </w:p>
        </w:tc>
        <w:tc>
          <w:tcPr>
            <w:tcW w:type="dxa" w:w="3456"/>
            <w:shd w:val="clear" w:fill="1C3A36"/>
          </w:tcPr>
          <w:p>
            <w:pPr>
              <w:spacing w:after="40"/>
            </w:pPr>
            <w:r>
              <w:rPr>
                <w:b/>
                <w:color w:val="FFFFFF"/>
                <w:sz w:val="17"/>
              </w:rPr>
              <w:t>Reads</w:t>
            </w:r>
          </w:p>
        </w:tc>
        <w:tc>
          <w:tcPr>
            <w:tcW w:type="dxa" w:w="3744"/>
            <w:shd w:val="clear" w:fill="1C3A36"/>
          </w:tcPr>
          <w:p>
            <w:pPr>
              <w:spacing w:after="40"/>
            </w:pPr>
            <w:r>
              <w:rPr>
                <w:b/>
                <w:color w:val="FFFFFF"/>
                <w:sz w:val="17"/>
              </w:rPr>
              <w:t>Central / implication</w:t>
            </w:r>
          </w:p>
        </w:tc>
      </w:tr>
      <w:tr>
        <w:tc>
          <w:tcPr>
            <w:tcW w:type="dxa" w:w="2592"/>
          </w:tcPr>
          <w:p>
            <w:pPr>
              <w:spacing w:after="40"/>
            </w:pPr>
            <w:r>
              <w:rPr>
                <w:b w:val="0"/>
                <w:sz w:val="17"/>
              </w:rPr>
              <w:t>Fundamental (4-lens)</w:t>
            </w:r>
          </w:p>
        </w:tc>
        <w:tc>
          <w:tcPr>
            <w:tcW w:type="dxa" w:w="3456"/>
          </w:tcPr>
          <w:p>
            <w:pPr>
              <w:spacing w:after="40"/>
            </w:pPr>
            <w:r>
              <w:rPr>
                <w:b w:val="0"/>
                <w:sz w:val="17"/>
              </w:rPr>
              <w:t>Fully valued to modestly rich</w:t>
            </w:r>
          </w:p>
        </w:tc>
        <w:tc>
          <w:tcPr>
            <w:tcW w:type="dxa" w:w="3744"/>
          </w:tcPr>
          <w:p>
            <w:pPr>
              <w:spacing w:after="40"/>
            </w:pPr>
            <w:r>
              <w:rPr>
                <w:b w:val="0"/>
                <w:sz w:val="17"/>
              </w:rPr>
              <w:t>EGP 250 (−12%)</w:t>
            </w:r>
          </w:p>
        </w:tc>
      </w:tr>
      <w:tr>
        <w:tc>
          <w:tcPr>
            <w:tcW w:type="dxa" w:w="2592"/>
          </w:tcPr>
          <w:p>
            <w:pPr>
              <w:spacing w:after="40"/>
            </w:pPr>
            <w:r>
              <w:rPr>
                <w:b w:val="0"/>
                <w:sz w:val="17"/>
              </w:rPr>
              <w:t>Technical</w:t>
            </w:r>
          </w:p>
        </w:tc>
        <w:tc>
          <w:tcPr>
            <w:tcW w:type="dxa" w:w="3456"/>
          </w:tcPr>
          <w:p>
            <w:pPr>
              <w:spacing w:after="40"/>
            </w:pPr>
            <w:r>
              <w:rPr>
                <w:b w:val="0"/>
                <w:sz w:val="17"/>
              </w:rPr>
              <w:t>Uptrend, consolidating</w:t>
            </w:r>
          </w:p>
        </w:tc>
        <w:tc>
          <w:tcPr>
            <w:tcW w:type="dxa" w:w="3744"/>
          </w:tcPr>
          <w:p>
            <w:pPr>
              <w:spacing w:after="40"/>
            </w:pPr>
            <w:r>
              <w:rPr>
                <w:b w:val="0"/>
                <w:sz w:val="17"/>
              </w:rPr>
              <w:t>Supports 244–250 / resistance 300–338</w:t>
            </w:r>
          </w:p>
        </w:tc>
      </w:tr>
      <w:tr>
        <w:tc>
          <w:tcPr>
            <w:tcW w:type="dxa" w:w="2592"/>
          </w:tcPr>
          <w:p>
            <w:pPr>
              <w:spacing w:after="40"/>
            </w:pPr>
            <w:r>
              <w:rPr>
                <w:b w:val="0"/>
                <w:sz w:val="17"/>
              </w:rPr>
              <w:t>Monte Carlo (3-month)</w:t>
            </w:r>
          </w:p>
        </w:tc>
        <w:tc>
          <w:tcPr>
            <w:tcW w:type="dxa" w:w="3456"/>
          </w:tcPr>
          <w:p>
            <w:pPr>
              <w:spacing w:after="40"/>
            </w:pPr>
            <w:r>
              <w:rPr>
                <w:b w:val="0"/>
                <w:sz w:val="17"/>
              </w:rPr>
              <w:t>Right-shifted, wide</w:t>
            </w:r>
          </w:p>
        </w:tc>
        <w:tc>
          <w:tcPr>
            <w:tcW w:type="dxa" w:w="3744"/>
          </w:tcPr>
          <w:p>
            <w:pPr>
              <w:spacing w:after="40"/>
            </w:pPr>
            <w:r>
              <w:rPr>
                <w:b w:val="0"/>
                <w:sz w:val="17"/>
              </w:rPr>
              <w:t>Median 326; IQR 287–369; p5–p95 231–452</w:t>
            </w:r>
          </w:p>
        </w:tc>
      </w:tr>
    </w:tbl>
    <w:p>
      <w:pPr>
        <w:spacing w:after="40"/>
      </w:pPr>
    </w:p>
    <w:p>
      <w:pPr>
        <w:spacing w:after="120"/>
      </w:pPr>
      <w:r>
        <w:rPr>
          <w:b/>
          <w:i w:val="0"/>
          <w:sz w:val="19"/>
        </w:rPr>
        <w:t>Verdict (a fair-value read, not a recommendation).</w:t>
      </w:r>
      <w:r>
        <w:rPr>
          <w:b w:val="0"/>
          <w:i w:val="0"/>
          <w:sz w:val="19"/>
        </w:rPr>
        <w:t xml:space="preserve"> EGAL is a superb machine at a full price. The lenses agree the existing smelter is worth roughly EGP 210–270 a share depending on how you count it; the market pays EGP 286 for the exit-rate earnings plus most of an expansion option that has a term sheet but no financing close, in a policy environment where the single biggest cost line is set by the state. The honest tension is that the probabilistic engine — the one component we score in public — says this market keeps paying that premium: its validated drift places the median above spot. We resolve nothing; we publish both. A buyer at spot is underwriting the doubling and the tariff path; a seller is betting against a tape whose persistence has, for five measured years, been the statistically correct call. Readers should weigh the lenses themselves; we publish the distribution, not a target.</w:t>
      </w:r>
    </w:p>
    <w:p>
      <w:pPr>
        <w:pStyle w:val="Heading1"/>
      </w:pPr>
      <w:r>
        <w:t>5  Catalysts to watch</w:t>
      </w:r>
    </w:p>
    <w:p>
      <w:pPr>
        <w:spacing w:after="60"/>
      </w:pPr>
      <w:r>
        <w:rPr>
          <w:b w:val="0"/>
          <w:i w:val="0"/>
          <w:sz w:val="19"/>
        </w:rPr>
        <w:t xml:space="preserve">• </w:t>
      </w:r>
      <w:r>
        <w:rPr>
          <w:b/>
          <w:i w:val="0"/>
          <w:sz w:val="19"/>
        </w:rPr>
        <w:t>FY2025/26 results &amp; dividend (≈Sep–Oct 2026).</w:t>
      </w:r>
      <w:r>
        <w:rPr>
          <w:b w:val="0"/>
          <w:i w:val="0"/>
          <w:sz w:val="19"/>
        </w:rPr>
        <w:t xml:space="preserve"> The close on the EGP 13.71 bn target, and whether the payout steps up again from EGP 10/share — the cash pile argues it can.</w:t>
      </w:r>
    </w:p>
    <w:p>
      <w:pPr>
        <w:spacing w:after="60"/>
      </w:pPr>
      <w:r>
        <w:rPr>
          <w:b w:val="0"/>
          <w:i w:val="0"/>
          <w:sz w:val="19"/>
        </w:rPr>
        <w:t xml:space="preserve">• </w:t>
      </w:r>
      <w:r>
        <w:rPr>
          <w:b/>
          <w:i w:val="0"/>
          <w:sz w:val="19"/>
        </w:rPr>
        <w:t>Trafigura definitive agreements.</w:t>
      </w:r>
      <w:r>
        <w:rPr>
          <w:b w:val="0"/>
          <w:i w:val="0"/>
          <w:sz w:val="19"/>
        </w:rPr>
        <w:t xml:space="preserve"> Financing structure, offtake terms, power allocation and timeline for the ~600 kt build — the single largest swing in either direction.</w:t>
      </w:r>
    </w:p>
    <w:p>
      <w:pPr>
        <w:spacing w:after="60"/>
      </w:pPr>
      <w:r>
        <w:rPr>
          <w:b w:val="0"/>
          <w:i w:val="0"/>
          <w:sz w:val="19"/>
        </w:rPr>
        <w:t xml:space="preserve">• </w:t>
      </w:r>
      <w:r>
        <w:rPr>
          <w:b/>
          <w:i w:val="0"/>
          <w:sz w:val="19"/>
        </w:rPr>
        <w:t>Electricity tariff decisions.</w:t>
      </w:r>
      <w:r>
        <w:rPr>
          <w:b w:val="0"/>
          <w:i w:val="0"/>
          <w:sz w:val="19"/>
        </w:rPr>
        <w:t xml:space="preserve"> Each industrial tariff step lands ~EGP 26/share of value at the base multiple; the FY26/27 budget already braces for one.</w:t>
      </w:r>
    </w:p>
    <w:p>
      <w:pPr>
        <w:spacing w:after="60"/>
      </w:pPr>
      <w:r>
        <w:rPr>
          <w:b w:val="0"/>
          <w:i w:val="0"/>
          <w:sz w:val="19"/>
        </w:rPr>
        <w:t xml:space="preserve">• </w:t>
      </w:r>
      <w:r>
        <w:rPr>
          <w:b/>
          <w:i w:val="0"/>
          <w:sz w:val="19"/>
        </w:rPr>
        <w:t>Scatec 1.1 GW solar PPA milestones.</w:t>
      </w:r>
      <w:r>
        <w:rPr>
          <w:b w:val="0"/>
          <w:i w:val="0"/>
          <w:sz w:val="19"/>
        </w:rPr>
        <w:t xml:space="preserve"> Financial close and construction start de-risk both the tariff and the CBAM exposure.</w:t>
      </w:r>
    </w:p>
    <w:p>
      <w:pPr>
        <w:spacing w:after="60"/>
      </w:pPr>
      <w:r>
        <w:rPr>
          <w:b w:val="0"/>
          <w:i w:val="0"/>
          <w:sz w:val="19"/>
        </w:rPr>
        <w:t xml:space="preserve">• </w:t>
      </w:r>
      <w:r>
        <w:rPr>
          <w:b/>
          <w:i w:val="0"/>
          <w:sz w:val="19"/>
        </w:rPr>
        <w:t>The pound.</w:t>
      </w:r>
      <w:r>
        <w:rPr>
          <w:b w:val="0"/>
          <w:i w:val="0"/>
          <w:sz w:val="19"/>
        </w:rPr>
        <w:t xml:space="preserve"> EGP/USD below ~47.5 compresses the export margin visibly; a step past ~52 does the opposite — EGAL is the register's cleanest devaluation hedge.</w:t>
      </w:r>
    </w:p>
    <w:p>
      <w:pPr>
        <w:spacing w:after="60"/>
      </w:pPr>
      <w:r>
        <w:rPr>
          <w:b w:val="0"/>
          <w:i w:val="0"/>
          <w:sz w:val="19"/>
        </w:rPr>
        <w:t xml:space="preserve">• </w:t>
      </w:r>
      <w:r>
        <w:rPr>
          <w:b/>
          <w:i w:val="0"/>
          <w:sz w:val="19"/>
        </w:rPr>
        <w:t>CBAM definitive-phase mechanics.</w:t>
      </w:r>
      <w:r>
        <w:rPr>
          <w:b w:val="0"/>
          <w:i w:val="0"/>
          <w:sz w:val="19"/>
        </w:rPr>
        <w:t xml:space="preserve"> First full-year certificate costs on EU-bound tonnes; watch realized-price disclosure.</w:t>
      </w:r>
    </w:p>
    <w:p>
      <w:pPr>
        <w:spacing w:after="60"/>
      </w:pPr>
      <w:r>
        <w:rPr>
          <w:b w:val="0"/>
          <w:i w:val="0"/>
          <w:sz w:val="19"/>
        </w:rPr>
        <w:t xml:space="preserve">• </w:t>
      </w:r>
      <w:r>
        <w:rPr>
          <w:b/>
          <w:i w:val="0"/>
          <w:sz w:val="19"/>
        </w:rPr>
        <w:t>Alba alumina-refinery MOU.</w:t>
      </w:r>
      <w:r>
        <w:rPr>
          <w:b w:val="0"/>
          <w:i w:val="0"/>
          <w:sz w:val="19"/>
        </w:rPr>
        <w:t xml:space="preserve"> Progress toward domestic alumina would take out the largest imported input.</w:t>
      </w:r>
    </w:p>
    <w:p>
      <w:pPr>
        <w:spacing w:after="60"/>
      </w:pPr>
      <w:r>
        <w:rPr>
          <w:b w:val="0"/>
          <w:i w:val="0"/>
          <w:sz w:val="19"/>
        </w:rPr>
        <w:t xml:space="preserve">• </w:t>
      </w:r>
      <w:r>
        <w:rPr>
          <w:b/>
          <w:i w:val="0"/>
          <w:sz w:val="19"/>
        </w:rPr>
        <w:t>MIH / privatization signals.</w:t>
      </w:r>
      <w:r>
        <w:rPr>
          <w:b w:val="0"/>
          <w:i w:val="0"/>
          <w:sz w:val="19"/>
        </w:rPr>
        <w:t xml:space="preserve"> Any stake-sale or secondary-offering noise re-prices the float discount immediately.</w:t>
      </w:r>
    </w:p>
    <w:p>
      <w:pPr>
        <w:spacing w:after="60"/>
      </w:pPr>
      <w:r>
        <w:rPr>
          <w:b w:val="0"/>
          <w:i w:val="0"/>
          <w:sz w:val="19"/>
        </w:rPr>
        <w:t xml:space="preserve">• </w:t>
      </w:r>
      <w:r>
        <w:rPr>
          <w:b/>
          <w:i w:val="0"/>
          <w:sz w:val="19"/>
        </w:rPr>
        <w:t>FY2026/27 first-half prints.</w:t>
      </w:r>
      <w:r>
        <w:rPr>
          <w:b w:val="0"/>
          <w:i w:val="0"/>
          <w:sz w:val="19"/>
        </w:rPr>
        <w:t xml:space="preserve"> Whether the company's own EGP 11.1 bn down-year budget proves conservative — the market has assumed it is.</w:t>
      </w:r>
    </w:p>
    <w:p>
      <w:pPr>
        <w:pStyle w:val="Heading1"/>
      </w:pPr>
      <w:r>
        <w:t>6  Reading the probability zones</w:t>
      </w:r>
    </w:p>
    <w:p>
      <w:pPr>
        <w:spacing w:after="120"/>
      </w:pPr>
      <w:r>
        <w:rPr>
          <w:b w:val="0"/>
          <w:i w:val="0"/>
          <w:sz w:val="19"/>
        </w:rPr>
        <w:t>Translating the three-month distribution into plain zones, anchored on spot EGP 286 and the EGP 250 fundamental central:</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2016"/>
            <w:shd w:val="clear" w:fill="1C3A36"/>
          </w:tcPr>
          <w:p>
            <w:pPr>
              <w:spacing w:after="40"/>
            </w:pPr>
            <w:r>
              <w:rPr>
                <w:b/>
                <w:color w:val="FFFFFF"/>
                <w:sz w:val="17"/>
              </w:rPr>
              <w:t>Zone (T+60)</w:t>
            </w:r>
          </w:p>
        </w:tc>
        <w:tc>
          <w:tcPr>
            <w:tcW w:type="dxa" w:w="1872"/>
            <w:shd w:val="clear" w:fill="1C3A36"/>
          </w:tcPr>
          <w:p>
            <w:pPr>
              <w:spacing w:after="40"/>
            </w:pPr>
            <w:r>
              <w:rPr>
                <w:b/>
                <w:color w:val="FFFFFF"/>
                <w:sz w:val="17"/>
              </w:rPr>
              <w:t>Range</w:t>
            </w:r>
          </w:p>
        </w:tc>
        <w:tc>
          <w:tcPr>
            <w:tcW w:type="dxa" w:w="1872"/>
            <w:shd w:val="clear" w:fill="1C3A36"/>
          </w:tcPr>
          <w:p>
            <w:pPr>
              <w:spacing w:after="40"/>
            </w:pPr>
            <w:r>
              <w:rPr>
                <w:b/>
                <w:color w:val="FFFFFF"/>
                <w:sz w:val="17"/>
              </w:rPr>
              <w:t>Approx. probability</w:t>
            </w:r>
          </w:p>
        </w:tc>
        <w:tc>
          <w:tcPr>
            <w:tcW w:type="dxa" w:w="4032"/>
            <w:shd w:val="clear" w:fill="1C3A36"/>
          </w:tcPr>
          <w:p>
            <w:pPr>
              <w:spacing w:after="40"/>
            </w:pPr>
            <w:r>
              <w:rPr>
                <w:b/>
                <w:color w:val="FFFFFF"/>
                <w:sz w:val="17"/>
              </w:rPr>
              <w:t>What it would mean</w:t>
            </w:r>
          </w:p>
        </w:tc>
      </w:tr>
      <w:tr>
        <w:tc>
          <w:tcPr>
            <w:tcW w:type="dxa" w:w="2016"/>
          </w:tcPr>
          <w:p>
            <w:pPr>
              <w:spacing w:after="40"/>
            </w:pPr>
            <w:r>
              <w:rPr>
                <w:b w:val="0"/>
                <w:sz w:val="17"/>
              </w:rPr>
              <w:t>Deep downside</w:t>
            </w:r>
          </w:p>
        </w:tc>
        <w:tc>
          <w:tcPr>
            <w:tcW w:type="dxa" w:w="1872"/>
          </w:tcPr>
          <w:p>
            <w:pPr>
              <w:spacing w:after="40"/>
            </w:pPr>
            <w:r>
              <w:rPr>
                <w:b w:val="0"/>
                <w:sz w:val="17"/>
              </w:rPr>
              <w:t>&lt; EGP 220</w:t>
            </w:r>
          </w:p>
        </w:tc>
        <w:tc>
          <w:tcPr>
            <w:tcW w:type="dxa" w:w="1872"/>
          </w:tcPr>
          <w:p>
            <w:pPr>
              <w:spacing w:after="40"/>
            </w:pPr>
            <w:r>
              <w:rPr>
                <w:b w:val="0"/>
                <w:sz w:val="17"/>
              </w:rPr>
              <w:t>3%</w:t>
            </w:r>
          </w:p>
        </w:tc>
        <w:tc>
          <w:tcPr>
            <w:tcW w:type="dxa" w:w="4032"/>
          </w:tcPr>
          <w:p>
            <w:pPr>
              <w:spacing w:after="40"/>
            </w:pPr>
            <w:r>
              <w:rPr>
                <w:b w:val="0"/>
                <w:sz w:val="17"/>
              </w:rPr>
              <w:t>Tariff shock or risk-off; through the replacement floor's neighbourhood</w:t>
            </w:r>
          </w:p>
        </w:tc>
      </w:tr>
      <w:tr>
        <w:tc>
          <w:tcPr>
            <w:tcW w:type="dxa" w:w="2016"/>
          </w:tcPr>
          <w:p>
            <w:pPr>
              <w:spacing w:after="40"/>
            </w:pPr>
            <w:r>
              <w:rPr>
                <w:b w:val="0"/>
                <w:sz w:val="17"/>
              </w:rPr>
              <w:t>Lower band</w:t>
            </w:r>
          </w:p>
        </w:tc>
        <w:tc>
          <w:tcPr>
            <w:tcW w:type="dxa" w:w="1872"/>
          </w:tcPr>
          <w:p>
            <w:pPr>
              <w:spacing w:after="40"/>
            </w:pPr>
            <w:r>
              <w:rPr>
                <w:b w:val="0"/>
                <w:sz w:val="17"/>
              </w:rPr>
              <w:t>EGP 220–260</w:t>
            </w:r>
          </w:p>
        </w:tc>
        <w:tc>
          <w:tcPr>
            <w:tcW w:type="dxa" w:w="1872"/>
          </w:tcPr>
          <w:p>
            <w:pPr>
              <w:spacing w:after="40"/>
            </w:pPr>
            <w:r>
              <w:rPr>
                <w:b w:val="0"/>
                <w:sz w:val="17"/>
              </w:rPr>
              <w:t>9%</w:t>
            </w:r>
          </w:p>
        </w:tc>
        <w:tc>
          <w:tcPr>
            <w:tcW w:type="dxa" w:w="4032"/>
          </w:tcPr>
          <w:p>
            <w:pPr>
              <w:spacing w:after="40"/>
            </w:pPr>
            <w:r>
              <w:rPr>
                <w:b w:val="0"/>
                <w:sz w:val="17"/>
              </w:rPr>
              <w:t>Correction completes into the fundamental central / 200-day shelf</w:t>
            </w:r>
          </w:p>
        </w:tc>
      </w:tr>
      <w:tr>
        <w:tc>
          <w:tcPr>
            <w:tcW w:type="dxa" w:w="2016"/>
          </w:tcPr>
          <w:p>
            <w:pPr>
              <w:spacing w:after="40"/>
            </w:pPr>
            <w:r>
              <w:rPr>
                <w:b w:val="0"/>
                <w:sz w:val="17"/>
              </w:rPr>
              <w:t>Around spot</w:t>
            </w:r>
          </w:p>
        </w:tc>
        <w:tc>
          <w:tcPr>
            <w:tcW w:type="dxa" w:w="1872"/>
          </w:tcPr>
          <w:p>
            <w:pPr>
              <w:spacing w:after="40"/>
            </w:pPr>
            <w:r>
              <w:rPr>
                <w:b w:val="0"/>
                <w:sz w:val="17"/>
              </w:rPr>
              <w:t>EGP 260–310</w:t>
            </w:r>
          </w:p>
        </w:tc>
        <w:tc>
          <w:tcPr>
            <w:tcW w:type="dxa" w:w="1872"/>
          </w:tcPr>
          <w:p>
            <w:pPr>
              <w:spacing w:after="40"/>
            </w:pPr>
            <w:r>
              <w:rPr>
                <w:b w:val="0"/>
                <w:sz w:val="17"/>
              </w:rPr>
              <w:t>27%</w:t>
            </w:r>
          </w:p>
        </w:tc>
        <w:tc>
          <w:tcPr>
            <w:tcW w:type="dxa" w:w="4032"/>
          </w:tcPr>
          <w:p>
            <w:pPr>
              <w:spacing w:after="40"/>
            </w:pPr>
            <w:r>
              <w:rPr>
                <w:b w:val="0"/>
                <w:sz w:val="17"/>
              </w:rPr>
              <w:t>Consolidation holds; premium neither earned nor surrendered</w:t>
            </w:r>
          </w:p>
        </w:tc>
      </w:tr>
      <w:tr>
        <w:tc>
          <w:tcPr>
            <w:tcW w:type="dxa" w:w="2016"/>
          </w:tcPr>
          <w:p>
            <w:pPr>
              <w:spacing w:after="40"/>
            </w:pPr>
            <w:r>
              <w:rPr>
                <w:b w:val="0"/>
                <w:sz w:val="17"/>
              </w:rPr>
              <w:t>Upper band</w:t>
            </w:r>
          </w:p>
        </w:tc>
        <w:tc>
          <w:tcPr>
            <w:tcW w:type="dxa" w:w="1872"/>
          </w:tcPr>
          <w:p>
            <w:pPr>
              <w:spacing w:after="40"/>
            </w:pPr>
            <w:r>
              <w:rPr>
                <w:b w:val="0"/>
                <w:sz w:val="17"/>
              </w:rPr>
              <w:t>EGP 310–360</w:t>
            </w:r>
          </w:p>
        </w:tc>
        <w:tc>
          <w:tcPr>
            <w:tcW w:type="dxa" w:w="1872"/>
          </w:tcPr>
          <w:p>
            <w:pPr>
              <w:spacing w:after="40"/>
            </w:pPr>
            <w:r>
              <w:rPr>
                <w:b w:val="0"/>
                <w:sz w:val="17"/>
              </w:rPr>
              <w:t>31%</w:t>
            </w:r>
          </w:p>
        </w:tc>
        <w:tc>
          <w:tcPr>
            <w:tcW w:type="dxa" w:w="4032"/>
          </w:tcPr>
          <w:p>
            <w:pPr>
              <w:spacing w:after="40"/>
            </w:pPr>
            <w:r>
              <w:rPr>
                <w:b w:val="0"/>
                <w:sz w:val="17"/>
              </w:rPr>
              <w:t>Strong FY25/26 close credited; retest of the 338 high</w:t>
            </w:r>
          </w:p>
        </w:tc>
      </w:tr>
      <w:tr>
        <w:tc>
          <w:tcPr>
            <w:tcW w:type="dxa" w:w="2016"/>
          </w:tcPr>
          <w:p>
            <w:pPr>
              <w:spacing w:after="40"/>
            </w:pPr>
            <w:r>
              <w:rPr>
                <w:b w:val="0"/>
                <w:sz w:val="17"/>
              </w:rPr>
              <w:t>Strong upside</w:t>
            </w:r>
          </w:p>
        </w:tc>
        <w:tc>
          <w:tcPr>
            <w:tcW w:type="dxa" w:w="1872"/>
          </w:tcPr>
          <w:p>
            <w:pPr>
              <w:spacing w:after="40"/>
            </w:pPr>
            <w:r>
              <w:rPr>
                <w:b w:val="0"/>
                <w:sz w:val="17"/>
              </w:rPr>
              <w:t>&gt; EGP 360</w:t>
            </w:r>
          </w:p>
        </w:tc>
        <w:tc>
          <w:tcPr>
            <w:tcW w:type="dxa" w:w="1872"/>
          </w:tcPr>
          <w:p>
            <w:pPr>
              <w:spacing w:after="40"/>
            </w:pPr>
            <w:r>
              <w:rPr>
                <w:b w:val="0"/>
                <w:sz w:val="17"/>
              </w:rPr>
              <w:t>29%</w:t>
            </w:r>
          </w:p>
        </w:tc>
        <w:tc>
          <w:tcPr>
            <w:tcW w:type="dxa" w:w="4032"/>
          </w:tcPr>
          <w:p>
            <w:pPr>
              <w:spacing w:after="40"/>
            </w:pPr>
            <w:r>
              <w:rPr>
                <w:b w:val="0"/>
                <w:sz w:val="17"/>
              </w:rPr>
              <w:t>Trafigura financing close and/or tariff relief; new highs</w:t>
            </w:r>
          </w:p>
        </w:tc>
      </w:tr>
    </w:tbl>
    <w:p>
      <w:pPr>
        <w:spacing w:after="40"/>
      </w:pPr>
    </w:p>
    <w:p>
      <w:pPr>
        <w:spacing w:after="120"/>
      </w:pPr>
      <w:r>
        <w:rPr>
          <w:b w:val="0"/>
          <w:i w:val="0"/>
          <w:sz w:val="19"/>
        </w:rPr>
        <w:t>The distribution is right-shifted — roughly 61% of paths finish above spot — which is the validated drift speaking, widened both ways by the event stack. It is not a forecast that the premium is deserved; it is the spread of outcomes consistent with this stock's own measured behaviour and the factor probabilities stated above.</w:t>
      </w:r>
    </w:p>
    <w:p>
      <w:pPr>
        <w:pStyle w:val="Heading1"/>
      </w:pPr>
      <w:r>
        <w:t>7  Caveats and what would change our mind</w:t>
      </w:r>
    </w:p>
    <w:p>
      <w:pPr>
        <w:spacing w:after="60"/>
      </w:pPr>
      <w:r>
        <w:rPr>
          <w:b w:val="0"/>
          <w:i w:val="0"/>
          <w:sz w:val="19"/>
        </w:rPr>
        <w:t xml:space="preserve">• </w:t>
      </w:r>
      <w:r>
        <w:rPr>
          <w:b/>
          <w:i w:val="0"/>
          <w:sz w:val="19"/>
        </w:rPr>
        <w:t>The tariff is the model.</w:t>
      </w:r>
      <w:r>
        <w:rPr>
          <w:b w:val="0"/>
          <w:i w:val="0"/>
          <w:sz w:val="19"/>
        </w:rPr>
        <w:t xml:space="preserve"> Our normalized margin embeds one more electricity step; full cost-recovery pricing would cut the central toward EGP 210 and the DCF below EGP 230. The single sentence that most re-prices this study will be written by the electricity ministry, not the company.</w:t>
      </w:r>
    </w:p>
    <w:p>
      <w:pPr>
        <w:spacing w:after="60"/>
      </w:pPr>
      <w:r>
        <w:rPr>
          <w:b w:val="0"/>
          <w:i w:val="0"/>
          <w:sz w:val="19"/>
        </w:rPr>
        <w:t xml:space="preserve">• </w:t>
      </w:r>
      <w:r>
        <w:rPr>
          <w:b/>
          <w:i w:val="0"/>
          <w:sz w:val="19"/>
        </w:rPr>
        <w:t>Drift is validated, not guaranteed.</w:t>
      </w:r>
      <w:r>
        <w:rPr>
          <w:b w:val="0"/>
          <w:i w:val="0"/>
          <w:sz w:val="19"/>
        </w:rPr>
        <w:t xml:space="preserve"> The secular drift passed a 17-origin out-of-sample test, but every trend engine breaks at a regime turn — a durable EGP-appreciation-plus-tariff regime would be exactly such a turn, and the PIT's mild upper tilt (0.59) would flip to a lower pile-up fast. We will re-grade in the public ledger either way.</w:t>
      </w:r>
    </w:p>
    <w:p>
      <w:pPr>
        <w:spacing w:after="60"/>
      </w:pPr>
      <w:r>
        <w:rPr>
          <w:b w:val="0"/>
          <w:i w:val="0"/>
          <w:sz w:val="19"/>
        </w:rPr>
        <w:t xml:space="preserve">• </w:t>
      </w:r>
      <w:r>
        <w:rPr>
          <w:b/>
          <w:i w:val="0"/>
          <w:sz w:val="19"/>
        </w:rPr>
        <w:t>The expansion is a term sheet.</w:t>
      </w:r>
      <w:r>
        <w:rPr>
          <w:b w:val="0"/>
          <w:i w:val="0"/>
          <w:sz w:val="19"/>
        </w:rPr>
        <w:t xml:space="preserve"> We credit EGP 4 bn; the market appears to credit far more. If financing terms subordinate minorities (offtake discounts, partner preferences), the option's equity value could be lower than either.</w:t>
      </w:r>
    </w:p>
    <w:p>
      <w:pPr>
        <w:spacing w:after="60"/>
      </w:pPr>
      <w:r>
        <w:rPr>
          <w:b w:val="0"/>
          <w:i w:val="0"/>
          <w:sz w:val="19"/>
        </w:rPr>
        <w:t xml:space="preserve">• </w:t>
      </w:r>
      <w:r>
        <w:rPr>
          <w:b/>
          <w:i w:val="0"/>
          <w:sz w:val="19"/>
        </w:rPr>
        <w:t>Balance-sheet lines are reconstructions.</w:t>
      </w:r>
      <w:r>
        <w:rPr>
          <w:b w:val="0"/>
          <w:i w:val="0"/>
          <w:sz w:val="19"/>
        </w:rPr>
        <w:t xml:space="preserve"> Cash, capital and profits are disclosed; several cost and working-capital splits are derived to reconcile. The model flags every such cell; treat the statements as anchored estimates, not audited detail.</w:t>
      </w:r>
    </w:p>
    <w:p>
      <w:pPr>
        <w:spacing w:after="60"/>
      </w:pPr>
      <w:r>
        <w:rPr>
          <w:b w:val="0"/>
          <w:i w:val="0"/>
          <w:sz w:val="19"/>
        </w:rPr>
        <w:t xml:space="preserve">• </w:t>
      </w:r>
      <w:r>
        <w:rPr>
          <w:b/>
          <w:i w:val="0"/>
          <w:sz w:val="19"/>
        </w:rPr>
        <w:t>Single-site, single-country, thin float.</w:t>
      </w:r>
      <w:r>
        <w:rPr>
          <w:b w:val="0"/>
          <w:i w:val="0"/>
          <w:sz w:val="19"/>
        </w:rPr>
        <w:t xml:space="preserve"> One force-majeure at Nag Hammadi, one capital-controls turn, or one 10%-float liquidity vacuum can dominate any distribution we publish.</w:t>
      </w:r>
    </w:p>
    <w:p>
      <w:pPr>
        <w:spacing w:after="60"/>
      </w:pPr>
      <w:r>
        <w:rPr>
          <w:b w:val="0"/>
          <w:i w:val="0"/>
          <w:sz w:val="19"/>
        </w:rPr>
        <w:t xml:space="preserve">• </w:t>
      </w:r>
      <w:r>
        <w:rPr>
          <w:b/>
          <w:i w:val="0"/>
          <w:sz w:val="19"/>
        </w:rPr>
        <w:t>FX cuts both ways.</w:t>
      </w:r>
      <w:r>
        <w:rPr>
          <w:b w:val="0"/>
          <w:i w:val="0"/>
          <w:sz w:val="19"/>
        </w:rPr>
        <w:t xml:space="preserve"> We call EGAL a devaluation hedge; a genuine disinflation-plus-appreciation success story in Egypt is the bear case for this specific equity even as it is the bull case for most of the register.</w:t>
      </w:r>
    </w:p>
    <w:p>
      <w:pPr>
        <w:spacing w:after="60"/>
      </w:pPr>
      <w:r>
        <w:rPr>
          <w:b w:val="0"/>
          <w:i w:val="0"/>
          <w:sz w:val="19"/>
        </w:rPr>
        <w:t xml:space="preserve">• </w:t>
      </w:r>
      <w:r>
        <w:rPr>
          <w:b/>
          <w:i w:val="0"/>
          <w:sz w:val="19"/>
        </w:rPr>
        <w:t>CBAM math is young.</w:t>
      </w:r>
      <w:r>
        <w:rPr>
          <w:b w:val="0"/>
          <w:i w:val="0"/>
          <w:sz w:val="19"/>
        </w:rPr>
        <w:t xml:space="preserve"> Embedded-carbon accounting for Egyptian grid power, certificate prices and pass-through are all first-year numbers in 2026; our haircut is a judgment, not a measurement.</w:t>
      </w:r>
    </w:p>
    <w:p>
      <w:pPr>
        <w:pStyle w:val="Heading1"/>
      </w:pPr>
      <w:r>
        <w:t>Appendix A  Financial statements — 3-year historical + 5-year forecast</w:t>
      </w:r>
    </w:p>
    <w:p>
      <w:pPr>
        <w:spacing w:after="120"/>
      </w:pPr>
      <w:r>
        <w:rPr>
          <w:b w:val="0"/>
          <w:i w:val="0"/>
          <w:sz w:val="18"/>
        </w:rPr>
        <w:t>Selected figures, EGP m. FY2022/23–FY2024/25 are reported (EGX/Mubasher; FY24/25 release 24 Aug 2025); the COGS/SG&amp;A split, D&amp;A, interest and several balance-sheet lines are derived from disclosed anchors (EBIT, tax, cash, paid-in capital EGP 1,650 m) and flagged as such; FY2025/26E bridges the 9M actual (NP EGP 10.4 bn) to ~EGP 13.4 bn; FY2026/27E–FY2030/31E are the model's forecast off the Assumptions drivers.</w:t>
      </w:r>
    </w:p>
    <w:p>
      <w:pPr>
        <w:pStyle w:val="Heading2"/>
      </w:pPr>
      <w:r>
        <w:t>A.1  Income statement — FY22/23–FY24/25 reported + FY26/27E–FY30/31E forecast (F26E bridge)</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979"/>
        <w:gridCol w:w="979"/>
        <w:gridCol w:w="979"/>
        <w:gridCol w:w="979"/>
        <w:gridCol w:w="979"/>
        <w:gridCol w:w="979"/>
        <w:gridCol w:w="979"/>
        <w:gridCol w:w="979"/>
        <w:gridCol w:w="979"/>
        <w:gridCol w:w="979"/>
      </w:tblGrid>
      <w:tr>
        <w:tc>
          <w:tcPr>
            <w:tcW w:type="dxa" w:w="2160"/>
            <w:shd w:val="clear" w:fill="1C3A36"/>
          </w:tcPr>
          <w:p>
            <w:pPr>
              <w:spacing w:after="40"/>
            </w:pPr>
            <w:r>
              <w:rPr>
                <w:b/>
                <w:color w:val="FFFFFF"/>
                <w:sz w:val="15"/>
              </w:rPr>
              <w:t>EGP m</w:t>
            </w:r>
          </w:p>
        </w:tc>
        <w:tc>
          <w:tcPr>
            <w:tcW w:type="dxa" w:w="878"/>
            <w:shd w:val="clear" w:fill="1C3A36"/>
          </w:tcPr>
          <w:p>
            <w:pPr>
              <w:spacing w:after="40"/>
            </w:pPr>
            <w:r>
              <w:rPr>
                <w:b/>
                <w:color w:val="FFFFFF"/>
                <w:sz w:val="15"/>
              </w:rPr>
              <w:t>FY22/23</w:t>
            </w:r>
          </w:p>
        </w:tc>
        <w:tc>
          <w:tcPr>
            <w:tcW w:type="dxa" w:w="878"/>
            <w:shd w:val="clear" w:fill="1C3A36"/>
          </w:tcPr>
          <w:p>
            <w:pPr>
              <w:spacing w:after="40"/>
            </w:pPr>
            <w:r>
              <w:rPr>
                <w:b/>
                <w:color w:val="FFFFFF"/>
                <w:sz w:val="15"/>
              </w:rPr>
              <w:t>FY23/24</w:t>
            </w:r>
          </w:p>
        </w:tc>
        <w:tc>
          <w:tcPr>
            <w:tcW w:type="dxa" w:w="878"/>
            <w:shd w:val="clear" w:fill="1C3A36"/>
          </w:tcPr>
          <w:p>
            <w:pPr>
              <w:spacing w:after="40"/>
            </w:pPr>
            <w:r>
              <w:rPr>
                <w:b/>
                <w:color w:val="FFFFFF"/>
                <w:sz w:val="15"/>
              </w:rPr>
              <w:t>FY24/25</w:t>
            </w:r>
          </w:p>
        </w:tc>
        <w:tc>
          <w:tcPr>
            <w:tcW w:type="dxa" w:w="878"/>
            <w:shd w:val="clear" w:fill="1C3A36"/>
          </w:tcPr>
          <w:p>
            <w:pPr>
              <w:spacing w:after="40"/>
            </w:pPr>
            <w:r>
              <w:rPr>
                <w:b/>
                <w:color w:val="FFFFFF"/>
                <w:sz w:val="15"/>
              </w:rPr>
              <w:t>F26E</w:t>
            </w:r>
          </w:p>
        </w:tc>
        <w:tc>
          <w:tcPr>
            <w:tcW w:type="dxa" w:w="878"/>
            <w:shd w:val="clear" w:fill="1C3A36"/>
          </w:tcPr>
          <w:p>
            <w:pPr>
              <w:spacing w:after="40"/>
            </w:pPr>
            <w:r>
              <w:rPr>
                <w:b/>
                <w:color w:val="FFFFFF"/>
                <w:sz w:val="15"/>
              </w:rPr>
              <w:t>F27E</w:t>
            </w:r>
          </w:p>
        </w:tc>
        <w:tc>
          <w:tcPr>
            <w:tcW w:type="dxa" w:w="878"/>
            <w:shd w:val="clear" w:fill="1C3A36"/>
          </w:tcPr>
          <w:p>
            <w:pPr>
              <w:spacing w:after="40"/>
            </w:pPr>
            <w:r>
              <w:rPr>
                <w:b/>
                <w:color w:val="FFFFFF"/>
                <w:sz w:val="15"/>
              </w:rPr>
              <w:t>F28E</w:t>
            </w:r>
          </w:p>
        </w:tc>
        <w:tc>
          <w:tcPr>
            <w:tcW w:type="dxa" w:w="878"/>
            <w:shd w:val="clear" w:fill="1C3A36"/>
          </w:tcPr>
          <w:p>
            <w:pPr>
              <w:spacing w:after="40"/>
            </w:pPr>
            <w:r>
              <w:rPr>
                <w:b/>
                <w:color w:val="FFFFFF"/>
                <w:sz w:val="15"/>
              </w:rPr>
              <w:t>F29E</w:t>
            </w:r>
          </w:p>
        </w:tc>
        <w:tc>
          <w:tcPr>
            <w:tcW w:type="dxa" w:w="878"/>
            <w:shd w:val="clear" w:fill="1C3A36"/>
          </w:tcPr>
          <w:p>
            <w:pPr>
              <w:spacing w:after="40"/>
            </w:pPr>
            <w:r>
              <w:rPr>
                <w:b/>
                <w:color w:val="FFFFFF"/>
                <w:sz w:val="15"/>
              </w:rPr>
              <w:t>F30E</w:t>
            </w:r>
          </w:p>
        </w:tc>
        <w:tc>
          <w:tcPr>
            <w:tcW w:type="dxa" w:w="878"/>
            <w:shd w:val="clear" w:fill="1C3A36"/>
          </w:tcPr>
          <w:p>
            <w:pPr>
              <w:spacing w:after="40"/>
            </w:pPr>
            <w:r>
              <w:rPr>
                <w:b/>
                <w:color w:val="FFFFFF"/>
                <w:sz w:val="15"/>
              </w:rPr>
              <w:t>F31E</w:t>
            </w:r>
          </w:p>
        </w:tc>
      </w:tr>
      <w:tr>
        <w:tc>
          <w:tcPr>
            <w:tcW w:type="dxa" w:w="2160"/>
          </w:tcPr>
          <w:p>
            <w:pPr>
              <w:spacing w:after="40"/>
            </w:pPr>
            <w:r>
              <w:rPr>
                <w:b w:val="0"/>
                <w:sz w:val="15"/>
              </w:rPr>
              <w:t>Revenue</w:t>
            </w:r>
          </w:p>
        </w:tc>
        <w:tc>
          <w:tcPr>
            <w:tcW w:type="dxa" w:w="878"/>
          </w:tcPr>
          <w:p>
            <w:pPr>
              <w:spacing w:after="40"/>
              <w:jc w:val="right"/>
            </w:pPr>
            <w:r>
              <w:rPr>
                <w:b w:val="0"/>
                <w:sz w:val="15"/>
              </w:rPr>
              <w:t>22,045</w:t>
            </w:r>
          </w:p>
        </w:tc>
        <w:tc>
          <w:tcPr>
            <w:tcW w:type="dxa" w:w="878"/>
          </w:tcPr>
          <w:p>
            <w:pPr>
              <w:spacing w:after="40"/>
              <w:jc w:val="right"/>
            </w:pPr>
            <w:r>
              <w:rPr>
                <w:b w:val="0"/>
                <w:sz w:val="15"/>
              </w:rPr>
              <w:t>32,815</w:t>
            </w:r>
          </w:p>
        </w:tc>
        <w:tc>
          <w:tcPr>
            <w:tcW w:type="dxa" w:w="878"/>
          </w:tcPr>
          <w:p>
            <w:pPr>
              <w:spacing w:after="40"/>
              <w:jc w:val="right"/>
            </w:pPr>
            <w:r>
              <w:rPr>
                <w:b w:val="0"/>
                <w:sz w:val="15"/>
              </w:rPr>
              <w:t>43,183</w:t>
            </w:r>
          </w:p>
        </w:tc>
        <w:tc>
          <w:tcPr>
            <w:tcW w:type="dxa" w:w="878"/>
          </w:tcPr>
          <w:p>
            <w:pPr>
              <w:spacing w:after="40"/>
              <w:jc w:val="right"/>
            </w:pPr>
            <w:r>
              <w:rPr>
                <w:b w:val="0"/>
                <w:sz w:val="15"/>
              </w:rPr>
              <w:t>49,300</w:t>
            </w:r>
          </w:p>
        </w:tc>
        <w:tc>
          <w:tcPr>
            <w:tcW w:type="dxa" w:w="878"/>
          </w:tcPr>
          <w:p>
            <w:pPr>
              <w:spacing w:after="40"/>
              <w:jc w:val="right"/>
            </w:pPr>
            <w:r>
              <w:rPr>
                <w:b w:val="0"/>
                <w:sz w:val="15"/>
              </w:rPr>
              <w:t>52,702</w:t>
            </w:r>
          </w:p>
        </w:tc>
        <w:tc>
          <w:tcPr>
            <w:tcW w:type="dxa" w:w="878"/>
          </w:tcPr>
          <w:p>
            <w:pPr>
              <w:spacing w:after="40"/>
              <w:jc w:val="right"/>
            </w:pPr>
            <w:r>
              <w:rPr>
                <w:b w:val="0"/>
                <w:sz w:val="15"/>
              </w:rPr>
              <w:t>57,919</w:t>
            </w:r>
          </w:p>
        </w:tc>
        <w:tc>
          <w:tcPr>
            <w:tcW w:type="dxa" w:w="878"/>
          </w:tcPr>
          <w:p>
            <w:pPr>
              <w:spacing w:after="40"/>
              <w:jc w:val="right"/>
            </w:pPr>
            <w:r>
              <w:rPr>
                <w:b w:val="0"/>
                <w:sz w:val="15"/>
              </w:rPr>
              <w:t>63,711</w:t>
            </w:r>
          </w:p>
        </w:tc>
        <w:tc>
          <w:tcPr>
            <w:tcW w:type="dxa" w:w="878"/>
          </w:tcPr>
          <w:p>
            <w:pPr>
              <w:spacing w:after="40"/>
              <w:jc w:val="right"/>
            </w:pPr>
            <w:r>
              <w:rPr>
                <w:b w:val="0"/>
                <w:sz w:val="15"/>
              </w:rPr>
              <w:t>70,082</w:t>
            </w:r>
          </w:p>
        </w:tc>
        <w:tc>
          <w:tcPr>
            <w:tcW w:type="dxa" w:w="878"/>
          </w:tcPr>
          <w:p>
            <w:pPr>
              <w:spacing w:after="40"/>
              <w:jc w:val="right"/>
            </w:pPr>
            <w:r>
              <w:rPr>
                <w:b w:val="0"/>
                <w:sz w:val="15"/>
              </w:rPr>
              <w:t>77,090</w:t>
            </w:r>
          </w:p>
        </w:tc>
      </w:tr>
      <w:tr>
        <w:tc>
          <w:tcPr>
            <w:tcW w:type="dxa" w:w="2160"/>
          </w:tcPr>
          <w:p>
            <w:pPr>
              <w:spacing w:after="40"/>
            </w:pPr>
            <w:r>
              <w:rPr>
                <w:b w:val="0"/>
                <w:sz w:val="15"/>
              </w:rPr>
              <w:t>COGS</w:t>
            </w:r>
          </w:p>
        </w:tc>
        <w:tc>
          <w:tcPr>
            <w:tcW w:type="dxa" w:w="878"/>
          </w:tcPr>
          <w:p>
            <w:pPr>
              <w:spacing w:after="40"/>
              <w:jc w:val="right"/>
            </w:pPr>
            <w:r>
              <w:rPr>
                <w:b w:val="0"/>
                <w:sz w:val="15"/>
              </w:rPr>
              <w:t>(16,200)</w:t>
            </w:r>
          </w:p>
        </w:tc>
        <w:tc>
          <w:tcPr>
            <w:tcW w:type="dxa" w:w="878"/>
          </w:tcPr>
          <w:p>
            <w:pPr>
              <w:spacing w:after="40"/>
              <w:jc w:val="right"/>
            </w:pPr>
            <w:r>
              <w:rPr>
                <w:b w:val="0"/>
                <w:sz w:val="15"/>
              </w:rPr>
              <w:t>(22,600)</w:t>
            </w:r>
          </w:p>
        </w:tc>
        <w:tc>
          <w:tcPr>
            <w:tcW w:type="dxa" w:w="878"/>
          </w:tcPr>
          <w:p>
            <w:pPr>
              <w:spacing w:after="40"/>
              <w:jc w:val="right"/>
            </w:pPr>
            <w:r>
              <w:rPr>
                <w:b w:val="0"/>
                <w:sz w:val="15"/>
              </w:rPr>
              <w:t>(29,950)</w:t>
            </w:r>
          </w:p>
        </w:tc>
        <w:tc>
          <w:tcPr>
            <w:tcW w:type="dxa" w:w="878"/>
          </w:tcPr>
          <w:p>
            <w:pPr>
              <w:spacing w:after="40"/>
              <w:jc w:val="right"/>
            </w:pPr>
            <w:r>
              <w:rPr>
                <w:b w:val="0"/>
                <w:sz w:val="15"/>
              </w:rPr>
              <w:t>(32,000)</w:t>
            </w:r>
          </w:p>
        </w:tc>
        <w:tc>
          <w:tcPr>
            <w:tcW w:type="dxa" w:w="878"/>
          </w:tcPr>
          <w:p>
            <w:pPr>
              <w:spacing w:after="40"/>
              <w:jc w:val="right"/>
            </w:pPr>
            <w:r>
              <w:rPr>
                <w:b w:val="0"/>
                <w:sz w:val="15"/>
              </w:rPr>
              <w:t>(36,891)</w:t>
            </w:r>
          </w:p>
        </w:tc>
        <w:tc>
          <w:tcPr>
            <w:tcW w:type="dxa" w:w="878"/>
          </w:tcPr>
          <w:p>
            <w:pPr>
              <w:spacing w:after="40"/>
              <w:jc w:val="right"/>
            </w:pPr>
            <w:r>
              <w:rPr>
                <w:b w:val="0"/>
                <w:sz w:val="15"/>
              </w:rPr>
              <w:t>(40,427)</w:t>
            </w:r>
          </w:p>
        </w:tc>
        <w:tc>
          <w:tcPr>
            <w:tcW w:type="dxa" w:w="878"/>
          </w:tcPr>
          <w:p>
            <w:pPr>
              <w:spacing w:after="40"/>
              <w:jc w:val="right"/>
            </w:pPr>
            <w:r>
              <w:rPr>
                <w:b w:val="0"/>
                <w:sz w:val="15"/>
              </w:rPr>
              <w:t>(44,279)</w:t>
            </w:r>
          </w:p>
        </w:tc>
        <w:tc>
          <w:tcPr>
            <w:tcW w:type="dxa" w:w="878"/>
          </w:tcPr>
          <w:p>
            <w:pPr>
              <w:spacing w:after="40"/>
              <w:jc w:val="right"/>
            </w:pPr>
            <w:r>
              <w:rPr>
                <w:b w:val="0"/>
                <w:sz w:val="15"/>
              </w:rPr>
              <w:t>(48,707)</w:t>
            </w:r>
          </w:p>
        </w:tc>
        <w:tc>
          <w:tcPr>
            <w:tcW w:type="dxa" w:w="878"/>
          </w:tcPr>
          <w:p>
            <w:pPr>
              <w:spacing w:after="40"/>
              <w:jc w:val="right"/>
            </w:pPr>
            <w:r>
              <w:rPr>
                <w:b w:val="0"/>
                <w:sz w:val="15"/>
              </w:rPr>
              <w:t>(53,578)</w:t>
            </w:r>
          </w:p>
        </w:tc>
      </w:tr>
      <w:tr>
        <w:tc>
          <w:tcPr>
            <w:tcW w:type="dxa" w:w="2160"/>
          </w:tcPr>
          <w:p>
            <w:pPr>
              <w:spacing w:after="40"/>
            </w:pPr>
            <w:r>
              <w:rPr>
                <w:b w:val="0"/>
                <w:sz w:val="15"/>
              </w:rPr>
              <w:t>Gross profit</w:t>
            </w:r>
          </w:p>
        </w:tc>
        <w:tc>
          <w:tcPr>
            <w:tcW w:type="dxa" w:w="878"/>
          </w:tcPr>
          <w:p>
            <w:pPr>
              <w:spacing w:after="40"/>
              <w:jc w:val="right"/>
            </w:pPr>
            <w:r>
              <w:rPr>
                <w:b w:val="0"/>
                <w:sz w:val="15"/>
              </w:rPr>
              <w:t>5,845</w:t>
            </w:r>
          </w:p>
        </w:tc>
        <w:tc>
          <w:tcPr>
            <w:tcW w:type="dxa" w:w="878"/>
          </w:tcPr>
          <w:p>
            <w:pPr>
              <w:spacing w:after="40"/>
              <w:jc w:val="right"/>
            </w:pPr>
            <w:r>
              <w:rPr>
                <w:b w:val="0"/>
                <w:sz w:val="15"/>
              </w:rPr>
              <w:t>10,215</w:t>
            </w:r>
          </w:p>
        </w:tc>
        <w:tc>
          <w:tcPr>
            <w:tcW w:type="dxa" w:w="878"/>
          </w:tcPr>
          <w:p>
            <w:pPr>
              <w:spacing w:after="40"/>
              <w:jc w:val="right"/>
            </w:pPr>
            <w:r>
              <w:rPr>
                <w:b w:val="0"/>
                <w:sz w:val="15"/>
              </w:rPr>
              <w:t>13,233</w:t>
            </w:r>
          </w:p>
        </w:tc>
        <w:tc>
          <w:tcPr>
            <w:tcW w:type="dxa" w:w="878"/>
          </w:tcPr>
          <w:p>
            <w:pPr>
              <w:spacing w:after="40"/>
              <w:jc w:val="right"/>
            </w:pPr>
            <w:r>
              <w:rPr>
                <w:b w:val="0"/>
                <w:sz w:val="15"/>
              </w:rPr>
              <w:t>17,300</w:t>
            </w:r>
          </w:p>
        </w:tc>
        <w:tc>
          <w:tcPr>
            <w:tcW w:type="dxa" w:w="878"/>
          </w:tcPr>
          <w:p>
            <w:pPr>
              <w:spacing w:after="40"/>
              <w:jc w:val="right"/>
            </w:pPr>
            <w:r>
              <w:rPr>
                <w:b w:val="0"/>
                <w:sz w:val="15"/>
              </w:rPr>
              <w:t>15,811</w:t>
            </w:r>
          </w:p>
        </w:tc>
        <w:tc>
          <w:tcPr>
            <w:tcW w:type="dxa" w:w="878"/>
          </w:tcPr>
          <w:p>
            <w:pPr>
              <w:spacing w:after="40"/>
              <w:jc w:val="right"/>
            </w:pPr>
            <w:r>
              <w:rPr>
                <w:b w:val="0"/>
                <w:sz w:val="15"/>
              </w:rPr>
              <w:t>17,492</w:t>
            </w:r>
          </w:p>
        </w:tc>
        <w:tc>
          <w:tcPr>
            <w:tcW w:type="dxa" w:w="878"/>
          </w:tcPr>
          <w:p>
            <w:pPr>
              <w:spacing w:after="40"/>
              <w:jc w:val="right"/>
            </w:pPr>
            <w:r>
              <w:rPr>
                <w:b w:val="0"/>
                <w:sz w:val="15"/>
              </w:rPr>
              <w:t>19,432</w:t>
            </w:r>
          </w:p>
        </w:tc>
        <w:tc>
          <w:tcPr>
            <w:tcW w:type="dxa" w:w="878"/>
          </w:tcPr>
          <w:p>
            <w:pPr>
              <w:spacing w:after="40"/>
              <w:jc w:val="right"/>
            </w:pPr>
            <w:r>
              <w:rPr>
                <w:b w:val="0"/>
                <w:sz w:val="15"/>
              </w:rPr>
              <w:t>21,375</w:t>
            </w:r>
          </w:p>
        </w:tc>
        <w:tc>
          <w:tcPr>
            <w:tcW w:type="dxa" w:w="878"/>
          </w:tcPr>
          <w:p>
            <w:pPr>
              <w:spacing w:after="40"/>
              <w:jc w:val="right"/>
            </w:pPr>
            <w:r>
              <w:rPr>
                <w:b w:val="0"/>
                <w:sz w:val="15"/>
              </w:rPr>
              <w:t>23,512</w:t>
            </w:r>
          </w:p>
        </w:tc>
      </w:tr>
      <w:tr>
        <w:tc>
          <w:tcPr>
            <w:tcW w:type="dxa" w:w="2160"/>
          </w:tcPr>
          <w:p>
            <w:pPr>
              <w:spacing w:after="40"/>
            </w:pPr>
            <w:r>
              <w:rPr>
                <w:b w:val="0"/>
                <w:sz w:val="15"/>
              </w:rPr>
              <w:t>SG&amp;A &amp; other</w:t>
            </w:r>
          </w:p>
        </w:tc>
        <w:tc>
          <w:tcPr>
            <w:tcW w:type="dxa" w:w="878"/>
          </w:tcPr>
          <w:p>
            <w:pPr>
              <w:spacing w:after="40"/>
              <w:jc w:val="right"/>
            </w:pPr>
            <w:r>
              <w:rPr>
                <w:b w:val="0"/>
                <w:sz w:val="15"/>
              </w:rPr>
              <w:t>(1,000)</w:t>
            </w:r>
          </w:p>
        </w:tc>
        <w:tc>
          <w:tcPr>
            <w:tcW w:type="dxa" w:w="878"/>
          </w:tcPr>
          <w:p>
            <w:pPr>
              <w:spacing w:after="40"/>
              <w:jc w:val="right"/>
            </w:pPr>
            <w:r>
              <w:rPr>
                <w:b w:val="0"/>
                <w:sz w:val="15"/>
              </w:rPr>
              <w:t>(1,350)</w:t>
            </w:r>
          </w:p>
        </w:tc>
        <w:tc>
          <w:tcPr>
            <w:tcW w:type="dxa" w:w="878"/>
          </w:tcPr>
          <w:p>
            <w:pPr>
              <w:spacing w:after="40"/>
              <w:jc w:val="right"/>
            </w:pPr>
            <w:r>
              <w:rPr>
                <w:b w:val="0"/>
                <w:sz w:val="15"/>
              </w:rPr>
              <w:t>(2,073)</w:t>
            </w:r>
          </w:p>
        </w:tc>
        <w:tc>
          <w:tcPr>
            <w:tcW w:type="dxa" w:w="878"/>
          </w:tcPr>
          <w:p>
            <w:pPr>
              <w:spacing w:after="40"/>
              <w:jc w:val="right"/>
            </w:pPr>
            <w:r>
              <w:rPr>
                <w:b w:val="0"/>
                <w:sz w:val="15"/>
              </w:rPr>
              <w:t>(2,317)</w:t>
            </w:r>
          </w:p>
        </w:tc>
        <w:tc>
          <w:tcPr>
            <w:tcW w:type="dxa" w:w="878"/>
          </w:tcPr>
          <w:p>
            <w:pPr>
              <w:spacing w:after="40"/>
              <w:jc w:val="right"/>
            </w:pPr>
            <w:r>
              <w:rPr>
                <w:b w:val="0"/>
                <w:sz w:val="15"/>
              </w:rPr>
              <w:t>(2,582)</w:t>
            </w:r>
          </w:p>
        </w:tc>
        <w:tc>
          <w:tcPr>
            <w:tcW w:type="dxa" w:w="878"/>
          </w:tcPr>
          <w:p>
            <w:pPr>
              <w:spacing w:after="40"/>
              <w:jc w:val="right"/>
            </w:pPr>
            <w:r>
              <w:rPr>
                <w:b w:val="0"/>
                <w:sz w:val="15"/>
              </w:rPr>
              <w:t>(2,838)</w:t>
            </w:r>
          </w:p>
        </w:tc>
        <w:tc>
          <w:tcPr>
            <w:tcW w:type="dxa" w:w="878"/>
          </w:tcPr>
          <w:p>
            <w:pPr>
              <w:spacing w:after="40"/>
              <w:jc w:val="right"/>
            </w:pPr>
            <w:r>
              <w:rPr>
                <w:b w:val="0"/>
                <w:sz w:val="15"/>
              </w:rPr>
              <w:t>(3,122)</w:t>
            </w:r>
          </w:p>
        </w:tc>
        <w:tc>
          <w:tcPr>
            <w:tcW w:type="dxa" w:w="878"/>
          </w:tcPr>
          <w:p>
            <w:pPr>
              <w:spacing w:after="40"/>
              <w:jc w:val="right"/>
            </w:pPr>
            <w:r>
              <w:rPr>
                <w:b w:val="0"/>
                <w:sz w:val="15"/>
              </w:rPr>
              <w:t>(3,434)</w:t>
            </w:r>
          </w:p>
        </w:tc>
        <w:tc>
          <w:tcPr>
            <w:tcW w:type="dxa" w:w="878"/>
          </w:tcPr>
          <w:p>
            <w:pPr>
              <w:spacing w:after="40"/>
              <w:jc w:val="right"/>
            </w:pPr>
            <w:r>
              <w:rPr>
                <w:b w:val="0"/>
                <w:sz w:val="15"/>
              </w:rPr>
              <w:t>(3,777)</w:t>
            </w:r>
          </w:p>
        </w:tc>
      </w:tr>
      <w:tr>
        <w:tc>
          <w:tcPr>
            <w:tcW w:type="dxa" w:w="2160"/>
          </w:tcPr>
          <w:p>
            <w:pPr>
              <w:spacing w:after="40"/>
            </w:pPr>
            <w:r>
              <w:rPr>
                <w:b w:val="0"/>
                <w:sz w:val="15"/>
              </w:rPr>
              <w:t>EBIT</w:t>
            </w:r>
          </w:p>
        </w:tc>
        <w:tc>
          <w:tcPr>
            <w:tcW w:type="dxa" w:w="878"/>
          </w:tcPr>
          <w:p>
            <w:pPr>
              <w:spacing w:after="40"/>
              <w:jc w:val="right"/>
            </w:pPr>
            <w:r>
              <w:rPr>
                <w:b w:val="0"/>
                <w:sz w:val="15"/>
              </w:rPr>
              <w:t>4,845</w:t>
            </w:r>
          </w:p>
        </w:tc>
        <w:tc>
          <w:tcPr>
            <w:tcW w:type="dxa" w:w="878"/>
          </w:tcPr>
          <w:p>
            <w:pPr>
              <w:spacing w:after="40"/>
              <w:jc w:val="right"/>
            </w:pPr>
            <w:r>
              <w:rPr>
                <w:b w:val="0"/>
                <w:sz w:val="15"/>
              </w:rPr>
              <w:t>8,865</w:t>
            </w:r>
          </w:p>
        </w:tc>
        <w:tc>
          <w:tcPr>
            <w:tcW w:type="dxa" w:w="878"/>
          </w:tcPr>
          <w:p>
            <w:pPr>
              <w:spacing w:after="40"/>
              <w:jc w:val="right"/>
            </w:pPr>
            <w:r>
              <w:rPr>
                <w:b w:val="0"/>
                <w:sz w:val="15"/>
              </w:rPr>
              <w:t>11,160</w:t>
            </w:r>
          </w:p>
        </w:tc>
        <w:tc>
          <w:tcPr>
            <w:tcW w:type="dxa" w:w="878"/>
          </w:tcPr>
          <w:p>
            <w:pPr>
              <w:spacing w:after="40"/>
              <w:jc w:val="right"/>
            </w:pPr>
            <w:r>
              <w:rPr>
                <w:b w:val="0"/>
                <w:sz w:val="15"/>
              </w:rPr>
              <w:t>14,983</w:t>
            </w:r>
          </w:p>
        </w:tc>
        <w:tc>
          <w:tcPr>
            <w:tcW w:type="dxa" w:w="878"/>
          </w:tcPr>
          <w:p>
            <w:pPr>
              <w:spacing w:after="40"/>
              <w:jc w:val="right"/>
            </w:pPr>
            <w:r>
              <w:rPr>
                <w:b w:val="0"/>
                <w:sz w:val="15"/>
              </w:rPr>
              <w:t>13,228</w:t>
            </w:r>
          </w:p>
        </w:tc>
        <w:tc>
          <w:tcPr>
            <w:tcW w:type="dxa" w:w="878"/>
          </w:tcPr>
          <w:p>
            <w:pPr>
              <w:spacing w:after="40"/>
              <w:jc w:val="right"/>
            </w:pPr>
            <w:r>
              <w:rPr>
                <w:b w:val="0"/>
                <w:sz w:val="15"/>
              </w:rPr>
              <w:t>14,654</w:t>
            </w:r>
          </w:p>
        </w:tc>
        <w:tc>
          <w:tcPr>
            <w:tcW w:type="dxa" w:w="878"/>
          </w:tcPr>
          <w:p>
            <w:pPr>
              <w:spacing w:after="40"/>
              <w:jc w:val="right"/>
            </w:pPr>
            <w:r>
              <w:rPr>
                <w:b w:val="0"/>
                <w:sz w:val="15"/>
              </w:rPr>
              <w:t>16,310</w:t>
            </w:r>
          </w:p>
        </w:tc>
        <w:tc>
          <w:tcPr>
            <w:tcW w:type="dxa" w:w="878"/>
          </w:tcPr>
          <w:p>
            <w:pPr>
              <w:spacing w:after="40"/>
              <w:jc w:val="right"/>
            </w:pPr>
            <w:r>
              <w:rPr>
                <w:b w:val="0"/>
                <w:sz w:val="15"/>
              </w:rPr>
              <w:t>17,941</w:t>
            </w:r>
          </w:p>
        </w:tc>
        <w:tc>
          <w:tcPr>
            <w:tcW w:type="dxa" w:w="878"/>
          </w:tcPr>
          <w:p>
            <w:pPr>
              <w:spacing w:after="40"/>
              <w:jc w:val="right"/>
            </w:pPr>
            <w:r>
              <w:rPr>
                <w:b w:val="0"/>
                <w:sz w:val="15"/>
              </w:rPr>
              <w:t>19,735</w:t>
            </w:r>
          </w:p>
        </w:tc>
      </w:tr>
      <w:tr>
        <w:tc>
          <w:tcPr>
            <w:tcW w:type="dxa" w:w="2160"/>
          </w:tcPr>
          <w:p>
            <w:pPr>
              <w:spacing w:after="40"/>
            </w:pPr>
            <w:r>
              <w:rPr>
                <w:b w:val="0"/>
                <w:sz w:val="15"/>
              </w:rPr>
              <w:t>EBITDA</w:t>
            </w:r>
          </w:p>
        </w:tc>
        <w:tc>
          <w:tcPr>
            <w:tcW w:type="dxa" w:w="878"/>
          </w:tcPr>
          <w:p>
            <w:pPr>
              <w:spacing w:after="40"/>
              <w:jc w:val="right"/>
            </w:pPr>
            <w:r>
              <w:rPr>
                <w:b w:val="0"/>
                <w:sz w:val="15"/>
              </w:rPr>
              <w:t>5,495</w:t>
            </w:r>
          </w:p>
        </w:tc>
        <w:tc>
          <w:tcPr>
            <w:tcW w:type="dxa" w:w="878"/>
          </w:tcPr>
          <w:p>
            <w:pPr>
              <w:spacing w:after="40"/>
              <w:jc w:val="right"/>
            </w:pPr>
            <w:r>
              <w:rPr>
                <w:b w:val="0"/>
                <w:sz w:val="15"/>
              </w:rPr>
              <w:t>9,565</w:t>
            </w:r>
          </w:p>
        </w:tc>
        <w:tc>
          <w:tcPr>
            <w:tcW w:type="dxa" w:w="878"/>
          </w:tcPr>
          <w:p>
            <w:pPr>
              <w:spacing w:after="40"/>
              <w:jc w:val="right"/>
            </w:pPr>
            <w:r>
              <w:rPr>
                <w:b w:val="0"/>
                <w:sz w:val="15"/>
              </w:rPr>
              <w:t>11,940</w:t>
            </w:r>
          </w:p>
        </w:tc>
        <w:tc>
          <w:tcPr>
            <w:tcW w:type="dxa" w:w="878"/>
          </w:tcPr>
          <w:p>
            <w:pPr>
              <w:spacing w:after="40"/>
              <w:jc w:val="right"/>
            </w:pPr>
            <w:r>
              <w:rPr>
                <w:b w:val="0"/>
                <w:sz w:val="15"/>
              </w:rPr>
              <w:t>15,833</w:t>
            </w:r>
          </w:p>
        </w:tc>
        <w:tc>
          <w:tcPr>
            <w:tcW w:type="dxa" w:w="878"/>
          </w:tcPr>
          <w:p>
            <w:pPr>
              <w:spacing w:after="40"/>
              <w:jc w:val="right"/>
            </w:pPr>
            <w:r>
              <w:rPr>
                <w:b w:val="0"/>
                <w:sz w:val="15"/>
              </w:rPr>
              <w:t>14,178</w:t>
            </w:r>
          </w:p>
        </w:tc>
        <w:tc>
          <w:tcPr>
            <w:tcW w:type="dxa" w:w="878"/>
          </w:tcPr>
          <w:p>
            <w:pPr>
              <w:spacing w:after="40"/>
              <w:jc w:val="right"/>
            </w:pPr>
            <w:r>
              <w:rPr>
                <w:b w:val="0"/>
                <w:sz w:val="15"/>
              </w:rPr>
              <w:t>15,754</w:t>
            </w:r>
          </w:p>
        </w:tc>
        <w:tc>
          <w:tcPr>
            <w:tcW w:type="dxa" w:w="878"/>
          </w:tcPr>
          <w:p>
            <w:pPr>
              <w:spacing w:after="40"/>
              <w:jc w:val="right"/>
            </w:pPr>
            <w:r>
              <w:rPr>
                <w:b w:val="0"/>
                <w:sz w:val="15"/>
              </w:rPr>
              <w:t>17,560</w:t>
            </w:r>
          </w:p>
        </w:tc>
        <w:tc>
          <w:tcPr>
            <w:tcW w:type="dxa" w:w="878"/>
          </w:tcPr>
          <w:p>
            <w:pPr>
              <w:spacing w:after="40"/>
              <w:jc w:val="right"/>
            </w:pPr>
            <w:r>
              <w:rPr>
                <w:b w:val="0"/>
                <w:sz w:val="15"/>
              </w:rPr>
              <w:t>19,291</w:t>
            </w:r>
          </w:p>
        </w:tc>
        <w:tc>
          <w:tcPr>
            <w:tcW w:type="dxa" w:w="878"/>
          </w:tcPr>
          <w:p>
            <w:pPr>
              <w:spacing w:after="40"/>
              <w:jc w:val="right"/>
            </w:pPr>
            <w:r>
              <w:rPr>
                <w:b w:val="0"/>
                <w:sz w:val="15"/>
              </w:rPr>
              <w:t>21,185</w:t>
            </w:r>
          </w:p>
        </w:tc>
      </w:tr>
      <w:tr>
        <w:tc>
          <w:tcPr>
            <w:tcW w:type="dxa" w:w="2160"/>
          </w:tcPr>
          <w:p>
            <w:pPr>
              <w:spacing w:after="40"/>
            </w:pPr>
            <w:r>
              <w:rPr>
                <w:b w:val="0"/>
                <w:sz w:val="15"/>
              </w:rPr>
              <w:t>Net interest income</w:t>
            </w:r>
          </w:p>
        </w:tc>
        <w:tc>
          <w:tcPr>
            <w:tcW w:type="dxa" w:w="878"/>
          </w:tcPr>
          <w:p>
            <w:pPr>
              <w:spacing w:after="40"/>
              <w:jc w:val="right"/>
            </w:pPr>
            <w:r>
              <w:rPr>
                <w:b w:val="0"/>
                <w:sz w:val="15"/>
              </w:rPr>
              <w:t>(15)</w:t>
            </w:r>
          </w:p>
        </w:tc>
        <w:tc>
          <w:tcPr>
            <w:tcW w:type="dxa" w:w="878"/>
          </w:tcPr>
          <w:p>
            <w:pPr>
              <w:spacing w:after="40"/>
              <w:jc w:val="right"/>
            </w:pPr>
            <w:r>
              <w:rPr>
                <w:b w:val="0"/>
                <w:sz w:val="15"/>
              </w:rPr>
              <w:t>1,000</w:t>
            </w:r>
          </w:p>
        </w:tc>
        <w:tc>
          <w:tcPr>
            <w:tcW w:type="dxa" w:w="878"/>
          </w:tcPr>
          <w:p>
            <w:pPr>
              <w:spacing w:after="40"/>
              <w:jc w:val="right"/>
            </w:pPr>
            <w:r>
              <w:rPr>
                <w:b w:val="0"/>
                <w:sz w:val="15"/>
              </w:rPr>
              <w:t>2,000</w:t>
            </w:r>
          </w:p>
        </w:tc>
        <w:tc>
          <w:tcPr>
            <w:tcW w:type="dxa" w:w="878"/>
          </w:tcPr>
          <w:p>
            <w:pPr>
              <w:spacing w:after="40"/>
              <w:jc w:val="right"/>
            </w:pPr>
            <w:r>
              <w:rPr>
                <w:b w:val="0"/>
                <w:sz w:val="15"/>
              </w:rPr>
              <w:t>2,300</w:t>
            </w:r>
          </w:p>
        </w:tc>
        <w:tc>
          <w:tcPr>
            <w:tcW w:type="dxa" w:w="878"/>
          </w:tcPr>
          <w:p>
            <w:pPr>
              <w:spacing w:after="40"/>
              <w:jc w:val="right"/>
            </w:pPr>
            <w:r>
              <w:rPr>
                <w:b w:val="0"/>
                <w:sz w:val="15"/>
              </w:rPr>
              <w:t>2,000</w:t>
            </w:r>
          </w:p>
        </w:tc>
        <w:tc>
          <w:tcPr>
            <w:tcW w:type="dxa" w:w="878"/>
          </w:tcPr>
          <w:p>
            <w:pPr>
              <w:spacing w:after="40"/>
              <w:jc w:val="right"/>
            </w:pPr>
            <w:r>
              <w:rPr>
                <w:b w:val="0"/>
                <w:sz w:val="15"/>
              </w:rPr>
              <w:t>1,800</w:t>
            </w:r>
          </w:p>
        </w:tc>
        <w:tc>
          <w:tcPr>
            <w:tcW w:type="dxa" w:w="878"/>
          </w:tcPr>
          <w:p>
            <w:pPr>
              <w:spacing w:after="40"/>
              <w:jc w:val="right"/>
            </w:pPr>
            <w:r>
              <w:rPr>
                <w:b w:val="0"/>
                <w:sz w:val="15"/>
              </w:rPr>
              <w:t>1,700</w:t>
            </w:r>
          </w:p>
        </w:tc>
        <w:tc>
          <w:tcPr>
            <w:tcW w:type="dxa" w:w="878"/>
          </w:tcPr>
          <w:p>
            <w:pPr>
              <w:spacing w:after="40"/>
              <w:jc w:val="right"/>
            </w:pPr>
            <w:r>
              <w:rPr>
                <w:b w:val="0"/>
                <w:sz w:val="15"/>
              </w:rPr>
              <w:t>1,600</w:t>
            </w:r>
          </w:p>
        </w:tc>
        <w:tc>
          <w:tcPr>
            <w:tcW w:type="dxa" w:w="878"/>
          </w:tcPr>
          <w:p>
            <w:pPr>
              <w:spacing w:after="40"/>
              <w:jc w:val="right"/>
            </w:pPr>
            <w:r>
              <w:rPr>
                <w:b w:val="0"/>
                <w:sz w:val="15"/>
              </w:rPr>
              <w:t>1,500</w:t>
            </w:r>
          </w:p>
        </w:tc>
      </w:tr>
      <w:tr>
        <w:tc>
          <w:tcPr>
            <w:tcW w:type="dxa" w:w="2160"/>
          </w:tcPr>
          <w:p>
            <w:pPr>
              <w:spacing w:after="40"/>
            </w:pPr>
            <w:r>
              <w:rPr>
                <w:b w:val="0"/>
                <w:sz w:val="15"/>
              </w:rPr>
              <w:t>FX &amp; one-offs</w:t>
            </w:r>
          </w:p>
        </w:tc>
        <w:tc>
          <w:tcPr>
            <w:tcW w:type="dxa" w:w="878"/>
          </w:tcPr>
          <w:p>
            <w:pPr>
              <w:spacing w:after="40"/>
              <w:jc w:val="right"/>
            </w:pPr>
            <w:r>
              <w:rPr>
                <w:b w:val="0"/>
                <w:sz w:val="15"/>
              </w:rPr>
              <w:t>0</w:t>
            </w:r>
          </w:p>
        </w:tc>
        <w:tc>
          <w:tcPr>
            <w:tcW w:type="dxa" w:w="878"/>
          </w:tcPr>
          <w:p>
            <w:pPr>
              <w:spacing w:after="40"/>
              <w:jc w:val="right"/>
            </w:pPr>
            <w:r>
              <w:rPr>
                <w:b w:val="0"/>
                <w:sz w:val="15"/>
              </w:rPr>
              <w:t>2,165</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r>
      <w:tr>
        <w:tc>
          <w:tcPr>
            <w:tcW w:type="dxa" w:w="2160"/>
          </w:tcPr>
          <w:p>
            <w:pPr>
              <w:spacing w:after="40"/>
            </w:pPr>
            <w:r>
              <w:rPr>
                <w:b w:val="0"/>
                <w:sz w:val="15"/>
              </w:rPr>
              <w:t>Profit before tax</w:t>
            </w:r>
          </w:p>
        </w:tc>
        <w:tc>
          <w:tcPr>
            <w:tcW w:type="dxa" w:w="878"/>
          </w:tcPr>
          <w:p>
            <w:pPr>
              <w:spacing w:after="40"/>
              <w:jc w:val="right"/>
            </w:pPr>
            <w:r>
              <w:rPr>
                <w:b w:val="0"/>
                <w:sz w:val="15"/>
              </w:rPr>
              <w:t>4,830</w:t>
            </w:r>
          </w:p>
        </w:tc>
        <w:tc>
          <w:tcPr>
            <w:tcW w:type="dxa" w:w="878"/>
          </w:tcPr>
          <w:p>
            <w:pPr>
              <w:spacing w:after="40"/>
              <w:jc w:val="right"/>
            </w:pPr>
            <w:r>
              <w:rPr>
                <w:b w:val="0"/>
                <w:sz w:val="15"/>
              </w:rPr>
              <w:t>12,030</w:t>
            </w:r>
          </w:p>
        </w:tc>
        <w:tc>
          <w:tcPr>
            <w:tcW w:type="dxa" w:w="878"/>
          </w:tcPr>
          <w:p>
            <w:pPr>
              <w:spacing w:after="40"/>
              <w:jc w:val="right"/>
            </w:pPr>
            <w:r>
              <w:rPr>
                <w:b w:val="0"/>
                <w:sz w:val="15"/>
              </w:rPr>
              <w:t>13,160</w:t>
            </w:r>
          </w:p>
        </w:tc>
        <w:tc>
          <w:tcPr>
            <w:tcW w:type="dxa" w:w="878"/>
          </w:tcPr>
          <w:p>
            <w:pPr>
              <w:spacing w:after="40"/>
              <w:jc w:val="right"/>
            </w:pPr>
            <w:r>
              <w:rPr>
                <w:b w:val="0"/>
                <w:sz w:val="15"/>
              </w:rPr>
              <w:t>17,283</w:t>
            </w:r>
          </w:p>
        </w:tc>
        <w:tc>
          <w:tcPr>
            <w:tcW w:type="dxa" w:w="878"/>
          </w:tcPr>
          <w:p>
            <w:pPr>
              <w:spacing w:after="40"/>
              <w:jc w:val="right"/>
            </w:pPr>
            <w:r>
              <w:rPr>
                <w:b w:val="0"/>
                <w:sz w:val="15"/>
              </w:rPr>
              <w:t>15,228</w:t>
            </w:r>
          </w:p>
        </w:tc>
        <w:tc>
          <w:tcPr>
            <w:tcW w:type="dxa" w:w="878"/>
          </w:tcPr>
          <w:p>
            <w:pPr>
              <w:spacing w:after="40"/>
              <w:jc w:val="right"/>
            </w:pPr>
            <w:r>
              <w:rPr>
                <w:b w:val="0"/>
                <w:sz w:val="15"/>
              </w:rPr>
              <w:t>16,454</w:t>
            </w:r>
          </w:p>
        </w:tc>
        <w:tc>
          <w:tcPr>
            <w:tcW w:type="dxa" w:w="878"/>
          </w:tcPr>
          <w:p>
            <w:pPr>
              <w:spacing w:after="40"/>
              <w:jc w:val="right"/>
            </w:pPr>
            <w:r>
              <w:rPr>
                <w:b w:val="0"/>
                <w:sz w:val="15"/>
              </w:rPr>
              <w:t>18,010</w:t>
            </w:r>
          </w:p>
        </w:tc>
        <w:tc>
          <w:tcPr>
            <w:tcW w:type="dxa" w:w="878"/>
          </w:tcPr>
          <w:p>
            <w:pPr>
              <w:spacing w:after="40"/>
              <w:jc w:val="right"/>
            </w:pPr>
            <w:r>
              <w:rPr>
                <w:b w:val="0"/>
                <w:sz w:val="15"/>
              </w:rPr>
              <w:t>19,541</w:t>
            </w:r>
          </w:p>
        </w:tc>
        <w:tc>
          <w:tcPr>
            <w:tcW w:type="dxa" w:w="878"/>
          </w:tcPr>
          <w:p>
            <w:pPr>
              <w:spacing w:after="40"/>
              <w:jc w:val="right"/>
            </w:pPr>
            <w:r>
              <w:rPr>
                <w:b w:val="0"/>
                <w:sz w:val="15"/>
              </w:rPr>
              <w:t>21,235</w:t>
            </w:r>
          </w:p>
        </w:tc>
      </w:tr>
      <w:tr>
        <w:tc>
          <w:tcPr>
            <w:tcW w:type="dxa" w:w="2160"/>
          </w:tcPr>
          <w:p>
            <w:pPr>
              <w:spacing w:after="40"/>
            </w:pPr>
            <w:r>
              <w:rPr>
                <w:b w:val="0"/>
                <w:sz w:val="15"/>
              </w:rPr>
              <w:t>Income tax</w:t>
            </w:r>
          </w:p>
        </w:tc>
        <w:tc>
          <w:tcPr>
            <w:tcW w:type="dxa" w:w="878"/>
          </w:tcPr>
          <w:p>
            <w:pPr>
              <w:spacing w:after="40"/>
              <w:jc w:val="right"/>
            </w:pPr>
            <w:r>
              <w:rPr>
                <w:b w:val="0"/>
                <w:sz w:val="15"/>
              </w:rPr>
              <w:t>(1,138)</w:t>
            </w:r>
          </w:p>
        </w:tc>
        <w:tc>
          <w:tcPr>
            <w:tcW w:type="dxa" w:w="878"/>
          </w:tcPr>
          <w:p>
            <w:pPr>
              <w:spacing w:after="40"/>
              <w:jc w:val="right"/>
            </w:pPr>
            <w:r>
              <w:rPr>
                <w:b w:val="0"/>
                <w:sz w:val="15"/>
              </w:rPr>
              <w:t>(2,706)</w:t>
            </w:r>
          </w:p>
        </w:tc>
        <w:tc>
          <w:tcPr>
            <w:tcW w:type="dxa" w:w="878"/>
          </w:tcPr>
          <w:p>
            <w:pPr>
              <w:spacing w:after="40"/>
              <w:jc w:val="right"/>
            </w:pPr>
            <w:r>
              <w:rPr>
                <w:b w:val="0"/>
                <w:sz w:val="15"/>
              </w:rPr>
              <w:t>(2,980)</w:t>
            </w:r>
          </w:p>
        </w:tc>
        <w:tc>
          <w:tcPr>
            <w:tcW w:type="dxa" w:w="878"/>
          </w:tcPr>
          <w:p>
            <w:pPr>
              <w:spacing w:after="40"/>
              <w:jc w:val="right"/>
            </w:pPr>
            <w:r>
              <w:rPr>
                <w:b w:val="0"/>
                <w:sz w:val="15"/>
              </w:rPr>
              <w:t>(3,889)</w:t>
            </w:r>
          </w:p>
        </w:tc>
        <w:tc>
          <w:tcPr>
            <w:tcW w:type="dxa" w:w="878"/>
          </w:tcPr>
          <w:p>
            <w:pPr>
              <w:spacing w:after="40"/>
              <w:jc w:val="right"/>
            </w:pPr>
            <w:r>
              <w:rPr>
                <w:b w:val="0"/>
                <w:sz w:val="15"/>
              </w:rPr>
              <w:t>(3,426)</w:t>
            </w:r>
          </w:p>
        </w:tc>
        <w:tc>
          <w:tcPr>
            <w:tcW w:type="dxa" w:w="878"/>
          </w:tcPr>
          <w:p>
            <w:pPr>
              <w:spacing w:after="40"/>
              <w:jc w:val="right"/>
            </w:pPr>
            <w:r>
              <w:rPr>
                <w:b w:val="0"/>
                <w:sz w:val="15"/>
              </w:rPr>
              <w:t>(3,702)</w:t>
            </w:r>
          </w:p>
        </w:tc>
        <w:tc>
          <w:tcPr>
            <w:tcW w:type="dxa" w:w="878"/>
          </w:tcPr>
          <w:p>
            <w:pPr>
              <w:spacing w:after="40"/>
              <w:jc w:val="right"/>
            </w:pPr>
            <w:r>
              <w:rPr>
                <w:b w:val="0"/>
                <w:sz w:val="15"/>
              </w:rPr>
              <w:t>(4,052)</w:t>
            </w:r>
          </w:p>
        </w:tc>
        <w:tc>
          <w:tcPr>
            <w:tcW w:type="dxa" w:w="878"/>
          </w:tcPr>
          <w:p>
            <w:pPr>
              <w:spacing w:after="40"/>
              <w:jc w:val="right"/>
            </w:pPr>
            <w:r>
              <w:rPr>
                <w:b w:val="0"/>
                <w:sz w:val="15"/>
              </w:rPr>
              <w:t>(4,397)</w:t>
            </w:r>
          </w:p>
        </w:tc>
        <w:tc>
          <w:tcPr>
            <w:tcW w:type="dxa" w:w="878"/>
          </w:tcPr>
          <w:p>
            <w:pPr>
              <w:spacing w:after="40"/>
              <w:jc w:val="right"/>
            </w:pPr>
            <w:r>
              <w:rPr>
                <w:b w:val="0"/>
                <w:sz w:val="15"/>
              </w:rPr>
              <w:t>(4,778)</w:t>
            </w:r>
          </w:p>
        </w:tc>
      </w:tr>
      <w:tr>
        <w:tc>
          <w:tcPr>
            <w:tcW w:type="dxa" w:w="2160"/>
          </w:tcPr>
          <w:p>
            <w:pPr>
              <w:spacing w:after="40"/>
            </w:pPr>
            <w:r>
              <w:rPr>
                <w:b/>
                <w:sz w:val="15"/>
              </w:rPr>
              <w:t>Net profit</w:t>
            </w:r>
          </w:p>
        </w:tc>
        <w:tc>
          <w:tcPr>
            <w:tcW w:type="dxa" w:w="878"/>
          </w:tcPr>
          <w:p>
            <w:pPr>
              <w:spacing w:after="40"/>
              <w:jc w:val="right"/>
            </w:pPr>
            <w:r>
              <w:rPr>
                <w:b/>
                <w:sz w:val="15"/>
              </w:rPr>
              <w:t>3,692</w:t>
            </w:r>
          </w:p>
        </w:tc>
        <w:tc>
          <w:tcPr>
            <w:tcW w:type="dxa" w:w="878"/>
          </w:tcPr>
          <w:p>
            <w:pPr>
              <w:spacing w:after="40"/>
              <w:jc w:val="right"/>
            </w:pPr>
            <w:r>
              <w:rPr>
                <w:b/>
                <w:sz w:val="15"/>
              </w:rPr>
              <w:t>9,324</w:t>
            </w:r>
          </w:p>
        </w:tc>
        <w:tc>
          <w:tcPr>
            <w:tcW w:type="dxa" w:w="878"/>
          </w:tcPr>
          <w:p>
            <w:pPr>
              <w:spacing w:after="40"/>
              <w:jc w:val="right"/>
            </w:pPr>
            <w:r>
              <w:rPr>
                <w:b/>
                <w:sz w:val="15"/>
              </w:rPr>
              <w:t>10,180</w:t>
            </w:r>
          </w:p>
        </w:tc>
        <w:tc>
          <w:tcPr>
            <w:tcW w:type="dxa" w:w="878"/>
          </w:tcPr>
          <w:p>
            <w:pPr>
              <w:spacing w:after="40"/>
              <w:jc w:val="right"/>
            </w:pPr>
            <w:r>
              <w:rPr>
                <w:b/>
                <w:sz w:val="15"/>
              </w:rPr>
              <w:t>13,401</w:t>
            </w:r>
          </w:p>
        </w:tc>
        <w:tc>
          <w:tcPr>
            <w:tcW w:type="dxa" w:w="878"/>
          </w:tcPr>
          <w:p>
            <w:pPr>
              <w:spacing w:after="40"/>
              <w:jc w:val="right"/>
            </w:pPr>
            <w:r>
              <w:rPr>
                <w:b/>
                <w:sz w:val="15"/>
              </w:rPr>
              <w:t>11,805</w:t>
            </w:r>
          </w:p>
        </w:tc>
        <w:tc>
          <w:tcPr>
            <w:tcW w:type="dxa" w:w="878"/>
          </w:tcPr>
          <w:p>
            <w:pPr>
              <w:spacing w:after="40"/>
              <w:jc w:val="right"/>
            </w:pPr>
            <w:r>
              <w:rPr>
                <w:b/>
                <w:sz w:val="15"/>
              </w:rPr>
              <w:t>12,755</w:t>
            </w:r>
          </w:p>
        </w:tc>
        <w:tc>
          <w:tcPr>
            <w:tcW w:type="dxa" w:w="878"/>
          </w:tcPr>
          <w:p>
            <w:pPr>
              <w:spacing w:after="40"/>
              <w:jc w:val="right"/>
            </w:pPr>
            <w:r>
              <w:rPr>
                <w:b/>
                <w:sz w:val="15"/>
              </w:rPr>
              <w:t>13,962</w:t>
            </w:r>
          </w:p>
        </w:tc>
        <w:tc>
          <w:tcPr>
            <w:tcW w:type="dxa" w:w="878"/>
          </w:tcPr>
          <w:p>
            <w:pPr>
              <w:spacing w:after="40"/>
              <w:jc w:val="right"/>
            </w:pPr>
            <w:r>
              <w:rPr>
                <w:b/>
                <w:sz w:val="15"/>
              </w:rPr>
              <w:t>15,149</w:t>
            </w:r>
          </w:p>
        </w:tc>
        <w:tc>
          <w:tcPr>
            <w:tcW w:type="dxa" w:w="878"/>
          </w:tcPr>
          <w:p>
            <w:pPr>
              <w:spacing w:after="40"/>
              <w:jc w:val="right"/>
            </w:pPr>
            <w:r>
              <w:rPr>
                <w:b/>
                <w:sz w:val="15"/>
              </w:rPr>
              <w:t>16,462</w:t>
            </w:r>
          </w:p>
        </w:tc>
      </w:tr>
      <w:tr>
        <w:tc>
          <w:tcPr>
            <w:tcW w:type="dxa" w:w="2160"/>
          </w:tcPr>
          <w:p>
            <w:pPr>
              <w:spacing w:after="40"/>
            </w:pPr>
            <w:r>
              <w:rPr>
                <w:b w:val="0"/>
                <w:sz w:val="15"/>
              </w:rPr>
              <w:t>EPS (EGP)</w:t>
            </w:r>
          </w:p>
        </w:tc>
        <w:tc>
          <w:tcPr>
            <w:tcW w:type="dxa" w:w="878"/>
          </w:tcPr>
          <w:p>
            <w:pPr>
              <w:spacing w:after="40"/>
              <w:jc w:val="right"/>
            </w:pPr>
            <w:r>
              <w:rPr>
                <w:b w:val="0"/>
                <w:sz w:val="15"/>
              </w:rPr>
              <w:t>8.95</w:t>
            </w:r>
          </w:p>
        </w:tc>
        <w:tc>
          <w:tcPr>
            <w:tcW w:type="dxa" w:w="878"/>
          </w:tcPr>
          <w:p>
            <w:pPr>
              <w:spacing w:after="40"/>
              <w:jc w:val="right"/>
            </w:pPr>
            <w:r>
              <w:rPr>
                <w:b w:val="0"/>
                <w:sz w:val="15"/>
              </w:rPr>
              <w:t>22.60</w:t>
            </w:r>
          </w:p>
        </w:tc>
        <w:tc>
          <w:tcPr>
            <w:tcW w:type="dxa" w:w="878"/>
          </w:tcPr>
          <w:p>
            <w:pPr>
              <w:spacing w:after="40"/>
              <w:jc w:val="right"/>
            </w:pPr>
            <w:r>
              <w:rPr>
                <w:b w:val="0"/>
                <w:sz w:val="15"/>
              </w:rPr>
              <w:t>24.68</w:t>
            </w:r>
          </w:p>
        </w:tc>
        <w:tc>
          <w:tcPr>
            <w:tcW w:type="dxa" w:w="878"/>
          </w:tcPr>
          <w:p>
            <w:pPr>
              <w:spacing w:after="40"/>
              <w:jc w:val="right"/>
            </w:pPr>
            <w:r>
              <w:rPr>
                <w:b w:val="0"/>
                <w:sz w:val="15"/>
              </w:rPr>
              <w:t>32.49</w:t>
            </w:r>
          </w:p>
        </w:tc>
        <w:tc>
          <w:tcPr>
            <w:tcW w:type="dxa" w:w="878"/>
          </w:tcPr>
          <w:p>
            <w:pPr>
              <w:spacing w:after="40"/>
              <w:jc w:val="right"/>
            </w:pPr>
            <w:r>
              <w:rPr>
                <w:b w:val="0"/>
                <w:sz w:val="15"/>
              </w:rPr>
              <w:t>28.62</w:t>
            </w:r>
          </w:p>
        </w:tc>
        <w:tc>
          <w:tcPr>
            <w:tcW w:type="dxa" w:w="878"/>
          </w:tcPr>
          <w:p>
            <w:pPr>
              <w:spacing w:after="40"/>
              <w:jc w:val="right"/>
            </w:pPr>
            <w:r>
              <w:rPr>
                <w:b w:val="0"/>
                <w:sz w:val="15"/>
              </w:rPr>
              <w:t>30.92</w:t>
            </w:r>
          </w:p>
        </w:tc>
        <w:tc>
          <w:tcPr>
            <w:tcW w:type="dxa" w:w="878"/>
          </w:tcPr>
          <w:p>
            <w:pPr>
              <w:spacing w:after="40"/>
              <w:jc w:val="right"/>
            </w:pPr>
            <w:r>
              <w:rPr>
                <w:b w:val="0"/>
                <w:sz w:val="15"/>
              </w:rPr>
              <w:t>33.85</w:t>
            </w:r>
          </w:p>
        </w:tc>
        <w:tc>
          <w:tcPr>
            <w:tcW w:type="dxa" w:w="878"/>
          </w:tcPr>
          <w:p>
            <w:pPr>
              <w:spacing w:after="40"/>
              <w:jc w:val="right"/>
            </w:pPr>
            <w:r>
              <w:rPr>
                <w:b w:val="0"/>
                <w:sz w:val="15"/>
              </w:rPr>
              <w:t>36.73</w:t>
            </w:r>
          </w:p>
        </w:tc>
        <w:tc>
          <w:tcPr>
            <w:tcW w:type="dxa" w:w="878"/>
          </w:tcPr>
          <w:p>
            <w:pPr>
              <w:spacing w:after="40"/>
              <w:jc w:val="right"/>
            </w:pPr>
            <w:r>
              <w:rPr>
                <w:b w:val="0"/>
                <w:sz w:val="15"/>
              </w:rPr>
              <w:t>39.91</w:t>
            </w:r>
          </w:p>
        </w:tc>
      </w:tr>
    </w:tbl>
    <w:p>
      <w:pPr>
        <w:spacing w:after="40"/>
      </w:pPr>
    </w:p>
    <w:p>
      <w:pPr>
        <w:pStyle w:val="Heading2"/>
      </w:pPr>
      <w:r>
        <w:t>A.2  Balance sheet — 3-year historical + 5-year forecast</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979"/>
        <w:gridCol w:w="979"/>
        <w:gridCol w:w="979"/>
        <w:gridCol w:w="979"/>
        <w:gridCol w:w="979"/>
        <w:gridCol w:w="979"/>
        <w:gridCol w:w="979"/>
        <w:gridCol w:w="979"/>
        <w:gridCol w:w="979"/>
        <w:gridCol w:w="979"/>
      </w:tblGrid>
      <w:tr>
        <w:tc>
          <w:tcPr>
            <w:tcW w:type="dxa" w:w="2160"/>
            <w:shd w:val="clear" w:fill="1C3A36"/>
          </w:tcPr>
          <w:p>
            <w:pPr>
              <w:spacing w:after="40"/>
            </w:pPr>
            <w:r>
              <w:rPr>
                <w:b/>
                <w:color w:val="FFFFFF"/>
                <w:sz w:val="15"/>
              </w:rPr>
              <w:t>EGP m</w:t>
            </w:r>
          </w:p>
        </w:tc>
        <w:tc>
          <w:tcPr>
            <w:tcW w:type="dxa" w:w="878"/>
            <w:shd w:val="clear" w:fill="1C3A36"/>
          </w:tcPr>
          <w:p>
            <w:pPr>
              <w:spacing w:after="40"/>
            </w:pPr>
            <w:r>
              <w:rPr>
                <w:b/>
                <w:color w:val="FFFFFF"/>
                <w:sz w:val="15"/>
              </w:rPr>
              <w:t>FY22/23</w:t>
            </w:r>
          </w:p>
        </w:tc>
        <w:tc>
          <w:tcPr>
            <w:tcW w:type="dxa" w:w="878"/>
            <w:shd w:val="clear" w:fill="1C3A36"/>
          </w:tcPr>
          <w:p>
            <w:pPr>
              <w:spacing w:after="40"/>
            </w:pPr>
            <w:r>
              <w:rPr>
                <w:b/>
                <w:color w:val="FFFFFF"/>
                <w:sz w:val="15"/>
              </w:rPr>
              <w:t>FY23/24</w:t>
            </w:r>
          </w:p>
        </w:tc>
        <w:tc>
          <w:tcPr>
            <w:tcW w:type="dxa" w:w="878"/>
            <w:shd w:val="clear" w:fill="1C3A36"/>
          </w:tcPr>
          <w:p>
            <w:pPr>
              <w:spacing w:after="40"/>
            </w:pPr>
            <w:r>
              <w:rPr>
                <w:b/>
                <w:color w:val="FFFFFF"/>
                <w:sz w:val="15"/>
              </w:rPr>
              <w:t>FY24/25</w:t>
            </w:r>
          </w:p>
        </w:tc>
        <w:tc>
          <w:tcPr>
            <w:tcW w:type="dxa" w:w="878"/>
            <w:shd w:val="clear" w:fill="1C3A36"/>
          </w:tcPr>
          <w:p>
            <w:pPr>
              <w:spacing w:after="40"/>
            </w:pPr>
            <w:r>
              <w:rPr>
                <w:b/>
                <w:color w:val="FFFFFF"/>
                <w:sz w:val="15"/>
              </w:rPr>
              <w:t>F26E</w:t>
            </w:r>
          </w:p>
        </w:tc>
        <w:tc>
          <w:tcPr>
            <w:tcW w:type="dxa" w:w="878"/>
            <w:shd w:val="clear" w:fill="1C3A36"/>
          </w:tcPr>
          <w:p>
            <w:pPr>
              <w:spacing w:after="40"/>
            </w:pPr>
            <w:r>
              <w:rPr>
                <w:b/>
                <w:color w:val="FFFFFF"/>
                <w:sz w:val="15"/>
              </w:rPr>
              <w:t>F27E</w:t>
            </w:r>
          </w:p>
        </w:tc>
        <w:tc>
          <w:tcPr>
            <w:tcW w:type="dxa" w:w="878"/>
            <w:shd w:val="clear" w:fill="1C3A36"/>
          </w:tcPr>
          <w:p>
            <w:pPr>
              <w:spacing w:after="40"/>
            </w:pPr>
            <w:r>
              <w:rPr>
                <w:b/>
                <w:color w:val="FFFFFF"/>
                <w:sz w:val="15"/>
              </w:rPr>
              <w:t>F28E</w:t>
            </w:r>
          </w:p>
        </w:tc>
        <w:tc>
          <w:tcPr>
            <w:tcW w:type="dxa" w:w="878"/>
            <w:shd w:val="clear" w:fill="1C3A36"/>
          </w:tcPr>
          <w:p>
            <w:pPr>
              <w:spacing w:after="40"/>
            </w:pPr>
            <w:r>
              <w:rPr>
                <w:b/>
                <w:color w:val="FFFFFF"/>
                <w:sz w:val="15"/>
              </w:rPr>
              <w:t>F29E</w:t>
            </w:r>
          </w:p>
        </w:tc>
        <w:tc>
          <w:tcPr>
            <w:tcW w:type="dxa" w:w="878"/>
            <w:shd w:val="clear" w:fill="1C3A36"/>
          </w:tcPr>
          <w:p>
            <w:pPr>
              <w:spacing w:after="40"/>
            </w:pPr>
            <w:r>
              <w:rPr>
                <w:b/>
                <w:color w:val="FFFFFF"/>
                <w:sz w:val="15"/>
              </w:rPr>
              <w:t>F30E</w:t>
            </w:r>
          </w:p>
        </w:tc>
        <w:tc>
          <w:tcPr>
            <w:tcW w:type="dxa" w:w="878"/>
            <w:shd w:val="clear" w:fill="1C3A36"/>
          </w:tcPr>
          <w:p>
            <w:pPr>
              <w:spacing w:after="40"/>
            </w:pPr>
            <w:r>
              <w:rPr>
                <w:b/>
                <w:color w:val="FFFFFF"/>
                <w:sz w:val="15"/>
              </w:rPr>
              <w:t>F31E</w:t>
            </w:r>
          </w:p>
        </w:tc>
      </w:tr>
      <w:tr>
        <w:tc>
          <w:tcPr>
            <w:tcW w:type="dxa" w:w="2160"/>
          </w:tcPr>
          <w:p>
            <w:pPr>
              <w:spacing w:after="40"/>
            </w:pPr>
            <w:r>
              <w:rPr>
                <w:b w:val="0"/>
                <w:sz w:val="15"/>
              </w:rPr>
              <w:t>Cash &amp; ST investments</w:t>
            </w:r>
          </w:p>
        </w:tc>
        <w:tc>
          <w:tcPr>
            <w:tcW w:type="dxa" w:w="878"/>
          </w:tcPr>
          <w:p>
            <w:pPr>
              <w:spacing w:after="40"/>
              <w:jc w:val="right"/>
            </w:pPr>
            <w:r>
              <w:rPr>
                <w:b w:val="0"/>
                <w:sz w:val="15"/>
              </w:rPr>
              <w:t>3,050</w:t>
            </w:r>
          </w:p>
        </w:tc>
        <w:tc>
          <w:tcPr>
            <w:tcW w:type="dxa" w:w="878"/>
          </w:tcPr>
          <w:p>
            <w:pPr>
              <w:spacing w:after="40"/>
              <w:jc w:val="right"/>
            </w:pPr>
            <w:r>
              <w:rPr>
                <w:b w:val="0"/>
                <w:sz w:val="15"/>
              </w:rPr>
              <w:t>6,320</w:t>
            </w:r>
          </w:p>
        </w:tc>
        <w:tc>
          <w:tcPr>
            <w:tcW w:type="dxa" w:w="878"/>
          </w:tcPr>
          <w:p>
            <w:pPr>
              <w:spacing w:after="40"/>
              <w:jc w:val="right"/>
            </w:pPr>
            <w:r>
              <w:rPr>
                <w:b w:val="0"/>
                <w:sz w:val="15"/>
              </w:rPr>
              <w:t>9,600</w:t>
            </w:r>
          </w:p>
        </w:tc>
        <w:tc>
          <w:tcPr>
            <w:tcW w:type="dxa" w:w="878"/>
          </w:tcPr>
          <w:p>
            <w:pPr>
              <w:spacing w:after="40"/>
              <w:jc w:val="right"/>
            </w:pPr>
            <w:r>
              <w:rPr>
                <w:b w:val="0"/>
                <w:sz w:val="15"/>
              </w:rPr>
              <w:t>17,492</w:t>
            </w:r>
          </w:p>
        </w:tc>
        <w:tc>
          <w:tcPr>
            <w:tcW w:type="dxa" w:w="878"/>
          </w:tcPr>
          <w:p>
            <w:pPr>
              <w:spacing w:after="40"/>
              <w:jc w:val="right"/>
            </w:pPr>
            <w:r>
              <w:rPr>
                <w:b w:val="0"/>
                <w:sz w:val="15"/>
              </w:rPr>
              <w:t>21,608</w:t>
            </w:r>
          </w:p>
        </w:tc>
        <w:tc>
          <w:tcPr>
            <w:tcW w:type="dxa" w:w="878"/>
          </w:tcPr>
          <w:p>
            <w:pPr>
              <w:spacing w:after="40"/>
              <w:jc w:val="right"/>
            </w:pPr>
            <w:r>
              <w:rPr>
                <w:b w:val="0"/>
                <w:sz w:val="15"/>
              </w:rPr>
              <w:t>26,925</w:t>
            </w:r>
          </w:p>
        </w:tc>
        <w:tc>
          <w:tcPr>
            <w:tcW w:type="dxa" w:w="878"/>
          </w:tcPr>
          <w:p>
            <w:pPr>
              <w:spacing w:after="40"/>
              <w:jc w:val="right"/>
            </w:pPr>
            <w:r>
              <w:rPr>
                <w:b w:val="0"/>
                <w:sz w:val="15"/>
              </w:rPr>
              <w:t>32,902</w:t>
            </w:r>
          </w:p>
        </w:tc>
        <w:tc>
          <w:tcPr>
            <w:tcW w:type="dxa" w:w="878"/>
          </w:tcPr>
          <w:p>
            <w:pPr>
              <w:spacing w:after="40"/>
              <w:jc w:val="right"/>
            </w:pPr>
            <w:r>
              <w:rPr>
                <w:b w:val="0"/>
                <w:sz w:val="15"/>
              </w:rPr>
              <w:t>39,353</w:t>
            </w:r>
          </w:p>
        </w:tc>
        <w:tc>
          <w:tcPr>
            <w:tcW w:type="dxa" w:w="878"/>
          </w:tcPr>
          <w:p>
            <w:pPr>
              <w:spacing w:after="40"/>
              <w:jc w:val="right"/>
            </w:pPr>
            <w:r>
              <w:rPr>
                <w:b w:val="0"/>
                <w:sz w:val="15"/>
              </w:rPr>
              <w:t>46,406</w:t>
            </w:r>
          </w:p>
        </w:tc>
      </w:tr>
      <w:tr>
        <w:tc>
          <w:tcPr>
            <w:tcW w:type="dxa" w:w="2160"/>
          </w:tcPr>
          <w:p>
            <w:pPr>
              <w:spacing w:after="40"/>
            </w:pPr>
            <w:r>
              <w:rPr>
                <w:b w:val="0"/>
                <w:sz w:val="15"/>
              </w:rPr>
              <w:t>Receivables</w:t>
            </w:r>
          </w:p>
        </w:tc>
        <w:tc>
          <w:tcPr>
            <w:tcW w:type="dxa" w:w="878"/>
          </w:tcPr>
          <w:p>
            <w:pPr>
              <w:spacing w:after="40"/>
              <w:jc w:val="right"/>
            </w:pPr>
            <w:r>
              <w:rPr>
                <w:b w:val="0"/>
                <w:sz w:val="15"/>
              </w:rPr>
              <w:t>2,100</w:t>
            </w:r>
          </w:p>
        </w:tc>
        <w:tc>
          <w:tcPr>
            <w:tcW w:type="dxa" w:w="878"/>
          </w:tcPr>
          <w:p>
            <w:pPr>
              <w:spacing w:after="40"/>
              <w:jc w:val="right"/>
            </w:pPr>
            <w:r>
              <w:rPr>
                <w:b w:val="0"/>
                <w:sz w:val="15"/>
              </w:rPr>
              <w:t>3,050</w:t>
            </w:r>
          </w:p>
        </w:tc>
        <w:tc>
          <w:tcPr>
            <w:tcW w:type="dxa" w:w="878"/>
          </w:tcPr>
          <w:p>
            <w:pPr>
              <w:spacing w:after="40"/>
              <w:jc w:val="right"/>
            </w:pPr>
            <w:r>
              <w:rPr>
                <w:b w:val="0"/>
                <w:sz w:val="15"/>
              </w:rPr>
              <w:t>3,900</w:t>
            </w:r>
          </w:p>
        </w:tc>
        <w:tc>
          <w:tcPr>
            <w:tcW w:type="dxa" w:w="878"/>
          </w:tcPr>
          <w:p>
            <w:pPr>
              <w:spacing w:after="40"/>
              <w:jc w:val="right"/>
            </w:pPr>
            <w:r>
              <w:rPr>
                <w:b w:val="0"/>
                <w:sz w:val="15"/>
              </w:rPr>
              <w:t>4,452</w:t>
            </w:r>
          </w:p>
        </w:tc>
        <w:tc>
          <w:tcPr>
            <w:tcW w:type="dxa" w:w="878"/>
          </w:tcPr>
          <w:p>
            <w:pPr>
              <w:spacing w:after="40"/>
              <w:jc w:val="right"/>
            </w:pPr>
            <w:r>
              <w:rPr>
                <w:b w:val="0"/>
                <w:sz w:val="15"/>
              </w:rPr>
              <w:t>4,760</w:t>
            </w:r>
          </w:p>
        </w:tc>
        <w:tc>
          <w:tcPr>
            <w:tcW w:type="dxa" w:w="878"/>
          </w:tcPr>
          <w:p>
            <w:pPr>
              <w:spacing w:after="40"/>
              <w:jc w:val="right"/>
            </w:pPr>
            <w:r>
              <w:rPr>
                <w:b w:val="0"/>
                <w:sz w:val="15"/>
              </w:rPr>
              <w:t>5,231</w:t>
            </w:r>
          </w:p>
        </w:tc>
        <w:tc>
          <w:tcPr>
            <w:tcW w:type="dxa" w:w="878"/>
          </w:tcPr>
          <w:p>
            <w:pPr>
              <w:spacing w:after="40"/>
              <w:jc w:val="right"/>
            </w:pPr>
            <w:r>
              <w:rPr>
                <w:b w:val="0"/>
                <w:sz w:val="15"/>
              </w:rPr>
              <w:t>5,754</w:t>
            </w:r>
          </w:p>
        </w:tc>
        <w:tc>
          <w:tcPr>
            <w:tcW w:type="dxa" w:w="878"/>
          </w:tcPr>
          <w:p>
            <w:pPr>
              <w:spacing w:after="40"/>
              <w:jc w:val="right"/>
            </w:pPr>
            <w:r>
              <w:rPr>
                <w:b w:val="0"/>
                <w:sz w:val="15"/>
              </w:rPr>
              <w:t>6,329</w:t>
            </w:r>
          </w:p>
        </w:tc>
        <w:tc>
          <w:tcPr>
            <w:tcW w:type="dxa" w:w="878"/>
          </w:tcPr>
          <w:p>
            <w:pPr>
              <w:spacing w:after="40"/>
              <w:jc w:val="right"/>
            </w:pPr>
            <w:r>
              <w:rPr>
                <w:b w:val="0"/>
                <w:sz w:val="15"/>
              </w:rPr>
              <w:t>6,962</w:t>
            </w:r>
          </w:p>
        </w:tc>
      </w:tr>
      <w:tr>
        <w:tc>
          <w:tcPr>
            <w:tcW w:type="dxa" w:w="2160"/>
          </w:tcPr>
          <w:p>
            <w:pPr>
              <w:spacing w:after="40"/>
            </w:pPr>
            <w:r>
              <w:rPr>
                <w:b w:val="0"/>
                <w:sz w:val="15"/>
              </w:rPr>
              <w:t>Inventories</w:t>
            </w:r>
          </w:p>
        </w:tc>
        <w:tc>
          <w:tcPr>
            <w:tcW w:type="dxa" w:w="878"/>
          </w:tcPr>
          <w:p>
            <w:pPr>
              <w:spacing w:after="40"/>
              <w:jc w:val="right"/>
            </w:pPr>
            <w:r>
              <w:rPr>
                <w:b w:val="0"/>
                <w:sz w:val="15"/>
              </w:rPr>
              <w:t>5,300</w:t>
            </w:r>
          </w:p>
        </w:tc>
        <w:tc>
          <w:tcPr>
            <w:tcW w:type="dxa" w:w="878"/>
          </w:tcPr>
          <w:p>
            <w:pPr>
              <w:spacing w:after="40"/>
              <w:jc w:val="right"/>
            </w:pPr>
            <w:r>
              <w:rPr>
                <w:b w:val="0"/>
                <w:sz w:val="15"/>
              </w:rPr>
              <w:t>7,200</w:t>
            </w:r>
          </w:p>
        </w:tc>
        <w:tc>
          <w:tcPr>
            <w:tcW w:type="dxa" w:w="878"/>
          </w:tcPr>
          <w:p>
            <w:pPr>
              <w:spacing w:after="40"/>
              <w:jc w:val="right"/>
            </w:pPr>
            <w:r>
              <w:rPr>
                <w:b w:val="0"/>
                <w:sz w:val="15"/>
              </w:rPr>
              <w:t>8,600</w:t>
            </w:r>
          </w:p>
        </w:tc>
        <w:tc>
          <w:tcPr>
            <w:tcW w:type="dxa" w:w="878"/>
          </w:tcPr>
          <w:p>
            <w:pPr>
              <w:spacing w:after="40"/>
              <w:jc w:val="right"/>
            </w:pPr>
            <w:r>
              <w:rPr>
                <w:b w:val="0"/>
                <w:sz w:val="15"/>
              </w:rPr>
              <w:t>9,189</w:t>
            </w:r>
          </w:p>
        </w:tc>
        <w:tc>
          <w:tcPr>
            <w:tcW w:type="dxa" w:w="878"/>
          </w:tcPr>
          <w:p>
            <w:pPr>
              <w:spacing w:after="40"/>
              <w:jc w:val="right"/>
            </w:pPr>
            <w:r>
              <w:rPr>
                <w:b w:val="0"/>
                <w:sz w:val="15"/>
              </w:rPr>
              <w:t>10,593</w:t>
            </w:r>
          </w:p>
        </w:tc>
        <w:tc>
          <w:tcPr>
            <w:tcW w:type="dxa" w:w="878"/>
          </w:tcPr>
          <w:p>
            <w:pPr>
              <w:spacing w:after="40"/>
              <w:jc w:val="right"/>
            </w:pPr>
            <w:r>
              <w:rPr>
                <w:b w:val="0"/>
                <w:sz w:val="15"/>
              </w:rPr>
              <w:t>11,608</w:t>
            </w:r>
          </w:p>
        </w:tc>
        <w:tc>
          <w:tcPr>
            <w:tcW w:type="dxa" w:w="878"/>
          </w:tcPr>
          <w:p>
            <w:pPr>
              <w:spacing w:after="40"/>
              <w:jc w:val="right"/>
            </w:pPr>
            <w:r>
              <w:rPr>
                <w:b w:val="0"/>
                <w:sz w:val="15"/>
              </w:rPr>
              <w:t>12,714</w:t>
            </w:r>
          </w:p>
        </w:tc>
        <w:tc>
          <w:tcPr>
            <w:tcW w:type="dxa" w:w="878"/>
          </w:tcPr>
          <w:p>
            <w:pPr>
              <w:spacing w:after="40"/>
              <w:jc w:val="right"/>
            </w:pPr>
            <w:r>
              <w:rPr>
                <w:b w:val="0"/>
                <w:sz w:val="15"/>
              </w:rPr>
              <w:t>13,986</w:t>
            </w:r>
          </w:p>
        </w:tc>
        <w:tc>
          <w:tcPr>
            <w:tcW w:type="dxa" w:w="878"/>
          </w:tcPr>
          <w:p>
            <w:pPr>
              <w:spacing w:after="40"/>
              <w:jc w:val="right"/>
            </w:pPr>
            <w:r>
              <w:rPr>
                <w:b w:val="0"/>
                <w:sz w:val="15"/>
              </w:rPr>
              <w:t>15,384</w:t>
            </w:r>
          </w:p>
        </w:tc>
      </w:tr>
      <w:tr>
        <w:tc>
          <w:tcPr>
            <w:tcW w:type="dxa" w:w="2160"/>
          </w:tcPr>
          <w:p>
            <w:pPr>
              <w:spacing w:after="40"/>
            </w:pPr>
            <w:r>
              <w:rPr>
                <w:b w:val="0"/>
                <w:sz w:val="15"/>
              </w:rPr>
              <w:t>PP&amp;E, net</w:t>
            </w:r>
          </w:p>
        </w:tc>
        <w:tc>
          <w:tcPr>
            <w:tcW w:type="dxa" w:w="878"/>
          </w:tcPr>
          <w:p>
            <w:pPr>
              <w:spacing w:after="40"/>
              <w:jc w:val="right"/>
            </w:pPr>
            <w:r>
              <w:rPr>
                <w:b w:val="0"/>
                <w:sz w:val="15"/>
              </w:rPr>
              <w:t>6,200</w:t>
            </w:r>
          </w:p>
        </w:tc>
        <w:tc>
          <w:tcPr>
            <w:tcW w:type="dxa" w:w="878"/>
          </w:tcPr>
          <w:p>
            <w:pPr>
              <w:spacing w:after="40"/>
              <w:jc w:val="right"/>
            </w:pPr>
            <w:r>
              <w:rPr>
                <w:b w:val="0"/>
                <w:sz w:val="15"/>
              </w:rPr>
              <w:t>6,650</w:t>
            </w:r>
          </w:p>
        </w:tc>
        <w:tc>
          <w:tcPr>
            <w:tcW w:type="dxa" w:w="878"/>
          </w:tcPr>
          <w:p>
            <w:pPr>
              <w:spacing w:after="40"/>
              <w:jc w:val="right"/>
            </w:pPr>
            <w:r>
              <w:rPr>
                <w:b w:val="0"/>
                <w:sz w:val="15"/>
              </w:rPr>
              <w:t>7,200</w:t>
            </w:r>
          </w:p>
        </w:tc>
        <w:tc>
          <w:tcPr>
            <w:tcW w:type="dxa" w:w="878"/>
          </w:tcPr>
          <w:p>
            <w:pPr>
              <w:spacing w:after="40"/>
              <w:jc w:val="right"/>
            </w:pPr>
            <w:r>
              <w:rPr>
                <w:b w:val="0"/>
                <w:sz w:val="15"/>
              </w:rPr>
              <w:t>7,850</w:t>
            </w:r>
          </w:p>
        </w:tc>
        <w:tc>
          <w:tcPr>
            <w:tcW w:type="dxa" w:w="878"/>
          </w:tcPr>
          <w:p>
            <w:pPr>
              <w:spacing w:after="40"/>
              <w:jc w:val="right"/>
            </w:pPr>
            <w:r>
              <w:rPr>
                <w:b w:val="0"/>
                <w:sz w:val="15"/>
              </w:rPr>
              <w:t>9,100</w:t>
            </w:r>
          </w:p>
        </w:tc>
        <w:tc>
          <w:tcPr>
            <w:tcW w:type="dxa" w:w="878"/>
          </w:tcPr>
          <w:p>
            <w:pPr>
              <w:spacing w:after="40"/>
              <w:jc w:val="right"/>
            </w:pPr>
            <w:r>
              <w:rPr>
                <w:b w:val="0"/>
                <w:sz w:val="15"/>
              </w:rPr>
              <w:t>10,600</w:t>
            </w:r>
          </w:p>
        </w:tc>
        <w:tc>
          <w:tcPr>
            <w:tcW w:type="dxa" w:w="878"/>
          </w:tcPr>
          <w:p>
            <w:pPr>
              <w:spacing w:after="40"/>
              <w:jc w:val="right"/>
            </w:pPr>
            <w:r>
              <w:rPr>
                <w:b w:val="0"/>
                <w:sz w:val="15"/>
              </w:rPr>
              <w:t>12,150</w:t>
            </w:r>
          </w:p>
        </w:tc>
        <w:tc>
          <w:tcPr>
            <w:tcW w:type="dxa" w:w="878"/>
          </w:tcPr>
          <w:p>
            <w:pPr>
              <w:spacing w:after="40"/>
              <w:jc w:val="right"/>
            </w:pPr>
            <w:r>
              <w:rPr>
                <w:b w:val="0"/>
                <w:sz w:val="15"/>
              </w:rPr>
              <w:t>13,800</w:t>
            </w:r>
          </w:p>
        </w:tc>
        <w:tc>
          <w:tcPr>
            <w:tcW w:type="dxa" w:w="878"/>
          </w:tcPr>
          <w:p>
            <w:pPr>
              <w:spacing w:after="40"/>
              <w:jc w:val="right"/>
            </w:pPr>
            <w:r>
              <w:rPr>
                <w:b w:val="0"/>
                <w:sz w:val="15"/>
              </w:rPr>
              <w:t>15,550</w:t>
            </w:r>
          </w:p>
        </w:tc>
      </w:tr>
      <w:tr>
        <w:tc>
          <w:tcPr>
            <w:tcW w:type="dxa" w:w="2160"/>
          </w:tcPr>
          <w:p>
            <w:pPr>
              <w:spacing w:after="40"/>
            </w:pPr>
            <w:r>
              <w:rPr>
                <w:b w:val="0"/>
                <w:sz w:val="15"/>
              </w:rPr>
              <w:t>Other assets</w:t>
            </w:r>
          </w:p>
        </w:tc>
        <w:tc>
          <w:tcPr>
            <w:tcW w:type="dxa" w:w="878"/>
          </w:tcPr>
          <w:p>
            <w:pPr>
              <w:spacing w:after="40"/>
              <w:jc w:val="right"/>
            </w:pPr>
            <w:r>
              <w:rPr>
                <w:b w:val="0"/>
                <w:sz w:val="15"/>
              </w:rPr>
              <w:t>1,450</w:t>
            </w:r>
          </w:p>
        </w:tc>
        <w:tc>
          <w:tcPr>
            <w:tcW w:type="dxa" w:w="878"/>
          </w:tcPr>
          <w:p>
            <w:pPr>
              <w:spacing w:after="40"/>
              <w:jc w:val="right"/>
            </w:pPr>
            <w:r>
              <w:rPr>
                <w:b w:val="0"/>
                <w:sz w:val="15"/>
              </w:rPr>
              <w:t>1,600</w:t>
            </w:r>
          </w:p>
        </w:tc>
        <w:tc>
          <w:tcPr>
            <w:tcW w:type="dxa" w:w="878"/>
          </w:tcPr>
          <w:p>
            <w:pPr>
              <w:spacing w:after="40"/>
              <w:jc w:val="right"/>
            </w:pPr>
            <w:r>
              <w:rPr>
                <w:b w:val="0"/>
                <w:sz w:val="15"/>
              </w:rPr>
              <w:t>1,700</w:t>
            </w:r>
          </w:p>
        </w:tc>
        <w:tc>
          <w:tcPr>
            <w:tcW w:type="dxa" w:w="878"/>
          </w:tcPr>
          <w:p>
            <w:pPr>
              <w:spacing w:after="40"/>
              <w:jc w:val="right"/>
            </w:pPr>
            <w:r>
              <w:rPr>
                <w:b w:val="0"/>
                <w:sz w:val="15"/>
              </w:rPr>
              <w:t>1,700</w:t>
            </w:r>
          </w:p>
        </w:tc>
        <w:tc>
          <w:tcPr>
            <w:tcW w:type="dxa" w:w="878"/>
          </w:tcPr>
          <w:p>
            <w:pPr>
              <w:spacing w:after="40"/>
              <w:jc w:val="right"/>
            </w:pPr>
            <w:r>
              <w:rPr>
                <w:b w:val="0"/>
                <w:sz w:val="15"/>
              </w:rPr>
              <w:t>1,700</w:t>
            </w:r>
          </w:p>
        </w:tc>
        <w:tc>
          <w:tcPr>
            <w:tcW w:type="dxa" w:w="878"/>
          </w:tcPr>
          <w:p>
            <w:pPr>
              <w:spacing w:after="40"/>
              <w:jc w:val="right"/>
            </w:pPr>
            <w:r>
              <w:rPr>
                <w:b w:val="0"/>
                <w:sz w:val="15"/>
              </w:rPr>
              <w:t>1,700</w:t>
            </w:r>
          </w:p>
        </w:tc>
        <w:tc>
          <w:tcPr>
            <w:tcW w:type="dxa" w:w="878"/>
          </w:tcPr>
          <w:p>
            <w:pPr>
              <w:spacing w:after="40"/>
              <w:jc w:val="right"/>
            </w:pPr>
            <w:r>
              <w:rPr>
                <w:b w:val="0"/>
                <w:sz w:val="15"/>
              </w:rPr>
              <w:t>1,700</w:t>
            </w:r>
          </w:p>
        </w:tc>
        <w:tc>
          <w:tcPr>
            <w:tcW w:type="dxa" w:w="878"/>
          </w:tcPr>
          <w:p>
            <w:pPr>
              <w:spacing w:after="40"/>
              <w:jc w:val="right"/>
            </w:pPr>
            <w:r>
              <w:rPr>
                <w:b w:val="0"/>
                <w:sz w:val="15"/>
              </w:rPr>
              <w:t>1,700</w:t>
            </w:r>
          </w:p>
        </w:tc>
        <w:tc>
          <w:tcPr>
            <w:tcW w:type="dxa" w:w="878"/>
          </w:tcPr>
          <w:p>
            <w:pPr>
              <w:spacing w:after="40"/>
              <w:jc w:val="right"/>
            </w:pPr>
            <w:r>
              <w:rPr>
                <w:b w:val="0"/>
                <w:sz w:val="15"/>
              </w:rPr>
              <w:t>1,700</w:t>
            </w:r>
          </w:p>
        </w:tc>
      </w:tr>
      <w:tr>
        <w:tc>
          <w:tcPr>
            <w:tcW w:type="dxa" w:w="2160"/>
          </w:tcPr>
          <w:p>
            <w:pPr>
              <w:spacing w:after="40"/>
            </w:pPr>
            <w:r>
              <w:rPr>
                <w:b w:val="0"/>
                <w:sz w:val="15"/>
              </w:rPr>
              <w:t>Total assets</w:t>
            </w:r>
          </w:p>
        </w:tc>
        <w:tc>
          <w:tcPr>
            <w:tcW w:type="dxa" w:w="878"/>
          </w:tcPr>
          <w:p>
            <w:pPr>
              <w:spacing w:after="40"/>
              <w:jc w:val="right"/>
            </w:pPr>
            <w:r>
              <w:rPr>
                <w:b w:val="0"/>
                <w:sz w:val="15"/>
              </w:rPr>
              <w:t>18,100</w:t>
            </w:r>
          </w:p>
        </w:tc>
        <w:tc>
          <w:tcPr>
            <w:tcW w:type="dxa" w:w="878"/>
          </w:tcPr>
          <w:p>
            <w:pPr>
              <w:spacing w:after="40"/>
              <w:jc w:val="right"/>
            </w:pPr>
            <w:r>
              <w:rPr>
                <w:b w:val="0"/>
                <w:sz w:val="15"/>
              </w:rPr>
              <w:t>24,820</w:t>
            </w:r>
          </w:p>
        </w:tc>
        <w:tc>
          <w:tcPr>
            <w:tcW w:type="dxa" w:w="878"/>
          </w:tcPr>
          <w:p>
            <w:pPr>
              <w:spacing w:after="40"/>
              <w:jc w:val="right"/>
            </w:pPr>
            <w:r>
              <w:rPr>
                <w:b w:val="0"/>
                <w:sz w:val="15"/>
              </w:rPr>
              <w:t>31,000</w:t>
            </w:r>
          </w:p>
        </w:tc>
        <w:tc>
          <w:tcPr>
            <w:tcW w:type="dxa" w:w="878"/>
          </w:tcPr>
          <w:p>
            <w:pPr>
              <w:spacing w:after="40"/>
              <w:jc w:val="right"/>
            </w:pPr>
            <w:r>
              <w:rPr>
                <w:b w:val="0"/>
                <w:sz w:val="15"/>
              </w:rPr>
              <w:t>40,683</w:t>
            </w:r>
          </w:p>
        </w:tc>
        <w:tc>
          <w:tcPr>
            <w:tcW w:type="dxa" w:w="878"/>
          </w:tcPr>
          <w:p>
            <w:pPr>
              <w:spacing w:after="40"/>
              <w:jc w:val="right"/>
            </w:pPr>
            <w:r>
              <w:rPr>
                <w:b w:val="0"/>
                <w:sz w:val="15"/>
              </w:rPr>
              <w:t>47,761</w:t>
            </w:r>
          </w:p>
        </w:tc>
        <w:tc>
          <w:tcPr>
            <w:tcW w:type="dxa" w:w="878"/>
          </w:tcPr>
          <w:p>
            <w:pPr>
              <w:spacing w:after="40"/>
              <w:jc w:val="right"/>
            </w:pPr>
            <w:r>
              <w:rPr>
                <w:b w:val="0"/>
                <w:sz w:val="15"/>
              </w:rPr>
              <w:t>56,064</w:t>
            </w:r>
          </w:p>
        </w:tc>
        <w:tc>
          <w:tcPr>
            <w:tcW w:type="dxa" w:w="878"/>
          </w:tcPr>
          <w:p>
            <w:pPr>
              <w:spacing w:after="40"/>
              <w:jc w:val="right"/>
            </w:pPr>
            <w:r>
              <w:rPr>
                <w:b w:val="0"/>
                <w:sz w:val="15"/>
              </w:rPr>
              <w:t>65,220</w:t>
            </w:r>
          </w:p>
        </w:tc>
        <w:tc>
          <w:tcPr>
            <w:tcW w:type="dxa" w:w="878"/>
          </w:tcPr>
          <w:p>
            <w:pPr>
              <w:spacing w:after="40"/>
              <w:jc w:val="right"/>
            </w:pPr>
            <w:r>
              <w:rPr>
                <w:b w:val="0"/>
                <w:sz w:val="15"/>
              </w:rPr>
              <w:t>75,168</w:t>
            </w:r>
          </w:p>
        </w:tc>
        <w:tc>
          <w:tcPr>
            <w:tcW w:type="dxa" w:w="878"/>
          </w:tcPr>
          <w:p>
            <w:pPr>
              <w:spacing w:after="40"/>
              <w:jc w:val="right"/>
            </w:pPr>
            <w:r>
              <w:rPr>
                <w:b w:val="0"/>
                <w:sz w:val="15"/>
              </w:rPr>
              <w:t>86,002</w:t>
            </w:r>
          </w:p>
        </w:tc>
      </w:tr>
      <w:tr>
        <w:tc>
          <w:tcPr>
            <w:tcW w:type="dxa" w:w="2160"/>
          </w:tcPr>
          <w:p>
            <w:pPr>
              <w:spacing w:after="40"/>
            </w:pPr>
            <w:r>
              <w:rPr>
                <w:b w:val="0"/>
                <w:sz w:val="15"/>
              </w:rPr>
              <w:t>Payables &amp; accruals</w:t>
            </w:r>
          </w:p>
        </w:tc>
        <w:tc>
          <w:tcPr>
            <w:tcW w:type="dxa" w:w="878"/>
          </w:tcPr>
          <w:p>
            <w:pPr>
              <w:spacing w:after="40"/>
              <w:jc w:val="right"/>
            </w:pPr>
            <w:r>
              <w:rPr>
                <w:b w:val="0"/>
                <w:sz w:val="15"/>
              </w:rPr>
              <w:t>3,300</w:t>
            </w:r>
          </w:p>
        </w:tc>
        <w:tc>
          <w:tcPr>
            <w:tcW w:type="dxa" w:w="878"/>
          </w:tcPr>
          <w:p>
            <w:pPr>
              <w:spacing w:after="40"/>
              <w:jc w:val="right"/>
            </w:pPr>
            <w:r>
              <w:rPr>
                <w:b w:val="0"/>
                <w:sz w:val="15"/>
              </w:rPr>
              <w:t>3,900</w:t>
            </w:r>
          </w:p>
        </w:tc>
        <w:tc>
          <w:tcPr>
            <w:tcW w:type="dxa" w:w="878"/>
          </w:tcPr>
          <w:p>
            <w:pPr>
              <w:spacing w:after="40"/>
              <w:jc w:val="right"/>
            </w:pPr>
            <w:r>
              <w:rPr>
                <w:b w:val="0"/>
                <w:sz w:val="15"/>
              </w:rPr>
              <w:t>4,200</w:t>
            </w:r>
          </w:p>
        </w:tc>
        <w:tc>
          <w:tcPr>
            <w:tcW w:type="dxa" w:w="878"/>
          </w:tcPr>
          <w:p>
            <w:pPr>
              <w:spacing w:after="40"/>
              <w:jc w:val="right"/>
            </w:pPr>
            <w:r>
              <w:rPr>
                <w:b w:val="0"/>
                <w:sz w:val="15"/>
              </w:rPr>
              <w:t>4,487</w:t>
            </w:r>
          </w:p>
        </w:tc>
        <w:tc>
          <w:tcPr>
            <w:tcW w:type="dxa" w:w="878"/>
          </w:tcPr>
          <w:p>
            <w:pPr>
              <w:spacing w:after="40"/>
              <w:jc w:val="right"/>
            </w:pPr>
            <w:r>
              <w:rPr>
                <w:b w:val="0"/>
                <w:sz w:val="15"/>
              </w:rPr>
              <w:t>5,173</w:t>
            </w:r>
          </w:p>
        </w:tc>
        <w:tc>
          <w:tcPr>
            <w:tcW w:type="dxa" w:w="878"/>
          </w:tcPr>
          <w:p>
            <w:pPr>
              <w:spacing w:after="40"/>
              <w:jc w:val="right"/>
            </w:pPr>
            <w:r>
              <w:rPr>
                <w:b w:val="0"/>
                <w:sz w:val="15"/>
              </w:rPr>
              <w:t>5,669</w:t>
            </w:r>
          </w:p>
        </w:tc>
        <w:tc>
          <w:tcPr>
            <w:tcW w:type="dxa" w:w="878"/>
          </w:tcPr>
          <w:p>
            <w:pPr>
              <w:spacing w:after="40"/>
              <w:jc w:val="right"/>
            </w:pPr>
            <w:r>
              <w:rPr>
                <w:b w:val="0"/>
                <w:sz w:val="15"/>
              </w:rPr>
              <w:t>6,209</w:t>
            </w:r>
          </w:p>
        </w:tc>
        <w:tc>
          <w:tcPr>
            <w:tcW w:type="dxa" w:w="878"/>
          </w:tcPr>
          <w:p>
            <w:pPr>
              <w:spacing w:after="40"/>
              <w:jc w:val="right"/>
            </w:pPr>
            <w:r>
              <w:rPr>
                <w:b w:val="0"/>
                <w:sz w:val="15"/>
              </w:rPr>
              <w:t>6,830</w:t>
            </w:r>
          </w:p>
        </w:tc>
        <w:tc>
          <w:tcPr>
            <w:tcW w:type="dxa" w:w="878"/>
          </w:tcPr>
          <w:p>
            <w:pPr>
              <w:spacing w:after="40"/>
              <w:jc w:val="right"/>
            </w:pPr>
            <w:r>
              <w:rPr>
                <w:b w:val="0"/>
                <w:sz w:val="15"/>
              </w:rPr>
              <w:t>7,513</w:t>
            </w:r>
          </w:p>
        </w:tc>
      </w:tr>
      <w:tr>
        <w:tc>
          <w:tcPr>
            <w:tcW w:type="dxa" w:w="2160"/>
          </w:tcPr>
          <w:p>
            <w:pPr>
              <w:spacing w:after="40"/>
            </w:pPr>
            <w:r>
              <w:rPr>
                <w:b w:val="0"/>
                <w:sz w:val="15"/>
              </w:rPr>
              <w:t>Debt</w:t>
            </w:r>
          </w:p>
        </w:tc>
        <w:tc>
          <w:tcPr>
            <w:tcW w:type="dxa" w:w="878"/>
          </w:tcPr>
          <w:p>
            <w:pPr>
              <w:spacing w:after="40"/>
              <w:jc w:val="right"/>
            </w:pPr>
            <w:r>
              <w:rPr>
                <w:b w:val="0"/>
                <w:sz w:val="15"/>
              </w:rPr>
              <w:t>750</w:t>
            </w:r>
          </w:p>
        </w:tc>
        <w:tc>
          <w:tcPr>
            <w:tcW w:type="dxa" w:w="878"/>
          </w:tcPr>
          <w:p>
            <w:pPr>
              <w:spacing w:after="40"/>
              <w:jc w:val="right"/>
            </w:pPr>
            <w:r>
              <w:rPr>
                <w:b w:val="0"/>
                <w:sz w:val="15"/>
              </w:rPr>
              <w:t>680</w:t>
            </w:r>
          </w:p>
        </w:tc>
        <w:tc>
          <w:tcPr>
            <w:tcW w:type="dxa" w:w="878"/>
          </w:tcPr>
          <w:p>
            <w:pPr>
              <w:spacing w:after="40"/>
              <w:jc w:val="right"/>
            </w:pPr>
            <w:r>
              <w:rPr>
                <w:b w:val="0"/>
                <w:sz w:val="15"/>
              </w:rPr>
              <w:t>600</w:t>
            </w:r>
          </w:p>
        </w:tc>
        <w:tc>
          <w:tcPr>
            <w:tcW w:type="dxa" w:w="878"/>
          </w:tcPr>
          <w:p>
            <w:pPr>
              <w:spacing w:after="40"/>
              <w:jc w:val="right"/>
            </w:pPr>
            <w:r>
              <w:rPr>
                <w:b w:val="0"/>
                <w:sz w:val="15"/>
              </w:rPr>
              <w:t>600</w:t>
            </w:r>
          </w:p>
        </w:tc>
        <w:tc>
          <w:tcPr>
            <w:tcW w:type="dxa" w:w="878"/>
          </w:tcPr>
          <w:p>
            <w:pPr>
              <w:spacing w:after="40"/>
              <w:jc w:val="right"/>
            </w:pPr>
            <w:r>
              <w:rPr>
                <w:b w:val="0"/>
                <w:sz w:val="15"/>
              </w:rPr>
              <w:t>600</w:t>
            </w:r>
          </w:p>
        </w:tc>
        <w:tc>
          <w:tcPr>
            <w:tcW w:type="dxa" w:w="878"/>
          </w:tcPr>
          <w:p>
            <w:pPr>
              <w:spacing w:after="40"/>
              <w:jc w:val="right"/>
            </w:pPr>
            <w:r>
              <w:rPr>
                <w:b w:val="0"/>
                <w:sz w:val="15"/>
              </w:rPr>
              <w:t>600</w:t>
            </w:r>
          </w:p>
        </w:tc>
        <w:tc>
          <w:tcPr>
            <w:tcW w:type="dxa" w:w="878"/>
          </w:tcPr>
          <w:p>
            <w:pPr>
              <w:spacing w:after="40"/>
              <w:jc w:val="right"/>
            </w:pPr>
            <w:r>
              <w:rPr>
                <w:b w:val="0"/>
                <w:sz w:val="15"/>
              </w:rPr>
              <w:t>600</w:t>
            </w:r>
          </w:p>
        </w:tc>
        <w:tc>
          <w:tcPr>
            <w:tcW w:type="dxa" w:w="878"/>
          </w:tcPr>
          <w:p>
            <w:pPr>
              <w:spacing w:after="40"/>
              <w:jc w:val="right"/>
            </w:pPr>
            <w:r>
              <w:rPr>
                <w:b w:val="0"/>
                <w:sz w:val="15"/>
              </w:rPr>
              <w:t>600</w:t>
            </w:r>
          </w:p>
        </w:tc>
        <w:tc>
          <w:tcPr>
            <w:tcW w:type="dxa" w:w="878"/>
          </w:tcPr>
          <w:p>
            <w:pPr>
              <w:spacing w:after="40"/>
              <w:jc w:val="right"/>
            </w:pPr>
            <w:r>
              <w:rPr>
                <w:b w:val="0"/>
                <w:sz w:val="15"/>
              </w:rPr>
              <w:t>600</w:t>
            </w:r>
          </w:p>
        </w:tc>
      </w:tr>
      <w:tr>
        <w:tc>
          <w:tcPr>
            <w:tcW w:type="dxa" w:w="2160"/>
          </w:tcPr>
          <w:p>
            <w:pPr>
              <w:spacing w:after="40"/>
            </w:pPr>
            <w:r>
              <w:rPr>
                <w:b w:val="0"/>
                <w:sz w:val="15"/>
              </w:rPr>
              <w:t>Shareholders equity</w:t>
            </w:r>
          </w:p>
        </w:tc>
        <w:tc>
          <w:tcPr>
            <w:tcW w:type="dxa" w:w="878"/>
          </w:tcPr>
          <w:p>
            <w:pPr>
              <w:spacing w:after="40"/>
              <w:jc w:val="right"/>
            </w:pPr>
            <w:r>
              <w:rPr>
                <w:b w:val="0"/>
                <w:sz w:val="15"/>
              </w:rPr>
              <w:t>10,400</w:t>
            </w:r>
          </w:p>
        </w:tc>
        <w:tc>
          <w:tcPr>
            <w:tcW w:type="dxa" w:w="878"/>
          </w:tcPr>
          <w:p>
            <w:pPr>
              <w:spacing w:after="40"/>
              <w:jc w:val="right"/>
            </w:pPr>
            <w:r>
              <w:rPr>
                <w:b w:val="0"/>
                <w:sz w:val="15"/>
              </w:rPr>
              <w:t>18,486</w:t>
            </w:r>
          </w:p>
        </w:tc>
        <w:tc>
          <w:tcPr>
            <w:tcW w:type="dxa" w:w="878"/>
          </w:tcPr>
          <w:p>
            <w:pPr>
              <w:spacing w:after="40"/>
              <w:jc w:val="right"/>
            </w:pPr>
            <w:r>
              <w:rPr>
                <w:b w:val="0"/>
                <w:sz w:val="15"/>
              </w:rPr>
              <w:t>25,366</w:t>
            </w:r>
          </w:p>
        </w:tc>
        <w:tc>
          <w:tcPr>
            <w:tcW w:type="dxa" w:w="878"/>
          </w:tcPr>
          <w:p>
            <w:pPr>
              <w:spacing w:after="40"/>
              <w:jc w:val="right"/>
            </w:pPr>
            <w:r>
              <w:rPr>
                <w:b w:val="0"/>
                <w:sz w:val="15"/>
              </w:rPr>
              <w:t>34,642</w:t>
            </w:r>
          </w:p>
        </w:tc>
        <w:tc>
          <w:tcPr>
            <w:tcW w:type="dxa" w:w="878"/>
          </w:tcPr>
          <w:p>
            <w:pPr>
              <w:spacing w:after="40"/>
              <w:jc w:val="right"/>
            </w:pPr>
            <w:r>
              <w:rPr>
                <w:b w:val="0"/>
                <w:sz w:val="15"/>
              </w:rPr>
              <w:t>40,417</w:t>
            </w:r>
          </w:p>
        </w:tc>
        <w:tc>
          <w:tcPr>
            <w:tcW w:type="dxa" w:w="878"/>
          </w:tcPr>
          <w:p>
            <w:pPr>
              <w:spacing w:after="40"/>
              <w:jc w:val="right"/>
            </w:pPr>
            <w:r>
              <w:rPr>
                <w:b w:val="0"/>
                <w:sz w:val="15"/>
              </w:rPr>
              <w:t>47,860</w:t>
            </w:r>
          </w:p>
        </w:tc>
        <w:tc>
          <w:tcPr>
            <w:tcW w:type="dxa" w:w="878"/>
          </w:tcPr>
          <w:p>
            <w:pPr>
              <w:spacing w:after="40"/>
              <w:jc w:val="right"/>
            </w:pPr>
            <w:r>
              <w:rPr>
                <w:b w:val="0"/>
                <w:sz w:val="15"/>
              </w:rPr>
              <w:t>55,081</w:t>
            </w:r>
          </w:p>
        </w:tc>
        <w:tc>
          <w:tcPr>
            <w:tcW w:type="dxa" w:w="878"/>
          </w:tcPr>
          <w:p>
            <w:pPr>
              <w:spacing w:after="40"/>
              <w:jc w:val="right"/>
            </w:pPr>
            <w:r>
              <w:rPr>
                <w:b w:val="0"/>
                <w:sz w:val="15"/>
              </w:rPr>
              <w:t>63,947</w:t>
            </w:r>
          </w:p>
        </w:tc>
        <w:tc>
          <w:tcPr>
            <w:tcW w:type="dxa" w:w="878"/>
          </w:tcPr>
          <w:p>
            <w:pPr>
              <w:spacing w:after="40"/>
              <w:jc w:val="right"/>
            </w:pPr>
            <w:r>
              <w:rPr>
                <w:b w:val="0"/>
                <w:sz w:val="15"/>
              </w:rPr>
              <w:t>73,592</w:t>
            </w:r>
          </w:p>
        </w:tc>
      </w:tr>
      <w:tr>
        <w:tc>
          <w:tcPr>
            <w:tcW w:type="dxa" w:w="2160"/>
          </w:tcPr>
          <w:p>
            <w:pPr>
              <w:spacing w:after="40"/>
            </w:pPr>
            <w:r>
              <w:rPr>
                <w:b w:val="0"/>
                <w:sz w:val="15"/>
              </w:rPr>
              <w:t>Provisions &amp; other (bal.)</w:t>
            </w:r>
          </w:p>
        </w:tc>
        <w:tc>
          <w:tcPr>
            <w:tcW w:type="dxa" w:w="878"/>
          </w:tcPr>
          <w:p>
            <w:pPr>
              <w:spacing w:after="40"/>
              <w:jc w:val="right"/>
            </w:pPr>
            <w:r>
              <w:rPr>
                <w:b w:val="0"/>
                <w:sz w:val="15"/>
              </w:rPr>
              <w:t>3,650</w:t>
            </w:r>
          </w:p>
        </w:tc>
        <w:tc>
          <w:tcPr>
            <w:tcW w:type="dxa" w:w="878"/>
          </w:tcPr>
          <w:p>
            <w:pPr>
              <w:spacing w:after="40"/>
              <w:jc w:val="right"/>
            </w:pPr>
            <w:r>
              <w:rPr>
                <w:b w:val="0"/>
                <w:sz w:val="15"/>
              </w:rPr>
              <w:t>1,754</w:t>
            </w:r>
          </w:p>
        </w:tc>
        <w:tc>
          <w:tcPr>
            <w:tcW w:type="dxa" w:w="878"/>
          </w:tcPr>
          <w:p>
            <w:pPr>
              <w:spacing w:after="40"/>
              <w:jc w:val="right"/>
            </w:pPr>
            <w:r>
              <w:rPr>
                <w:b w:val="0"/>
                <w:sz w:val="15"/>
              </w:rPr>
              <w:t>834</w:t>
            </w:r>
          </w:p>
        </w:tc>
        <w:tc>
          <w:tcPr>
            <w:tcW w:type="dxa" w:w="878"/>
          </w:tcPr>
          <w:p>
            <w:pPr>
              <w:spacing w:after="40"/>
              <w:jc w:val="right"/>
            </w:pPr>
            <w:r>
              <w:rPr>
                <w:b w:val="0"/>
                <w:sz w:val="15"/>
              </w:rPr>
              <w:t>954</w:t>
            </w:r>
          </w:p>
        </w:tc>
        <w:tc>
          <w:tcPr>
            <w:tcW w:type="dxa" w:w="878"/>
          </w:tcPr>
          <w:p>
            <w:pPr>
              <w:spacing w:after="40"/>
              <w:jc w:val="right"/>
            </w:pPr>
            <w:r>
              <w:rPr>
                <w:b w:val="0"/>
                <w:sz w:val="15"/>
              </w:rPr>
              <w:t>1,571</w:t>
            </w:r>
          </w:p>
        </w:tc>
        <w:tc>
          <w:tcPr>
            <w:tcW w:type="dxa" w:w="878"/>
          </w:tcPr>
          <w:p>
            <w:pPr>
              <w:spacing w:after="40"/>
              <w:jc w:val="right"/>
            </w:pPr>
            <w:r>
              <w:rPr>
                <w:b w:val="0"/>
                <w:sz w:val="15"/>
              </w:rPr>
              <w:t>1,935</w:t>
            </w:r>
          </w:p>
        </w:tc>
        <w:tc>
          <w:tcPr>
            <w:tcW w:type="dxa" w:w="878"/>
          </w:tcPr>
          <w:p>
            <w:pPr>
              <w:spacing w:after="40"/>
              <w:jc w:val="right"/>
            </w:pPr>
            <w:r>
              <w:rPr>
                <w:b w:val="0"/>
                <w:sz w:val="15"/>
              </w:rPr>
              <w:t>3,330</w:t>
            </w:r>
          </w:p>
        </w:tc>
        <w:tc>
          <w:tcPr>
            <w:tcW w:type="dxa" w:w="878"/>
          </w:tcPr>
          <w:p>
            <w:pPr>
              <w:spacing w:after="40"/>
              <w:jc w:val="right"/>
            </w:pPr>
            <w:r>
              <w:rPr>
                <w:b w:val="0"/>
                <w:sz w:val="15"/>
              </w:rPr>
              <w:t>3,791</w:t>
            </w:r>
          </w:p>
        </w:tc>
        <w:tc>
          <w:tcPr>
            <w:tcW w:type="dxa" w:w="878"/>
          </w:tcPr>
          <w:p>
            <w:pPr>
              <w:spacing w:after="40"/>
              <w:jc w:val="right"/>
            </w:pPr>
            <w:r>
              <w:rPr>
                <w:b w:val="0"/>
                <w:sz w:val="15"/>
              </w:rPr>
              <w:t>4,297</w:t>
            </w:r>
          </w:p>
        </w:tc>
      </w:tr>
      <w:tr>
        <w:tc>
          <w:tcPr>
            <w:tcW w:type="dxa" w:w="2160"/>
          </w:tcPr>
          <w:p>
            <w:pPr>
              <w:spacing w:after="40"/>
            </w:pPr>
            <w:r>
              <w:rPr>
                <w:b w:val="0"/>
                <w:sz w:val="15"/>
              </w:rPr>
              <w:t>Total liab. &amp; equity</w:t>
            </w:r>
          </w:p>
        </w:tc>
        <w:tc>
          <w:tcPr>
            <w:tcW w:type="dxa" w:w="878"/>
          </w:tcPr>
          <w:p>
            <w:pPr>
              <w:spacing w:after="40"/>
              <w:jc w:val="right"/>
            </w:pPr>
            <w:r>
              <w:rPr>
                <w:b w:val="0"/>
                <w:sz w:val="15"/>
              </w:rPr>
              <w:t>18,100</w:t>
            </w:r>
          </w:p>
        </w:tc>
        <w:tc>
          <w:tcPr>
            <w:tcW w:type="dxa" w:w="878"/>
          </w:tcPr>
          <w:p>
            <w:pPr>
              <w:spacing w:after="40"/>
              <w:jc w:val="right"/>
            </w:pPr>
            <w:r>
              <w:rPr>
                <w:b w:val="0"/>
                <w:sz w:val="15"/>
              </w:rPr>
              <w:t>24,820</w:t>
            </w:r>
          </w:p>
        </w:tc>
        <w:tc>
          <w:tcPr>
            <w:tcW w:type="dxa" w:w="878"/>
          </w:tcPr>
          <w:p>
            <w:pPr>
              <w:spacing w:after="40"/>
              <w:jc w:val="right"/>
            </w:pPr>
            <w:r>
              <w:rPr>
                <w:b w:val="0"/>
                <w:sz w:val="15"/>
              </w:rPr>
              <w:t>31,000</w:t>
            </w:r>
          </w:p>
        </w:tc>
        <w:tc>
          <w:tcPr>
            <w:tcW w:type="dxa" w:w="878"/>
          </w:tcPr>
          <w:p>
            <w:pPr>
              <w:spacing w:after="40"/>
              <w:jc w:val="right"/>
            </w:pPr>
            <w:r>
              <w:rPr>
                <w:b w:val="0"/>
                <w:sz w:val="15"/>
              </w:rPr>
              <w:t>40,683</w:t>
            </w:r>
          </w:p>
        </w:tc>
        <w:tc>
          <w:tcPr>
            <w:tcW w:type="dxa" w:w="878"/>
          </w:tcPr>
          <w:p>
            <w:pPr>
              <w:spacing w:after="40"/>
              <w:jc w:val="right"/>
            </w:pPr>
            <w:r>
              <w:rPr>
                <w:b w:val="0"/>
                <w:sz w:val="15"/>
              </w:rPr>
              <w:t>47,761</w:t>
            </w:r>
          </w:p>
        </w:tc>
        <w:tc>
          <w:tcPr>
            <w:tcW w:type="dxa" w:w="878"/>
          </w:tcPr>
          <w:p>
            <w:pPr>
              <w:spacing w:after="40"/>
              <w:jc w:val="right"/>
            </w:pPr>
            <w:r>
              <w:rPr>
                <w:b w:val="0"/>
                <w:sz w:val="15"/>
              </w:rPr>
              <w:t>56,064</w:t>
            </w:r>
          </w:p>
        </w:tc>
        <w:tc>
          <w:tcPr>
            <w:tcW w:type="dxa" w:w="878"/>
          </w:tcPr>
          <w:p>
            <w:pPr>
              <w:spacing w:after="40"/>
              <w:jc w:val="right"/>
            </w:pPr>
            <w:r>
              <w:rPr>
                <w:b w:val="0"/>
                <w:sz w:val="15"/>
              </w:rPr>
              <w:t>65,220</w:t>
            </w:r>
          </w:p>
        </w:tc>
        <w:tc>
          <w:tcPr>
            <w:tcW w:type="dxa" w:w="878"/>
          </w:tcPr>
          <w:p>
            <w:pPr>
              <w:spacing w:after="40"/>
              <w:jc w:val="right"/>
            </w:pPr>
            <w:r>
              <w:rPr>
                <w:b w:val="0"/>
                <w:sz w:val="15"/>
              </w:rPr>
              <w:t>75,168</w:t>
            </w:r>
          </w:p>
        </w:tc>
        <w:tc>
          <w:tcPr>
            <w:tcW w:type="dxa" w:w="878"/>
          </w:tcPr>
          <w:p>
            <w:pPr>
              <w:spacing w:after="40"/>
              <w:jc w:val="right"/>
            </w:pPr>
            <w:r>
              <w:rPr>
                <w:b w:val="0"/>
                <w:sz w:val="15"/>
              </w:rPr>
              <w:t>86,002</w:t>
            </w:r>
          </w:p>
        </w:tc>
      </w:tr>
      <w:tr>
        <w:tc>
          <w:tcPr>
            <w:tcW w:type="dxa" w:w="2160"/>
          </w:tcPr>
          <w:p>
            <w:pPr>
              <w:spacing w:after="40"/>
            </w:pPr>
            <w:r>
              <w:rPr>
                <w:b/>
                <w:sz w:val="15"/>
              </w:rPr>
              <w:t>Net cash</w:t>
            </w:r>
          </w:p>
        </w:tc>
        <w:tc>
          <w:tcPr>
            <w:tcW w:type="dxa" w:w="878"/>
          </w:tcPr>
          <w:p>
            <w:pPr>
              <w:spacing w:after="40"/>
              <w:jc w:val="right"/>
            </w:pPr>
            <w:r>
              <w:rPr>
                <w:b/>
                <w:sz w:val="15"/>
              </w:rPr>
              <w:t>2,300</w:t>
            </w:r>
          </w:p>
        </w:tc>
        <w:tc>
          <w:tcPr>
            <w:tcW w:type="dxa" w:w="878"/>
          </w:tcPr>
          <w:p>
            <w:pPr>
              <w:spacing w:after="40"/>
              <w:jc w:val="right"/>
            </w:pPr>
            <w:r>
              <w:rPr>
                <w:b/>
                <w:sz w:val="15"/>
              </w:rPr>
              <w:t>5,640</w:t>
            </w:r>
          </w:p>
        </w:tc>
        <w:tc>
          <w:tcPr>
            <w:tcW w:type="dxa" w:w="878"/>
          </w:tcPr>
          <w:p>
            <w:pPr>
              <w:spacing w:after="40"/>
              <w:jc w:val="right"/>
            </w:pPr>
            <w:r>
              <w:rPr>
                <w:b/>
                <w:sz w:val="15"/>
              </w:rPr>
              <w:t>9,000</w:t>
            </w:r>
          </w:p>
        </w:tc>
        <w:tc>
          <w:tcPr>
            <w:tcW w:type="dxa" w:w="878"/>
          </w:tcPr>
          <w:p>
            <w:pPr>
              <w:spacing w:after="40"/>
              <w:jc w:val="right"/>
            </w:pPr>
            <w:r>
              <w:rPr>
                <w:b/>
                <w:sz w:val="15"/>
              </w:rPr>
              <w:t>16,892</w:t>
            </w:r>
          </w:p>
        </w:tc>
        <w:tc>
          <w:tcPr>
            <w:tcW w:type="dxa" w:w="878"/>
          </w:tcPr>
          <w:p>
            <w:pPr>
              <w:spacing w:after="40"/>
              <w:jc w:val="right"/>
            </w:pPr>
            <w:r>
              <w:rPr>
                <w:b/>
                <w:sz w:val="15"/>
              </w:rPr>
              <w:t>21,008</w:t>
            </w:r>
          </w:p>
        </w:tc>
        <w:tc>
          <w:tcPr>
            <w:tcW w:type="dxa" w:w="878"/>
          </w:tcPr>
          <w:p>
            <w:pPr>
              <w:spacing w:after="40"/>
              <w:jc w:val="right"/>
            </w:pPr>
            <w:r>
              <w:rPr>
                <w:b/>
                <w:sz w:val="15"/>
              </w:rPr>
              <w:t>26,325</w:t>
            </w:r>
          </w:p>
        </w:tc>
        <w:tc>
          <w:tcPr>
            <w:tcW w:type="dxa" w:w="878"/>
          </w:tcPr>
          <w:p>
            <w:pPr>
              <w:spacing w:after="40"/>
              <w:jc w:val="right"/>
            </w:pPr>
            <w:r>
              <w:rPr>
                <w:b/>
                <w:sz w:val="15"/>
              </w:rPr>
              <w:t>32,302</w:t>
            </w:r>
          </w:p>
        </w:tc>
        <w:tc>
          <w:tcPr>
            <w:tcW w:type="dxa" w:w="878"/>
          </w:tcPr>
          <w:p>
            <w:pPr>
              <w:spacing w:after="40"/>
              <w:jc w:val="right"/>
            </w:pPr>
            <w:r>
              <w:rPr>
                <w:b/>
                <w:sz w:val="15"/>
              </w:rPr>
              <w:t>38,753</w:t>
            </w:r>
          </w:p>
        </w:tc>
        <w:tc>
          <w:tcPr>
            <w:tcW w:type="dxa" w:w="878"/>
          </w:tcPr>
          <w:p>
            <w:pPr>
              <w:spacing w:after="40"/>
              <w:jc w:val="right"/>
            </w:pPr>
            <w:r>
              <w:rPr>
                <w:b/>
                <w:sz w:val="15"/>
              </w:rPr>
              <w:t>45,806</w:t>
            </w:r>
          </w:p>
        </w:tc>
      </w:tr>
      <w:tr>
        <w:tc>
          <w:tcPr>
            <w:tcW w:type="dxa" w:w="2160"/>
          </w:tcPr>
          <w:p>
            <w:pPr>
              <w:spacing w:after="40"/>
            </w:pPr>
            <w:r>
              <w:rPr>
                <w:b w:val="0"/>
                <w:sz w:val="15"/>
              </w:rPr>
              <w:t>BVPS (EGP)</w:t>
            </w:r>
          </w:p>
        </w:tc>
        <w:tc>
          <w:tcPr>
            <w:tcW w:type="dxa" w:w="878"/>
          </w:tcPr>
          <w:p>
            <w:pPr>
              <w:spacing w:after="40"/>
              <w:jc w:val="right"/>
            </w:pPr>
            <w:r>
              <w:rPr>
                <w:b w:val="0"/>
                <w:sz w:val="15"/>
              </w:rPr>
              <w:t>25.2</w:t>
            </w:r>
          </w:p>
        </w:tc>
        <w:tc>
          <w:tcPr>
            <w:tcW w:type="dxa" w:w="878"/>
          </w:tcPr>
          <w:p>
            <w:pPr>
              <w:spacing w:after="40"/>
              <w:jc w:val="right"/>
            </w:pPr>
            <w:r>
              <w:rPr>
                <w:b w:val="0"/>
                <w:sz w:val="15"/>
              </w:rPr>
              <w:t>44.8</w:t>
            </w:r>
          </w:p>
        </w:tc>
        <w:tc>
          <w:tcPr>
            <w:tcW w:type="dxa" w:w="878"/>
          </w:tcPr>
          <w:p>
            <w:pPr>
              <w:spacing w:after="40"/>
              <w:jc w:val="right"/>
            </w:pPr>
            <w:r>
              <w:rPr>
                <w:b w:val="0"/>
                <w:sz w:val="15"/>
              </w:rPr>
              <w:t>61.5</w:t>
            </w:r>
          </w:p>
        </w:tc>
        <w:tc>
          <w:tcPr>
            <w:tcW w:type="dxa" w:w="878"/>
          </w:tcPr>
          <w:p>
            <w:pPr>
              <w:spacing w:after="40"/>
              <w:jc w:val="right"/>
            </w:pPr>
            <w:r>
              <w:rPr>
                <w:b w:val="0"/>
                <w:sz w:val="15"/>
              </w:rPr>
              <w:t>84.0</w:t>
            </w:r>
          </w:p>
        </w:tc>
        <w:tc>
          <w:tcPr>
            <w:tcW w:type="dxa" w:w="878"/>
          </w:tcPr>
          <w:p>
            <w:pPr>
              <w:spacing w:after="40"/>
              <w:jc w:val="right"/>
            </w:pPr>
            <w:r>
              <w:rPr>
                <w:b w:val="0"/>
                <w:sz w:val="15"/>
              </w:rPr>
              <w:t>98.0</w:t>
            </w:r>
          </w:p>
        </w:tc>
        <w:tc>
          <w:tcPr>
            <w:tcW w:type="dxa" w:w="878"/>
          </w:tcPr>
          <w:p>
            <w:pPr>
              <w:spacing w:after="40"/>
              <w:jc w:val="right"/>
            </w:pPr>
            <w:r>
              <w:rPr>
                <w:b w:val="0"/>
                <w:sz w:val="15"/>
              </w:rPr>
              <w:t>116.0</w:t>
            </w:r>
          </w:p>
        </w:tc>
        <w:tc>
          <w:tcPr>
            <w:tcW w:type="dxa" w:w="878"/>
          </w:tcPr>
          <w:p>
            <w:pPr>
              <w:spacing w:after="40"/>
              <w:jc w:val="right"/>
            </w:pPr>
            <w:r>
              <w:rPr>
                <w:b w:val="0"/>
                <w:sz w:val="15"/>
              </w:rPr>
              <w:t>133.5</w:t>
            </w:r>
          </w:p>
        </w:tc>
        <w:tc>
          <w:tcPr>
            <w:tcW w:type="dxa" w:w="878"/>
          </w:tcPr>
          <w:p>
            <w:pPr>
              <w:spacing w:after="40"/>
              <w:jc w:val="right"/>
            </w:pPr>
            <w:r>
              <w:rPr>
                <w:b w:val="0"/>
                <w:sz w:val="15"/>
              </w:rPr>
              <w:t>155.0</w:t>
            </w:r>
          </w:p>
        </w:tc>
        <w:tc>
          <w:tcPr>
            <w:tcW w:type="dxa" w:w="878"/>
          </w:tcPr>
          <w:p>
            <w:pPr>
              <w:spacing w:after="40"/>
              <w:jc w:val="right"/>
            </w:pPr>
            <w:r>
              <w:rPr>
                <w:b w:val="0"/>
                <w:sz w:val="15"/>
              </w:rPr>
              <w:t>178.4</w:t>
            </w:r>
          </w:p>
        </w:tc>
      </w:tr>
    </w:tbl>
    <w:p>
      <w:pPr>
        <w:spacing w:after="40"/>
      </w:pPr>
    </w:p>
    <w:p>
      <w:pPr>
        <w:pStyle w:val="Heading2"/>
      </w:pPr>
      <w:r>
        <w:t>A.3  Cash flow</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979"/>
        <w:gridCol w:w="979"/>
        <w:gridCol w:w="979"/>
        <w:gridCol w:w="979"/>
        <w:gridCol w:w="979"/>
        <w:gridCol w:w="979"/>
        <w:gridCol w:w="979"/>
        <w:gridCol w:w="979"/>
        <w:gridCol w:w="979"/>
        <w:gridCol w:w="979"/>
      </w:tblGrid>
      <w:tr>
        <w:tc>
          <w:tcPr>
            <w:tcW w:type="dxa" w:w="2160"/>
            <w:shd w:val="clear" w:fill="1C3A36"/>
          </w:tcPr>
          <w:p>
            <w:pPr>
              <w:spacing w:after="40"/>
            </w:pPr>
            <w:r>
              <w:rPr>
                <w:b/>
                <w:color w:val="FFFFFF"/>
                <w:sz w:val="15"/>
              </w:rPr>
              <w:t>EGP m</w:t>
            </w:r>
          </w:p>
        </w:tc>
        <w:tc>
          <w:tcPr>
            <w:tcW w:type="dxa" w:w="878"/>
            <w:shd w:val="clear" w:fill="1C3A36"/>
          </w:tcPr>
          <w:p>
            <w:pPr>
              <w:spacing w:after="40"/>
            </w:pPr>
            <w:r>
              <w:rPr>
                <w:b/>
                <w:color w:val="FFFFFF"/>
                <w:sz w:val="15"/>
              </w:rPr>
              <w:t>FY22/23</w:t>
            </w:r>
          </w:p>
        </w:tc>
        <w:tc>
          <w:tcPr>
            <w:tcW w:type="dxa" w:w="878"/>
            <w:shd w:val="clear" w:fill="1C3A36"/>
          </w:tcPr>
          <w:p>
            <w:pPr>
              <w:spacing w:after="40"/>
            </w:pPr>
            <w:r>
              <w:rPr>
                <w:b/>
                <w:color w:val="FFFFFF"/>
                <w:sz w:val="15"/>
              </w:rPr>
              <w:t>FY23/24</w:t>
            </w:r>
          </w:p>
        </w:tc>
        <w:tc>
          <w:tcPr>
            <w:tcW w:type="dxa" w:w="878"/>
            <w:shd w:val="clear" w:fill="1C3A36"/>
          </w:tcPr>
          <w:p>
            <w:pPr>
              <w:spacing w:after="40"/>
            </w:pPr>
            <w:r>
              <w:rPr>
                <w:b/>
                <w:color w:val="FFFFFF"/>
                <w:sz w:val="15"/>
              </w:rPr>
              <w:t>FY24/25</w:t>
            </w:r>
          </w:p>
        </w:tc>
        <w:tc>
          <w:tcPr>
            <w:tcW w:type="dxa" w:w="878"/>
            <w:shd w:val="clear" w:fill="1C3A36"/>
          </w:tcPr>
          <w:p>
            <w:pPr>
              <w:spacing w:after="40"/>
            </w:pPr>
            <w:r>
              <w:rPr>
                <w:b/>
                <w:color w:val="FFFFFF"/>
                <w:sz w:val="15"/>
              </w:rPr>
              <w:t>F26E</w:t>
            </w:r>
          </w:p>
        </w:tc>
        <w:tc>
          <w:tcPr>
            <w:tcW w:type="dxa" w:w="878"/>
            <w:shd w:val="clear" w:fill="1C3A36"/>
          </w:tcPr>
          <w:p>
            <w:pPr>
              <w:spacing w:after="40"/>
            </w:pPr>
            <w:r>
              <w:rPr>
                <w:b/>
                <w:color w:val="FFFFFF"/>
                <w:sz w:val="15"/>
              </w:rPr>
              <w:t>F27E</w:t>
            </w:r>
          </w:p>
        </w:tc>
        <w:tc>
          <w:tcPr>
            <w:tcW w:type="dxa" w:w="878"/>
            <w:shd w:val="clear" w:fill="1C3A36"/>
          </w:tcPr>
          <w:p>
            <w:pPr>
              <w:spacing w:after="40"/>
            </w:pPr>
            <w:r>
              <w:rPr>
                <w:b/>
                <w:color w:val="FFFFFF"/>
                <w:sz w:val="15"/>
              </w:rPr>
              <w:t>F28E</w:t>
            </w:r>
          </w:p>
        </w:tc>
        <w:tc>
          <w:tcPr>
            <w:tcW w:type="dxa" w:w="878"/>
            <w:shd w:val="clear" w:fill="1C3A36"/>
          </w:tcPr>
          <w:p>
            <w:pPr>
              <w:spacing w:after="40"/>
            </w:pPr>
            <w:r>
              <w:rPr>
                <w:b/>
                <w:color w:val="FFFFFF"/>
                <w:sz w:val="15"/>
              </w:rPr>
              <w:t>F29E</w:t>
            </w:r>
          </w:p>
        </w:tc>
        <w:tc>
          <w:tcPr>
            <w:tcW w:type="dxa" w:w="878"/>
            <w:shd w:val="clear" w:fill="1C3A36"/>
          </w:tcPr>
          <w:p>
            <w:pPr>
              <w:spacing w:after="40"/>
            </w:pPr>
            <w:r>
              <w:rPr>
                <w:b/>
                <w:color w:val="FFFFFF"/>
                <w:sz w:val="15"/>
              </w:rPr>
              <w:t>F30E</w:t>
            </w:r>
          </w:p>
        </w:tc>
        <w:tc>
          <w:tcPr>
            <w:tcW w:type="dxa" w:w="878"/>
            <w:shd w:val="clear" w:fill="1C3A36"/>
          </w:tcPr>
          <w:p>
            <w:pPr>
              <w:spacing w:after="40"/>
            </w:pPr>
            <w:r>
              <w:rPr>
                <w:b/>
                <w:color w:val="FFFFFF"/>
                <w:sz w:val="15"/>
              </w:rPr>
              <w:t>F31E</w:t>
            </w:r>
          </w:p>
        </w:tc>
      </w:tr>
      <w:tr>
        <w:tc>
          <w:tcPr>
            <w:tcW w:type="dxa" w:w="2160"/>
          </w:tcPr>
          <w:p>
            <w:pPr>
              <w:spacing w:after="40"/>
            </w:pPr>
            <w:r>
              <w:rPr>
                <w:b w:val="0"/>
                <w:sz w:val="15"/>
              </w:rPr>
              <w:t>Net profit</w:t>
            </w:r>
          </w:p>
        </w:tc>
        <w:tc>
          <w:tcPr>
            <w:tcW w:type="dxa" w:w="878"/>
          </w:tcPr>
          <w:p>
            <w:pPr>
              <w:spacing w:after="40"/>
              <w:jc w:val="right"/>
            </w:pPr>
            <w:r>
              <w:rPr>
                <w:b w:val="0"/>
                <w:sz w:val="15"/>
              </w:rPr>
              <w:t>3,692</w:t>
            </w:r>
          </w:p>
        </w:tc>
        <w:tc>
          <w:tcPr>
            <w:tcW w:type="dxa" w:w="878"/>
          </w:tcPr>
          <w:p>
            <w:pPr>
              <w:spacing w:after="40"/>
              <w:jc w:val="right"/>
            </w:pPr>
            <w:r>
              <w:rPr>
                <w:b w:val="0"/>
                <w:sz w:val="15"/>
              </w:rPr>
              <w:t>9,324</w:t>
            </w:r>
          </w:p>
        </w:tc>
        <w:tc>
          <w:tcPr>
            <w:tcW w:type="dxa" w:w="878"/>
          </w:tcPr>
          <w:p>
            <w:pPr>
              <w:spacing w:after="40"/>
              <w:jc w:val="right"/>
            </w:pPr>
            <w:r>
              <w:rPr>
                <w:b w:val="0"/>
                <w:sz w:val="15"/>
              </w:rPr>
              <w:t>10,180</w:t>
            </w:r>
          </w:p>
        </w:tc>
        <w:tc>
          <w:tcPr>
            <w:tcW w:type="dxa" w:w="878"/>
          </w:tcPr>
          <w:p>
            <w:pPr>
              <w:spacing w:after="40"/>
              <w:jc w:val="right"/>
            </w:pPr>
            <w:r>
              <w:rPr>
                <w:b w:val="0"/>
                <w:sz w:val="15"/>
              </w:rPr>
              <w:t>13,401</w:t>
            </w:r>
          </w:p>
        </w:tc>
        <w:tc>
          <w:tcPr>
            <w:tcW w:type="dxa" w:w="878"/>
          </w:tcPr>
          <w:p>
            <w:pPr>
              <w:spacing w:after="40"/>
              <w:jc w:val="right"/>
            </w:pPr>
            <w:r>
              <w:rPr>
                <w:b w:val="0"/>
                <w:sz w:val="15"/>
              </w:rPr>
              <w:t>11,805</w:t>
            </w:r>
          </w:p>
        </w:tc>
        <w:tc>
          <w:tcPr>
            <w:tcW w:type="dxa" w:w="878"/>
          </w:tcPr>
          <w:p>
            <w:pPr>
              <w:spacing w:after="40"/>
              <w:jc w:val="right"/>
            </w:pPr>
            <w:r>
              <w:rPr>
                <w:b w:val="0"/>
                <w:sz w:val="15"/>
              </w:rPr>
              <w:t>12,755</w:t>
            </w:r>
          </w:p>
        </w:tc>
        <w:tc>
          <w:tcPr>
            <w:tcW w:type="dxa" w:w="878"/>
          </w:tcPr>
          <w:p>
            <w:pPr>
              <w:spacing w:after="40"/>
              <w:jc w:val="right"/>
            </w:pPr>
            <w:r>
              <w:rPr>
                <w:b w:val="0"/>
                <w:sz w:val="15"/>
              </w:rPr>
              <w:t>13,962</w:t>
            </w:r>
          </w:p>
        </w:tc>
        <w:tc>
          <w:tcPr>
            <w:tcW w:type="dxa" w:w="878"/>
          </w:tcPr>
          <w:p>
            <w:pPr>
              <w:spacing w:after="40"/>
              <w:jc w:val="right"/>
            </w:pPr>
            <w:r>
              <w:rPr>
                <w:b w:val="0"/>
                <w:sz w:val="15"/>
              </w:rPr>
              <w:t>15,149</w:t>
            </w:r>
          </w:p>
        </w:tc>
        <w:tc>
          <w:tcPr>
            <w:tcW w:type="dxa" w:w="878"/>
          </w:tcPr>
          <w:p>
            <w:pPr>
              <w:spacing w:after="40"/>
              <w:jc w:val="right"/>
            </w:pPr>
            <w:r>
              <w:rPr>
                <w:b w:val="0"/>
                <w:sz w:val="15"/>
              </w:rPr>
              <w:t>16,462</w:t>
            </w:r>
          </w:p>
        </w:tc>
      </w:tr>
      <w:tr>
        <w:tc>
          <w:tcPr>
            <w:tcW w:type="dxa" w:w="2160"/>
          </w:tcPr>
          <w:p>
            <w:pPr>
              <w:spacing w:after="40"/>
            </w:pPr>
            <w:r>
              <w:rPr>
                <w:b w:val="0"/>
                <w:sz w:val="15"/>
              </w:rPr>
              <w:t>D&amp;A</w:t>
            </w:r>
          </w:p>
        </w:tc>
        <w:tc>
          <w:tcPr>
            <w:tcW w:type="dxa" w:w="878"/>
          </w:tcPr>
          <w:p>
            <w:pPr>
              <w:spacing w:after="40"/>
              <w:jc w:val="right"/>
            </w:pPr>
            <w:r>
              <w:rPr>
                <w:b w:val="0"/>
                <w:sz w:val="15"/>
              </w:rPr>
              <w:t>650</w:t>
            </w:r>
          </w:p>
        </w:tc>
        <w:tc>
          <w:tcPr>
            <w:tcW w:type="dxa" w:w="878"/>
          </w:tcPr>
          <w:p>
            <w:pPr>
              <w:spacing w:after="40"/>
              <w:jc w:val="right"/>
            </w:pPr>
            <w:r>
              <w:rPr>
                <w:b w:val="0"/>
                <w:sz w:val="15"/>
              </w:rPr>
              <w:t>700</w:t>
            </w:r>
          </w:p>
        </w:tc>
        <w:tc>
          <w:tcPr>
            <w:tcW w:type="dxa" w:w="878"/>
          </w:tcPr>
          <w:p>
            <w:pPr>
              <w:spacing w:after="40"/>
              <w:jc w:val="right"/>
            </w:pPr>
            <w:r>
              <w:rPr>
                <w:b w:val="0"/>
                <w:sz w:val="15"/>
              </w:rPr>
              <w:t>780</w:t>
            </w:r>
          </w:p>
        </w:tc>
        <w:tc>
          <w:tcPr>
            <w:tcW w:type="dxa" w:w="878"/>
          </w:tcPr>
          <w:p>
            <w:pPr>
              <w:spacing w:after="40"/>
              <w:jc w:val="right"/>
            </w:pPr>
            <w:r>
              <w:rPr>
                <w:b w:val="0"/>
                <w:sz w:val="15"/>
              </w:rPr>
              <w:t>850</w:t>
            </w:r>
          </w:p>
        </w:tc>
        <w:tc>
          <w:tcPr>
            <w:tcW w:type="dxa" w:w="878"/>
          </w:tcPr>
          <w:p>
            <w:pPr>
              <w:spacing w:after="40"/>
              <w:jc w:val="right"/>
            </w:pPr>
            <w:r>
              <w:rPr>
                <w:b w:val="0"/>
                <w:sz w:val="15"/>
              </w:rPr>
              <w:t>950</w:t>
            </w:r>
          </w:p>
        </w:tc>
        <w:tc>
          <w:tcPr>
            <w:tcW w:type="dxa" w:w="878"/>
          </w:tcPr>
          <w:p>
            <w:pPr>
              <w:spacing w:after="40"/>
              <w:jc w:val="right"/>
            </w:pPr>
            <w:r>
              <w:rPr>
                <w:b w:val="0"/>
                <w:sz w:val="15"/>
              </w:rPr>
              <w:t>1,100</w:t>
            </w:r>
          </w:p>
        </w:tc>
        <w:tc>
          <w:tcPr>
            <w:tcW w:type="dxa" w:w="878"/>
          </w:tcPr>
          <w:p>
            <w:pPr>
              <w:spacing w:after="40"/>
              <w:jc w:val="right"/>
            </w:pPr>
            <w:r>
              <w:rPr>
                <w:b w:val="0"/>
                <w:sz w:val="15"/>
              </w:rPr>
              <w:t>1,250</w:t>
            </w:r>
          </w:p>
        </w:tc>
        <w:tc>
          <w:tcPr>
            <w:tcW w:type="dxa" w:w="878"/>
          </w:tcPr>
          <w:p>
            <w:pPr>
              <w:spacing w:after="40"/>
              <w:jc w:val="right"/>
            </w:pPr>
            <w:r>
              <w:rPr>
                <w:b w:val="0"/>
                <w:sz w:val="15"/>
              </w:rPr>
              <w:t>1,350</w:t>
            </w:r>
          </w:p>
        </w:tc>
        <w:tc>
          <w:tcPr>
            <w:tcW w:type="dxa" w:w="878"/>
          </w:tcPr>
          <w:p>
            <w:pPr>
              <w:spacing w:after="40"/>
              <w:jc w:val="right"/>
            </w:pPr>
            <w:r>
              <w:rPr>
                <w:b w:val="0"/>
                <w:sz w:val="15"/>
              </w:rPr>
              <w:t>1,450</w:t>
            </w:r>
          </w:p>
        </w:tc>
      </w:tr>
      <w:tr>
        <w:tc>
          <w:tcPr>
            <w:tcW w:type="dxa" w:w="2160"/>
          </w:tcPr>
          <w:p>
            <w:pPr>
              <w:spacing w:after="40"/>
            </w:pPr>
            <w:r>
              <w:rPr>
                <w:b w:val="0"/>
                <w:sz w:val="15"/>
              </w:rPr>
              <w:t>Δ working capital</w:t>
            </w:r>
          </w:p>
        </w:tc>
        <w:tc>
          <w:tcPr>
            <w:tcW w:type="dxa" w:w="878"/>
          </w:tcPr>
          <w:p>
            <w:pPr>
              <w:spacing w:after="40"/>
              <w:jc w:val="right"/>
            </w:pPr>
            <w:r>
              <w:rPr>
                <w:b w:val="0"/>
                <w:sz w:val="15"/>
              </w:rPr>
              <w:t>(900)</w:t>
            </w:r>
          </w:p>
        </w:tc>
        <w:tc>
          <w:tcPr>
            <w:tcW w:type="dxa" w:w="878"/>
          </w:tcPr>
          <w:p>
            <w:pPr>
              <w:spacing w:after="40"/>
              <w:jc w:val="right"/>
            </w:pPr>
            <w:r>
              <w:rPr>
                <w:b w:val="0"/>
                <w:sz w:val="15"/>
              </w:rPr>
              <w:t>(1,600)</w:t>
            </w:r>
          </w:p>
        </w:tc>
        <w:tc>
          <w:tcPr>
            <w:tcW w:type="dxa" w:w="878"/>
          </w:tcPr>
          <w:p>
            <w:pPr>
              <w:spacing w:after="40"/>
              <w:jc w:val="right"/>
            </w:pPr>
            <w:r>
              <w:rPr>
                <w:b w:val="0"/>
                <w:sz w:val="15"/>
              </w:rPr>
              <w:t>(1,450)</w:t>
            </w:r>
          </w:p>
        </w:tc>
        <w:tc>
          <w:tcPr>
            <w:tcW w:type="dxa" w:w="878"/>
          </w:tcPr>
          <w:p>
            <w:pPr>
              <w:spacing w:after="40"/>
              <w:jc w:val="right"/>
            </w:pPr>
            <w:r>
              <w:rPr>
                <w:b w:val="0"/>
                <w:sz w:val="15"/>
              </w:rPr>
              <w:t>(734)</w:t>
            </w:r>
          </w:p>
        </w:tc>
        <w:tc>
          <w:tcPr>
            <w:tcW w:type="dxa" w:w="878"/>
          </w:tcPr>
          <w:p>
            <w:pPr>
              <w:spacing w:after="40"/>
              <w:jc w:val="right"/>
            </w:pPr>
            <w:r>
              <w:rPr>
                <w:b w:val="0"/>
                <w:sz w:val="15"/>
              </w:rPr>
              <w:t>(408)</w:t>
            </w:r>
          </w:p>
        </w:tc>
        <w:tc>
          <w:tcPr>
            <w:tcW w:type="dxa" w:w="878"/>
          </w:tcPr>
          <w:p>
            <w:pPr>
              <w:spacing w:after="40"/>
              <w:jc w:val="right"/>
            </w:pPr>
            <w:r>
              <w:rPr>
                <w:b w:val="0"/>
                <w:sz w:val="15"/>
              </w:rPr>
              <w:t>(626)</w:t>
            </w:r>
          </w:p>
        </w:tc>
        <w:tc>
          <w:tcPr>
            <w:tcW w:type="dxa" w:w="878"/>
          </w:tcPr>
          <w:p>
            <w:pPr>
              <w:spacing w:after="40"/>
              <w:jc w:val="right"/>
            </w:pPr>
            <w:r>
              <w:rPr>
                <w:b w:val="0"/>
                <w:sz w:val="15"/>
              </w:rPr>
              <w:t>(695)</w:t>
            </w:r>
          </w:p>
        </w:tc>
        <w:tc>
          <w:tcPr>
            <w:tcW w:type="dxa" w:w="878"/>
          </w:tcPr>
          <w:p>
            <w:pPr>
              <w:spacing w:after="40"/>
              <w:jc w:val="right"/>
            </w:pPr>
            <w:r>
              <w:rPr>
                <w:b w:val="0"/>
                <w:sz w:val="15"/>
              </w:rPr>
              <w:t>(765)</w:t>
            </w:r>
          </w:p>
        </w:tc>
        <w:tc>
          <w:tcPr>
            <w:tcW w:type="dxa" w:w="878"/>
          </w:tcPr>
          <w:p>
            <w:pPr>
              <w:spacing w:after="40"/>
              <w:jc w:val="right"/>
            </w:pPr>
            <w:r>
              <w:rPr>
                <w:b w:val="0"/>
                <w:sz w:val="15"/>
              </w:rPr>
              <w:t>(841)</w:t>
            </w:r>
          </w:p>
        </w:tc>
      </w:tr>
      <w:tr>
        <w:tc>
          <w:tcPr>
            <w:tcW w:type="dxa" w:w="2160"/>
          </w:tcPr>
          <w:p>
            <w:pPr>
              <w:spacing w:after="40"/>
            </w:pPr>
            <w:r>
              <w:rPr>
                <w:b w:val="0"/>
                <w:sz w:val="15"/>
              </w:rPr>
              <w:t>Operating cash flow</w:t>
            </w:r>
          </w:p>
        </w:tc>
        <w:tc>
          <w:tcPr>
            <w:tcW w:type="dxa" w:w="878"/>
          </w:tcPr>
          <w:p>
            <w:pPr>
              <w:spacing w:after="40"/>
              <w:jc w:val="right"/>
            </w:pPr>
            <w:r>
              <w:rPr>
                <w:b w:val="0"/>
                <w:sz w:val="15"/>
              </w:rPr>
              <w:t>3,442</w:t>
            </w:r>
          </w:p>
        </w:tc>
        <w:tc>
          <w:tcPr>
            <w:tcW w:type="dxa" w:w="878"/>
          </w:tcPr>
          <w:p>
            <w:pPr>
              <w:spacing w:after="40"/>
              <w:jc w:val="right"/>
            </w:pPr>
            <w:r>
              <w:rPr>
                <w:b w:val="0"/>
                <w:sz w:val="15"/>
              </w:rPr>
              <w:t>8,424</w:t>
            </w:r>
          </w:p>
        </w:tc>
        <w:tc>
          <w:tcPr>
            <w:tcW w:type="dxa" w:w="878"/>
          </w:tcPr>
          <w:p>
            <w:pPr>
              <w:spacing w:after="40"/>
              <w:jc w:val="right"/>
            </w:pPr>
            <w:r>
              <w:rPr>
                <w:b w:val="0"/>
                <w:sz w:val="15"/>
              </w:rPr>
              <w:t>9,510</w:t>
            </w:r>
          </w:p>
        </w:tc>
        <w:tc>
          <w:tcPr>
            <w:tcW w:type="dxa" w:w="878"/>
          </w:tcPr>
          <w:p>
            <w:pPr>
              <w:spacing w:after="40"/>
              <w:jc w:val="right"/>
            </w:pPr>
            <w:r>
              <w:rPr>
                <w:b w:val="0"/>
                <w:sz w:val="15"/>
              </w:rPr>
              <w:t>13,517</w:t>
            </w:r>
          </w:p>
        </w:tc>
        <w:tc>
          <w:tcPr>
            <w:tcW w:type="dxa" w:w="878"/>
          </w:tcPr>
          <w:p>
            <w:pPr>
              <w:spacing w:after="40"/>
              <w:jc w:val="right"/>
            </w:pPr>
            <w:r>
              <w:rPr>
                <w:b w:val="0"/>
                <w:sz w:val="15"/>
              </w:rPr>
              <w:t>12,347</w:t>
            </w:r>
          </w:p>
        </w:tc>
        <w:tc>
          <w:tcPr>
            <w:tcW w:type="dxa" w:w="878"/>
          </w:tcPr>
          <w:p>
            <w:pPr>
              <w:spacing w:after="40"/>
              <w:jc w:val="right"/>
            </w:pPr>
            <w:r>
              <w:rPr>
                <w:b w:val="0"/>
                <w:sz w:val="15"/>
              </w:rPr>
              <w:t>13,229</w:t>
            </w:r>
          </w:p>
        </w:tc>
        <w:tc>
          <w:tcPr>
            <w:tcW w:type="dxa" w:w="878"/>
          </w:tcPr>
          <w:p>
            <w:pPr>
              <w:spacing w:after="40"/>
              <w:jc w:val="right"/>
            </w:pPr>
            <w:r>
              <w:rPr>
                <w:b w:val="0"/>
                <w:sz w:val="15"/>
              </w:rPr>
              <w:t>14,517</w:t>
            </w:r>
          </w:p>
        </w:tc>
        <w:tc>
          <w:tcPr>
            <w:tcW w:type="dxa" w:w="878"/>
          </w:tcPr>
          <w:p>
            <w:pPr>
              <w:spacing w:after="40"/>
              <w:jc w:val="right"/>
            </w:pPr>
            <w:r>
              <w:rPr>
                <w:b w:val="0"/>
                <w:sz w:val="15"/>
              </w:rPr>
              <w:t>15,734</w:t>
            </w:r>
          </w:p>
        </w:tc>
        <w:tc>
          <w:tcPr>
            <w:tcW w:type="dxa" w:w="878"/>
          </w:tcPr>
          <w:p>
            <w:pPr>
              <w:spacing w:after="40"/>
              <w:jc w:val="right"/>
            </w:pPr>
            <w:r>
              <w:rPr>
                <w:b w:val="0"/>
                <w:sz w:val="15"/>
              </w:rPr>
              <w:t>17,071</w:t>
            </w:r>
          </w:p>
        </w:tc>
      </w:tr>
      <w:tr>
        <w:tc>
          <w:tcPr>
            <w:tcW w:type="dxa" w:w="2160"/>
          </w:tcPr>
          <w:p>
            <w:pPr>
              <w:spacing w:after="40"/>
            </w:pPr>
            <w:r>
              <w:rPr>
                <w:b w:val="0"/>
                <w:sz w:val="15"/>
              </w:rPr>
              <w:t>Capex</w:t>
            </w:r>
          </w:p>
        </w:tc>
        <w:tc>
          <w:tcPr>
            <w:tcW w:type="dxa" w:w="878"/>
          </w:tcPr>
          <w:p>
            <w:pPr>
              <w:spacing w:after="40"/>
              <w:jc w:val="right"/>
            </w:pPr>
            <w:r>
              <w:rPr>
                <w:b w:val="0"/>
                <w:sz w:val="15"/>
              </w:rPr>
              <w:t>(500)</w:t>
            </w:r>
          </w:p>
        </w:tc>
        <w:tc>
          <w:tcPr>
            <w:tcW w:type="dxa" w:w="878"/>
          </w:tcPr>
          <w:p>
            <w:pPr>
              <w:spacing w:after="40"/>
              <w:jc w:val="right"/>
            </w:pPr>
            <w:r>
              <w:rPr>
                <w:b w:val="0"/>
                <w:sz w:val="15"/>
              </w:rPr>
              <w:t>(600)</w:t>
            </w:r>
          </w:p>
        </w:tc>
        <w:tc>
          <w:tcPr>
            <w:tcW w:type="dxa" w:w="878"/>
          </w:tcPr>
          <w:p>
            <w:pPr>
              <w:spacing w:after="40"/>
              <w:jc w:val="right"/>
            </w:pPr>
            <w:r>
              <w:rPr>
                <w:b w:val="0"/>
                <w:sz w:val="15"/>
              </w:rPr>
              <w:t>(900)</w:t>
            </w:r>
          </w:p>
        </w:tc>
        <w:tc>
          <w:tcPr>
            <w:tcW w:type="dxa" w:w="878"/>
          </w:tcPr>
          <w:p>
            <w:pPr>
              <w:spacing w:after="40"/>
              <w:jc w:val="right"/>
            </w:pPr>
            <w:r>
              <w:rPr>
                <w:b w:val="0"/>
                <w:sz w:val="15"/>
              </w:rPr>
              <w:t>(1,500)</w:t>
            </w:r>
          </w:p>
        </w:tc>
        <w:tc>
          <w:tcPr>
            <w:tcW w:type="dxa" w:w="878"/>
          </w:tcPr>
          <w:p>
            <w:pPr>
              <w:spacing w:after="40"/>
              <w:jc w:val="right"/>
            </w:pPr>
            <w:r>
              <w:rPr>
                <w:b w:val="0"/>
                <w:sz w:val="15"/>
              </w:rPr>
              <w:t>(2,200)</w:t>
            </w:r>
          </w:p>
        </w:tc>
        <w:tc>
          <w:tcPr>
            <w:tcW w:type="dxa" w:w="878"/>
          </w:tcPr>
          <w:p>
            <w:pPr>
              <w:spacing w:after="40"/>
              <w:jc w:val="right"/>
            </w:pPr>
            <w:r>
              <w:rPr>
                <w:b w:val="0"/>
                <w:sz w:val="15"/>
              </w:rPr>
              <w:t>(2,600)</w:t>
            </w:r>
          </w:p>
        </w:tc>
        <w:tc>
          <w:tcPr>
            <w:tcW w:type="dxa" w:w="878"/>
          </w:tcPr>
          <w:p>
            <w:pPr>
              <w:spacing w:after="40"/>
              <w:jc w:val="right"/>
            </w:pPr>
            <w:r>
              <w:rPr>
                <w:b w:val="0"/>
                <w:sz w:val="15"/>
              </w:rPr>
              <w:t>(2,800)</w:t>
            </w:r>
          </w:p>
        </w:tc>
        <w:tc>
          <w:tcPr>
            <w:tcW w:type="dxa" w:w="878"/>
          </w:tcPr>
          <w:p>
            <w:pPr>
              <w:spacing w:after="40"/>
              <w:jc w:val="right"/>
            </w:pPr>
            <w:r>
              <w:rPr>
                <w:b w:val="0"/>
                <w:sz w:val="15"/>
              </w:rPr>
              <w:t>(3,000)</w:t>
            </w:r>
          </w:p>
        </w:tc>
        <w:tc>
          <w:tcPr>
            <w:tcW w:type="dxa" w:w="878"/>
          </w:tcPr>
          <w:p>
            <w:pPr>
              <w:spacing w:after="40"/>
              <w:jc w:val="right"/>
            </w:pPr>
            <w:r>
              <w:rPr>
                <w:b w:val="0"/>
                <w:sz w:val="15"/>
              </w:rPr>
              <w:t>(3,200)</w:t>
            </w:r>
          </w:p>
        </w:tc>
      </w:tr>
      <w:tr>
        <w:tc>
          <w:tcPr>
            <w:tcW w:type="dxa" w:w="2160"/>
          </w:tcPr>
          <w:p>
            <w:pPr>
              <w:spacing w:after="40"/>
            </w:pPr>
            <w:r>
              <w:rPr>
                <w:b w:val="0"/>
                <w:sz w:val="15"/>
              </w:rPr>
              <w:t>Free cash flow</w:t>
            </w:r>
          </w:p>
        </w:tc>
        <w:tc>
          <w:tcPr>
            <w:tcW w:type="dxa" w:w="878"/>
          </w:tcPr>
          <w:p>
            <w:pPr>
              <w:spacing w:after="40"/>
              <w:jc w:val="right"/>
            </w:pPr>
            <w:r>
              <w:rPr>
                <w:b w:val="0"/>
                <w:sz w:val="15"/>
              </w:rPr>
              <w:t>2,942</w:t>
            </w:r>
          </w:p>
        </w:tc>
        <w:tc>
          <w:tcPr>
            <w:tcW w:type="dxa" w:w="878"/>
          </w:tcPr>
          <w:p>
            <w:pPr>
              <w:spacing w:after="40"/>
              <w:jc w:val="right"/>
            </w:pPr>
            <w:r>
              <w:rPr>
                <w:b w:val="0"/>
                <w:sz w:val="15"/>
              </w:rPr>
              <w:t>7,824</w:t>
            </w:r>
          </w:p>
        </w:tc>
        <w:tc>
          <w:tcPr>
            <w:tcW w:type="dxa" w:w="878"/>
          </w:tcPr>
          <w:p>
            <w:pPr>
              <w:spacing w:after="40"/>
              <w:jc w:val="right"/>
            </w:pPr>
            <w:r>
              <w:rPr>
                <w:b w:val="0"/>
                <w:sz w:val="15"/>
              </w:rPr>
              <w:t>8,610</w:t>
            </w:r>
          </w:p>
        </w:tc>
        <w:tc>
          <w:tcPr>
            <w:tcW w:type="dxa" w:w="878"/>
          </w:tcPr>
          <w:p>
            <w:pPr>
              <w:spacing w:after="40"/>
              <w:jc w:val="right"/>
            </w:pPr>
            <w:r>
              <w:rPr>
                <w:b w:val="0"/>
                <w:sz w:val="15"/>
              </w:rPr>
              <w:t>12,017</w:t>
            </w:r>
          </w:p>
        </w:tc>
        <w:tc>
          <w:tcPr>
            <w:tcW w:type="dxa" w:w="878"/>
          </w:tcPr>
          <w:p>
            <w:pPr>
              <w:spacing w:after="40"/>
              <w:jc w:val="right"/>
            </w:pPr>
            <w:r>
              <w:rPr>
                <w:b w:val="0"/>
                <w:sz w:val="15"/>
              </w:rPr>
              <w:t>10,147</w:t>
            </w:r>
          </w:p>
        </w:tc>
        <w:tc>
          <w:tcPr>
            <w:tcW w:type="dxa" w:w="878"/>
          </w:tcPr>
          <w:p>
            <w:pPr>
              <w:spacing w:after="40"/>
              <w:jc w:val="right"/>
            </w:pPr>
            <w:r>
              <w:rPr>
                <w:b w:val="0"/>
                <w:sz w:val="15"/>
              </w:rPr>
              <w:t>10,629</w:t>
            </w:r>
          </w:p>
        </w:tc>
        <w:tc>
          <w:tcPr>
            <w:tcW w:type="dxa" w:w="878"/>
          </w:tcPr>
          <w:p>
            <w:pPr>
              <w:spacing w:after="40"/>
              <w:jc w:val="right"/>
            </w:pPr>
            <w:r>
              <w:rPr>
                <w:b w:val="0"/>
                <w:sz w:val="15"/>
              </w:rPr>
              <w:t>11,717</w:t>
            </w:r>
          </w:p>
        </w:tc>
        <w:tc>
          <w:tcPr>
            <w:tcW w:type="dxa" w:w="878"/>
          </w:tcPr>
          <w:p>
            <w:pPr>
              <w:spacing w:after="40"/>
              <w:jc w:val="right"/>
            </w:pPr>
            <w:r>
              <w:rPr>
                <w:b w:val="0"/>
                <w:sz w:val="15"/>
              </w:rPr>
              <w:t>12,734</w:t>
            </w:r>
          </w:p>
        </w:tc>
        <w:tc>
          <w:tcPr>
            <w:tcW w:type="dxa" w:w="878"/>
          </w:tcPr>
          <w:p>
            <w:pPr>
              <w:spacing w:after="40"/>
              <w:jc w:val="right"/>
            </w:pPr>
            <w:r>
              <w:rPr>
                <w:b w:val="0"/>
                <w:sz w:val="15"/>
              </w:rPr>
              <w:t>13,871</w:t>
            </w:r>
          </w:p>
        </w:tc>
      </w:tr>
      <w:tr>
        <w:tc>
          <w:tcPr>
            <w:tcW w:type="dxa" w:w="2160"/>
          </w:tcPr>
          <w:p>
            <w:pPr>
              <w:spacing w:after="40"/>
            </w:pPr>
            <w:r>
              <w:rPr>
                <w:b w:val="0"/>
                <w:sz w:val="15"/>
              </w:rPr>
              <w:t>Other / FX (plug)</w:t>
            </w:r>
          </w:p>
        </w:tc>
        <w:tc>
          <w:tcPr>
            <w:tcW w:type="dxa" w:w="878"/>
          </w:tcPr>
          <w:p>
            <w:pPr>
              <w:spacing w:after="40"/>
              <w:jc w:val="right"/>
            </w:pPr>
            <w:r>
              <w:rPr>
                <w:b w:val="0"/>
                <w:sz w:val="15"/>
              </w:rPr>
              <w:t>(1,200)</w:t>
            </w:r>
          </w:p>
        </w:tc>
        <w:tc>
          <w:tcPr>
            <w:tcW w:type="dxa" w:w="878"/>
          </w:tcPr>
          <w:p>
            <w:pPr>
              <w:spacing w:after="40"/>
              <w:jc w:val="right"/>
            </w:pPr>
            <w:r>
              <w:rPr>
                <w:b w:val="0"/>
                <w:sz w:val="15"/>
              </w:rPr>
              <w:t>(3,316)</w:t>
            </w:r>
          </w:p>
        </w:tc>
        <w:tc>
          <w:tcPr>
            <w:tcW w:type="dxa" w:w="878"/>
          </w:tcPr>
          <w:p>
            <w:pPr>
              <w:spacing w:after="40"/>
              <w:jc w:val="right"/>
            </w:pPr>
            <w:r>
              <w:rPr>
                <w:b w:val="0"/>
                <w:sz w:val="15"/>
              </w:rPr>
              <w:t>(2,030)</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c>
          <w:tcPr>
            <w:tcW w:type="dxa" w:w="878"/>
          </w:tcPr>
          <w:p>
            <w:pPr>
              <w:spacing w:after="40"/>
              <w:jc w:val="right"/>
            </w:pPr>
            <w:r>
              <w:rPr>
                <w:b w:val="0"/>
                <w:sz w:val="15"/>
              </w:rPr>
              <w:t>0</w:t>
            </w:r>
          </w:p>
        </w:tc>
      </w:tr>
      <w:tr>
        <w:tc>
          <w:tcPr>
            <w:tcW w:type="dxa" w:w="2160"/>
          </w:tcPr>
          <w:p>
            <w:pPr>
              <w:spacing w:after="40"/>
            </w:pPr>
            <w:r>
              <w:rPr>
                <w:b w:val="0"/>
                <w:sz w:val="15"/>
              </w:rPr>
              <w:t>Dividends paid</w:t>
            </w:r>
          </w:p>
        </w:tc>
        <w:tc>
          <w:tcPr>
            <w:tcW w:type="dxa" w:w="878"/>
          </w:tcPr>
          <w:p>
            <w:pPr>
              <w:spacing w:after="40"/>
              <w:jc w:val="right"/>
            </w:pPr>
            <w:r>
              <w:rPr>
                <w:b w:val="0"/>
                <w:sz w:val="15"/>
              </w:rPr>
              <w:t>(1,030)</w:t>
            </w:r>
          </w:p>
        </w:tc>
        <w:tc>
          <w:tcPr>
            <w:tcW w:type="dxa" w:w="878"/>
          </w:tcPr>
          <w:p>
            <w:pPr>
              <w:spacing w:after="40"/>
              <w:jc w:val="right"/>
            </w:pPr>
            <w:r>
              <w:rPr>
                <w:b w:val="0"/>
                <w:sz w:val="15"/>
              </w:rPr>
              <w:t>(1,238)</w:t>
            </w:r>
          </w:p>
        </w:tc>
        <w:tc>
          <w:tcPr>
            <w:tcW w:type="dxa" w:w="878"/>
          </w:tcPr>
          <w:p>
            <w:pPr>
              <w:spacing w:after="40"/>
              <w:jc w:val="right"/>
            </w:pPr>
            <w:r>
              <w:rPr>
                <w:b w:val="0"/>
                <w:sz w:val="15"/>
              </w:rPr>
              <w:t>(3,300)</w:t>
            </w:r>
          </w:p>
        </w:tc>
        <w:tc>
          <w:tcPr>
            <w:tcW w:type="dxa" w:w="878"/>
          </w:tcPr>
          <w:p>
            <w:pPr>
              <w:spacing w:after="40"/>
              <w:jc w:val="right"/>
            </w:pPr>
            <w:r>
              <w:rPr>
                <w:b w:val="0"/>
                <w:sz w:val="15"/>
              </w:rPr>
              <w:t>(4,125)</w:t>
            </w:r>
          </w:p>
        </w:tc>
        <w:tc>
          <w:tcPr>
            <w:tcW w:type="dxa" w:w="878"/>
          </w:tcPr>
          <w:p>
            <w:pPr>
              <w:spacing w:after="40"/>
              <w:jc w:val="right"/>
            </w:pPr>
            <w:r>
              <w:rPr>
                <w:b w:val="0"/>
                <w:sz w:val="15"/>
              </w:rPr>
              <w:t>(6,030)</w:t>
            </w:r>
          </w:p>
        </w:tc>
        <w:tc>
          <w:tcPr>
            <w:tcW w:type="dxa" w:w="878"/>
          </w:tcPr>
          <w:p>
            <w:pPr>
              <w:spacing w:after="40"/>
              <w:jc w:val="right"/>
            </w:pPr>
            <w:r>
              <w:rPr>
                <w:b w:val="0"/>
                <w:sz w:val="15"/>
              </w:rPr>
              <w:t>(5,312)</w:t>
            </w:r>
          </w:p>
        </w:tc>
        <w:tc>
          <w:tcPr>
            <w:tcW w:type="dxa" w:w="878"/>
          </w:tcPr>
          <w:p>
            <w:pPr>
              <w:spacing w:after="40"/>
              <w:jc w:val="right"/>
            </w:pPr>
            <w:r>
              <w:rPr>
                <w:b w:val="0"/>
                <w:sz w:val="15"/>
              </w:rPr>
              <w:t>(5,740)</w:t>
            </w:r>
          </w:p>
        </w:tc>
        <w:tc>
          <w:tcPr>
            <w:tcW w:type="dxa" w:w="878"/>
          </w:tcPr>
          <w:p>
            <w:pPr>
              <w:spacing w:after="40"/>
              <w:jc w:val="right"/>
            </w:pPr>
            <w:r>
              <w:rPr>
                <w:b w:val="0"/>
                <w:sz w:val="15"/>
              </w:rPr>
              <w:t>(6,283)</w:t>
            </w:r>
          </w:p>
        </w:tc>
        <w:tc>
          <w:tcPr>
            <w:tcW w:type="dxa" w:w="878"/>
          </w:tcPr>
          <w:p>
            <w:pPr>
              <w:spacing w:after="40"/>
              <w:jc w:val="right"/>
            </w:pPr>
            <w:r>
              <w:rPr>
                <w:b w:val="0"/>
                <w:sz w:val="15"/>
              </w:rPr>
              <w:t>(6,817)</w:t>
            </w:r>
          </w:p>
        </w:tc>
      </w:tr>
      <w:tr>
        <w:tc>
          <w:tcPr>
            <w:tcW w:type="dxa" w:w="2160"/>
          </w:tcPr>
          <w:p>
            <w:pPr>
              <w:spacing w:after="40"/>
            </w:pPr>
            <w:r>
              <w:rPr>
                <w:b w:val="0"/>
                <w:sz w:val="15"/>
              </w:rPr>
              <w:t>Net change in cash</w:t>
            </w:r>
          </w:p>
        </w:tc>
        <w:tc>
          <w:tcPr>
            <w:tcW w:type="dxa" w:w="878"/>
          </w:tcPr>
          <w:p>
            <w:pPr>
              <w:spacing w:after="40"/>
              <w:jc w:val="right"/>
            </w:pPr>
            <w:r>
              <w:rPr>
                <w:b w:val="0"/>
                <w:sz w:val="15"/>
              </w:rPr>
              <w:t>712</w:t>
            </w:r>
          </w:p>
        </w:tc>
        <w:tc>
          <w:tcPr>
            <w:tcW w:type="dxa" w:w="878"/>
          </w:tcPr>
          <w:p>
            <w:pPr>
              <w:spacing w:after="40"/>
              <w:jc w:val="right"/>
            </w:pPr>
            <w:r>
              <w:rPr>
                <w:b w:val="0"/>
                <w:sz w:val="15"/>
              </w:rPr>
              <w:t>3,270</w:t>
            </w:r>
          </w:p>
        </w:tc>
        <w:tc>
          <w:tcPr>
            <w:tcW w:type="dxa" w:w="878"/>
          </w:tcPr>
          <w:p>
            <w:pPr>
              <w:spacing w:after="40"/>
              <w:jc w:val="right"/>
            </w:pPr>
            <w:r>
              <w:rPr>
                <w:b w:val="0"/>
                <w:sz w:val="15"/>
              </w:rPr>
              <w:t>3,280</w:t>
            </w:r>
          </w:p>
        </w:tc>
        <w:tc>
          <w:tcPr>
            <w:tcW w:type="dxa" w:w="878"/>
          </w:tcPr>
          <w:p>
            <w:pPr>
              <w:spacing w:after="40"/>
              <w:jc w:val="right"/>
            </w:pPr>
            <w:r>
              <w:rPr>
                <w:b w:val="0"/>
                <w:sz w:val="15"/>
              </w:rPr>
              <w:t>7,892</w:t>
            </w:r>
          </w:p>
        </w:tc>
        <w:tc>
          <w:tcPr>
            <w:tcW w:type="dxa" w:w="878"/>
          </w:tcPr>
          <w:p>
            <w:pPr>
              <w:spacing w:after="40"/>
              <w:jc w:val="right"/>
            </w:pPr>
            <w:r>
              <w:rPr>
                <w:b w:val="0"/>
                <w:sz w:val="15"/>
              </w:rPr>
              <w:t>4,117</w:t>
            </w:r>
          </w:p>
        </w:tc>
        <w:tc>
          <w:tcPr>
            <w:tcW w:type="dxa" w:w="878"/>
          </w:tcPr>
          <w:p>
            <w:pPr>
              <w:spacing w:after="40"/>
              <w:jc w:val="right"/>
            </w:pPr>
            <w:r>
              <w:rPr>
                <w:b w:val="0"/>
                <w:sz w:val="15"/>
              </w:rPr>
              <w:t>5,317</w:t>
            </w:r>
          </w:p>
        </w:tc>
        <w:tc>
          <w:tcPr>
            <w:tcW w:type="dxa" w:w="878"/>
          </w:tcPr>
          <w:p>
            <w:pPr>
              <w:spacing w:after="40"/>
              <w:jc w:val="right"/>
            </w:pPr>
            <w:r>
              <w:rPr>
                <w:b w:val="0"/>
                <w:sz w:val="15"/>
              </w:rPr>
              <w:t>5,977</w:t>
            </w:r>
          </w:p>
        </w:tc>
        <w:tc>
          <w:tcPr>
            <w:tcW w:type="dxa" w:w="878"/>
          </w:tcPr>
          <w:p>
            <w:pPr>
              <w:spacing w:after="40"/>
              <w:jc w:val="right"/>
            </w:pPr>
            <w:r>
              <w:rPr>
                <w:b w:val="0"/>
                <w:sz w:val="15"/>
              </w:rPr>
              <w:t>6,451</w:t>
            </w:r>
          </w:p>
        </w:tc>
        <w:tc>
          <w:tcPr>
            <w:tcW w:type="dxa" w:w="878"/>
          </w:tcPr>
          <w:p>
            <w:pPr>
              <w:spacing w:after="40"/>
              <w:jc w:val="right"/>
            </w:pPr>
            <w:r>
              <w:rPr>
                <w:b w:val="0"/>
                <w:sz w:val="15"/>
              </w:rPr>
              <w:t>7,054</w:t>
            </w:r>
          </w:p>
        </w:tc>
      </w:tr>
      <w:tr>
        <w:tc>
          <w:tcPr>
            <w:tcW w:type="dxa" w:w="2160"/>
          </w:tcPr>
          <w:p>
            <w:pPr>
              <w:spacing w:after="40"/>
            </w:pPr>
            <w:r>
              <w:rPr>
                <w:b w:val="0"/>
                <w:sz w:val="15"/>
              </w:rPr>
              <w:t>Closing cash</w:t>
            </w:r>
          </w:p>
        </w:tc>
        <w:tc>
          <w:tcPr>
            <w:tcW w:type="dxa" w:w="878"/>
          </w:tcPr>
          <w:p>
            <w:pPr>
              <w:spacing w:after="40"/>
              <w:jc w:val="right"/>
            </w:pPr>
            <w:r>
              <w:rPr>
                <w:b w:val="0"/>
                <w:sz w:val="15"/>
              </w:rPr>
              <w:t>3,050</w:t>
            </w:r>
          </w:p>
        </w:tc>
        <w:tc>
          <w:tcPr>
            <w:tcW w:type="dxa" w:w="878"/>
          </w:tcPr>
          <w:p>
            <w:pPr>
              <w:spacing w:after="40"/>
              <w:jc w:val="right"/>
            </w:pPr>
            <w:r>
              <w:rPr>
                <w:b w:val="0"/>
                <w:sz w:val="15"/>
              </w:rPr>
              <w:t>6,320</w:t>
            </w:r>
          </w:p>
        </w:tc>
        <w:tc>
          <w:tcPr>
            <w:tcW w:type="dxa" w:w="878"/>
          </w:tcPr>
          <w:p>
            <w:pPr>
              <w:spacing w:after="40"/>
              <w:jc w:val="right"/>
            </w:pPr>
            <w:r>
              <w:rPr>
                <w:b w:val="0"/>
                <w:sz w:val="15"/>
              </w:rPr>
              <w:t>9,600</w:t>
            </w:r>
          </w:p>
        </w:tc>
        <w:tc>
          <w:tcPr>
            <w:tcW w:type="dxa" w:w="878"/>
          </w:tcPr>
          <w:p>
            <w:pPr>
              <w:spacing w:after="40"/>
              <w:jc w:val="right"/>
            </w:pPr>
            <w:r>
              <w:rPr>
                <w:b w:val="0"/>
                <w:sz w:val="15"/>
              </w:rPr>
              <w:t>17,492</w:t>
            </w:r>
          </w:p>
        </w:tc>
        <w:tc>
          <w:tcPr>
            <w:tcW w:type="dxa" w:w="878"/>
          </w:tcPr>
          <w:p>
            <w:pPr>
              <w:spacing w:after="40"/>
              <w:jc w:val="right"/>
            </w:pPr>
            <w:r>
              <w:rPr>
                <w:b w:val="0"/>
                <w:sz w:val="15"/>
              </w:rPr>
              <w:t>21,608</w:t>
            </w:r>
          </w:p>
        </w:tc>
        <w:tc>
          <w:tcPr>
            <w:tcW w:type="dxa" w:w="878"/>
          </w:tcPr>
          <w:p>
            <w:pPr>
              <w:spacing w:after="40"/>
              <w:jc w:val="right"/>
            </w:pPr>
            <w:r>
              <w:rPr>
                <w:b w:val="0"/>
                <w:sz w:val="15"/>
              </w:rPr>
              <w:t>26,925</w:t>
            </w:r>
          </w:p>
        </w:tc>
        <w:tc>
          <w:tcPr>
            <w:tcW w:type="dxa" w:w="878"/>
          </w:tcPr>
          <w:p>
            <w:pPr>
              <w:spacing w:after="40"/>
              <w:jc w:val="right"/>
            </w:pPr>
            <w:r>
              <w:rPr>
                <w:b w:val="0"/>
                <w:sz w:val="15"/>
              </w:rPr>
              <w:t>32,902</w:t>
            </w:r>
          </w:p>
        </w:tc>
        <w:tc>
          <w:tcPr>
            <w:tcW w:type="dxa" w:w="878"/>
          </w:tcPr>
          <w:p>
            <w:pPr>
              <w:spacing w:after="40"/>
              <w:jc w:val="right"/>
            </w:pPr>
            <w:r>
              <w:rPr>
                <w:b w:val="0"/>
                <w:sz w:val="15"/>
              </w:rPr>
              <w:t>39,353</w:t>
            </w:r>
          </w:p>
        </w:tc>
        <w:tc>
          <w:tcPr>
            <w:tcW w:type="dxa" w:w="878"/>
          </w:tcPr>
          <w:p>
            <w:pPr>
              <w:spacing w:after="40"/>
              <w:jc w:val="right"/>
            </w:pPr>
            <w:r>
              <w:rPr>
                <w:b w:val="0"/>
                <w:sz w:val="15"/>
              </w:rPr>
              <w:t>46,406</w:t>
            </w:r>
          </w:p>
        </w:tc>
      </w:tr>
    </w:tbl>
    <w:p>
      <w:pPr>
        <w:spacing w:after="40"/>
      </w:pPr>
    </w:p>
    <w:p>
      <w:pPr>
        <w:spacing w:after="160"/>
      </w:pPr>
      <w:r>
        <w:rPr>
          <w:b w:val="0"/>
          <w:i/>
          <w:sz w:val="17"/>
        </w:rPr>
        <w:t>Dividend record: DPS EGP 2.50 (FY22/23) · 3.00 (FY23/24) · 8.00 paid during FY24/25 · 10.00 declared for FY24/25 (assumed paid F26E); forecast payout 45% of prior-year NP. The historical Other/FX plug reconciles derived flows to cash anchors.</w:t>
      </w:r>
    </w:p>
    <w:p>
      <w:pPr>
        <w:pStyle w:val="Heading1"/>
      </w:pPr>
      <w:r>
        <w:t>Appendix B  Step 0 — calibration backtest</w:t>
      </w:r>
    </w:p>
    <w:p>
      <w:pPr>
        <w:spacing w:after="120"/>
      </w:pPr>
      <w:r>
        <w:rPr>
          <w:b w:val="0"/>
          <w:i w:val="0"/>
          <w:sz w:val="19"/>
        </w:rPr>
        <w:t xml:space="preserve">Before any forecast we kill-test the engine on EGAL's own five-and-a-half years: at 17 non-overlapping quarterly origins, using only data up to each date, the engine issues a 60-session-ahead distribution which is then scored against the realized close. </w:t>
      </w:r>
      <w:r>
        <w:rPr>
          <w:b/>
          <w:i w:val="0"/>
          <w:sz w:val="19"/>
        </w:rPr>
        <w:t>The grade is skill versus a naïve benchmark</w:t>
      </w:r>
      <w:r>
        <w:rPr>
          <w:b w:val="0"/>
          <w:i w:val="0"/>
          <w:sz w:val="19"/>
        </w:rPr>
        <w:t xml:space="preserve"> — a zero-drift random-walk lognormal cone on the trailing 252-day vol — measured by CRPS skill (must exceed 0) and the Winkler 90% interval score; the PIT histogram and coverage table are diagnostics only, since raw hit-rates reward width. Two drift configurations were raced. </w:t>
      </w:r>
      <w:r>
        <w:rPr>
          <w:b/>
          <w:i w:val="0"/>
          <w:sz w:val="19"/>
        </w:rPr>
        <w:t>Zero drift fails</w:t>
      </w:r>
      <w:r>
        <w:rPr>
          <w:b w:val="0"/>
          <w:i w:val="0"/>
          <w:sz w:val="19"/>
        </w:rPr>
        <w:t xml:space="preserve">: CRPS skill −0.083, with the PIT piling into the top bins (mean 0.74; chi-square(4) p≈0.004) as the realized price kept escaping the cone's upper half — EGAL does not behave like the international/metals zero-drift class. </w:t>
      </w:r>
      <w:r>
        <w:rPr>
          <w:b/>
          <w:i w:val="0"/>
          <w:sz w:val="19"/>
        </w:rPr>
        <w:t>Secular drift passes</w:t>
      </w:r>
      <w:r>
        <w:rPr>
          <w:b w:val="0"/>
          <w:i w:val="0"/>
          <w:sz w:val="19"/>
        </w:rPr>
        <w:t xml:space="preserve">: the expanding mean of the name's own daily log-returns lifts CRPS skill to </w:t>
      </w:r>
      <w:r>
        <w:rPr>
          <w:b/>
          <w:i w:val="0"/>
          <w:sz w:val="19"/>
        </w:rPr>
        <w:t>+0.151</w:t>
      </w:r>
      <w:r>
        <w:rPr>
          <w:b w:val="0"/>
          <w:i w:val="0"/>
          <w:sz w:val="19"/>
        </w:rPr>
        <w:t xml:space="preserve">, the PIT to a statistically uniform shape (mean 0.59; bins 1/4/3/2/7, chi-square(4)=6.2, p≈0.18), and coverage to 41/88/94% against 50/80/90 targets. The Winkler skill prints marginally negative (−0.05), driven almost entirely by the March-2022 crash origin where both cones missed low but the benchmark's fatter trailing vol paid less penalty; we disclose rather than tune it. </w:t>
      </w:r>
      <w:r>
        <w:rPr>
          <w:b/>
          <w:i w:val="0"/>
          <w:sz w:val="19"/>
        </w:rPr>
        <w:t>EGAL is therefore classified into the EGX secular-drift class alongside the developers</w:t>
      </w:r>
      <w:r>
        <w:rPr>
          <w:b w:val="0"/>
          <w:i w:val="0"/>
          <w:sz w:val="19"/>
        </w:rPr>
        <w:t xml:space="preserve"> — the first industrial admitted — and that configuration, and only that configuration, carries into §3.</w:t>
      </w:r>
    </w:p>
    <w:p>
      <w:pPr>
        <w:jc w:val="center"/>
      </w:pPr>
      <w:r>
        <w:drawing>
          <wp:inline xmlns:a="http://schemas.openxmlformats.org/drawingml/2006/main" xmlns:pic="http://schemas.openxmlformats.org/drawingml/2006/picture">
            <wp:extent cx="5852160" cy="1710631"/>
            <wp:docPr id="7" name="Picture 7"/>
            <wp:cNvGraphicFramePr>
              <a:graphicFrameLocks noChangeAspect="1"/>
            </wp:cNvGraphicFramePr>
            <a:graphic>
              <a:graphicData uri="http://schemas.openxmlformats.org/drawingml/2006/picture">
                <pic:pic>
                  <pic:nvPicPr>
                    <pic:cNvPr id="0" name="fig_B1_calibration.png"/>
                    <pic:cNvPicPr/>
                  </pic:nvPicPr>
                  <pic:blipFill>
                    <a:blip r:embed="rId15"/>
                    <a:stretch>
                      <a:fillRect/>
                    </a:stretch>
                  </pic:blipFill>
                  <pic:spPr>
                    <a:xfrm>
                      <a:off x="0" y="0"/>
                      <a:ext cx="5852160" cy="1710631"/>
                    </a:xfrm>
                    <a:prstGeom prst="rect"/>
                  </pic:spPr>
                </pic:pic>
              </a:graphicData>
            </a:graphic>
          </wp:inline>
        </w:drawing>
      </w:r>
    </w:p>
    <w:p>
      <w:pPr>
        <w:spacing w:after="160"/>
      </w:pPr>
      <w:r>
        <w:rPr>
          <w:b w:val="0"/>
          <w:i/>
          <w:sz w:val="17"/>
        </w:rPr>
        <w:t>Figure B-1 — Calibration backtest: quarterly cone replay (log scale), PIT histogram, and interval coverage versus target.</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1399"/>
        <w:gridCol w:w="1399"/>
        <w:gridCol w:w="1399"/>
        <w:gridCol w:w="1399"/>
        <w:gridCol w:w="1399"/>
        <w:gridCol w:w="1399"/>
        <w:gridCol w:w="1399"/>
      </w:tblGrid>
      <w:tr>
        <w:tc>
          <w:tcPr>
            <w:tcW w:type="dxa" w:w="3456"/>
            <w:shd w:val="clear" w:fill="1C3A36"/>
          </w:tcPr>
          <w:p>
            <w:pPr>
              <w:spacing w:after="40"/>
            </w:pPr>
            <w:r>
              <w:rPr>
                <w:b/>
                <w:color w:val="FFFFFF"/>
                <w:sz w:val="16"/>
              </w:rPr>
              <w:t>Configuration</w:t>
            </w:r>
          </w:p>
        </w:tc>
        <w:tc>
          <w:tcPr>
            <w:tcW w:type="dxa" w:w="720"/>
            <w:shd w:val="clear" w:fill="1C3A36"/>
          </w:tcPr>
          <w:p>
            <w:pPr>
              <w:spacing w:after="40"/>
            </w:pPr>
            <w:r>
              <w:rPr>
                <w:b/>
                <w:color w:val="FFFFFF"/>
                <w:sz w:val="16"/>
              </w:rPr>
              <w:t>n</w:t>
            </w:r>
          </w:p>
        </w:tc>
        <w:tc>
          <w:tcPr>
            <w:tcW w:type="dxa" w:w="1368"/>
            <w:shd w:val="clear" w:fill="1C3A36"/>
          </w:tcPr>
          <w:p>
            <w:pPr>
              <w:spacing w:after="40"/>
            </w:pPr>
            <w:r>
              <w:rPr>
                <w:b/>
                <w:color w:val="FFFFFF"/>
                <w:sz w:val="16"/>
              </w:rPr>
              <w:t>CRPS skill</w:t>
            </w:r>
          </w:p>
        </w:tc>
        <w:tc>
          <w:tcPr>
            <w:tcW w:type="dxa" w:w="1656"/>
            <w:shd w:val="clear" w:fill="1C3A36"/>
          </w:tcPr>
          <w:p>
            <w:pPr>
              <w:spacing w:after="40"/>
            </w:pPr>
            <w:r>
              <w:rPr>
                <w:b/>
                <w:color w:val="FFFFFF"/>
                <w:sz w:val="16"/>
              </w:rPr>
              <w:t>Winkler skill (90%)</w:t>
            </w:r>
          </w:p>
        </w:tc>
        <w:tc>
          <w:tcPr>
            <w:tcW w:type="dxa" w:w="1728"/>
            <w:shd w:val="clear" w:fill="1C3A36"/>
          </w:tcPr>
          <w:p>
            <w:pPr>
              <w:spacing w:after="40"/>
            </w:pPr>
            <w:r>
              <w:rPr>
                <w:b/>
                <w:color w:val="FFFFFF"/>
                <w:sz w:val="16"/>
              </w:rPr>
              <w:t>Cov 50/80/90</w:t>
            </w:r>
          </w:p>
        </w:tc>
        <w:tc>
          <w:tcPr>
            <w:tcW w:type="dxa" w:w="1152"/>
            <w:shd w:val="clear" w:fill="1C3A36"/>
          </w:tcPr>
          <w:p>
            <w:pPr>
              <w:spacing w:after="40"/>
            </w:pPr>
            <w:r>
              <w:rPr>
                <w:b/>
                <w:color w:val="FFFFFF"/>
                <w:sz w:val="16"/>
              </w:rPr>
              <w:t>PIT mean</w:t>
            </w:r>
          </w:p>
        </w:tc>
        <w:tc>
          <w:tcPr>
            <w:tcW w:type="dxa" w:w="1008"/>
            <w:shd w:val="clear" w:fill="1C3A36"/>
          </w:tcPr>
          <w:p>
            <w:pPr>
              <w:spacing w:after="40"/>
            </w:pPr>
            <w:r>
              <w:rPr>
                <w:b/>
                <w:color w:val="FFFFFF"/>
                <w:sz w:val="16"/>
              </w:rPr>
              <w:t>Grade</w:t>
            </w:r>
          </w:p>
        </w:tc>
      </w:tr>
      <w:tr>
        <w:tc>
          <w:tcPr>
            <w:tcW w:type="dxa" w:w="3456"/>
          </w:tcPr>
          <w:p>
            <w:pPr>
              <w:spacing w:after="40"/>
            </w:pPr>
            <w:r>
              <w:rPr>
                <w:b w:val="0"/>
                <w:sz w:val="16"/>
              </w:rPr>
              <w:t>Zero drift (international/metals class)</w:t>
            </w:r>
          </w:p>
        </w:tc>
        <w:tc>
          <w:tcPr>
            <w:tcW w:type="dxa" w:w="720"/>
          </w:tcPr>
          <w:p>
            <w:pPr>
              <w:spacing w:after="40"/>
              <w:jc w:val="right"/>
            </w:pPr>
            <w:r>
              <w:rPr>
                <w:b w:val="0"/>
                <w:sz w:val="16"/>
              </w:rPr>
              <w:t>17</w:t>
            </w:r>
          </w:p>
        </w:tc>
        <w:tc>
          <w:tcPr>
            <w:tcW w:type="dxa" w:w="1368"/>
          </w:tcPr>
          <w:p>
            <w:pPr>
              <w:spacing w:after="40"/>
              <w:jc w:val="right"/>
            </w:pPr>
            <w:r>
              <w:rPr>
                <w:b w:val="0"/>
                <w:sz w:val="16"/>
              </w:rPr>
              <w:t>−0.083</w:t>
            </w:r>
          </w:p>
        </w:tc>
        <w:tc>
          <w:tcPr>
            <w:tcW w:type="dxa" w:w="1656"/>
          </w:tcPr>
          <w:p>
            <w:pPr>
              <w:spacing w:after="40"/>
              <w:jc w:val="right"/>
            </w:pPr>
            <w:r>
              <w:rPr>
                <w:b w:val="0"/>
                <w:sz w:val="16"/>
              </w:rPr>
              <w:t>−0.042</w:t>
            </w:r>
          </w:p>
        </w:tc>
        <w:tc>
          <w:tcPr>
            <w:tcW w:type="dxa" w:w="1728"/>
          </w:tcPr>
          <w:p>
            <w:pPr>
              <w:spacing w:after="40"/>
              <w:jc w:val="right"/>
            </w:pPr>
            <w:r>
              <w:rPr>
                <w:b w:val="0"/>
                <w:sz w:val="16"/>
              </w:rPr>
              <w:t>41 / 53 / 94%</w:t>
            </w:r>
          </w:p>
        </w:tc>
        <w:tc>
          <w:tcPr>
            <w:tcW w:type="dxa" w:w="1152"/>
          </w:tcPr>
          <w:p>
            <w:pPr>
              <w:spacing w:after="40"/>
              <w:jc w:val="right"/>
            </w:pPr>
            <w:r>
              <w:rPr>
                <w:b w:val="0"/>
                <w:sz w:val="16"/>
              </w:rPr>
              <w:t>0.74</w:t>
            </w:r>
          </w:p>
        </w:tc>
        <w:tc>
          <w:tcPr>
            <w:tcW w:type="dxa" w:w="1008"/>
          </w:tcPr>
          <w:p>
            <w:pPr>
              <w:spacing w:after="40"/>
            </w:pPr>
            <w:r>
              <w:rPr>
                <w:b w:val="0"/>
                <w:sz w:val="16"/>
              </w:rPr>
              <w:t>FAIL</w:t>
            </w:r>
          </w:p>
        </w:tc>
      </w:tr>
      <w:tr>
        <w:tc>
          <w:tcPr>
            <w:tcW w:type="dxa" w:w="3456"/>
          </w:tcPr>
          <w:p>
            <w:pPr>
              <w:spacing w:after="40"/>
            </w:pPr>
            <w:r>
              <w:rPr>
                <w:b/>
                <w:sz w:val="16"/>
              </w:rPr>
              <w:t>Secular drift (EGX class) — adopted</w:t>
            </w:r>
          </w:p>
        </w:tc>
        <w:tc>
          <w:tcPr>
            <w:tcW w:type="dxa" w:w="720"/>
          </w:tcPr>
          <w:p>
            <w:pPr>
              <w:spacing w:after="40"/>
              <w:jc w:val="right"/>
            </w:pPr>
            <w:r>
              <w:rPr>
                <w:b/>
                <w:sz w:val="16"/>
              </w:rPr>
              <w:t>17</w:t>
            </w:r>
          </w:p>
        </w:tc>
        <w:tc>
          <w:tcPr>
            <w:tcW w:type="dxa" w:w="1368"/>
          </w:tcPr>
          <w:p>
            <w:pPr>
              <w:spacing w:after="40"/>
              <w:jc w:val="right"/>
            </w:pPr>
            <w:r>
              <w:rPr>
                <w:b/>
                <w:sz w:val="16"/>
              </w:rPr>
              <w:t>+0.151</w:t>
            </w:r>
          </w:p>
        </w:tc>
        <w:tc>
          <w:tcPr>
            <w:tcW w:type="dxa" w:w="1656"/>
          </w:tcPr>
          <w:p>
            <w:pPr>
              <w:spacing w:after="40"/>
              <w:jc w:val="right"/>
            </w:pPr>
            <w:r>
              <w:rPr>
                <w:b/>
                <w:sz w:val="16"/>
              </w:rPr>
              <w:t>−0.053</w:t>
            </w:r>
          </w:p>
        </w:tc>
        <w:tc>
          <w:tcPr>
            <w:tcW w:type="dxa" w:w="1728"/>
          </w:tcPr>
          <w:p>
            <w:pPr>
              <w:spacing w:after="40"/>
              <w:jc w:val="right"/>
            </w:pPr>
            <w:r>
              <w:rPr>
                <w:b/>
                <w:sz w:val="16"/>
              </w:rPr>
              <w:t>41 / 88 / 94%</w:t>
            </w:r>
          </w:p>
        </w:tc>
        <w:tc>
          <w:tcPr>
            <w:tcW w:type="dxa" w:w="1152"/>
          </w:tcPr>
          <w:p>
            <w:pPr>
              <w:spacing w:after="40"/>
              <w:jc w:val="right"/>
            </w:pPr>
            <w:r>
              <w:rPr>
                <w:b/>
                <w:sz w:val="16"/>
              </w:rPr>
              <w:t>0.59</w:t>
            </w:r>
          </w:p>
        </w:tc>
        <w:tc>
          <w:tcPr>
            <w:tcW w:type="dxa" w:w="1008"/>
          </w:tcPr>
          <w:p>
            <w:pPr>
              <w:spacing w:after="40"/>
            </w:pPr>
            <w:r>
              <w:rPr>
                <w:b/>
                <w:sz w:val="16"/>
              </w:rPr>
              <w:t>PASS</w:t>
            </w:r>
          </w:p>
        </w:tc>
      </w:tr>
      <w:tr>
        <w:tc>
          <w:tcPr>
            <w:tcW w:type="dxa" w:w="3456"/>
          </w:tcPr>
          <w:p>
            <w:pPr>
              <w:spacing w:after="40"/>
            </w:pPr>
            <w:r>
              <w:rPr>
                <w:b w:val="0"/>
                <w:sz w:val="16"/>
              </w:rPr>
              <w:t>Target / benchmark</w:t>
            </w:r>
          </w:p>
        </w:tc>
        <w:tc>
          <w:tcPr>
            <w:tcW w:type="dxa" w:w="720"/>
          </w:tcPr>
          <w:p>
            <w:pPr>
              <w:spacing w:after="40"/>
              <w:jc w:val="right"/>
            </w:pPr>
            <w:r>
              <w:rPr>
                <w:b w:val="0"/>
                <w:sz w:val="16"/>
              </w:rPr>
              <w:t>—</w:t>
            </w:r>
          </w:p>
        </w:tc>
        <w:tc>
          <w:tcPr>
            <w:tcW w:type="dxa" w:w="1368"/>
          </w:tcPr>
          <w:p>
            <w:pPr>
              <w:spacing w:after="40"/>
              <w:jc w:val="right"/>
            </w:pPr>
            <w:r>
              <w:rPr>
                <w:b w:val="0"/>
                <w:sz w:val="16"/>
              </w:rPr>
              <w:t>&gt; 0</w:t>
            </w:r>
          </w:p>
        </w:tc>
        <w:tc>
          <w:tcPr>
            <w:tcW w:type="dxa" w:w="1656"/>
          </w:tcPr>
          <w:p>
            <w:pPr>
              <w:spacing w:after="40"/>
              <w:jc w:val="right"/>
            </w:pPr>
            <w:r>
              <w:rPr>
                <w:b w:val="0"/>
                <w:sz w:val="16"/>
              </w:rPr>
              <w:t>≥ 0 preferred</w:t>
            </w:r>
          </w:p>
        </w:tc>
        <w:tc>
          <w:tcPr>
            <w:tcW w:type="dxa" w:w="1728"/>
          </w:tcPr>
          <w:p>
            <w:pPr>
              <w:spacing w:after="40"/>
              <w:jc w:val="right"/>
            </w:pPr>
            <w:r>
              <w:rPr>
                <w:b w:val="0"/>
                <w:sz w:val="16"/>
              </w:rPr>
              <w:t>50 / 80 / 90%</w:t>
            </w:r>
          </w:p>
        </w:tc>
        <w:tc>
          <w:tcPr>
            <w:tcW w:type="dxa" w:w="1152"/>
          </w:tcPr>
          <w:p>
            <w:pPr>
              <w:spacing w:after="40"/>
              <w:jc w:val="right"/>
            </w:pPr>
            <w:r>
              <w:rPr>
                <w:b w:val="0"/>
                <w:sz w:val="16"/>
              </w:rPr>
              <w:t>0.50</w:t>
            </w:r>
          </w:p>
        </w:tc>
        <w:tc>
          <w:tcPr>
            <w:tcW w:type="dxa" w:w="1008"/>
          </w:tcPr>
          <w:p>
            <w:pPr>
              <w:spacing w:after="40"/>
            </w:pPr>
            <w:r>
              <w:rPr>
                <w:b w:val="0"/>
                <w:sz w:val="16"/>
              </w:rPr>
              <w:t>—</w:t>
            </w:r>
          </w:p>
        </w:tc>
      </w:tr>
    </w:tbl>
    <w:p>
      <w:pPr>
        <w:spacing w:after="40"/>
      </w:pPr>
    </w:p>
    <w:p>
      <w:pPr>
        <w:spacing w:after="160"/>
      </w:pPr>
      <w:r>
        <w:rPr>
          <w:b w:val="0"/>
          <w:i/>
          <w:sz w:val="17"/>
        </w:rPr>
        <w:t>Engine: YZ-HAR width (pooled log-HAR, lags 1/5/22, on overnight²+Rogers-Satchell), unit-variance Student-t(5) per-path mixture, h=60, 4,000 paths per origin; benchmark rebuilt at every origin from spot and trailing vol. Artifacts live with the study files, not the project library.</w:t>
      </w:r>
    </w:p>
    <w:p>
      <w:pPr>
        <w:pStyle w:val="Heading1"/>
      </w:pPr>
      <w:r>
        <w:t>Appendix C  Peer set, sector structure, and risks</w:t>
      </w:r>
    </w:p>
    <w:p>
      <w:pPr>
        <w:spacing w:after="120"/>
      </w:pPr>
      <w:r>
        <w:rPr>
          <w:b w:val="0"/>
          <w:i w:val="0"/>
          <w:sz w:val="19"/>
        </w:rPr>
        <w:t>EGAL's honest comparables are the world's other single-metal primary producers, not the EGX. The closest analogue is Aluminium Bahrain — Gulf, state-anchored, gas-powered, export-led — which is why our relative multiple keys off it.</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1632"/>
        <w:gridCol w:w="1632"/>
        <w:gridCol w:w="1632"/>
        <w:gridCol w:w="1632"/>
        <w:gridCol w:w="1632"/>
        <w:gridCol w:w="1632"/>
      </w:tblGrid>
      <w:tr>
        <w:tc>
          <w:tcPr>
            <w:tcW w:type="dxa" w:w="2448"/>
            <w:shd w:val="clear" w:fill="1C3A36"/>
          </w:tcPr>
          <w:p>
            <w:pPr>
              <w:spacing w:after="40"/>
            </w:pPr>
            <w:r>
              <w:rPr>
                <w:b/>
                <w:color w:val="FFFFFF"/>
                <w:sz w:val="16"/>
              </w:rPr>
              <w:t>Producer</w:t>
            </w:r>
          </w:p>
        </w:tc>
        <w:tc>
          <w:tcPr>
            <w:tcW w:type="dxa" w:w="1584"/>
            <w:shd w:val="clear" w:fill="1C3A36"/>
          </w:tcPr>
          <w:p>
            <w:pPr>
              <w:spacing w:after="40"/>
            </w:pPr>
            <w:r>
              <w:rPr>
                <w:b/>
                <w:color w:val="FFFFFF"/>
                <w:sz w:val="16"/>
              </w:rPr>
              <w:t>Mkt cap (US$bn)</w:t>
            </w:r>
          </w:p>
        </w:tc>
        <w:tc>
          <w:tcPr>
            <w:tcW w:type="dxa" w:w="1296"/>
            <w:shd w:val="clear" w:fill="1C3A36"/>
          </w:tcPr>
          <w:p>
            <w:pPr>
              <w:spacing w:after="40"/>
            </w:pPr>
            <w:r>
              <w:rPr>
                <w:b/>
                <w:color w:val="FFFFFF"/>
                <w:sz w:val="16"/>
              </w:rPr>
              <w:t>P/E</w:t>
            </w:r>
          </w:p>
        </w:tc>
        <w:tc>
          <w:tcPr>
            <w:tcW w:type="dxa" w:w="1440"/>
            <w:shd w:val="clear" w:fill="1C3A36"/>
          </w:tcPr>
          <w:p>
            <w:pPr>
              <w:spacing w:after="40"/>
            </w:pPr>
            <w:r>
              <w:rPr>
                <w:b/>
                <w:color w:val="FFFFFF"/>
                <w:sz w:val="16"/>
              </w:rPr>
              <w:t>EV/EBITDA</w:t>
            </w:r>
          </w:p>
        </w:tc>
        <w:tc>
          <w:tcPr>
            <w:tcW w:type="dxa" w:w="1440"/>
            <w:shd w:val="clear" w:fill="1C3A36"/>
          </w:tcPr>
          <w:p>
            <w:pPr>
              <w:spacing w:after="40"/>
            </w:pPr>
            <w:r>
              <w:rPr>
                <w:b/>
                <w:color w:val="FFFFFF"/>
                <w:sz w:val="16"/>
              </w:rPr>
              <w:t>Capacity (kt)</w:t>
            </w:r>
          </w:p>
        </w:tc>
        <w:tc>
          <w:tcPr>
            <w:tcW w:type="dxa" w:w="2304"/>
            <w:shd w:val="clear" w:fill="1C3A36"/>
          </w:tcPr>
          <w:p>
            <w:pPr>
              <w:spacing w:after="40"/>
            </w:pPr>
            <w:r>
              <w:rPr>
                <w:b/>
                <w:color w:val="FFFFFF"/>
                <w:sz w:val="16"/>
              </w:rPr>
              <w:t>Character</w:t>
            </w:r>
          </w:p>
        </w:tc>
      </w:tr>
      <w:tr>
        <w:tc>
          <w:tcPr>
            <w:tcW w:type="dxa" w:w="2448"/>
          </w:tcPr>
          <w:p>
            <w:pPr>
              <w:spacing w:after="40"/>
            </w:pPr>
            <w:r>
              <w:rPr>
                <w:b w:val="0"/>
                <w:sz w:val="16"/>
              </w:rPr>
              <w:t>Alcoa (AA)</w:t>
            </w:r>
          </w:p>
        </w:tc>
        <w:tc>
          <w:tcPr>
            <w:tcW w:type="dxa" w:w="1584"/>
          </w:tcPr>
          <w:p>
            <w:pPr>
              <w:spacing w:after="40"/>
              <w:jc w:val="right"/>
            </w:pPr>
            <w:r>
              <w:rPr>
                <w:b w:val="0"/>
                <w:sz w:val="16"/>
              </w:rPr>
              <w:t>≈9.5</w:t>
            </w:r>
          </w:p>
        </w:tc>
        <w:tc>
          <w:tcPr>
            <w:tcW w:type="dxa" w:w="1296"/>
          </w:tcPr>
          <w:p>
            <w:pPr>
              <w:spacing w:after="40"/>
              <w:jc w:val="right"/>
            </w:pPr>
            <w:r>
              <w:rPr>
                <w:b w:val="0"/>
                <w:sz w:val="16"/>
              </w:rPr>
              <w:t>≈13×</w:t>
            </w:r>
          </w:p>
        </w:tc>
        <w:tc>
          <w:tcPr>
            <w:tcW w:type="dxa" w:w="1440"/>
          </w:tcPr>
          <w:p>
            <w:pPr>
              <w:spacing w:after="40"/>
              <w:jc w:val="right"/>
            </w:pPr>
            <w:r>
              <w:rPr>
                <w:b w:val="0"/>
                <w:sz w:val="16"/>
              </w:rPr>
              <w:t>≈6.0×</w:t>
            </w:r>
          </w:p>
        </w:tc>
        <w:tc>
          <w:tcPr>
            <w:tcW w:type="dxa" w:w="1440"/>
          </w:tcPr>
          <w:p>
            <w:pPr>
              <w:spacing w:after="40"/>
              <w:jc w:val="right"/>
            </w:pPr>
            <w:r>
              <w:rPr>
                <w:b w:val="0"/>
                <w:sz w:val="16"/>
              </w:rPr>
              <w:t>2,990</w:t>
            </w:r>
          </w:p>
        </w:tc>
        <w:tc>
          <w:tcPr>
            <w:tcW w:type="dxa" w:w="2304"/>
          </w:tcPr>
          <w:p>
            <w:pPr>
              <w:spacing w:after="40"/>
            </w:pPr>
            <w:r>
              <w:rPr>
                <w:b w:val="0"/>
                <w:sz w:val="16"/>
              </w:rPr>
              <w:t>Alumina-integrated global</w:t>
            </w:r>
          </w:p>
        </w:tc>
      </w:tr>
      <w:tr>
        <w:tc>
          <w:tcPr>
            <w:tcW w:type="dxa" w:w="2448"/>
          </w:tcPr>
          <w:p>
            <w:pPr>
              <w:spacing w:after="40"/>
            </w:pPr>
            <w:r>
              <w:rPr>
                <w:b w:val="0"/>
                <w:sz w:val="16"/>
              </w:rPr>
              <w:t>Norsk Hydro (NHY)</w:t>
            </w:r>
          </w:p>
        </w:tc>
        <w:tc>
          <w:tcPr>
            <w:tcW w:type="dxa" w:w="1584"/>
          </w:tcPr>
          <w:p>
            <w:pPr>
              <w:spacing w:after="40"/>
              <w:jc w:val="right"/>
            </w:pPr>
            <w:r>
              <w:rPr>
                <w:b w:val="0"/>
                <w:sz w:val="16"/>
              </w:rPr>
              <w:t>≈14</w:t>
            </w:r>
          </w:p>
        </w:tc>
        <w:tc>
          <w:tcPr>
            <w:tcW w:type="dxa" w:w="1296"/>
          </w:tcPr>
          <w:p>
            <w:pPr>
              <w:spacing w:after="40"/>
              <w:jc w:val="right"/>
            </w:pPr>
            <w:r>
              <w:rPr>
                <w:b w:val="0"/>
                <w:sz w:val="16"/>
              </w:rPr>
              <w:t>≈14.5×</w:t>
            </w:r>
          </w:p>
        </w:tc>
        <w:tc>
          <w:tcPr>
            <w:tcW w:type="dxa" w:w="1440"/>
          </w:tcPr>
          <w:p>
            <w:pPr>
              <w:spacing w:after="40"/>
              <w:jc w:val="right"/>
            </w:pPr>
            <w:r>
              <w:rPr>
                <w:b w:val="0"/>
                <w:sz w:val="16"/>
              </w:rPr>
              <w:t>≈6.5×</w:t>
            </w:r>
          </w:p>
        </w:tc>
        <w:tc>
          <w:tcPr>
            <w:tcW w:type="dxa" w:w="1440"/>
          </w:tcPr>
          <w:p>
            <w:pPr>
              <w:spacing w:after="40"/>
              <w:jc w:val="right"/>
            </w:pPr>
            <w:r>
              <w:rPr>
                <w:b w:val="0"/>
                <w:sz w:val="16"/>
              </w:rPr>
              <w:t>2,300</w:t>
            </w:r>
          </w:p>
        </w:tc>
        <w:tc>
          <w:tcPr>
            <w:tcW w:type="dxa" w:w="2304"/>
          </w:tcPr>
          <w:p>
            <w:pPr>
              <w:spacing w:after="40"/>
            </w:pPr>
            <w:r>
              <w:rPr>
                <w:b w:val="0"/>
                <w:sz w:val="16"/>
              </w:rPr>
              <w:t>Hydropower — the CBAM winner</w:t>
            </w:r>
          </w:p>
        </w:tc>
      </w:tr>
      <w:tr>
        <w:tc>
          <w:tcPr>
            <w:tcW w:type="dxa" w:w="2448"/>
          </w:tcPr>
          <w:p>
            <w:pPr>
              <w:spacing w:after="40"/>
            </w:pPr>
            <w:r>
              <w:rPr>
                <w:b w:val="0"/>
                <w:sz w:val="16"/>
              </w:rPr>
              <w:t>Century (CENX)</w:t>
            </w:r>
          </w:p>
        </w:tc>
        <w:tc>
          <w:tcPr>
            <w:tcW w:type="dxa" w:w="1584"/>
          </w:tcPr>
          <w:p>
            <w:pPr>
              <w:spacing w:after="40"/>
              <w:jc w:val="right"/>
            </w:pPr>
            <w:r>
              <w:rPr>
                <w:b w:val="0"/>
                <w:sz w:val="16"/>
              </w:rPr>
              <w:t>≈2.3</w:t>
            </w:r>
          </w:p>
        </w:tc>
        <w:tc>
          <w:tcPr>
            <w:tcW w:type="dxa" w:w="1296"/>
          </w:tcPr>
          <w:p>
            <w:pPr>
              <w:spacing w:after="40"/>
              <w:jc w:val="right"/>
            </w:pPr>
            <w:r>
              <w:rPr>
                <w:b w:val="0"/>
                <w:sz w:val="16"/>
              </w:rPr>
              <w:t>≈15×</w:t>
            </w:r>
          </w:p>
        </w:tc>
        <w:tc>
          <w:tcPr>
            <w:tcW w:type="dxa" w:w="1440"/>
          </w:tcPr>
          <w:p>
            <w:pPr>
              <w:spacing w:after="40"/>
              <w:jc w:val="right"/>
            </w:pPr>
            <w:r>
              <w:rPr>
                <w:b w:val="0"/>
                <w:sz w:val="16"/>
              </w:rPr>
              <w:t>≈7.0×</w:t>
            </w:r>
          </w:p>
        </w:tc>
        <w:tc>
          <w:tcPr>
            <w:tcW w:type="dxa" w:w="1440"/>
          </w:tcPr>
          <w:p>
            <w:pPr>
              <w:spacing w:after="40"/>
              <w:jc w:val="right"/>
            </w:pPr>
            <w:r>
              <w:rPr>
                <w:b w:val="0"/>
                <w:sz w:val="16"/>
              </w:rPr>
              <w:t>1,020</w:t>
            </w:r>
          </w:p>
        </w:tc>
        <w:tc>
          <w:tcPr>
            <w:tcW w:type="dxa" w:w="2304"/>
          </w:tcPr>
          <w:p>
            <w:pPr>
              <w:spacing w:after="40"/>
            </w:pPr>
            <w:r>
              <w:rPr>
                <w:b w:val="0"/>
                <w:sz w:val="16"/>
              </w:rPr>
              <w:t>US, power-price levered</w:t>
            </w:r>
          </w:p>
        </w:tc>
      </w:tr>
      <w:tr>
        <w:tc>
          <w:tcPr>
            <w:tcW w:type="dxa" w:w="2448"/>
          </w:tcPr>
          <w:p>
            <w:pPr>
              <w:spacing w:after="40"/>
            </w:pPr>
            <w:r>
              <w:rPr>
                <w:b w:val="0"/>
                <w:sz w:val="16"/>
              </w:rPr>
              <w:t>Hindalco (HNDL)</w:t>
            </w:r>
          </w:p>
        </w:tc>
        <w:tc>
          <w:tcPr>
            <w:tcW w:type="dxa" w:w="1584"/>
          </w:tcPr>
          <w:p>
            <w:pPr>
              <w:spacing w:after="40"/>
              <w:jc w:val="right"/>
            </w:pPr>
            <w:r>
              <w:rPr>
                <w:b w:val="0"/>
                <w:sz w:val="16"/>
              </w:rPr>
              <w:t>≈18</w:t>
            </w:r>
          </w:p>
        </w:tc>
        <w:tc>
          <w:tcPr>
            <w:tcW w:type="dxa" w:w="1296"/>
          </w:tcPr>
          <w:p>
            <w:pPr>
              <w:spacing w:after="40"/>
              <w:jc w:val="right"/>
            </w:pPr>
            <w:r>
              <w:rPr>
                <w:b w:val="0"/>
                <w:sz w:val="16"/>
              </w:rPr>
              <w:t>≈11×</w:t>
            </w:r>
          </w:p>
        </w:tc>
        <w:tc>
          <w:tcPr>
            <w:tcW w:type="dxa" w:w="1440"/>
          </w:tcPr>
          <w:p>
            <w:pPr>
              <w:spacing w:after="40"/>
              <w:jc w:val="right"/>
            </w:pPr>
            <w:r>
              <w:rPr>
                <w:b w:val="0"/>
                <w:sz w:val="16"/>
              </w:rPr>
              <w:t>≈6.5×</w:t>
            </w:r>
          </w:p>
        </w:tc>
        <w:tc>
          <w:tcPr>
            <w:tcW w:type="dxa" w:w="1440"/>
          </w:tcPr>
          <w:p>
            <w:pPr>
              <w:spacing w:after="40"/>
              <w:jc w:val="right"/>
            </w:pPr>
            <w:r>
              <w:rPr>
                <w:b w:val="0"/>
                <w:sz w:val="16"/>
              </w:rPr>
              <w:t>1,300</w:t>
            </w:r>
          </w:p>
        </w:tc>
        <w:tc>
          <w:tcPr>
            <w:tcW w:type="dxa" w:w="2304"/>
          </w:tcPr>
          <w:p>
            <w:pPr>
              <w:spacing w:after="40"/>
            </w:pPr>
            <w:r>
              <w:rPr>
                <w:b w:val="0"/>
                <w:sz w:val="16"/>
              </w:rPr>
              <w:t>India + Novelis downstream</w:t>
            </w:r>
          </w:p>
        </w:tc>
      </w:tr>
      <w:tr>
        <w:tc>
          <w:tcPr>
            <w:tcW w:type="dxa" w:w="2448"/>
          </w:tcPr>
          <w:p>
            <w:pPr>
              <w:spacing w:after="40"/>
            </w:pPr>
            <w:r>
              <w:rPr>
                <w:b w:val="0"/>
                <w:sz w:val="16"/>
              </w:rPr>
              <w:t>China Hongqiao (1378)</w:t>
            </w:r>
          </w:p>
        </w:tc>
        <w:tc>
          <w:tcPr>
            <w:tcW w:type="dxa" w:w="1584"/>
          </w:tcPr>
          <w:p>
            <w:pPr>
              <w:spacing w:after="40"/>
              <w:jc w:val="right"/>
            </w:pPr>
            <w:r>
              <w:rPr>
                <w:b w:val="0"/>
                <w:sz w:val="16"/>
              </w:rPr>
              <w:t>≈13.5</w:t>
            </w:r>
          </w:p>
        </w:tc>
        <w:tc>
          <w:tcPr>
            <w:tcW w:type="dxa" w:w="1296"/>
          </w:tcPr>
          <w:p>
            <w:pPr>
              <w:spacing w:after="40"/>
              <w:jc w:val="right"/>
            </w:pPr>
            <w:r>
              <w:rPr>
                <w:b w:val="0"/>
                <w:sz w:val="16"/>
              </w:rPr>
              <w:t>≈7.5×</w:t>
            </w:r>
          </w:p>
        </w:tc>
        <w:tc>
          <w:tcPr>
            <w:tcW w:type="dxa" w:w="1440"/>
          </w:tcPr>
          <w:p>
            <w:pPr>
              <w:spacing w:after="40"/>
              <w:jc w:val="right"/>
            </w:pPr>
            <w:r>
              <w:rPr>
                <w:b w:val="0"/>
                <w:sz w:val="16"/>
              </w:rPr>
              <w:t>≈4.5×</w:t>
            </w:r>
          </w:p>
        </w:tc>
        <w:tc>
          <w:tcPr>
            <w:tcW w:type="dxa" w:w="1440"/>
          </w:tcPr>
          <w:p>
            <w:pPr>
              <w:spacing w:after="40"/>
              <w:jc w:val="right"/>
            </w:pPr>
            <w:r>
              <w:rPr>
                <w:b w:val="0"/>
                <w:sz w:val="16"/>
              </w:rPr>
              <w:t>6,460</w:t>
            </w:r>
          </w:p>
        </w:tc>
        <w:tc>
          <w:tcPr>
            <w:tcW w:type="dxa" w:w="2304"/>
          </w:tcPr>
          <w:p>
            <w:pPr>
              <w:spacing w:after="40"/>
            </w:pPr>
            <w:r>
              <w:rPr>
                <w:b w:val="0"/>
                <w:sz w:val="16"/>
              </w:rPr>
              <w:t>Largest; coal-powered</w:t>
            </w:r>
          </w:p>
        </w:tc>
      </w:tr>
      <w:tr>
        <w:tc>
          <w:tcPr>
            <w:tcW w:type="dxa" w:w="2448"/>
          </w:tcPr>
          <w:p>
            <w:pPr>
              <w:spacing w:after="40"/>
            </w:pPr>
            <w:r>
              <w:rPr>
                <w:b w:val="0"/>
                <w:sz w:val="16"/>
              </w:rPr>
              <w:t>Aluminium Bahrain (ALBA)</w:t>
            </w:r>
          </w:p>
        </w:tc>
        <w:tc>
          <w:tcPr>
            <w:tcW w:type="dxa" w:w="1584"/>
          </w:tcPr>
          <w:p>
            <w:pPr>
              <w:spacing w:after="40"/>
              <w:jc w:val="right"/>
            </w:pPr>
            <w:r>
              <w:rPr>
                <w:b w:val="0"/>
                <w:sz w:val="16"/>
              </w:rPr>
              <w:t>≈4.5</w:t>
            </w:r>
          </w:p>
        </w:tc>
        <w:tc>
          <w:tcPr>
            <w:tcW w:type="dxa" w:w="1296"/>
          </w:tcPr>
          <w:p>
            <w:pPr>
              <w:spacing w:after="40"/>
              <w:jc w:val="right"/>
            </w:pPr>
            <w:r>
              <w:rPr>
                <w:b w:val="0"/>
                <w:sz w:val="16"/>
              </w:rPr>
              <w:t>≈11×</w:t>
            </w:r>
          </w:p>
        </w:tc>
        <w:tc>
          <w:tcPr>
            <w:tcW w:type="dxa" w:w="1440"/>
          </w:tcPr>
          <w:p>
            <w:pPr>
              <w:spacing w:after="40"/>
              <w:jc w:val="right"/>
            </w:pPr>
            <w:r>
              <w:rPr>
                <w:b w:val="0"/>
                <w:sz w:val="16"/>
              </w:rPr>
              <w:t>≈7.0×</w:t>
            </w:r>
          </w:p>
        </w:tc>
        <w:tc>
          <w:tcPr>
            <w:tcW w:type="dxa" w:w="1440"/>
          </w:tcPr>
          <w:p>
            <w:pPr>
              <w:spacing w:after="40"/>
              <w:jc w:val="right"/>
            </w:pPr>
            <w:r>
              <w:rPr>
                <w:b w:val="0"/>
                <w:sz w:val="16"/>
              </w:rPr>
              <w:t>1,620</w:t>
            </w:r>
          </w:p>
        </w:tc>
        <w:tc>
          <w:tcPr>
            <w:tcW w:type="dxa" w:w="2304"/>
          </w:tcPr>
          <w:p>
            <w:pPr>
              <w:spacing w:after="40"/>
            </w:pPr>
            <w:r>
              <w:rPr>
                <w:b w:val="0"/>
                <w:sz w:val="16"/>
              </w:rPr>
              <w:t>Closest analogue</w:t>
            </w:r>
          </w:p>
        </w:tc>
      </w:tr>
      <w:tr>
        <w:tc>
          <w:tcPr>
            <w:tcW w:type="dxa" w:w="2448"/>
          </w:tcPr>
          <w:p>
            <w:pPr>
              <w:spacing w:after="40"/>
            </w:pPr>
            <w:r>
              <w:rPr>
                <w:b w:val="0"/>
                <w:sz w:val="16"/>
              </w:rPr>
              <w:t>Ma'aden (1211)</w:t>
            </w:r>
          </w:p>
        </w:tc>
        <w:tc>
          <w:tcPr>
            <w:tcW w:type="dxa" w:w="1584"/>
          </w:tcPr>
          <w:p>
            <w:pPr>
              <w:spacing w:after="40"/>
              <w:jc w:val="right"/>
            </w:pPr>
            <w:r>
              <w:rPr>
                <w:b w:val="0"/>
                <w:sz w:val="16"/>
              </w:rPr>
              <w:t>≈45</w:t>
            </w:r>
          </w:p>
        </w:tc>
        <w:tc>
          <w:tcPr>
            <w:tcW w:type="dxa" w:w="1296"/>
          </w:tcPr>
          <w:p>
            <w:pPr>
              <w:spacing w:after="40"/>
              <w:jc w:val="right"/>
            </w:pPr>
            <w:r>
              <w:rPr>
                <w:b w:val="0"/>
                <w:sz w:val="16"/>
              </w:rPr>
              <w:t>≈25×</w:t>
            </w:r>
          </w:p>
        </w:tc>
        <w:tc>
          <w:tcPr>
            <w:tcW w:type="dxa" w:w="1440"/>
          </w:tcPr>
          <w:p>
            <w:pPr>
              <w:spacing w:after="40"/>
              <w:jc w:val="right"/>
            </w:pPr>
            <w:r>
              <w:rPr>
                <w:b w:val="0"/>
                <w:sz w:val="16"/>
              </w:rPr>
              <w:t>≈12×</w:t>
            </w:r>
          </w:p>
        </w:tc>
        <w:tc>
          <w:tcPr>
            <w:tcW w:type="dxa" w:w="1440"/>
          </w:tcPr>
          <w:p>
            <w:pPr>
              <w:spacing w:after="40"/>
              <w:jc w:val="right"/>
            </w:pPr>
            <w:r>
              <w:rPr>
                <w:b w:val="0"/>
                <w:sz w:val="16"/>
              </w:rPr>
              <w:t>780</w:t>
            </w:r>
          </w:p>
        </w:tc>
        <w:tc>
          <w:tcPr>
            <w:tcW w:type="dxa" w:w="2304"/>
          </w:tcPr>
          <w:p>
            <w:pPr>
              <w:spacing w:after="40"/>
            </w:pPr>
            <w:r>
              <w:rPr>
                <w:b w:val="0"/>
                <w:sz w:val="16"/>
              </w:rPr>
              <w:t>Saudi diversified premium</w:t>
            </w:r>
          </w:p>
        </w:tc>
      </w:tr>
      <w:tr>
        <w:tc>
          <w:tcPr>
            <w:tcW w:type="dxa" w:w="2448"/>
          </w:tcPr>
          <w:p>
            <w:pPr>
              <w:spacing w:after="40"/>
            </w:pPr>
            <w:r>
              <w:rPr>
                <w:b/>
                <w:sz w:val="16"/>
              </w:rPr>
              <w:t>Egypt Aluminum (EGAL)</w:t>
            </w:r>
          </w:p>
        </w:tc>
        <w:tc>
          <w:tcPr>
            <w:tcW w:type="dxa" w:w="1584"/>
          </w:tcPr>
          <w:p>
            <w:pPr>
              <w:spacing w:after="40"/>
              <w:jc w:val="right"/>
            </w:pPr>
            <w:r>
              <w:rPr>
                <w:b/>
                <w:sz w:val="16"/>
              </w:rPr>
              <w:t>≈2.4</w:t>
            </w:r>
          </w:p>
        </w:tc>
        <w:tc>
          <w:tcPr>
            <w:tcW w:type="dxa" w:w="1296"/>
          </w:tcPr>
          <w:p>
            <w:pPr>
              <w:spacing w:after="40"/>
              <w:jc w:val="right"/>
            </w:pPr>
            <w:r>
              <w:rPr>
                <w:b/>
                <w:sz w:val="16"/>
              </w:rPr>
              <w:t>11.6× / 8.8×E</w:t>
            </w:r>
          </w:p>
        </w:tc>
        <w:tc>
          <w:tcPr>
            <w:tcW w:type="dxa" w:w="1440"/>
          </w:tcPr>
          <w:p>
            <w:pPr>
              <w:spacing w:after="40"/>
              <w:jc w:val="right"/>
            </w:pPr>
            <w:r>
              <w:rPr>
                <w:b/>
                <w:sz w:val="16"/>
              </w:rPr>
              <w:t>≈9.1× / 6.9×E</w:t>
            </w:r>
          </w:p>
        </w:tc>
        <w:tc>
          <w:tcPr>
            <w:tcW w:type="dxa" w:w="1440"/>
          </w:tcPr>
          <w:p>
            <w:pPr>
              <w:spacing w:after="40"/>
              <w:jc w:val="right"/>
            </w:pPr>
            <w:r>
              <w:rPr>
                <w:b/>
                <w:sz w:val="16"/>
              </w:rPr>
              <w:t>320 → ~600</w:t>
            </w:r>
          </w:p>
        </w:tc>
        <w:tc>
          <w:tcPr>
            <w:tcW w:type="dxa" w:w="2304"/>
          </w:tcPr>
          <w:p>
            <w:pPr>
              <w:spacing w:after="40"/>
            </w:pPr>
            <w:r>
              <w:rPr>
                <w:b/>
                <w:sz w:val="16"/>
              </w:rPr>
              <w:t>This study</w:t>
            </w:r>
          </w:p>
        </w:tc>
      </w:tr>
    </w:tbl>
    <w:p>
      <w:pPr>
        <w:spacing w:after="40"/>
      </w:pPr>
    </w:p>
    <w:p>
      <w:pPr>
        <w:spacing w:after="160"/>
      </w:pPr>
      <w:r>
        <w:rPr>
          <w:b w:val="0"/>
          <w:i/>
          <w:sz w:val="17"/>
        </w:rPr>
        <w:t>Indicative public-source snapshots, early Jul 2026, for context only; the relative lens prices off the Assumptions multiple, not this table. EGAL trailing/forward on FY24/25 and FY25/26E.</w:t>
      </w:r>
    </w:p>
    <w:p>
      <w:pPr>
        <w:spacing w:after="120"/>
      </w:pPr>
      <w:r>
        <w:rPr>
          <w:b/>
          <w:i w:val="0"/>
          <w:sz w:val="19"/>
        </w:rPr>
        <w:t>Sector structure.</w:t>
      </w:r>
      <w:r>
        <w:rPr>
          <w:b w:val="0"/>
          <w:i w:val="0"/>
          <w:sz w:val="19"/>
        </w:rPr>
        <w:t xml:space="preserve"> Primary aluminium is a power-price arbitrage wearing a metal's clothes: the cost curve is ordered by electricity contracts, the demand curve by construction, transport and grids, and the 2026 novelty is that carbon accounting (CBAM) starts re-ordering the curve in Europe's favor toward hydro- and renewables-backed producers. Egypt's slot on that curve — administered grid power today, contracted solar tomorrow — is precisely what the Scatec PPA and the Trafigura expansion are trying to move. </w:t>
      </w:r>
      <w:r>
        <w:rPr>
          <w:b/>
          <w:i w:val="0"/>
          <w:sz w:val="19"/>
        </w:rPr>
        <w:t>Principal risks:</w:t>
      </w:r>
      <w:r>
        <w:rPr>
          <w:b w:val="0"/>
          <w:i w:val="0"/>
          <w:sz w:val="19"/>
        </w:rPr>
        <w:t xml:space="preserve"> a full cost-recovery electricity tariff; durable EGP appreciation; a failed or minority-unfriendly expansion financing; CBAM certificate costs above our haircut; LME breakdown below ~US$2,200/t; single-site operational events; free-float illiquidity; and state-owner actions that rank other objectives above minority value.</w:t>
      </w:r>
    </w:p>
    <w:p>
      <w:pPr>
        <w:pStyle w:val="Heading1"/>
      </w:pPr>
      <w:r>
        <w:t>Appendix D  The expert valuation panel</w:t>
      </w:r>
    </w:p>
    <w:p>
      <w:pPr>
        <w:spacing w:after="120"/>
      </w:pPr>
      <w:r>
        <w:rPr>
          <w:b w:val="0"/>
          <w:i w:val="0"/>
          <w:sz w:val="19"/>
        </w:rPr>
        <w:t xml:space="preserve">Every Testahil study closes with a panel of standing expert personas — drawn from the house Expert Persona Library, not invented for the occasion, so that each accumulates a track record across studies and a quarterly update is a re-run, not a re-training. For EGAL we cast the industrial trio whose methods genuinely fit a single-site commodity producer and genuinely disagree: </w:t>
      </w:r>
      <w:r>
        <w:rPr>
          <w:b/>
          <w:i w:val="0"/>
          <w:sz w:val="19"/>
        </w:rPr>
        <w:t>Expert 1</w:t>
      </w:r>
      <w:r>
        <w:rPr>
          <w:b w:val="0"/>
          <w:i w:val="0"/>
          <w:sz w:val="19"/>
        </w:rPr>
        <w:t xml:space="preserve"> (normalized through-cycle earnings power and relative multiples), </w:t>
      </w:r>
      <w:r>
        <w:rPr>
          <w:b/>
          <w:i w:val="0"/>
          <w:sz w:val="19"/>
        </w:rPr>
        <w:t>Expert 2</w:t>
      </w:r>
      <w:r>
        <w:rPr>
          <w:b w:val="0"/>
          <w:i w:val="0"/>
          <w:sz w:val="19"/>
        </w:rPr>
        <w:t xml:space="preserve"> (realizable asset value and earnings quality — the accountant's lens), and </w:t>
      </w:r>
      <w:r>
        <w:rPr>
          <w:b/>
          <w:i w:val="0"/>
          <w:sz w:val="19"/>
        </w:rPr>
        <w:t>Expert 3</w:t>
      </w:r>
      <w:r>
        <w:rPr>
          <w:b w:val="0"/>
          <w:i w:val="0"/>
          <w:sz w:val="19"/>
        </w:rPr>
        <w:t xml:space="preserve"> (scenario-weighted real options on policy and macro — because for this name the tariff, the pound and the state owner outrank operations). The cash-returns DCF is not duplicated here because it is the body's primary lens (§1.1); each panellist runs a method the body does not lean on. Each derives a fair value from shown workings, states a falsification condition, and reads what the market price implies.</w:t>
      </w:r>
    </w:p>
    <w:p>
      <w:pPr>
        <w:pStyle w:val="Heading2"/>
      </w:pPr>
      <w:r>
        <w:t>D.1  Expert 1 — normalized through-cycle earnings power</w:t>
      </w:r>
    </w:p>
    <w:p>
      <w:pPr>
        <w:spacing w:after="120"/>
      </w:pPr>
      <w:r>
        <w:rPr>
          <w:b/>
          <w:i w:val="0"/>
          <w:sz w:val="19"/>
        </w:rPr>
        <w:t>Worldview and tradition.</w:t>
      </w:r>
      <w:r>
        <w:rPr>
          <w:b w:val="0"/>
          <w:i w:val="0"/>
          <w:sz w:val="19"/>
        </w:rPr>
        <w:t xml:space="preserve"> An operating company is worth a fair multiple of its sustainable, mid-cycle earnings. Peaks and troughs — a devaluation windfall, an LME spike, a tariff shock — are noise to be stripped, in the through-cycle tradition of Graham's earning-power and the modern normalized-EPS school. He does not forecast the cycle; he averages through it.</w:t>
      </w:r>
    </w:p>
    <w:p>
      <w:pPr>
        <w:spacing w:after="120"/>
      </w:pPr>
      <w:r>
        <w:rPr>
          <w:b/>
          <w:i w:val="0"/>
          <w:sz w:val="19"/>
        </w:rPr>
        <w:t>When it works / when it fails.</w:t>
      </w:r>
      <w:r>
        <w:rPr>
          <w:b w:val="0"/>
          <w:i w:val="0"/>
          <w:sz w:val="19"/>
        </w:rPr>
        <w:t xml:space="preserve"> The method is at its best on commodity converters with a long operating record and mean-reverting economics — precisely a smelter. It fails at structural breaks: if the electricity contract, the FX regime or the capacity base changes permanently, the 'cycle' he is averaging no longer exists. EGAL sits uncomfortably close to that edge, which he concedes and handles by normalizing the tariff one step above today.</w:t>
      </w:r>
    </w:p>
    <w:p>
      <w:pPr>
        <w:spacing w:after="120"/>
      </w:pPr>
      <w:r>
        <w:rPr>
          <w:b/>
          <w:i w:val="0"/>
          <w:sz w:val="19"/>
        </w:rPr>
        <w:t>Standard workings.</w:t>
      </w:r>
      <w:r>
        <w:rPr>
          <w:b w:val="0"/>
          <w:i w:val="0"/>
          <w:sz w:val="19"/>
        </w:rPr>
        <w:t xml:space="preserve"> (1) Normalize each revenue driver to mid-cycle: LME, realized product premium, volume, FX. (2) Normalize the margin for the policy cost path. (3) Derive sustainable net profit and EPS, including a faded return on the cash pile. (4) Apply a justified multiple triangulated against the name's own history and the global peer set, adjusted for float, governance and growth. (5) Cross-check on EV/EBITDA and free-cash-flow yield.</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4896"/>
        <w:gridCol w:w="4896"/>
      </w:tblGrid>
      <w:tr>
        <w:tc>
          <w:tcPr>
            <w:tcW w:type="dxa" w:w="6624"/>
            <w:shd w:val="clear" w:fill="1C3A36"/>
          </w:tcPr>
          <w:p>
            <w:pPr>
              <w:spacing w:after="40"/>
            </w:pPr>
            <w:r>
              <w:rPr>
                <w:b/>
                <w:color w:val="FFFFFF"/>
                <w:sz w:val="17"/>
              </w:rPr>
              <w:t>Expert 1's normalization (worked example)</w:t>
            </w:r>
          </w:p>
        </w:tc>
        <w:tc>
          <w:tcPr>
            <w:tcW w:type="dxa" w:w="3168"/>
            <w:shd w:val="clear" w:fill="1C3A36"/>
          </w:tcPr>
          <w:p>
            <w:pPr>
              <w:spacing w:after="40"/>
            </w:pPr>
            <w:r>
              <w:rPr>
                <w:b/>
                <w:color w:val="FFFFFF"/>
                <w:sz w:val="17"/>
              </w:rPr>
              <w:t>Value</w:t>
            </w:r>
          </w:p>
        </w:tc>
      </w:tr>
      <w:tr>
        <w:tc>
          <w:tcPr>
            <w:tcW w:type="dxa" w:w="6624"/>
          </w:tcPr>
          <w:p>
            <w:pPr>
              <w:spacing w:after="40"/>
            </w:pPr>
            <w:r>
              <w:rPr>
                <w:b w:val="0"/>
                <w:sz w:val="17"/>
              </w:rPr>
              <w:t>LME aluminium, mid-cycle</w:t>
            </w:r>
          </w:p>
        </w:tc>
        <w:tc>
          <w:tcPr>
            <w:tcW w:type="dxa" w:w="3168"/>
          </w:tcPr>
          <w:p>
            <w:pPr>
              <w:spacing w:after="40"/>
            </w:pPr>
            <w:r>
              <w:rPr>
                <w:b w:val="0"/>
                <w:sz w:val="17"/>
              </w:rPr>
              <w:t>US$2,550/t</w:t>
            </w:r>
          </w:p>
        </w:tc>
      </w:tr>
      <w:tr>
        <w:tc>
          <w:tcPr>
            <w:tcW w:type="dxa" w:w="6624"/>
          </w:tcPr>
          <w:p>
            <w:pPr>
              <w:spacing w:after="40"/>
            </w:pPr>
            <w:r>
              <w:rPr>
                <w:b w:val="0"/>
                <w:sz w:val="17"/>
              </w:rPr>
              <w:t>Realized premium (mix: billet, rod, rolled, local)</w:t>
            </w:r>
          </w:p>
        </w:tc>
        <w:tc>
          <w:tcPr>
            <w:tcW w:type="dxa" w:w="3168"/>
          </w:tcPr>
          <w:p>
            <w:pPr>
              <w:spacing w:after="40"/>
            </w:pPr>
            <w:r>
              <w:rPr>
                <w:b w:val="0"/>
                <w:sz w:val="17"/>
              </w:rPr>
              <w:t>1.30× LME</w:t>
            </w:r>
          </w:p>
        </w:tc>
      </w:tr>
      <w:tr>
        <w:tc>
          <w:tcPr>
            <w:tcW w:type="dxa" w:w="6624"/>
          </w:tcPr>
          <w:p>
            <w:pPr>
              <w:spacing w:after="40"/>
            </w:pPr>
            <w:r>
              <w:rPr>
                <w:b w:val="0"/>
                <w:sz w:val="17"/>
              </w:rPr>
              <w:t>Sales volume</w:t>
            </w:r>
          </w:p>
        </w:tc>
        <w:tc>
          <w:tcPr>
            <w:tcW w:type="dxa" w:w="3168"/>
          </w:tcPr>
          <w:p>
            <w:pPr>
              <w:spacing w:after="40"/>
            </w:pPr>
            <w:r>
              <w:rPr>
                <w:b w:val="0"/>
                <w:sz w:val="17"/>
              </w:rPr>
              <w:t>275 kt</w:t>
            </w:r>
          </w:p>
        </w:tc>
      </w:tr>
      <w:tr>
        <w:tc>
          <w:tcPr>
            <w:tcW w:type="dxa" w:w="6624"/>
          </w:tcPr>
          <w:p>
            <w:pPr>
              <w:spacing w:after="40"/>
            </w:pPr>
            <w:r>
              <w:rPr>
                <w:b w:val="0"/>
                <w:sz w:val="17"/>
              </w:rPr>
              <w:t>EGP/USD</w:t>
            </w:r>
          </w:p>
        </w:tc>
        <w:tc>
          <w:tcPr>
            <w:tcW w:type="dxa" w:w="3168"/>
          </w:tcPr>
          <w:p>
            <w:pPr>
              <w:spacing w:after="40"/>
            </w:pPr>
            <w:r>
              <w:rPr>
                <w:b w:val="0"/>
                <w:sz w:val="17"/>
              </w:rPr>
              <w:t>50.0</w:t>
            </w:r>
          </w:p>
        </w:tc>
      </w:tr>
      <w:tr>
        <w:tc>
          <w:tcPr>
            <w:tcW w:type="dxa" w:w="6624"/>
          </w:tcPr>
          <w:p>
            <w:pPr>
              <w:spacing w:after="40"/>
            </w:pPr>
            <w:r>
              <w:rPr>
                <w:b w:val="0"/>
                <w:sz w:val="17"/>
              </w:rPr>
              <w:t>Normalized revenue</w:t>
            </w:r>
          </w:p>
        </w:tc>
        <w:tc>
          <w:tcPr>
            <w:tcW w:type="dxa" w:w="3168"/>
          </w:tcPr>
          <w:p>
            <w:pPr>
              <w:spacing w:after="40"/>
            </w:pPr>
            <w:r>
              <w:rPr>
                <w:b w:val="0"/>
                <w:sz w:val="17"/>
              </w:rPr>
              <w:t>≈ EGP 45.6 bn</w:t>
            </w:r>
          </w:p>
        </w:tc>
      </w:tr>
      <w:tr>
        <w:tc>
          <w:tcPr>
            <w:tcW w:type="dxa" w:w="6624"/>
          </w:tcPr>
          <w:p>
            <w:pPr>
              <w:spacing w:after="40"/>
            </w:pPr>
            <w:r>
              <w:rPr>
                <w:b w:val="0"/>
                <w:sz w:val="17"/>
              </w:rPr>
              <w:t>EBITDA margin (tariff one step above today)</w:t>
            </w:r>
          </w:p>
        </w:tc>
        <w:tc>
          <w:tcPr>
            <w:tcW w:type="dxa" w:w="3168"/>
          </w:tcPr>
          <w:p>
            <w:pPr>
              <w:spacing w:after="40"/>
            </w:pPr>
            <w:r>
              <w:rPr>
                <w:b w:val="0"/>
                <w:sz w:val="17"/>
              </w:rPr>
              <w:t>≈ 30%</w:t>
            </w:r>
          </w:p>
        </w:tc>
      </w:tr>
      <w:tr>
        <w:tc>
          <w:tcPr>
            <w:tcW w:type="dxa" w:w="6624"/>
          </w:tcPr>
          <w:p>
            <w:pPr>
              <w:spacing w:after="40"/>
            </w:pPr>
            <w:r>
              <w:rPr>
                <w:b w:val="0"/>
                <w:sz w:val="17"/>
              </w:rPr>
              <w:t>Normalized EBITDA / less D&amp;A</w:t>
            </w:r>
          </w:p>
        </w:tc>
        <w:tc>
          <w:tcPr>
            <w:tcW w:type="dxa" w:w="3168"/>
          </w:tcPr>
          <w:p>
            <w:pPr>
              <w:spacing w:after="40"/>
            </w:pPr>
            <w:r>
              <w:rPr>
                <w:b w:val="0"/>
                <w:sz w:val="17"/>
              </w:rPr>
              <w:t>13.6 / (1.0) EGP bn</w:t>
            </w:r>
          </w:p>
        </w:tc>
      </w:tr>
      <w:tr>
        <w:tc>
          <w:tcPr>
            <w:tcW w:type="dxa" w:w="6624"/>
          </w:tcPr>
          <w:p>
            <w:pPr>
              <w:spacing w:after="40"/>
            </w:pPr>
            <w:r>
              <w:rPr>
                <w:b w:val="0"/>
                <w:sz w:val="17"/>
              </w:rPr>
              <w:t>Net interest on cash pile (faded rates)</w:t>
            </w:r>
          </w:p>
        </w:tc>
        <w:tc>
          <w:tcPr>
            <w:tcW w:type="dxa" w:w="3168"/>
          </w:tcPr>
          <w:p>
            <w:pPr>
              <w:spacing w:after="40"/>
            </w:pPr>
            <w:r>
              <w:rPr>
                <w:b w:val="0"/>
                <w:sz w:val="17"/>
              </w:rPr>
              <w:t>+2.1 EGP bn</w:t>
            </w:r>
          </w:p>
        </w:tc>
      </w:tr>
      <w:tr>
        <w:tc>
          <w:tcPr>
            <w:tcW w:type="dxa" w:w="6624"/>
          </w:tcPr>
          <w:p>
            <w:pPr>
              <w:spacing w:after="40"/>
            </w:pPr>
            <w:r>
              <w:rPr>
                <w:b w:val="0"/>
                <w:sz w:val="17"/>
              </w:rPr>
              <w:t>Tax at 22.5% → mid-cycle net profit</w:t>
            </w:r>
          </w:p>
        </w:tc>
        <w:tc>
          <w:tcPr>
            <w:tcW w:type="dxa" w:w="3168"/>
          </w:tcPr>
          <w:p>
            <w:pPr>
              <w:spacing w:after="40"/>
            </w:pPr>
            <w:r>
              <w:rPr>
                <w:b w:val="0"/>
                <w:sz w:val="17"/>
              </w:rPr>
              <w:t>≈ EGP 11.4 bn</w:t>
            </w:r>
          </w:p>
        </w:tc>
      </w:tr>
      <w:tr>
        <w:tc>
          <w:tcPr>
            <w:tcW w:type="dxa" w:w="6624"/>
          </w:tcPr>
          <w:p>
            <w:pPr>
              <w:spacing w:after="40"/>
            </w:pPr>
            <w:r>
              <w:rPr>
                <w:b w:val="0"/>
                <w:sz w:val="17"/>
              </w:rPr>
              <w:t>Normalized EPS (412.5 m shares)</w:t>
            </w:r>
          </w:p>
        </w:tc>
        <w:tc>
          <w:tcPr>
            <w:tcW w:type="dxa" w:w="3168"/>
          </w:tcPr>
          <w:p>
            <w:pPr>
              <w:spacing w:after="40"/>
            </w:pPr>
            <w:r>
              <w:rPr>
                <w:b w:val="0"/>
                <w:sz w:val="17"/>
              </w:rPr>
              <w:t>≈ EGP 27.7</w:t>
            </w:r>
          </w:p>
        </w:tc>
      </w:tr>
      <w:tr>
        <w:tc>
          <w:tcPr>
            <w:tcW w:type="dxa" w:w="6624"/>
          </w:tcPr>
          <w:p>
            <w:pPr>
              <w:spacing w:after="40"/>
            </w:pPr>
            <w:r>
              <w:rPr>
                <w:b w:val="0"/>
                <w:sz w:val="17"/>
              </w:rPr>
              <w:t>Justified P/E (history 4–7× pre-float; Alba ~11×; float discount)</w:t>
            </w:r>
          </w:p>
        </w:tc>
        <w:tc>
          <w:tcPr>
            <w:tcW w:type="dxa" w:w="3168"/>
          </w:tcPr>
          <w:p>
            <w:pPr>
              <w:spacing w:after="40"/>
            </w:pPr>
            <w:r>
              <w:rPr>
                <w:b w:val="0"/>
                <w:sz w:val="17"/>
              </w:rPr>
              <w:t>9.5×</w:t>
            </w:r>
          </w:p>
        </w:tc>
      </w:tr>
      <w:tr>
        <w:tc>
          <w:tcPr>
            <w:tcW w:type="dxa" w:w="6624"/>
          </w:tcPr>
          <w:p>
            <w:pPr>
              <w:spacing w:after="40"/>
            </w:pPr>
            <w:r>
              <w:rPr>
                <w:b/>
                <w:sz w:val="17"/>
              </w:rPr>
              <w:t>Fair value</w:t>
            </w:r>
          </w:p>
        </w:tc>
        <w:tc>
          <w:tcPr>
            <w:tcW w:type="dxa" w:w="3168"/>
          </w:tcPr>
          <w:p>
            <w:pPr>
              <w:spacing w:after="40"/>
            </w:pPr>
            <w:r>
              <w:rPr>
                <w:b/>
                <w:sz w:val="17"/>
              </w:rPr>
              <w:t>≈ EGP 265/share</w:t>
            </w:r>
          </w:p>
        </w:tc>
      </w:tr>
    </w:tbl>
    <w:p>
      <w:pPr>
        <w:spacing w:after="40"/>
      </w:pPr>
    </w:p>
    <w:p>
      <w:pPr>
        <w:spacing w:after="120"/>
      </w:pPr>
      <w:r>
        <w:rPr>
          <w:b/>
          <w:i w:val="0"/>
          <w:sz w:val="19"/>
        </w:rPr>
        <w:t>Sensitivity (swing = the normalized margin and the multiple).</w:t>
      </w:r>
      <w:r>
        <w:rPr>
          <w:b w:val="0"/>
          <w:i w:val="0"/>
          <w:sz w:val="19"/>
        </w:rPr>
        <w:t xml:space="preserve"> At an 8× multiple the value is EGP 222; at 11×, EGP 305. Holding 9.5× and moving the margin: 27% gives ≈EGP 240, 33% gives ≈EGP 290. His stated range is </w:t>
      </w:r>
      <w:r>
        <w:rPr>
          <w:b/>
          <w:i w:val="0"/>
          <w:sz w:val="19"/>
        </w:rPr>
        <w:t>EGP 173–376</w:t>
      </w:r>
      <w:r>
        <w:rPr>
          <w:b w:val="0"/>
          <w:i w:val="0"/>
          <w:sz w:val="19"/>
        </w:rPr>
        <w:t xml:space="preserve"> (bear: EGP 9.5 bn mid-cycle NP at 7.5×; bull: 13.5 bn at 11.5×).</w:t>
      </w:r>
    </w:p>
    <w:p>
      <w:pPr>
        <w:spacing w:after="120"/>
      </w:pPr>
      <w:r>
        <w:rPr>
          <w:b/>
          <w:i w:val="0"/>
          <w:sz w:val="19"/>
        </w:rPr>
        <w:t>Reading his own table.</w:t>
      </w:r>
      <w:r>
        <w:rPr>
          <w:b w:val="0"/>
          <w:i w:val="0"/>
          <w:sz w:val="19"/>
        </w:rPr>
        <w:t xml:space="preserve"> Walk the build and notice where the judgment actually lives. The LME line is the least controversial — US$2,550 sits inside every consensus long-run band and below the 2026 spot spike he refuses to extrapolate. The premium is empirical, not hopeful: FY24/25's reported revenue against ~272 kt implies a realized ~1.34x over the year's average LME, so his 1.30x is a mild haircut for CBAM leakage and mix drift. Volume at 275 kt assumes no expansion and no decay — deliberately static, since crediting the doubling would smuggle Expert 3's scenario A into a lens whose whole discipline is refusing scenarios. The margin is where he sweats: 30% concedes one more tariff step but not cost-recovery, and he flags openly that this single row is half his EGP 173–376 range. The multiple, finally, is triangulated rather than asserted — the pre-float 4–7x era is dismissed as an artifact of a mispriced pound, Alba's ~11x is trimmed a turn and a half for a 10% float and a sole state supplier of power. Nothing in the build requires believing anything the company has announced since May.</w:t>
      </w:r>
    </w:p>
    <w:p>
      <w:pPr>
        <w:spacing w:after="120"/>
      </w:pPr>
      <w:r>
        <w:rPr>
          <w:b/>
          <w:i w:val="0"/>
          <w:sz w:val="19"/>
        </w:rPr>
        <w:t>Cross-examination.</w:t>
      </w:r>
      <w:r>
        <w:rPr>
          <w:b w:val="0"/>
          <w:i w:val="0"/>
          <w:sz w:val="19"/>
        </w:rPr>
        <w:t xml:space="preserve"> To Expert 2: 'Your asset marks price the machine and ignore the licence — the sub-market power contract is worth more than the potlines, and it only shows up in earnings, which is where I live.' To Expert 3: 'Your scenario tree is my sensitivity table with adjectives. Weighting three stories to 272 versus my 265 is not a different method; it is a different confidence interval.'</w:t>
      </w:r>
    </w:p>
    <w:p>
      <w:pPr>
        <w:spacing w:after="120"/>
      </w:pPr>
      <w:r>
        <w:rPr>
          <w:b/>
          <w:i w:val="0"/>
          <w:sz w:val="19"/>
        </w:rPr>
        <w:t>Verdict, falsification, market-implied.</w:t>
      </w:r>
      <w:r>
        <w:rPr>
          <w:b w:val="0"/>
          <w:i w:val="0"/>
          <w:sz w:val="19"/>
        </w:rPr>
        <w:t xml:space="preserve"> </w:t>
      </w:r>
      <w:r>
        <w:rPr>
          <w:b/>
          <w:i w:val="0"/>
          <w:sz w:val="19"/>
        </w:rPr>
        <w:t>Fair EGP 265 (range 173–376).</w:t>
      </w:r>
      <w:r>
        <w:rPr>
          <w:b w:val="0"/>
          <w:i w:val="0"/>
          <w:sz w:val="19"/>
        </w:rPr>
        <w:t xml:space="preserve"> Falsified by a structural regime change: a cost-recovery tariff or a durably strong pound that makes 30% margins unreachable through a cycle — or the doubling closing, which would re-base his volume line entirely. At EGP 286 the market is paying 10.3× his normalized earnings: it is either using a higher multiple than the float deserves or normalizing FY25/26's exit rate as permanent. He thinks the second, and thinks it a mistake.</w:t>
      </w:r>
    </w:p>
    <w:p>
      <w:pPr>
        <w:pStyle w:val="Heading2"/>
      </w:pPr>
      <w:r>
        <w:t>D.2  Expert 2 — realizable assets and cash quality</w:t>
      </w:r>
    </w:p>
    <w:p>
      <w:pPr>
        <w:spacing w:after="120"/>
      </w:pPr>
      <w:r>
        <w:rPr>
          <w:b/>
          <w:i w:val="0"/>
          <w:sz w:val="19"/>
        </w:rPr>
        <w:t>Worldview and tradition.</w:t>
      </w:r>
      <w:r>
        <w:rPr>
          <w:b w:val="0"/>
          <w:i w:val="0"/>
          <w:sz w:val="19"/>
        </w:rPr>
        <w:t xml:space="preserve"> The Graham-Dodd realization school: a business is worth what its assets would fetch net of every claim, and reported profit is trusted only as it converts to cash. The balance sheet is a fact; the future is a guess. On a state-controlled register where minorities cannot force anything, he prices what exists, not what is promised.</w:t>
      </w:r>
    </w:p>
    <w:p>
      <w:pPr>
        <w:spacing w:after="120"/>
      </w:pPr>
      <w:r>
        <w:rPr>
          <w:b/>
          <w:i w:val="0"/>
          <w:sz w:val="19"/>
        </w:rPr>
        <w:t>When it works / when it fails.</w:t>
      </w:r>
      <w:r>
        <w:rPr>
          <w:b w:val="0"/>
          <w:i w:val="0"/>
          <w:sz w:val="19"/>
        </w:rPr>
        <w:t xml:space="preserve"> It works where assets are markable and cash is verifiable — EGAL's smelter has a quoted replacement market and its cash pile is disclosed. It fails where the largest asset is intangible: here, the administered power contract and the export franchise, which no balance sheet carries. He answers with a bounded going-concern credit, not a projection.</w:t>
      </w:r>
    </w:p>
    <w:p>
      <w:pPr>
        <w:spacing w:after="120"/>
      </w:pPr>
      <w:r>
        <w:rPr>
          <w:b/>
          <w:i w:val="0"/>
          <w:sz w:val="19"/>
        </w:rPr>
        <w:t>Standard workings.</w:t>
      </w:r>
      <w:r>
        <w:rPr>
          <w:b w:val="0"/>
          <w:i w:val="0"/>
          <w:sz w:val="19"/>
        </w:rPr>
        <w:t xml:space="preserve"> (1) Mark each asset to conservative realizable value with explicit haircuts. (2) Test earnings quality via the operating-cash-flow-to-net-income bridge. (3) Bridge to equity: less all claims, less off-balance obligations. (4) Add a bounded credit only for cash generation already visible. (5) Sensitivity on the swing mark.</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4896"/>
        <w:gridCol w:w="4896"/>
      </w:tblGrid>
      <w:tr>
        <w:tc>
          <w:tcPr>
            <w:tcW w:type="dxa" w:w="6624"/>
            <w:shd w:val="clear" w:fill="1C3A36"/>
          </w:tcPr>
          <w:p>
            <w:pPr>
              <w:spacing w:after="40"/>
            </w:pPr>
            <w:r>
              <w:rPr>
                <w:b/>
                <w:color w:val="FFFFFF"/>
                <w:sz w:val="17"/>
              </w:rPr>
              <w:t>Expert 2's marks (EGP bn)</w:t>
            </w:r>
          </w:p>
        </w:tc>
        <w:tc>
          <w:tcPr>
            <w:tcW w:type="dxa" w:w="3168"/>
            <w:shd w:val="clear" w:fill="1C3A36"/>
          </w:tcPr>
          <w:p>
            <w:pPr>
              <w:spacing w:after="40"/>
            </w:pPr>
            <w:r>
              <w:rPr>
                <w:b/>
                <w:color w:val="FFFFFF"/>
                <w:sz w:val="17"/>
              </w:rPr>
              <w:t>Value</w:t>
            </w:r>
          </w:p>
        </w:tc>
      </w:tr>
      <w:tr>
        <w:tc>
          <w:tcPr>
            <w:tcW w:type="dxa" w:w="6624"/>
          </w:tcPr>
          <w:p>
            <w:pPr>
              <w:spacing w:after="40"/>
            </w:pPr>
            <w:r>
              <w:rPr>
                <w:b w:val="0"/>
                <w:sz w:val="17"/>
              </w:rPr>
              <w:t>Smelter at replacement: 320 kt × US$5,500 × 49.1</w:t>
            </w:r>
          </w:p>
        </w:tc>
        <w:tc>
          <w:tcPr>
            <w:tcW w:type="dxa" w:w="3168"/>
          </w:tcPr>
          <w:p>
            <w:pPr>
              <w:spacing w:after="40"/>
            </w:pPr>
            <w:r>
              <w:rPr>
                <w:b w:val="0"/>
                <w:sz w:val="17"/>
              </w:rPr>
              <w:t>86.4</w:t>
            </w:r>
          </w:p>
        </w:tc>
      </w:tr>
      <w:tr>
        <w:tc>
          <w:tcPr>
            <w:tcW w:type="dxa" w:w="6624"/>
          </w:tcPr>
          <w:p>
            <w:pPr>
              <w:spacing w:after="40"/>
            </w:pPr>
            <w:r>
              <w:rPr>
                <w:b w:val="0"/>
                <w:sz w:val="17"/>
              </w:rPr>
              <w:t>less 15% age/technology haircut</w:t>
            </w:r>
          </w:p>
        </w:tc>
        <w:tc>
          <w:tcPr>
            <w:tcW w:type="dxa" w:w="3168"/>
          </w:tcPr>
          <w:p>
            <w:pPr>
              <w:spacing w:after="40"/>
            </w:pPr>
            <w:r>
              <w:rPr>
                <w:b w:val="0"/>
                <w:sz w:val="17"/>
              </w:rPr>
              <w:t>(13.0)</w:t>
            </w:r>
          </w:p>
        </w:tc>
      </w:tr>
      <w:tr>
        <w:tc>
          <w:tcPr>
            <w:tcW w:type="dxa" w:w="6624"/>
          </w:tcPr>
          <w:p>
            <w:pPr>
              <w:spacing w:after="40"/>
            </w:pPr>
            <w:r>
              <w:rPr>
                <w:b w:val="0"/>
                <w:sz w:val="17"/>
              </w:rPr>
              <w:t>Net working capital (inventory 8.6 + receivables 3.9 − payables 4.2)</w:t>
            </w:r>
          </w:p>
        </w:tc>
        <w:tc>
          <w:tcPr>
            <w:tcW w:type="dxa" w:w="3168"/>
          </w:tcPr>
          <w:p>
            <w:pPr>
              <w:spacing w:after="40"/>
            </w:pPr>
            <w:r>
              <w:rPr>
                <w:b w:val="0"/>
                <w:sz w:val="17"/>
              </w:rPr>
              <w:t>8.3</w:t>
            </w:r>
          </w:p>
        </w:tc>
      </w:tr>
      <w:tr>
        <w:tc>
          <w:tcPr>
            <w:tcW w:type="dxa" w:w="6624"/>
          </w:tcPr>
          <w:p>
            <w:pPr>
              <w:spacing w:after="40"/>
            </w:pPr>
            <w:r>
              <w:rPr>
                <w:b w:val="0"/>
                <w:sz w:val="17"/>
              </w:rPr>
              <w:t>Cash &amp; ST investments (disclosed anchor, rolled)</w:t>
            </w:r>
          </w:p>
        </w:tc>
        <w:tc>
          <w:tcPr>
            <w:tcW w:type="dxa" w:w="3168"/>
          </w:tcPr>
          <w:p>
            <w:pPr>
              <w:spacing w:after="40"/>
            </w:pPr>
            <w:r>
              <w:rPr>
                <w:b w:val="0"/>
                <w:sz w:val="17"/>
              </w:rPr>
              <w:t>9.6</w:t>
            </w:r>
          </w:p>
        </w:tc>
      </w:tr>
      <w:tr>
        <w:tc>
          <w:tcPr>
            <w:tcW w:type="dxa" w:w="6624"/>
          </w:tcPr>
          <w:p>
            <w:pPr>
              <w:spacing w:after="40"/>
            </w:pPr>
            <w:r>
              <w:rPr>
                <w:b w:val="0"/>
                <w:sz w:val="17"/>
              </w:rPr>
              <w:t>less: debt and provisions/claims</w:t>
            </w:r>
          </w:p>
        </w:tc>
        <w:tc>
          <w:tcPr>
            <w:tcW w:type="dxa" w:w="3168"/>
          </w:tcPr>
          <w:p>
            <w:pPr>
              <w:spacing w:after="40"/>
            </w:pPr>
            <w:r>
              <w:rPr>
                <w:b w:val="0"/>
                <w:sz w:val="17"/>
              </w:rPr>
              <w:t>(1.4)</w:t>
            </w:r>
          </w:p>
        </w:tc>
      </w:tr>
      <w:tr>
        <w:tc>
          <w:tcPr>
            <w:tcW w:type="dxa" w:w="6624"/>
          </w:tcPr>
          <w:p>
            <w:pPr>
              <w:spacing w:after="40"/>
            </w:pPr>
            <w:r>
              <w:rPr>
                <w:b w:val="0"/>
                <w:sz w:val="17"/>
              </w:rPr>
              <w:t>Realizable floor = EGP 89.9 bn</w:t>
            </w:r>
          </w:p>
        </w:tc>
        <w:tc>
          <w:tcPr>
            <w:tcW w:type="dxa" w:w="3168"/>
          </w:tcPr>
          <w:p>
            <w:pPr>
              <w:spacing w:after="40"/>
            </w:pPr>
            <w:r>
              <w:rPr>
                <w:b w:val="0"/>
                <w:sz w:val="17"/>
              </w:rPr>
              <w:t>≈ EGP 218/share</w:t>
            </w:r>
          </w:p>
        </w:tc>
      </w:tr>
      <w:tr>
        <w:tc>
          <w:tcPr>
            <w:tcW w:type="dxa" w:w="6624"/>
          </w:tcPr>
          <w:p>
            <w:pPr>
              <w:spacing w:after="40"/>
            </w:pPr>
            <w:r>
              <w:rPr>
                <w:b w:val="0"/>
                <w:sz w:val="17"/>
              </w:rPr>
              <w:t>Earnings-quality test: 3-yr OCF/NI = 21.4/23.2</w:t>
            </w:r>
          </w:p>
        </w:tc>
        <w:tc>
          <w:tcPr>
            <w:tcW w:type="dxa" w:w="3168"/>
          </w:tcPr>
          <w:p>
            <w:pPr>
              <w:spacing w:after="40"/>
            </w:pPr>
            <w:r>
              <w:rPr>
                <w:b w:val="0"/>
                <w:sz w:val="17"/>
              </w:rPr>
              <w:t>92% — genuine cash</w:t>
            </w:r>
          </w:p>
        </w:tc>
      </w:tr>
      <w:tr>
        <w:tc>
          <w:tcPr>
            <w:tcW w:type="dxa" w:w="6624"/>
          </w:tcPr>
          <w:p>
            <w:pPr>
              <w:spacing w:after="40"/>
            </w:pPr>
            <w:r>
              <w:rPr>
                <w:b w:val="0"/>
                <w:sz w:val="17"/>
              </w:rPr>
              <w:t>Bounded going-concern credit: ~2 yrs visible FCF above maintenance, discounted</w:t>
            </w:r>
          </w:p>
        </w:tc>
        <w:tc>
          <w:tcPr>
            <w:tcW w:type="dxa" w:w="3168"/>
          </w:tcPr>
          <w:p>
            <w:pPr>
              <w:spacing w:after="40"/>
            </w:pPr>
            <w:r>
              <w:rPr>
                <w:b w:val="0"/>
                <w:sz w:val="17"/>
              </w:rPr>
              <w:t>+ ≈ EGP 26/share</w:t>
            </w:r>
          </w:p>
        </w:tc>
      </w:tr>
      <w:tr>
        <w:tc>
          <w:tcPr>
            <w:tcW w:type="dxa" w:w="6624"/>
          </w:tcPr>
          <w:p>
            <w:pPr>
              <w:spacing w:after="40"/>
            </w:pPr>
            <w:r>
              <w:rPr>
                <w:b/>
                <w:sz w:val="17"/>
              </w:rPr>
              <w:t>Fair value</w:t>
            </w:r>
          </w:p>
        </w:tc>
        <w:tc>
          <w:tcPr>
            <w:tcW w:type="dxa" w:w="3168"/>
          </w:tcPr>
          <w:p>
            <w:pPr>
              <w:spacing w:after="40"/>
            </w:pPr>
            <w:r>
              <w:rPr>
                <w:b/>
                <w:sz w:val="17"/>
              </w:rPr>
              <w:t>≈ EGP 244/share</w:t>
            </w:r>
          </w:p>
        </w:tc>
      </w:tr>
    </w:tbl>
    <w:p>
      <w:pPr>
        <w:spacing w:after="40"/>
      </w:pPr>
    </w:p>
    <w:p>
      <w:pPr>
        <w:spacing w:after="120"/>
      </w:pPr>
      <w:r>
        <w:rPr>
          <w:b/>
          <w:i w:val="0"/>
          <w:sz w:val="19"/>
        </w:rPr>
        <w:t>Sensitivity (swing = the plant mark).</w:t>
      </w:r>
      <w:r>
        <w:rPr>
          <w:b w:val="0"/>
          <w:i w:val="0"/>
          <w:sz w:val="19"/>
        </w:rPr>
        <w:t xml:space="preserve"> At US$4,500/t the floor is EGP 186 and his value ≈EGP 212; at US$6,500/t, floor EGP 250 and value ≈EGP 276. The 15% haircut moving to 25% costs ≈EGP 21. His stated range is </w:t>
      </w:r>
      <w:r>
        <w:rPr>
          <w:b/>
          <w:i w:val="0"/>
          <w:sz w:val="19"/>
        </w:rPr>
        <w:t>EGP 190–318</w:t>
      </w:r>
      <w:r>
        <w:rPr>
          <w:b w:val="0"/>
          <w:i w:val="0"/>
          <w:sz w:val="19"/>
        </w:rPr>
        <w:t>.</w:t>
      </w:r>
    </w:p>
    <w:p>
      <w:pPr>
        <w:spacing w:after="120"/>
      </w:pPr>
      <w:r>
        <w:rPr>
          <w:b/>
          <w:i w:val="0"/>
          <w:sz w:val="19"/>
        </w:rPr>
        <w:t>Reading his own ledger.</w:t>
      </w:r>
      <w:r>
        <w:rPr>
          <w:b w:val="0"/>
          <w:i w:val="0"/>
          <w:sz w:val="19"/>
        </w:rPr>
        <w:t xml:space="preserve"> The order of the marks is his argument. The plant comes first because it is the only line with an external market: Gulf and Indian new-builds cluster at US$5,000–6,000 a tonne, so US$5,500 less 15% for a mature complex is a mark a buyer could actually be shown. Working capital he takes nearly whole — aluminium inventory is exchange-deliverable and the receivables book is short and export-backed — while the cash line he trusts most of all, since it is the one figure the company discloses to the pound and the one the dividend record (2.50, 3.00, 8.00, 10.00 declared) keeps proving. What he will not do is capitalize: no multiple appears anywhere in his table. The going-concern credit of ~EGP 26 is not a valuation of the future but an audit of the present — two years of free cash flow the current tariff and current pound are already generating, discounted at the same 20% the body uses. Beyond two years, he says, you are pricing a ministry's patience, and he declines.</w:t>
      </w:r>
    </w:p>
    <w:p>
      <w:pPr>
        <w:spacing w:after="120"/>
      </w:pPr>
      <w:r>
        <w:rPr>
          <w:b/>
          <w:i w:val="0"/>
          <w:sz w:val="19"/>
        </w:rPr>
        <w:t>Cross-examination.</w:t>
      </w:r>
      <w:r>
        <w:rPr>
          <w:b w:val="0"/>
          <w:i w:val="0"/>
          <w:sz w:val="19"/>
        </w:rPr>
        <w:t xml:space="preserve"> To Expert 1: 'Your 30% margin is the power contract wearing a costume. Mark the contract to market — grid tariff to cost-recovery — and your mid-cycle profit is a third smaller; I refuse to capitalize a subsidy the owner can repeal by decree.' To Expert 3: 'You weight promises. The Trafigura press release is not an asset; a signed financing with a use-of-proceeds schedule is. Until then it is worth the paper's option value, which I bound at zero-to-small.'</w:t>
      </w:r>
    </w:p>
    <w:p>
      <w:pPr>
        <w:spacing w:after="120"/>
      </w:pPr>
      <w:r>
        <w:rPr>
          <w:b/>
          <w:i w:val="0"/>
          <w:sz w:val="19"/>
        </w:rPr>
        <w:t>Verdict, falsification, market-implied.</w:t>
      </w:r>
      <w:r>
        <w:rPr>
          <w:b w:val="0"/>
          <w:i w:val="0"/>
          <w:sz w:val="19"/>
        </w:rPr>
        <w:t xml:space="preserve"> </w:t>
      </w:r>
      <w:r>
        <w:rPr>
          <w:b/>
          <w:i w:val="0"/>
          <w:sz w:val="19"/>
        </w:rPr>
        <w:t>Fair EGP 244 (range 190–318) — the panel's floor-keeper.</w:t>
      </w:r>
      <w:r>
        <w:rPr>
          <w:b w:val="0"/>
          <w:i w:val="0"/>
          <w:sz w:val="19"/>
        </w:rPr>
        <w:t xml:space="preserve"> Falsified if the intangibles become contractual: a locked long-tenor power price (the Scatec PPA reaching financial close), or the expansion financing signing — either converts promise into markable asset and forces his number up. At EGP 286 the market pays a 31% premium to his realizable floor: it is capitalizing the contract and the deal he refuses to. That is a coherent disagreement about evidence, not arithmetic.</w:t>
      </w:r>
    </w:p>
    <w:p>
      <w:pPr>
        <w:pStyle w:val="Heading2"/>
      </w:pPr>
      <w:r>
        <w:t>D.3  Expert 3 — scenario-weighted policy real options</w:t>
      </w:r>
    </w:p>
    <w:p>
      <w:pPr>
        <w:spacing w:after="120"/>
      </w:pPr>
      <w:r>
        <w:rPr>
          <w:b/>
          <w:i w:val="0"/>
          <w:sz w:val="19"/>
        </w:rPr>
        <w:t>Worldview and tradition.</w:t>
      </w:r>
      <w:r>
        <w:rPr>
          <w:b w:val="0"/>
          <w:i w:val="0"/>
          <w:sz w:val="19"/>
        </w:rPr>
        <w:t xml:space="preserve"> In frontier markets, policy outranks fundamentals: the FX regime, the tariff schedule, the privatization program and sovereign action move value more than management does. He prices the asset as a portfolio of options on which policy world arrives, in the scenario-planning and real-options tradition. He does not pick a side; he weights the odds.</w:t>
      </w:r>
    </w:p>
    <w:p>
      <w:pPr>
        <w:spacing w:after="120"/>
      </w:pPr>
      <w:r>
        <w:rPr>
          <w:b/>
          <w:i w:val="0"/>
          <w:sz w:val="19"/>
        </w:rPr>
        <w:t>When it works / when it fails.</w:t>
      </w:r>
      <w:r>
        <w:rPr>
          <w:b w:val="0"/>
          <w:i w:val="0"/>
          <w:sz w:val="19"/>
        </w:rPr>
        <w:t xml:space="preserve"> It works where a small number of state decisions dominate the payoff — EGAL's tariff, pound and ownership are exactly that. It fails when the probabilities are unknowable pretence, or when operations quietly matter more than policy (a potline failure respects no scenario tree). He defends the weights as explicit, stress-tested judgments — editable, unlike hidden ones.</w:t>
      </w:r>
    </w:p>
    <w:p>
      <w:pPr>
        <w:spacing w:after="120"/>
      </w:pPr>
      <w:r>
        <w:rPr>
          <w:b/>
          <w:i w:val="0"/>
          <w:sz w:val="19"/>
        </w:rPr>
        <w:t>Standard workings.</w:t>
      </w:r>
      <w:r>
        <w:rPr>
          <w:b w:val="0"/>
          <w:i w:val="0"/>
          <w:sz w:val="19"/>
        </w:rPr>
        <w:t xml:space="preserve"> (1) Identify the 3–5 policy levers that set the value: electricity tariff path, EGP regime, Trafigura financing, MIH stake action, CBAM stance. (2) Define bull/base/bear as configurations of those levers. (3) Re-run the base valuation machinery under each configuration so scenario values are derived, not asserted. (4) Probability-weight. (5) Stress the weights.</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5616"/>
            <w:shd w:val="clear" w:fill="1C3A36"/>
          </w:tcPr>
          <w:p>
            <w:pPr>
              <w:spacing w:after="40"/>
            </w:pPr>
            <w:r>
              <w:rPr>
                <w:b/>
                <w:color w:val="FFFFFF"/>
                <w:sz w:val="17"/>
              </w:rPr>
              <w:t>Scenario (policy configuration)</w:t>
            </w:r>
          </w:p>
        </w:tc>
        <w:tc>
          <w:tcPr>
            <w:tcW w:type="dxa" w:w="1008"/>
            <w:shd w:val="clear" w:fill="1C3A36"/>
          </w:tcPr>
          <w:p>
            <w:pPr>
              <w:spacing w:after="40"/>
            </w:pPr>
            <w:r>
              <w:rPr>
                <w:b/>
                <w:color w:val="FFFFFF"/>
                <w:sz w:val="17"/>
              </w:rPr>
              <w:t>Prob.</w:t>
            </w:r>
          </w:p>
        </w:tc>
        <w:tc>
          <w:tcPr>
            <w:tcW w:type="dxa" w:w="1584"/>
            <w:shd w:val="clear" w:fill="1C3A36"/>
          </w:tcPr>
          <w:p>
            <w:pPr>
              <w:spacing w:after="40"/>
            </w:pPr>
            <w:r>
              <w:rPr>
                <w:b/>
                <w:color w:val="FFFFFF"/>
                <w:sz w:val="17"/>
              </w:rPr>
              <w:t>Derived value</w:t>
            </w:r>
          </w:p>
        </w:tc>
        <w:tc>
          <w:tcPr>
            <w:tcW w:type="dxa" w:w="1584"/>
            <w:shd w:val="clear" w:fill="1C3A36"/>
          </w:tcPr>
          <w:p>
            <w:pPr>
              <w:spacing w:after="40"/>
            </w:pPr>
            <w:r>
              <w:rPr>
                <w:b/>
                <w:color w:val="FFFFFF"/>
                <w:sz w:val="17"/>
              </w:rPr>
              <w:t>Contribution</w:t>
            </w:r>
          </w:p>
        </w:tc>
      </w:tr>
      <w:tr>
        <w:tc>
          <w:tcPr>
            <w:tcW w:type="dxa" w:w="5616"/>
          </w:tcPr>
          <w:p>
            <w:pPr>
              <w:spacing w:after="40"/>
            </w:pPr>
            <w:r>
              <w:rPr>
                <w:b w:val="0"/>
                <w:sz w:val="17"/>
              </w:rPr>
              <w:t>A — Reform continuation: moderate tariff steps, Trafigura financing closes, Scatec proceeds, stake-sale signalled; re-run at 18.5% WACC + option credited</w:t>
            </w:r>
          </w:p>
        </w:tc>
        <w:tc>
          <w:tcPr>
            <w:tcW w:type="dxa" w:w="1008"/>
          </w:tcPr>
          <w:p>
            <w:pPr>
              <w:spacing w:after="40"/>
              <w:jc w:val="right"/>
            </w:pPr>
            <w:r>
              <w:rPr>
                <w:b w:val="0"/>
                <w:sz w:val="17"/>
              </w:rPr>
              <w:t>40%</w:t>
            </w:r>
          </w:p>
        </w:tc>
        <w:tc>
          <w:tcPr>
            <w:tcW w:type="dxa" w:w="1584"/>
          </w:tcPr>
          <w:p>
            <w:pPr>
              <w:spacing w:after="40"/>
              <w:jc w:val="right"/>
            </w:pPr>
            <w:r>
              <w:rPr>
                <w:b w:val="0"/>
                <w:sz w:val="17"/>
              </w:rPr>
              <w:t>EGP 330</w:t>
            </w:r>
          </w:p>
        </w:tc>
        <w:tc>
          <w:tcPr>
            <w:tcW w:type="dxa" w:w="1584"/>
          </w:tcPr>
          <w:p>
            <w:pPr>
              <w:spacing w:after="40"/>
              <w:jc w:val="right"/>
            </w:pPr>
            <w:r>
              <w:rPr>
                <w:b w:val="0"/>
                <w:sz w:val="17"/>
              </w:rPr>
              <w:t>132</w:t>
            </w:r>
          </w:p>
        </w:tc>
      </w:tr>
      <w:tr>
        <w:tc>
          <w:tcPr>
            <w:tcW w:type="dxa" w:w="5616"/>
          </w:tcPr>
          <w:p>
            <w:pPr>
              <w:spacing w:after="40"/>
            </w:pPr>
            <w:r>
              <w:rPr>
                <w:b w:val="0"/>
                <w:sz w:val="17"/>
              </w:rPr>
              <w:t>B — Muddle-through: tariff steps continue, deal stalls at term sheet, EGP flat ~49; base machinery unchanged</w:t>
            </w:r>
          </w:p>
        </w:tc>
        <w:tc>
          <w:tcPr>
            <w:tcW w:type="dxa" w:w="1008"/>
          </w:tcPr>
          <w:p>
            <w:pPr>
              <w:spacing w:after="40"/>
              <w:jc w:val="right"/>
            </w:pPr>
            <w:r>
              <w:rPr>
                <w:b w:val="0"/>
                <w:sz w:val="17"/>
              </w:rPr>
              <w:t>40%</w:t>
            </w:r>
          </w:p>
        </w:tc>
        <w:tc>
          <w:tcPr>
            <w:tcW w:type="dxa" w:w="1584"/>
          </w:tcPr>
          <w:p>
            <w:pPr>
              <w:spacing w:after="40"/>
              <w:jc w:val="right"/>
            </w:pPr>
            <w:r>
              <w:rPr>
                <w:b w:val="0"/>
                <w:sz w:val="17"/>
              </w:rPr>
              <w:t>EGP 255</w:t>
            </w:r>
          </w:p>
        </w:tc>
        <w:tc>
          <w:tcPr>
            <w:tcW w:type="dxa" w:w="1584"/>
          </w:tcPr>
          <w:p>
            <w:pPr>
              <w:spacing w:after="40"/>
              <w:jc w:val="right"/>
            </w:pPr>
            <w:r>
              <w:rPr>
                <w:b w:val="0"/>
                <w:sz w:val="17"/>
              </w:rPr>
              <w:t>102</w:t>
            </w:r>
          </w:p>
        </w:tc>
      </w:tr>
      <w:tr>
        <w:tc>
          <w:tcPr>
            <w:tcW w:type="dxa" w:w="5616"/>
          </w:tcPr>
          <w:p>
            <w:pPr>
              <w:spacing w:after="40"/>
            </w:pPr>
            <w:r>
              <w:rPr>
                <w:b w:val="0"/>
                <w:sz w:val="17"/>
              </w:rPr>
              <w:t>C — Squeeze: cost-recovery tariff + EGP appreciates &lt;47; margin to ~25%, multiple derates</w:t>
            </w:r>
          </w:p>
        </w:tc>
        <w:tc>
          <w:tcPr>
            <w:tcW w:type="dxa" w:w="1008"/>
          </w:tcPr>
          <w:p>
            <w:pPr>
              <w:spacing w:after="40"/>
              <w:jc w:val="right"/>
            </w:pPr>
            <w:r>
              <w:rPr>
                <w:b w:val="0"/>
                <w:sz w:val="17"/>
              </w:rPr>
              <w:t>20%</w:t>
            </w:r>
          </w:p>
        </w:tc>
        <w:tc>
          <w:tcPr>
            <w:tcW w:type="dxa" w:w="1584"/>
          </w:tcPr>
          <w:p>
            <w:pPr>
              <w:spacing w:after="40"/>
              <w:jc w:val="right"/>
            </w:pPr>
            <w:r>
              <w:rPr>
                <w:b w:val="0"/>
                <w:sz w:val="17"/>
              </w:rPr>
              <w:t>EGP 190</w:t>
            </w:r>
          </w:p>
        </w:tc>
        <w:tc>
          <w:tcPr>
            <w:tcW w:type="dxa" w:w="1584"/>
          </w:tcPr>
          <w:p>
            <w:pPr>
              <w:spacing w:after="40"/>
              <w:jc w:val="right"/>
            </w:pPr>
            <w:r>
              <w:rPr>
                <w:b w:val="0"/>
                <w:sz w:val="17"/>
              </w:rPr>
              <w:t>38</w:t>
            </w:r>
          </w:p>
        </w:tc>
      </w:tr>
      <w:tr>
        <w:tc>
          <w:tcPr>
            <w:tcW w:type="dxa" w:w="5616"/>
          </w:tcPr>
          <w:p>
            <w:pPr>
              <w:spacing w:after="40"/>
            </w:pPr>
            <w:r>
              <w:rPr>
                <w:b/>
                <w:sz w:val="17"/>
              </w:rPr>
              <w:t>Probability-weighted fair value</w:t>
            </w:r>
          </w:p>
        </w:tc>
        <w:tc>
          <w:tcPr>
            <w:tcW w:type="dxa" w:w="1008"/>
          </w:tcPr>
          <w:p>
            <w:pPr>
              <w:spacing w:after="40"/>
              <w:jc w:val="right"/>
            </w:pPr>
            <w:r>
              <w:rPr>
                <w:b w:val="0"/>
                <w:sz w:val="17"/>
              </w:rPr>
            </w:r>
          </w:p>
        </w:tc>
        <w:tc>
          <w:tcPr>
            <w:tcW w:type="dxa" w:w="1584"/>
          </w:tcPr>
          <w:p>
            <w:pPr>
              <w:spacing w:after="40"/>
              <w:jc w:val="right"/>
            </w:pPr>
            <w:r>
              <w:rPr>
                <w:b/>
                <w:sz w:val="17"/>
              </w:rPr>
              <w:t>≈ EGP 272</w:t>
            </w:r>
          </w:p>
        </w:tc>
        <w:tc>
          <w:tcPr>
            <w:tcW w:type="dxa" w:w="1584"/>
          </w:tcPr>
          <w:p>
            <w:pPr>
              <w:spacing w:after="40"/>
              <w:jc w:val="right"/>
            </w:pPr>
            <w:r>
              <w:rPr>
                <w:b/>
                <w:sz w:val="17"/>
              </w:rPr>
              <w:t>272</w:t>
            </w:r>
          </w:p>
        </w:tc>
      </w:tr>
    </w:tbl>
    <w:p>
      <w:pPr>
        <w:spacing w:after="40"/>
      </w:pPr>
    </w:p>
    <w:p>
      <w:pPr>
        <w:spacing w:after="120"/>
      </w:pPr>
      <w:r>
        <w:rPr>
          <w:b/>
          <w:i w:val="0"/>
          <w:sz w:val="19"/>
        </w:rPr>
        <w:t>Sensitivity (swing = the weights).</w:t>
      </w:r>
      <w:r>
        <w:rPr>
          <w:b w:val="0"/>
          <w:i w:val="0"/>
          <w:sz w:val="19"/>
        </w:rPr>
        <w:t xml:space="preserve"> Shifting 10 points from A to C moves the value to EGP 258; shifting 10 from C to A, to EGP 286 — spot, exactly. His stated range is </w:t>
      </w:r>
      <w:r>
        <w:rPr>
          <w:b/>
          <w:i w:val="0"/>
          <w:sz w:val="19"/>
        </w:rPr>
        <w:t>EGP 196–388</w:t>
      </w:r>
      <w:r>
        <w:rPr>
          <w:b w:val="0"/>
          <w:i w:val="0"/>
          <w:sz w:val="19"/>
        </w:rPr>
        <w:t xml:space="preserve"> (all-C to all-A corners are excluded as non-credible).</w:t>
      </w:r>
    </w:p>
    <w:p>
      <w:pPr>
        <w:spacing w:after="120"/>
      </w:pPr>
      <w:r>
        <w:rPr>
          <w:b/>
          <w:i w:val="0"/>
          <w:sz w:val="19"/>
        </w:rPr>
        <w:t>Reading his own tree.</w:t>
      </w:r>
      <w:r>
        <w:rPr>
          <w:b w:val="0"/>
          <w:i w:val="0"/>
          <w:sz w:val="19"/>
        </w:rPr>
        <w:t xml:space="preserve"> Each branch is the base machinery re-run, not a number invented sideways. Scenario A reruns the §1 stack at an 18.5% WACC (the easing cycle completing), lifts the normalized margin half a step (Scatec power arriving), and swaps the EGP 4 bn option stub for a EGP 18 bn financed-project NPV — the output is EGP 330, and the reader can reproduce it in the companion model in four cell edits. Scenario B is, definitionally, the study's own base with the option stub retained: EGP 255, one rounding notch above the published central. Scenario C forces the two policy losses together — cost-recovery power and a sub-47 pound — because in his experience frontier policy shocks correlate; the margin compresses toward 25%, the multiple derates a turn, and EGP 190 lands just below Expert 2's floor, which he notes with satisfaction as an independent convergence. The tree's honesty is that its middle branch is boring: 40% of his world is simply the study's base case wearing a probability.</w:t>
      </w:r>
    </w:p>
    <w:p>
      <w:pPr>
        <w:spacing w:after="120"/>
      </w:pPr>
      <w:r>
        <w:rPr>
          <w:b/>
          <w:i w:val="0"/>
          <w:sz w:val="19"/>
        </w:rPr>
        <w:t>Cross-examination.</w:t>
      </w:r>
      <w:r>
        <w:rPr>
          <w:b w:val="0"/>
          <w:i w:val="0"/>
          <w:sz w:val="19"/>
        </w:rPr>
        <w:t xml:space="preserve"> To Expert 1: 'Your single normalized margin is a hidden 100% weight on my scenario B. I make the weights visible and let the reader move them.' To Expert 2: 'Your refusal to price the power contract is itself a scenario — C at full weight. The state has run this subsidy for fifty years through wars and defaults; a 40/40/20 tree is more honest than a 0/0/100 one.'</w:t>
      </w:r>
    </w:p>
    <w:p>
      <w:pPr>
        <w:spacing w:after="120"/>
      </w:pPr>
      <w:r>
        <w:rPr>
          <w:b/>
          <w:i w:val="0"/>
          <w:sz w:val="19"/>
        </w:rPr>
        <w:t>Verdict, falsification, market-implied.</w:t>
      </w:r>
      <w:r>
        <w:rPr>
          <w:b w:val="0"/>
          <w:i w:val="0"/>
          <w:sz w:val="19"/>
        </w:rPr>
        <w:t xml:space="preserve"> </w:t>
      </w:r>
      <w:r>
        <w:rPr>
          <w:b/>
          <w:i w:val="0"/>
          <w:sz w:val="19"/>
        </w:rPr>
        <w:t>Fair EGP 272 (range 196–388) — the panel's widest and its ceiling.</w:t>
      </w:r>
      <w:r>
        <w:rPr>
          <w:b w:val="0"/>
          <w:i w:val="0"/>
          <w:sz w:val="19"/>
        </w:rPr>
        <w:t xml:space="preserve"> Falsified by the tree collapsing: any single lever resolving (financing signed, or a cost-recovery decree) should immediately re-run, not re-weight. At EGP 286 the market is pricing roughly a 50/40/10 tree — modestly more reform-optimistic than his 40/40/20. The gap between him and spot is, precisely, ten points of faith in Cairo.</w:t>
      </w:r>
    </w:p>
    <w:p>
      <w:pPr>
        <w:pStyle w:val="Heading2"/>
      </w:pPr>
      <w:r>
        <w:t>D.4  The three in one room</w:t>
      </w:r>
    </w:p>
    <w:p>
      <w:pPr>
        <w:spacing w:after="120"/>
      </w:pPr>
      <w:r>
        <w:rPr>
          <w:b w:val="0"/>
          <w:i w:val="0"/>
          <w:sz w:val="19"/>
        </w:rPr>
        <w:t xml:space="preserve">The single asset they most disagree on is not the smelter — it is </w:t>
      </w:r>
      <w:r>
        <w:rPr>
          <w:b/>
          <w:i w:val="0"/>
          <w:sz w:val="19"/>
        </w:rPr>
        <w:t>the electricity contract</w:t>
      </w:r>
      <w:r>
        <w:rPr>
          <w:b w:val="0"/>
          <w:i w:val="0"/>
          <w:sz w:val="19"/>
        </w:rPr>
        <w:t>: the administered power price that is simultaneously EGAL's largest input, its deepest moat, and its most repealable privilege.</w:t>
      </w:r>
    </w:p>
    <w:p>
      <w:pPr>
        <w:spacing w:after="120"/>
      </w:pPr>
      <w:r>
        <w:rPr>
          <w:b/>
          <w:i w:val="0"/>
          <w:sz w:val="19"/>
        </w:rPr>
        <w:t>Expert 1:</w:t>
      </w:r>
      <w:r>
        <w:rPr>
          <w:b w:val="0"/>
          <w:i w:val="0"/>
          <w:sz w:val="19"/>
        </w:rPr>
        <w:t xml:space="preserve"> 'The contract has held for decades and every mid-cycle in my average already contains it. Normalize the tariff one step up, as I do, and the machine still earns EGP 11.4 bn through the cycle. The market pays 10× that. Fair, roughly.'</w:t>
      </w:r>
    </w:p>
    <w:p>
      <w:pPr>
        <w:spacing w:after="120"/>
      </w:pPr>
      <w:r>
        <w:rPr>
          <w:b/>
          <w:i w:val="0"/>
          <w:sz w:val="19"/>
        </w:rPr>
        <w:t>Expert 2:</w:t>
      </w:r>
      <w:r>
        <w:rPr>
          <w:b w:val="0"/>
          <w:i w:val="0"/>
          <w:sz w:val="19"/>
        </w:rPr>
        <w:t xml:space="preserve"> 'You are capitalizing a decree. My ledger shows a plant worth 73, working capital 8, cash 10 — EGP 218 of things that survive any minister. Everything above that is the contract, and I will pay a bounded 26 for the two years of it I can see, not a multiple on its eternity.'</w:t>
      </w:r>
    </w:p>
    <w:p>
      <w:pPr>
        <w:spacing w:after="120"/>
      </w:pPr>
      <w:r>
        <w:rPr>
          <w:b/>
          <w:i w:val="0"/>
          <w:sz w:val="19"/>
        </w:rPr>
        <w:t>Expert 3:</w:t>
      </w:r>
      <w:r>
        <w:rPr>
          <w:b w:val="0"/>
          <w:i w:val="0"/>
          <w:sz w:val="19"/>
        </w:rPr>
        <w:t xml:space="preserve"> 'You are both running one scenario and calling it prudence. The contract persists in worlds A and B — 80% of my tree — and dies in C. Price all three: 272. And notice what the market did in May: it moved the A-weight up on a Trafigura signature. That is my method, performed by the crowd, slightly drunker.'</w:t>
      </w:r>
    </w:p>
    <w:p>
      <w:pPr>
        <w:spacing w:after="120"/>
      </w:pPr>
      <w:r>
        <w:rPr>
          <w:b/>
          <w:i w:val="0"/>
          <w:sz w:val="19"/>
        </w:rPr>
        <w:t>Expert 1, again:</w:t>
      </w:r>
      <w:r>
        <w:rPr>
          <w:b w:val="0"/>
          <w:i w:val="0"/>
          <w:sz w:val="19"/>
        </w:rPr>
        <w:t xml:space="preserve"> 'Two years, he says. The subsidy predates every man in this room. If longevity is evidence, the contract has more of it than the LME has of mean reversion — and you accept mean reversion happily enough when it suits your floor.'</w:t>
      </w:r>
    </w:p>
    <w:p>
      <w:pPr>
        <w:spacing w:after="120"/>
      </w:pPr>
      <w:r>
        <w:rPr>
          <w:b/>
          <w:i w:val="0"/>
          <w:sz w:val="19"/>
        </w:rPr>
        <w:t>Expert 2, again:</w:t>
      </w:r>
      <w:r>
        <w:rPr>
          <w:b w:val="0"/>
          <w:i w:val="0"/>
          <w:sz w:val="19"/>
        </w:rPr>
        <w:t xml:space="preserve"> 'Longevity is exactly the trap. Every administered price holds until the fiscal year it cannot, and Egypt has been repricing power since 2024 — the trend line points at my scenario, not yours. I am not forecasting the minister; I am declining to lend him my capital in advance.'</w:t>
      </w:r>
    </w:p>
    <w:p>
      <w:pPr>
        <w:spacing w:after="120"/>
      </w:pPr>
      <w:r>
        <w:rPr>
          <w:b/>
          <w:i w:val="0"/>
          <w:sz w:val="19"/>
        </w:rPr>
        <w:t>Expert 3, closing:</w:t>
      </w:r>
      <w:r>
        <w:rPr>
          <w:b w:val="0"/>
          <w:i w:val="0"/>
          <w:sz w:val="19"/>
        </w:rPr>
        <w:t xml:space="preserve"> 'And that is why the three of us belong in one report. He prices the contract's history, he prices its repeal, I price the argument between them. The reader should notice that all three numbers sit below the tape — whatever the market is paying for at 286, it is more contract than any of us will sign for.'</w:t>
      </w:r>
    </w:p>
    <w:p>
      <w:pPr>
        <w:pStyle w:val="Heading2"/>
      </w:pPr>
      <w:r>
        <w:t>D.5  Reading the divergence</w:t>
      </w:r>
    </w:p>
    <w:p>
      <w:pPr>
        <w:jc w:val="center"/>
      </w:pPr>
      <w:r>
        <w:drawing>
          <wp:inline xmlns:a="http://schemas.openxmlformats.org/drawingml/2006/main" xmlns:pic="http://schemas.openxmlformats.org/drawingml/2006/picture">
            <wp:extent cx="5852160" cy="2069667"/>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5852160" cy="2069667"/>
                    </a:xfrm>
                    <a:prstGeom prst="rect"/>
                  </pic:spPr>
                </pic:pic>
              </a:graphicData>
            </a:graphic>
          </wp:inline>
        </w:drawing>
      </w:r>
    </w:p>
    <w:p>
      <w:pPr>
        <w:spacing w:after="160"/>
      </w:pPr>
      <w:r>
        <w:rPr>
          <w:b w:val="0"/>
          <w:i/>
          <w:sz w:val="17"/>
        </w:rPr>
        <w:t>Figure D-1 — The three experts' fair-value ranges. Brass ticks are base cases; the gold band is the fundamental central zone; the dark line is spot. The spread is almost entirely a power-contract disagreement.</w:t>
      </w:r>
    </w:p>
    <w:tbl>
      <w:tblPr>
        <w:tblW w:type="auto" w:w="0"/>
        <w:jc w:val="center"/>
        <w:tblLayout w:type="fixed"/>
        <w:tblLook w:firstColumn="1" w:firstRow="1" w:lastColumn="0" w:lastRow="0" w:noHBand="0" w:noVBand="1" w:val="04A0"/>
        <w:tblBorders>
          <w:top w:val="single" w:sz="4" w:color="9FB0AC"/>
          <w:left w:val="single" w:sz="4" w:color="9FB0AC"/>
          <w:bottom w:val="single" w:sz="4" w:color="9FB0AC"/>
          <w:right w:val="single" w:sz="4" w:color="9FB0AC"/>
          <w:insideH w:val="single" w:sz="4" w:color="9FB0AC"/>
          <w:insideV w:val="single" w:sz="4" w:color="9FB0AC"/>
        </w:tblBorders>
      </w:tblPr>
      <w:tblGrid>
        <w:gridCol w:w="2448"/>
        <w:gridCol w:w="2448"/>
        <w:gridCol w:w="2448"/>
        <w:gridCol w:w="2448"/>
      </w:tblGrid>
      <w:tr>
        <w:tc>
          <w:tcPr>
            <w:tcW w:type="dxa" w:w="1296"/>
            <w:shd w:val="clear" w:fill="1C3A36"/>
          </w:tcPr>
          <w:p>
            <w:pPr>
              <w:spacing w:after="40"/>
            </w:pPr>
            <w:r>
              <w:rPr>
                <w:b/>
                <w:color w:val="FFFFFF"/>
                <w:sz w:val="17"/>
              </w:rPr>
              <w:t>Expert</w:t>
            </w:r>
          </w:p>
        </w:tc>
        <w:tc>
          <w:tcPr>
            <w:tcW w:type="dxa" w:w="3024"/>
            <w:shd w:val="clear" w:fill="1C3A36"/>
          </w:tcPr>
          <w:p>
            <w:pPr>
              <w:spacing w:after="40"/>
            </w:pPr>
            <w:r>
              <w:rPr>
                <w:b/>
                <w:color w:val="FFFFFF"/>
                <w:sz w:val="17"/>
              </w:rPr>
              <w:t>Method</w:t>
            </w:r>
          </w:p>
        </w:tc>
        <w:tc>
          <w:tcPr>
            <w:tcW w:type="dxa" w:w="3744"/>
            <w:shd w:val="clear" w:fill="1C3A36"/>
          </w:tcPr>
          <w:p>
            <w:pPr>
              <w:spacing w:after="40"/>
            </w:pPr>
            <w:r>
              <w:rPr>
                <w:b/>
                <w:color w:val="FFFFFF"/>
                <w:sz w:val="17"/>
              </w:rPr>
              <w:t>Single swing assumption</w:t>
            </w:r>
          </w:p>
        </w:tc>
        <w:tc>
          <w:tcPr>
            <w:tcW w:type="dxa" w:w="1728"/>
            <w:shd w:val="clear" w:fill="1C3A36"/>
          </w:tcPr>
          <w:p>
            <w:pPr>
              <w:spacing w:after="40"/>
            </w:pPr>
            <w:r>
              <w:rPr>
                <w:b/>
                <w:color w:val="FFFFFF"/>
                <w:sz w:val="17"/>
              </w:rPr>
              <w:t>Base fair value</w:t>
            </w:r>
          </w:p>
        </w:tc>
      </w:tr>
      <w:tr>
        <w:tc>
          <w:tcPr>
            <w:tcW w:type="dxa" w:w="1296"/>
          </w:tcPr>
          <w:p>
            <w:pPr>
              <w:spacing w:after="40"/>
            </w:pPr>
            <w:r>
              <w:rPr>
                <w:b w:val="0"/>
                <w:sz w:val="17"/>
              </w:rPr>
              <w:t>Expert 1</w:t>
            </w:r>
          </w:p>
        </w:tc>
        <w:tc>
          <w:tcPr>
            <w:tcW w:type="dxa" w:w="3024"/>
          </w:tcPr>
          <w:p>
            <w:pPr>
              <w:spacing w:after="40"/>
            </w:pPr>
            <w:r>
              <w:rPr>
                <w:b w:val="0"/>
                <w:sz w:val="17"/>
              </w:rPr>
              <w:t>Normalized earnings power</w:t>
            </w:r>
          </w:p>
        </w:tc>
        <w:tc>
          <w:tcPr>
            <w:tcW w:type="dxa" w:w="3744"/>
          </w:tcPr>
          <w:p>
            <w:pPr>
              <w:spacing w:after="40"/>
            </w:pPr>
            <w:r>
              <w:rPr>
                <w:b w:val="0"/>
                <w:sz w:val="17"/>
              </w:rPr>
              <w:t>Mid-cycle margin ≈30% / 9.5× multiple</w:t>
            </w:r>
          </w:p>
        </w:tc>
        <w:tc>
          <w:tcPr>
            <w:tcW w:type="dxa" w:w="1728"/>
          </w:tcPr>
          <w:p>
            <w:pPr>
              <w:spacing w:after="40"/>
            </w:pPr>
            <w:r>
              <w:rPr>
                <w:b w:val="0"/>
                <w:sz w:val="17"/>
              </w:rPr>
              <w:t>EGP 265</w:t>
            </w:r>
          </w:p>
        </w:tc>
      </w:tr>
      <w:tr>
        <w:tc>
          <w:tcPr>
            <w:tcW w:type="dxa" w:w="1296"/>
          </w:tcPr>
          <w:p>
            <w:pPr>
              <w:spacing w:after="40"/>
            </w:pPr>
            <w:r>
              <w:rPr>
                <w:b w:val="0"/>
                <w:sz w:val="17"/>
              </w:rPr>
              <w:t>Expert 2</w:t>
            </w:r>
          </w:p>
        </w:tc>
        <w:tc>
          <w:tcPr>
            <w:tcW w:type="dxa" w:w="3024"/>
          </w:tcPr>
          <w:p>
            <w:pPr>
              <w:spacing w:after="40"/>
            </w:pPr>
            <w:r>
              <w:rPr>
                <w:b w:val="0"/>
                <w:sz w:val="17"/>
              </w:rPr>
              <w:t>Realizable assets &amp; cash quality</w:t>
            </w:r>
          </w:p>
        </w:tc>
        <w:tc>
          <w:tcPr>
            <w:tcW w:type="dxa" w:w="3744"/>
          </w:tcPr>
          <w:p>
            <w:pPr>
              <w:spacing w:after="40"/>
            </w:pPr>
            <w:r>
              <w:rPr>
                <w:b w:val="0"/>
                <w:sz w:val="17"/>
              </w:rPr>
              <w:t>Plant mark US$5,500/t; bounded contract credit</w:t>
            </w:r>
          </w:p>
        </w:tc>
        <w:tc>
          <w:tcPr>
            <w:tcW w:type="dxa" w:w="1728"/>
          </w:tcPr>
          <w:p>
            <w:pPr>
              <w:spacing w:after="40"/>
            </w:pPr>
            <w:r>
              <w:rPr>
                <w:b w:val="0"/>
                <w:sz w:val="17"/>
              </w:rPr>
              <w:t>EGP 244</w:t>
            </w:r>
          </w:p>
        </w:tc>
      </w:tr>
      <w:tr>
        <w:tc>
          <w:tcPr>
            <w:tcW w:type="dxa" w:w="1296"/>
          </w:tcPr>
          <w:p>
            <w:pPr>
              <w:spacing w:after="40"/>
            </w:pPr>
            <w:r>
              <w:rPr>
                <w:b w:val="0"/>
                <w:sz w:val="17"/>
              </w:rPr>
              <w:t>Expert 3</w:t>
            </w:r>
          </w:p>
        </w:tc>
        <w:tc>
          <w:tcPr>
            <w:tcW w:type="dxa" w:w="3024"/>
          </w:tcPr>
          <w:p>
            <w:pPr>
              <w:spacing w:after="40"/>
            </w:pPr>
            <w:r>
              <w:rPr>
                <w:b w:val="0"/>
                <w:sz w:val="17"/>
              </w:rPr>
              <w:t>Policy-scenario real options</w:t>
            </w:r>
          </w:p>
        </w:tc>
        <w:tc>
          <w:tcPr>
            <w:tcW w:type="dxa" w:w="3744"/>
          </w:tcPr>
          <w:p>
            <w:pPr>
              <w:spacing w:after="40"/>
            </w:pPr>
            <w:r>
              <w:rPr>
                <w:b w:val="0"/>
                <w:sz w:val="17"/>
              </w:rPr>
              <w:t>40/40/20 weights on reform/muddle/squeeze</w:t>
            </w:r>
          </w:p>
        </w:tc>
        <w:tc>
          <w:tcPr>
            <w:tcW w:type="dxa" w:w="1728"/>
          </w:tcPr>
          <w:p>
            <w:pPr>
              <w:spacing w:after="40"/>
            </w:pPr>
            <w:r>
              <w:rPr>
                <w:b w:val="0"/>
                <w:sz w:val="17"/>
              </w:rPr>
              <w:t>EGP 272</w:t>
            </w:r>
          </w:p>
        </w:tc>
      </w:tr>
    </w:tbl>
    <w:p>
      <w:pPr>
        <w:spacing w:after="40"/>
      </w:pPr>
    </w:p>
    <w:p>
      <w:pPr>
        <w:spacing w:after="120"/>
      </w:pPr>
      <w:r>
        <w:rPr>
          <w:b w:val="0"/>
          <w:i w:val="0"/>
          <w:sz w:val="19"/>
        </w:rPr>
        <w:t xml:space="preserve">The spread — EGP 244 to 272 at base — is remarkably tight for a frontier single-site commodity name: barely a tenth of the price. What separates the three is one question asked three ways: </w:t>
      </w:r>
      <w:r>
        <w:rPr>
          <w:b/>
          <w:i w:val="0"/>
          <w:sz w:val="19"/>
        </w:rPr>
        <w:t>how much of the administered power price is an asset?</w:t>
      </w:r>
      <w:r>
        <w:rPr>
          <w:b w:val="0"/>
          <w:i w:val="0"/>
          <w:sz w:val="19"/>
        </w:rPr>
        <w:t xml:space="preserve"> Expert 2 will pay for two years of it, Expert 1 for a cycle of it, Expert 3 for a probability-weighted forever of it — and the ordering of their fair values (244 &lt; 265 &lt; 272) is exactly the ordering of that credit. The market, at 286, extends the sequence one step further than any of them. The EGP 28 panel spread is therefore a clean measure of a single uncertainty — the durability of Egypt's industrial-power policy — and each expert has told you the observation that would force him to move. Resolve the tariff, and the three converge; resolve the financing, and all three re-run.</w:t>
      </w:r>
    </w:p>
    <w:p>
      <w:pPr>
        <w:spacing w:after="120"/>
      </w:pPr>
      <w:r>
        <w:rPr>
          <w:b w:val="0"/>
          <w:i w:val="0"/>
          <w:sz w:val="19"/>
        </w:rPr>
        <w:t>A note on what the tightness does and does not mean. A 28-pound spread is not agreement about the future — the three disagree violently about the tariff's fate — it is agreement about the arithmetic of the present: the machine, the metal, the cash and the pound are measurable, and measured honestly they triangulate. The spread would explode on exactly two headlines, and in opposite directions: a signed expansion financing (Expert 2's floor jumps ~EGP 40 as the option becomes an asset, and Expert 3's A-branch weight rises) or a cost-recovery power decree (Expert 1's margin breaks, his 265 falls toward 220, and the panel inverts with the accountant suddenly the optimist). Until one of those prints, the panel's message to a reader is unusually simple: the disagreement worth having about EGAL is not among methods — it is between every method and the price.</w:t>
      </w:r>
    </w:p>
    <w:p>
      <w:pPr>
        <w:spacing w:after="120"/>
      </w:pPr>
      <w:r>
        <w:rPr>
          <w:b w:val="0"/>
          <w:i/>
          <w:sz w:val="17"/>
        </w:rPr>
        <w:t>Each expert's point fair value (and bull/base/bear) is logged with the study date (03 Jul 2026) and spot (EGP 285.88) as an internal per-expert track record, kept separate from the core Calibration Ledger.</w:t>
      </w:r>
    </w:p>
    <w:p>
      <w:pPr>
        <w:pStyle w:val="Heading1"/>
      </w:pPr>
      <w:r>
        <w:t>About this series</w:t>
      </w:r>
    </w:p>
    <w:p>
      <w:pPr>
        <w:spacing w:after="120"/>
      </w:pPr>
      <w:r>
        <w:rPr>
          <w:b w:val="0"/>
          <w:i w:val="0"/>
          <w:sz w:val="19"/>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 Every three-month distribution is logged in a public Calibration Ledger and graded when it matures — against a stated benchmark, win or lose.</w:t>
      </w:r>
    </w:p>
    <w:p>
      <w:pPr>
        <w:pStyle w:val="Heading1"/>
      </w:pPr>
      <w:r>
        <w:t>Disclosure &amp; Disclaimer</w:t>
      </w:r>
    </w:p>
    <w:p>
      <w:pPr>
        <w:spacing w:after="80"/>
      </w:pPr>
      <w:r>
        <w:rPr>
          <w:b/>
          <w:i w:val="0"/>
          <w:sz w:val="17"/>
        </w:rPr>
        <w:t>Not investment advice.</w:t>
      </w:r>
      <w:r>
        <w:rPr>
          <w:b w:val="0"/>
          <w:i w:val="0"/>
          <w:sz w:val="17"/>
        </w:rPr>
        <w:t xml:space="preserve"> 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pPr>
      <w:r>
        <w:rPr>
          <w:b/>
          <w:i w:val="0"/>
          <w:sz w:val="17"/>
        </w:rPr>
        <w:t>No licence; no advisory relationship.</w:t>
      </w:r>
      <w:r>
        <w:rPr>
          <w:b w:val="0"/>
          <w:i w:val="0"/>
          <w:sz w:val="17"/>
        </w:rPr>
        <w:t xml:space="preserve"> The preparer is not registered or licensed with any securities or financial regulator in any jurisdiction — including Egypt's Financial Regulatory Authority (FRA) — holds no brokerage or investment-advisory authorisation, and is not acting as your adviser or fiduciary. Nothing here is personalised to your circumstances.</w:t>
      </w:r>
    </w:p>
    <w:p>
      <w:pPr>
        <w:spacing w:after="80"/>
      </w:pPr>
      <w:r>
        <w:rPr>
          <w:b/>
          <w:i w:val="0"/>
          <w:sz w:val="17"/>
        </w:rPr>
        <w:t>Holdings disclosure.</w:t>
      </w:r>
      <w:r>
        <w:rPr>
          <w:b w:val="0"/>
          <w:i w:val="0"/>
          <w:sz w:val="17"/>
        </w:rPr>
        <w:t xml:space="preserve"> The preparer may hold, and may in the future take or dispose of, a position in the security discussed in this report, and may transact at any time without notice. This is a potential conflict of interest you should weigh.</w:t>
      </w:r>
    </w:p>
    <w:p>
      <w:pPr>
        <w:spacing w:after="80"/>
      </w:pPr>
      <w:r>
        <w:rPr>
          <w:b/>
          <w:i w:val="0"/>
          <w:sz w:val="17"/>
        </w:rPr>
        <w:t>Sources &amp; accuracy.</w:t>
      </w:r>
      <w:r>
        <w:rPr>
          <w:b w:val="0"/>
          <w:i w:val="0"/>
          <w:sz w:val="17"/>
        </w:rPr>
        <w:t xml:space="preserve"> Reported financial and operating figures are drawn from the company's public disclosure via the Egyptian Exchange and other public sources believed reliable but not independently verified; several statement lines are explicitly-flagged reconstructions from disclosed anchors and may contain errors or be superseded. Forward-looking inputs — the normalized aluminium price and margin, the replacement-cost mark, the WACC, multiples, forecasts and Monte-Carlo factor probabilities — are the preparer's own judgments and are inherently uncertain.</w:t>
      </w:r>
    </w:p>
    <w:p>
      <w:pPr>
        <w:spacing w:after="80"/>
      </w:pPr>
      <w:r>
        <w:rPr>
          <w:b/>
          <w:i w:val="0"/>
          <w:sz w:val="17"/>
        </w:rPr>
        <w:t>Forward-looking statements.</w:t>
      </w:r>
      <w:r>
        <w:rPr>
          <w:b w:val="0"/>
          <w:i w:val="0"/>
          <w:sz w:val="17"/>
        </w:rPr>
        <w:t xml:space="preserve"> Any statements about the future are estimates subject to risks and uncertainties; actual results may differ materially. The Monte Carlo models price, not value, and encodes subjective probabilities for events that have not occurred.</w:t>
      </w:r>
    </w:p>
    <w:p>
      <w:pPr>
        <w:spacing w:after="80"/>
      </w:pPr>
      <w:r>
        <w:rPr>
          <w:b/>
          <w:i w:val="0"/>
          <w:sz w:val="17"/>
        </w:rPr>
        <w:t>No reliance; your responsibility.</w:t>
      </w:r>
      <w:r>
        <w:rPr>
          <w:b w:val="0"/>
          <w:i w:val="0"/>
          <w:sz w:val="17"/>
        </w:rPr>
        <w:t xml:space="preserve"> 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pPr>
      <w:r>
        <w:rPr>
          <w:b/>
          <w:i w:val="0"/>
          <w:sz w:val="17"/>
        </w:rPr>
        <w:t>Currency &amp; figures.</w:t>
      </w:r>
      <w:r>
        <w:rPr>
          <w:b w:val="0"/>
          <w:i w:val="0"/>
          <w:sz w:val="17"/>
        </w:rPr>
        <w:t xml:space="preserve"> All figures are in Egyptian pounds (EGP) unless stated; bn denotes billion, m million, kt thousand tonnes. FX at study date: EGP/USD 49.1. Rounding may cause totals to differ slightly. Spot price and market data are as of the 01 July 2026 close and change continuously.</w:t>
      </w:r>
    </w:p>
    <w:p>
      <w:pPr>
        <w:spacing w:after="120"/>
        <w:jc w:val="center"/>
      </w:pPr>
      <w:r>
        <w:rPr>
          <w:b w:val="0"/>
          <w:i/>
          <w:sz w:val="16"/>
        </w:rPr>
        <w:t>TESTAHIL · Independent Valuation Study · Educational Analysis · Egypt Aluminum Company (EGX: EGAL) · edition 03-07-2026 · reporting currency EGP</w:t>
      </w:r>
    </w:p>
    <w:sectPr w:rsidR="00FC693F" w:rsidRPr="0006063C" w:rsidSect="00034616">
      <w:footerReference w:type="default" r:id="rId17"/>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2302E"/>
        <w:sz w:val="15"/>
      </w:rPr>
      <w:t xml:space="preserve">testahil.com   ·   Educational analysis · Not investment advice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Georgia" w:hAnsi="Georgia"/>
      <w:b/>
      <w:bCs/>
      <w:color w:val="1C3A3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Georgia" w:hAnsi="Georgia"/>
      <w:b/>
      <w:bCs/>
      <w:color w:val="1C3A36"/>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Georgia" w:hAnsi="Georgia"/>
      <w:b/>
      <w:bCs/>
      <w:color w:val="1C3A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