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40" w:before="80"/>
      </w:pPr>
      <w:r>
        <w:rPr>
          <w:b/>
          <w:i w:val="0"/>
          <w:color w:val="1C3A36"/>
          <w:sz w:val="24"/>
        </w:rPr>
        <w:t>Independent Valuation Study — Educational Analysis</w:t>
      </w:r>
    </w:p>
    <w:p>
      <w:pPr>
        <w:spacing w:after="40" w:before="0"/>
      </w:pPr>
      <w:r>
        <w:rPr>
          <w:b/>
          <w:i w:val="0"/>
          <w:color w:val="1C3A36"/>
          <w:sz w:val="34"/>
        </w:rPr>
        <w:t>Cleopatra Hospitals Group S.A.E. (EGX: CLHO)</w:t>
      </w:r>
    </w:p>
    <w:p>
      <w:pPr>
        <w:spacing w:after="160" w:before="0"/>
      </w:pPr>
      <w:r>
        <w:rPr>
          <w:b w:val="0"/>
          <w:i/>
          <w:color w:val="6E7B77"/>
          <w:sz w:val="21"/>
        </w:rPr>
        <w:t>Fundamental analysis · Technical analysis · Monte Carlo simulation — one integrated read</w:t>
      </w:r>
    </w:p>
    <w:p>
      <w:pPr>
        <w:spacing w:after="160" w:before="0"/>
      </w:pPr>
      <w:r>
        <w:rPr>
          <w:b/>
          <w:i w:val="0"/>
          <w:color w:val="1C3A36"/>
          <w:sz w:val="20"/>
        </w:rPr>
        <w:t xml:space="preserve">Anchor: </w:t>
      </w:r>
      <w:r>
        <w:rPr>
          <w:b w:val="0"/>
          <w:i w:val="0"/>
          <w:color w:val="1C3A36"/>
          <w:sz w:val="20"/>
        </w:rPr>
        <w:t>EGP 16.31 (2026-07-12 close) · 1,449.4 mn shares · market cap ~EGP 24bn · enterprise value ~EGP 27.2bn · Egypt’s largest private hospital group — 14 facilities, ~880 operational beds (Q4-2025) heading to ~1,320 by 2027, across Greater Cairo. Listed on the EGX since June 2016.</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 what this is, and what it is not.  </w:t>
            </w:r>
            <w:r>
              <w:rPr>
                <w:color w:val="1C3A36"/>
                <w:sz w:val="19"/>
              </w:rPr>
              <w:t>This is an educational valuation study, not investment advice, not a recommendation, and not a price target. It presents fair-value ranges and a probability distribution, never a “buy”, “sell”, “hold”, rating or target price. The preparer is not licensed by the Egyptian Financial Regulatory Authority or any other securities regulator, and may hold a position in the security discussed. Figures are model outputs under stated assumptions and can be wrong. Historical financials are the company’s own disclosure (FY2023–FY2025 and 1Q2026 earnings releases). Do your own work and consult a licensed adviser before making any decision.</w:t>
            </w:r>
          </w:p>
        </w:tc>
      </w:tr>
    </w:tbl>
    <w:p>
      <w:pPr>
        <w:spacing w:after="40"/>
      </w:pPr>
    </w:p>
    <w:p>
      <w:pPr>
        <w:spacing w:after="80" w:before="200"/>
      </w:pPr>
      <w:r>
        <w:rPr>
          <w:b/>
          <w:i w:val="0"/>
          <w:color w:val="1C3A36"/>
          <w:sz w:val="24"/>
        </w:rPr>
        <w:t>The company</w:t>
      </w:r>
    </w:p>
    <w:p>
      <w:pPr>
        <w:spacing w:after="120" w:before="0"/>
      </w:pPr>
      <w:r>
        <w:rPr>
          <w:b w:val="0"/>
          <w:i w:val="0"/>
          <w:color w:val="1C3A36"/>
          <w:sz w:val="21"/>
        </w:rPr>
        <w:t>Cleopatra Hospitals Group is the largest private hospital operator in Egypt by bed count and revenue, running seven hospitals — Cleopatra, Cairo Specialized, Nile Badrawi, Al Shorouk, El Katib and the two newest builds, Cleopatra October and Cleopatra El Tagamoa — alongside five polyclinics and the Bedaya IVF and fertility centre, roughly fourteen facilities clustered across Greater Cairo. It makes money the way a hospital network does: patients (and, increasingly, insurers and corporate contracts) pay for outpatient consultations, surgeries, inpatient stays, emergency care, catheterizations, diagnostics and IVF cycles, with revenue a function of case volume multiplied by the average price per case. Its competitive moat is hard to replicate quickly — prime real estate in a supply-starved capital, accredited clinical brands built over decades, scale in procurement and physician networks, and, since 2024, GAHAR accreditation that positions the group to contract with Egypt’s new Universal Health Insurance system as it rolls out. The group has been compounding fast, with revenue rising from about EGP 2.6bn in 2022 to EGP 7.2bn in 2025 (a third of that growth in the last year alone) while adding two greenfield hospitals that lift capacity by some forty percent. Ownership sits with two healthcare-focused blocks — Care Healthcare (32%) and MCI Healthcare Partners (31%) — with a 37% free float, and management has publicly flagged that the shares trade at a steep discount to what comparable regional beds and earnings command, and that it is “reviewing the options available to maximise value.”</w:t>
      </w:r>
    </w:p>
    <w:p>
      <w:pPr>
        <w:spacing w:after="120" w:before="280"/>
      </w:pPr>
      <w:r>
        <w:rPr>
          <w:b/>
          <w:i w:val="0"/>
          <w:color w:val="1C3A36"/>
          <w:sz w:val="30"/>
        </w:rPr>
        <w:t>Headline</w:t>
      </w:r>
    </w:p>
    <w:p>
      <w:pPr>
        <w:spacing w:after="120" w:before="0"/>
      </w:pPr>
      <w:r>
        <w:rPr>
          <w:b/>
          <w:i w:val="0"/>
          <w:color w:val="1C3A36"/>
          <w:sz w:val="21"/>
        </w:rPr>
        <w:t xml:space="preserve">Where fundamentals point. </w:t>
      </w:r>
      <w:r>
        <w:rPr>
          <w:b w:val="0"/>
          <w:i w:val="0"/>
          <w:color w:val="1C3A36"/>
          <w:sz w:val="21"/>
        </w:rPr>
        <w:t>Four independent lenses — a two-stage rate-path DCF, relative multiples, normalized earnings power, and an EV-per-operational-bed transaction lens — produce a weighted central estimate of about EGP 9.21 per share, within a bear-to-bull span of roughly EGP 6.51 to EGP 11.05. Spot at EGP 16.31 sits about 44% above that central point and comfortably inside the span — CLHO screens as fairly-to-slightly-fully valued on the base case, with the distribution of outcomes unusually dependent on one macro variable.</w:t>
      </w:r>
    </w:p>
    <w:p>
      <w:pPr>
        <w:spacing w:after="120" w:before="0"/>
      </w:pPr>
      <w:r>
        <w:rPr>
          <w:b/>
          <w:i w:val="0"/>
          <w:color w:val="1C3A36"/>
          <w:sz w:val="21"/>
        </w:rPr>
        <w:t xml:space="preserve">The crux. </w:t>
      </w:r>
      <w:r>
        <w:rPr>
          <w:b w:val="0"/>
          <w:i w:val="0"/>
          <w:color w:val="1C3A36"/>
          <w:sz w:val="21"/>
        </w:rPr>
        <w:t>This is, more than most equities, a bet on the Egyptian discount rate. The company grows revenue in the high teens to high twenties, converts to a ~30% adjusted-EBITDA margin, and is opening two hospitals — none of that is the swing factor. What moves the fundamental value most is whether the Central Bank of Egypt resumes cutting from today’s 19.50% toward its 7±2% target: at a crisis-level discount rate the DCF is worth about EGP 3.85; on a normalization path it is worth about EGP 7.17. The second-order swing is execution at the two new hospitals (Cleopatra El Tagamoa and the October build-to-suit) and the optionality from management’s strategic review.</w:t>
      </w:r>
    </w:p>
    <w:p>
      <w:pPr>
        <w:spacing w:after="120" w:before="0"/>
      </w:pPr>
      <w:r>
        <w:rPr>
          <w:b/>
          <w:i w:val="0"/>
          <w:color w:val="1C3A36"/>
          <w:sz w:val="21"/>
        </w:rPr>
        <w:t xml:space="preserve">Where the market clock points. </w:t>
      </w:r>
      <w:r>
        <w:rPr>
          <w:b w:val="0"/>
          <w:i w:val="0"/>
          <w:color w:val="1C3A36"/>
          <w:sz w:val="21"/>
        </w:rPr>
        <w:t>Over the next three months the 50,000-path Monte Carlo (built only from CLHO’s own price behaviour, not the fundamental gap) puts the 25th–75th percentile band at roughly EGP 15.13–19.15, with the median near EGP 17.02 and a 60% chance of trading above spot. These are three genuinely different clocks and the study keeps them separate throughout.</w:t>
      </w:r>
    </w:p>
    <w:p>
      <w:pPr>
        <w:spacing w:after="80" w:before="200"/>
      </w:pPr>
      <w:r>
        <w:rPr>
          <w:b/>
          <w:i w:val="0"/>
          <w:color w:val="1C3A36"/>
          <w:sz w:val="24"/>
        </w:rPr>
        <w:t>Valuation summary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1656"/>
            <w:shd w:val="clear" w:color="auto" w:fill="EAF0EE"/>
          </w:tcPr>
          <w:p>
            <w:pPr>
              <w:spacing w:after="20"/>
            </w:pPr>
            <w:r>
              <w:rPr>
                <w:b/>
                <w:color w:val="1C3A36"/>
                <w:sz w:val="18"/>
              </w:rPr>
              <w:t>Lens</w:t>
            </w:r>
          </w:p>
        </w:tc>
        <w:tc>
          <w:tcPr>
            <w:tcW w:type="dxa" w:w="3600"/>
            <w:shd w:val="clear" w:color="auto" w:fill="EAF0EE"/>
          </w:tcPr>
          <w:p>
            <w:pPr>
              <w:spacing w:after="20"/>
            </w:pPr>
            <w:r>
              <w:rPr>
                <w:b/>
                <w:color w:val="1C3A36"/>
                <w:sz w:val="18"/>
              </w:rPr>
              <w:t>Method</w:t>
            </w:r>
          </w:p>
        </w:tc>
        <w:tc>
          <w:tcPr>
            <w:tcW w:type="dxa" w:w="1037"/>
            <w:shd w:val="clear" w:color="auto" w:fill="EAF0EE"/>
          </w:tcPr>
          <w:p>
            <w:pPr>
              <w:spacing w:after="20"/>
            </w:pPr>
            <w:r>
              <w:rPr>
                <w:b/>
                <w:color w:val="1C3A36"/>
                <w:sz w:val="18"/>
              </w:rPr>
              <w:t>Bear</w:t>
            </w:r>
          </w:p>
        </w:tc>
        <w:tc>
          <w:tcPr>
            <w:tcW w:type="dxa" w:w="1037"/>
            <w:shd w:val="clear" w:color="auto" w:fill="EAF0EE"/>
          </w:tcPr>
          <w:p>
            <w:pPr>
              <w:spacing w:after="20"/>
            </w:pPr>
            <w:r>
              <w:rPr>
                <w:b/>
                <w:color w:val="1C3A36"/>
                <w:sz w:val="18"/>
              </w:rPr>
              <w:t>Base</w:t>
            </w:r>
          </w:p>
        </w:tc>
        <w:tc>
          <w:tcPr>
            <w:tcW w:type="dxa" w:w="1037"/>
            <w:shd w:val="clear" w:color="auto" w:fill="EAF0EE"/>
          </w:tcPr>
          <w:p>
            <w:pPr>
              <w:spacing w:after="20"/>
            </w:pPr>
            <w:r>
              <w:rPr>
                <w:b/>
                <w:color w:val="1C3A36"/>
                <w:sz w:val="18"/>
              </w:rPr>
              <w:t>Bull</w:t>
            </w:r>
          </w:p>
        </w:tc>
        <w:tc>
          <w:tcPr>
            <w:tcW w:type="dxa" w:w="1037"/>
            <w:shd w:val="clear" w:color="auto" w:fill="EAF0EE"/>
          </w:tcPr>
          <w:p>
            <w:pPr>
              <w:spacing w:after="20"/>
            </w:pPr>
            <w:r>
              <w:rPr>
                <w:b/>
                <w:color w:val="1C3A36"/>
                <w:sz w:val="18"/>
              </w:rPr>
              <w:t>Weight</w:t>
            </w:r>
          </w:p>
        </w:tc>
      </w:tr>
      <w:tr>
        <w:tc>
          <w:tcPr>
            <w:tcW w:type="dxa" w:w="1656"/>
          </w:tcPr>
          <w:p>
            <w:pPr>
              <w:spacing w:after="20"/>
            </w:pPr>
            <w:r>
              <w:rPr>
                <w:b/>
                <w:color w:val="1C3A36"/>
                <w:sz w:val="18"/>
              </w:rPr>
              <w:t>DCF — rate path</w:t>
            </w:r>
          </w:p>
        </w:tc>
        <w:tc>
          <w:tcPr>
            <w:tcW w:type="dxa" w:w="3600"/>
          </w:tcPr>
          <w:p>
            <w:pPr>
              <w:spacing w:after="20"/>
              <w:jc w:val="right"/>
            </w:pPr>
            <w:r>
              <w:rPr>
                <w:color w:val="1C3A36"/>
                <w:sz w:val="18"/>
              </w:rPr>
              <w:t>FCFF, two-stage Egyptian rate path (primary)</w:t>
            </w:r>
          </w:p>
        </w:tc>
        <w:tc>
          <w:tcPr>
            <w:tcW w:type="dxa" w:w="1037"/>
          </w:tcPr>
          <w:p>
            <w:pPr>
              <w:spacing w:after="20"/>
              <w:jc w:val="right"/>
            </w:pPr>
            <w:r>
              <w:rPr>
                <w:color w:val="1C3A36"/>
                <w:sz w:val="18"/>
              </w:rPr>
              <w:t>3.85</w:t>
            </w:r>
          </w:p>
        </w:tc>
        <w:tc>
          <w:tcPr>
            <w:tcW w:type="dxa" w:w="1037"/>
          </w:tcPr>
          <w:p>
            <w:pPr>
              <w:spacing w:after="20"/>
              <w:jc w:val="right"/>
            </w:pPr>
            <w:r>
              <w:rPr>
                <w:color w:val="1C3A36"/>
                <w:sz w:val="18"/>
              </w:rPr>
              <w:t>7.17</w:t>
            </w:r>
          </w:p>
        </w:tc>
        <w:tc>
          <w:tcPr>
            <w:tcW w:type="dxa" w:w="1037"/>
          </w:tcPr>
          <w:p>
            <w:pPr>
              <w:spacing w:after="20"/>
              <w:jc w:val="right"/>
            </w:pPr>
            <w:r>
              <w:rPr>
                <w:color w:val="1C3A36"/>
                <w:sz w:val="18"/>
              </w:rPr>
              <w:t>8.12</w:t>
            </w:r>
          </w:p>
        </w:tc>
        <w:tc>
          <w:tcPr>
            <w:tcW w:type="dxa" w:w="1037"/>
          </w:tcPr>
          <w:p>
            <w:pPr>
              <w:spacing w:after="20"/>
              <w:jc w:val="right"/>
            </w:pPr>
            <w:r>
              <w:rPr>
                <w:color w:val="1C3A36"/>
                <w:sz w:val="18"/>
              </w:rPr>
              <w:t>40%</w:t>
            </w:r>
          </w:p>
        </w:tc>
      </w:tr>
      <w:tr>
        <w:tc>
          <w:tcPr>
            <w:tcW w:type="dxa" w:w="1656"/>
          </w:tcPr>
          <w:p>
            <w:pPr>
              <w:spacing w:after="20"/>
            </w:pPr>
            <w:r>
              <w:rPr>
                <w:b/>
                <w:color w:val="1C3A36"/>
                <w:sz w:val="18"/>
              </w:rPr>
              <w:t>Relative</w:t>
            </w:r>
          </w:p>
        </w:tc>
        <w:tc>
          <w:tcPr>
            <w:tcW w:type="dxa" w:w="3600"/>
          </w:tcPr>
          <w:p>
            <w:pPr>
              <w:spacing w:after="20"/>
              <w:jc w:val="right"/>
            </w:pPr>
            <w:r>
              <w:rPr>
                <w:color w:val="1C3A36"/>
                <w:sz w:val="18"/>
              </w:rPr>
              <w:t>FY27E parent EPS × justified P/E band (15–23×)</w:t>
            </w:r>
          </w:p>
        </w:tc>
        <w:tc>
          <w:tcPr>
            <w:tcW w:type="dxa" w:w="1037"/>
          </w:tcPr>
          <w:p>
            <w:pPr>
              <w:spacing w:after="20"/>
              <w:jc w:val="right"/>
            </w:pPr>
            <w:r>
              <w:rPr>
                <w:color w:val="1C3A36"/>
                <w:sz w:val="18"/>
              </w:rPr>
              <w:t>10.43</w:t>
            </w:r>
          </w:p>
        </w:tc>
        <w:tc>
          <w:tcPr>
            <w:tcW w:type="dxa" w:w="1037"/>
          </w:tcPr>
          <w:p>
            <w:pPr>
              <w:spacing w:after="20"/>
              <w:jc w:val="right"/>
            </w:pPr>
            <w:r>
              <w:rPr>
                <w:color w:val="1C3A36"/>
                <w:sz w:val="18"/>
              </w:rPr>
              <w:t>13.21</w:t>
            </w:r>
          </w:p>
        </w:tc>
        <w:tc>
          <w:tcPr>
            <w:tcW w:type="dxa" w:w="1037"/>
          </w:tcPr>
          <w:p>
            <w:pPr>
              <w:spacing w:after="20"/>
              <w:jc w:val="right"/>
            </w:pPr>
            <w:r>
              <w:rPr>
                <w:color w:val="1C3A36"/>
                <w:sz w:val="18"/>
              </w:rPr>
              <w:t>15.99</w:t>
            </w:r>
          </w:p>
        </w:tc>
        <w:tc>
          <w:tcPr>
            <w:tcW w:type="dxa" w:w="1037"/>
          </w:tcPr>
          <w:p>
            <w:pPr>
              <w:spacing w:after="20"/>
              <w:jc w:val="right"/>
            </w:pPr>
            <w:r>
              <w:rPr>
                <w:color w:val="1C3A36"/>
                <w:sz w:val="18"/>
              </w:rPr>
              <w:t>25%</w:t>
            </w:r>
          </w:p>
        </w:tc>
      </w:tr>
      <w:tr>
        <w:tc>
          <w:tcPr>
            <w:tcW w:type="dxa" w:w="1656"/>
          </w:tcPr>
          <w:p>
            <w:pPr>
              <w:spacing w:after="20"/>
            </w:pPr>
            <w:r>
              <w:rPr>
                <w:b/>
                <w:color w:val="1C3A36"/>
                <w:sz w:val="18"/>
              </w:rPr>
              <w:t>Normalized</w:t>
            </w:r>
          </w:p>
        </w:tc>
        <w:tc>
          <w:tcPr>
            <w:tcW w:type="dxa" w:w="3600"/>
          </w:tcPr>
          <w:p>
            <w:pPr>
              <w:spacing w:after="20"/>
              <w:jc w:val="right"/>
            </w:pPr>
            <w:r>
              <w:rPr>
                <w:color w:val="1C3A36"/>
                <w:sz w:val="18"/>
              </w:rPr>
              <w:t>FY26E ex-net-interest parent profit × 15–22×</w:t>
            </w:r>
          </w:p>
        </w:tc>
        <w:tc>
          <w:tcPr>
            <w:tcW w:type="dxa" w:w="1037"/>
          </w:tcPr>
          <w:p>
            <w:pPr>
              <w:spacing w:after="20"/>
              <w:jc w:val="right"/>
            </w:pPr>
            <w:r>
              <w:rPr>
                <w:color w:val="1C3A36"/>
                <w:sz w:val="18"/>
              </w:rPr>
              <w:t>6.97</w:t>
            </w:r>
          </w:p>
        </w:tc>
        <w:tc>
          <w:tcPr>
            <w:tcW w:type="dxa" w:w="1037"/>
          </w:tcPr>
          <w:p>
            <w:pPr>
              <w:spacing w:after="20"/>
              <w:jc w:val="right"/>
            </w:pPr>
            <w:r>
              <w:rPr>
                <w:color w:val="1C3A36"/>
                <w:sz w:val="18"/>
              </w:rPr>
              <w:t>8.37</w:t>
            </w:r>
          </w:p>
        </w:tc>
        <w:tc>
          <w:tcPr>
            <w:tcW w:type="dxa" w:w="1037"/>
          </w:tcPr>
          <w:p>
            <w:pPr>
              <w:spacing w:after="20"/>
              <w:jc w:val="right"/>
            </w:pPr>
            <w:r>
              <w:rPr>
                <w:color w:val="1C3A36"/>
                <w:sz w:val="18"/>
              </w:rPr>
              <w:t>10.23</w:t>
            </w:r>
          </w:p>
        </w:tc>
        <w:tc>
          <w:tcPr>
            <w:tcW w:type="dxa" w:w="1037"/>
          </w:tcPr>
          <w:p>
            <w:pPr>
              <w:spacing w:after="20"/>
              <w:jc w:val="right"/>
            </w:pPr>
            <w:r>
              <w:rPr>
                <w:color w:val="1C3A36"/>
                <w:sz w:val="18"/>
              </w:rPr>
              <w:t>20%</w:t>
            </w:r>
          </w:p>
        </w:tc>
      </w:tr>
      <w:tr>
        <w:tc>
          <w:tcPr>
            <w:tcW w:type="dxa" w:w="1656"/>
          </w:tcPr>
          <w:p>
            <w:pPr>
              <w:spacing w:after="20"/>
            </w:pPr>
            <w:r>
              <w:rPr>
                <w:b/>
                <w:color w:val="1C3A36"/>
                <w:sz w:val="18"/>
              </w:rPr>
              <w:t>EV per bed</w:t>
            </w:r>
          </w:p>
        </w:tc>
        <w:tc>
          <w:tcPr>
            <w:tcW w:type="dxa" w:w="3600"/>
          </w:tcPr>
          <w:p>
            <w:pPr>
              <w:spacing w:after="20"/>
              <w:jc w:val="right"/>
            </w:pPr>
            <w:r>
              <w:rPr>
                <w:color w:val="1C3A36"/>
                <w:sz w:val="18"/>
              </w:rPr>
              <w:t>EGP 20–35mn × ~1,320 forward beds</w:t>
            </w:r>
          </w:p>
        </w:tc>
        <w:tc>
          <w:tcPr>
            <w:tcW w:type="dxa" w:w="1037"/>
          </w:tcPr>
          <w:p>
            <w:pPr>
              <w:spacing w:after="20"/>
              <w:jc w:val="right"/>
            </w:pPr>
            <w:r>
              <w:rPr>
                <w:color w:val="1C3A36"/>
                <w:sz w:val="18"/>
              </w:rPr>
              <w:t>6.46</w:t>
            </w:r>
          </w:p>
        </w:tc>
        <w:tc>
          <w:tcPr>
            <w:tcW w:type="dxa" w:w="1037"/>
          </w:tcPr>
          <w:p>
            <w:pPr>
              <w:spacing w:after="20"/>
              <w:jc w:val="right"/>
            </w:pPr>
            <w:r>
              <w:rPr>
                <w:color w:val="1C3A36"/>
                <w:sz w:val="18"/>
              </w:rPr>
              <w:t>9.08</w:t>
            </w:r>
          </w:p>
        </w:tc>
        <w:tc>
          <w:tcPr>
            <w:tcW w:type="dxa" w:w="1037"/>
          </w:tcPr>
          <w:p>
            <w:pPr>
              <w:spacing w:after="20"/>
              <w:jc w:val="right"/>
            </w:pPr>
            <w:r>
              <w:rPr>
                <w:color w:val="1C3A36"/>
                <w:sz w:val="18"/>
              </w:rPr>
              <w:t>11.70</w:t>
            </w:r>
          </w:p>
        </w:tc>
        <w:tc>
          <w:tcPr>
            <w:tcW w:type="dxa" w:w="1037"/>
          </w:tcPr>
          <w:p>
            <w:pPr>
              <w:spacing w:after="20"/>
              <w:jc w:val="right"/>
            </w:pPr>
            <w:r>
              <w:rPr>
                <w:color w:val="1C3A36"/>
                <w:sz w:val="18"/>
              </w:rPr>
              <w:t>15%</w:t>
            </w:r>
          </w:p>
        </w:tc>
      </w:tr>
      <w:tr>
        <w:tc>
          <w:tcPr>
            <w:tcW w:type="dxa" w:w="1656"/>
            <w:shd w:val="clear" w:color="auto" w:fill="F6F1E6"/>
          </w:tcPr>
          <w:p>
            <w:pPr>
              <w:spacing w:after="20"/>
            </w:pPr>
            <w:r>
              <w:rPr>
                <w:b/>
                <w:color w:val="1C3A36"/>
                <w:sz w:val="18"/>
              </w:rPr>
              <w:t>Weighted central</w:t>
            </w:r>
          </w:p>
        </w:tc>
        <w:tc>
          <w:tcPr>
            <w:tcW w:type="dxa" w:w="3600"/>
            <w:shd w:val="clear" w:color="auto" w:fill="F6F1E6"/>
          </w:tcPr>
          <w:p>
            <w:pPr>
              <w:spacing w:after="20"/>
              <w:jc w:val="right"/>
            </w:pPr>
            <w:r>
              <w:rPr>
                <w:b/>
                <w:color w:val="1C3A36"/>
                <w:sz w:val="18"/>
              </w:rPr>
              <w:t>Declared blend of the four lenses</w:t>
            </w:r>
          </w:p>
        </w:tc>
        <w:tc>
          <w:tcPr>
            <w:tcW w:type="dxa" w:w="1037"/>
            <w:shd w:val="clear" w:color="auto" w:fill="F6F1E6"/>
          </w:tcPr>
          <w:p>
            <w:pPr>
              <w:spacing w:after="20"/>
              <w:jc w:val="right"/>
            </w:pPr>
            <w:r>
              <w:rPr>
                <w:b/>
                <w:color w:val="1C3A36"/>
                <w:sz w:val="18"/>
              </w:rPr>
              <w:t>6.51</w:t>
            </w:r>
          </w:p>
        </w:tc>
        <w:tc>
          <w:tcPr>
            <w:tcW w:type="dxa" w:w="1037"/>
            <w:shd w:val="clear" w:color="auto" w:fill="F6F1E6"/>
          </w:tcPr>
          <w:p>
            <w:pPr>
              <w:spacing w:after="20"/>
              <w:jc w:val="right"/>
            </w:pPr>
            <w:r>
              <w:rPr>
                <w:b/>
                <w:color w:val="1C3A36"/>
                <w:sz w:val="18"/>
              </w:rPr>
              <w:t>9.21</w:t>
            </w:r>
          </w:p>
        </w:tc>
        <w:tc>
          <w:tcPr>
            <w:tcW w:type="dxa" w:w="1037"/>
            <w:shd w:val="clear" w:color="auto" w:fill="F6F1E6"/>
          </w:tcPr>
          <w:p>
            <w:pPr>
              <w:spacing w:after="20"/>
              <w:jc w:val="right"/>
            </w:pPr>
            <w:r>
              <w:rPr>
                <w:b/>
                <w:color w:val="1C3A36"/>
                <w:sz w:val="18"/>
              </w:rPr>
              <w:t>11.05</w:t>
            </w:r>
          </w:p>
        </w:tc>
        <w:tc>
          <w:tcPr>
            <w:tcW w:type="dxa" w:w="1037"/>
            <w:shd w:val="clear" w:color="auto" w:fill="F6F1E6"/>
          </w:tcPr>
          <w:p>
            <w:pPr>
              <w:spacing w:after="20"/>
              <w:jc w:val="right"/>
            </w:pPr>
            <w:r>
              <w:rPr>
                <w:b/>
                <w:color w:val="1C3A36"/>
                <w:sz w:val="18"/>
              </w:rPr>
              <w:t>100%</w:t>
            </w:r>
          </w:p>
        </w:tc>
      </w:tr>
      <w:tr>
        <w:tc>
          <w:tcPr>
            <w:tcW w:type="dxa" w:w="1656"/>
          </w:tcPr>
          <w:p>
            <w:pPr>
              <w:spacing w:after="20"/>
            </w:pPr>
            <w:r>
              <w:rPr>
                <w:b/>
                <w:color w:val="1C3A36"/>
                <w:sz w:val="18"/>
              </w:rPr>
              <w:t>Spot</w:t>
            </w:r>
          </w:p>
        </w:tc>
        <w:tc>
          <w:tcPr>
            <w:tcW w:type="dxa" w:w="3600"/>
          </w:tcPr>
          <w:p>
            <w:pPr>
              <w:spacing w:after="20"/>
              <w:jc w:val="right"/>
            </w:pPr>
            <w:r>
              <w:rPr>
                <w:color w:val="1C3A36"/>
                <w:sz w:val="18"/>
              </w:rPr>
              <w:t>EGX close, 2026-07-12</w:t>
            </w:r>
          </w:p>
        </w:tc>
        <w:tc>
          <w:tcPr>
            <w:tcW w:type="dxa" w:w="1037"/>
          </w:tcPr>
          <w:p>
            <w:pPr>
              <w:spacing w:after="20"/>
              <w:jc w:val="right"/>
            </w:pPr>
            <w:r>
              <w:rPr>
                <w:color w:val="1C3A36"/>
                <w:sz w:val="18"/>
              </w:rPr>
            </w:r>
          </w:p>
        </w:tc>
        <w:tc>
          <w:tcPr>
            <w:tcW w:type="dxa" w:w="1037"/>
          </w:tcPr>
          <w:p>
            <w:pPr>
              <w:spacing w:after="20"/>
              <w:jc w:val="right"/>
            </w:pPr>
            <w:r>
              <w:rPr>
                <w:color w:val="1C3A36"/>
                <w:sz w:val="18"/>
              </w:rPr>
              <w:t>16.31</w:t>
            </w:r>
          </w:p>
        </w:tc>
        <w:tc>
          <w:tcPr>
            <w:tcW w:type="dxa" w:w="1037"/>
          </w:tcPr>
          <w:p>
            <w:pPr>
              <w:spacing w:after="20"/>
              <w:jc w:val="right"/>
            </w:pPr>
            <w:r>
              <w:rPr>
                <w:color w:val="1C3A36"/>
                <w:sz w:val="18"/>
              </w:rPr>
            </w:r>
          </w:p>
        </w:tc>
        <w:tc>
          <w:tcPr>
            <w:tcW w:type="dxa" w:w="1037"/>
          </w:tcPr>
          <w:p>
            <w:pPr>
              <w:spacing w:after="20"/>
              <w:jc w:val="right"/>
            </w:pPr>
            <w:r>
              <w:rPr>
                <w:color w:val="1C3A36"/>
                <w:sz w:val="18"/>
              </w:rPr>
            </w:r>
          </w:p>
        </w:tc>
      </w:tr>
    </w:tbl>
    <w:p>
      <w:pPr>
        <w:spacing w:after="40"/>
      </w:pPr>
    </w:p>
    <w:p>
      <w:pPr>
        <w:spacing w:after="200" w:before="0"/>
      </w:pPr>
      <w:r>
        <w:rPr>
          <w:b w:val="0"/>
          <w:i/>
          <w:color w:val="6E7B77"/>
          <w:sz w:val="17"/>
        </w:rPr>
        <w:t>All values EGP per share. Bands are model outputs under stated assumptions, not price targets. Weights are declared, not fitted.</w:t>
      </w:r>
    </w:p>
    <w:p>
      <w:pPr>
        <w:spacing w:after="40"/>
        <w:jc w:val="center"/>
      </w:pPr>
      <w:r>
        <w:drawing>
          <wp:inline xmlns:a="http://schemas.openxmlformats.org/drawingml/2006/main" xmlns:pic="http://schemas.openxmlformats.org/drawingml/2006/picture">
            <wp:extent cx="6309360" cy="2660930"/>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660930"/>
                    </a:xfrm>
                    <a:prstGeom prst="rect"/>
                  </pic:spPr>
                </pic:pic>
              </a:graphicData>
            </a:graphic>
          </wp:inline>
        </w:drawing>
      </w:r>
    </w:p>
    <w:p>
      <w:pPr>
        <w:spacing w:after="200" w:before="0"/>
      </w:pPr>
      <w:r>
        <w:rPr>
          <w:b w:val="0"/>
          <w:i/>
          <w:color w:val="6E7B77"/>
          <w:sz w:val="17"/>
        </w:rPr>
        <w:t>Figure 1 — valuation football field. Brass tick = base case; shaded bar = bear–bull span; gold band = weighted central ±5%; ink line = spot.</w:t>
      </w:r>
    </w:p>
    <w:p>
      <w:pPr>
        <w:spacing w:after="120" w:before="280"/>
      </w:pPr>
      <w:r>
        <w:rPr>
          <w:b/>
          <w:i w:val="0"/>
          <w:color w:val="1C3A36"/>
          <w:sz w:val="30"/>
        </w:rPr>
        <w:t>Company overview</w:t>
      </w:r>
    </w:p>
    <w:p>
      <w:pPr>
        <w:spacing w:after="80" w:before="200"/>
      </w:pPr>
      <w:r>
        <w:rPr>
          <w:b/>
          <w:i w:val="0"/>
          <w:color w:val="1C3A36"/>
          <w:sz w:val="24"/>
        </w:rPr>
        <w:t>What CLHO is and how it earns</w:t>
      </w:r>
    </w:p>
    <w:p>
      <w:pPr>
        <w:spacing w:after="120" w:before="0"/>
      </w:pPr>
      <w:r>
        <w:rPr>
          <w:b w:val="0"/>
          <w:i w:val="0"/>
          <w:color w:val="1C3A36"/>
          <w:sz w:val="21"/>
        </w:rPr>
        <w:t>CLHO is a pure-play private hospital operator. In FY2025 it served roughly 1.47mn cases and generated EGP 7,227mn of revenue at a 39.6% gross margin, a 30% adjusted-EBITDA margin (EGP 2,137mn) and EGP 824mn of net profit attributable to owners (EPS EGP 0.67). Revenue is volume × price across five service lines — outpatient consultations, inpatient stays, surgeries, emergency visits and catheterizations — plus IVF. The economic engine is capacity: operational beds, their occupancy, and the average revenue per case, which the company has been growing ahead of Egyptian inflation as case mix shifts toward higher-acuity work.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744"/>
            <w:shd w:val="clear" w:color="auto" w:fill="EAF0EE"/>
          </w:tcPr>
          <w:p>
            <w:pPr>
              <w:spacing w:after="20"/>
            </w:pPr>
            <w:r>
              <w:rPr>
                <w:b/>
                <w:color w:val="1C3A36"/>
                <w:sz w:val="18"/>
              </w:rPr>
              <w:t>Facility</w:t>
            </w:r>
          </w:p>
        </w:tc>
        <w:tc>
          <w:tcPr>
            <w:tcW w:type="dxa" w:w="2304"/>
            <w:shd w:val="clear" w:color="auto" w:fill="EAF0EE"/>
          </w:tcPr>
          <w:p>
            <w:pPr>
              <w:spacing w:after="20"/>
            </w:pPr>
            <w:r>
              <w:rPr>
                <w:b/>
                <w:color w:val="1C3A36"/>
                <w:sz w:val="18"/>
              </w:rPr>
              <w:t>FY25 revenue (EGP mn)</w:t>
            </w:r>
          </w:p>
        </w:tc>
        <w:tc>
          <w:tcPr>
            <w:tcW w:type="dxa" w:w="2160"/>
            <w:shd w:val="clear" w:color="auto" w:fill="EAF0EE"/>
          </w:tcPr>
          <w:p>
            <w:pPr>
              <w:spacing w:after="20"/>
            </w:pPr>
            <w:r>
              <w:rPr>
                <w:b/>
                <w:color w:val="1C3A36"/>
                <w:sz w:val="18"/>
              </w:rPr>
              <w:t>1Q26 revenue (EGP mn)</w:t>
            </w:r>
          </w:p>
        </w:tc>
        <w:tc>
          <w:tcPr>
            <w:tcW w:type="dxa" w:w="1584"/>
            <w:shd w:val="clear" w:color="auto" w:fill="EAF0EE"/>
          </w:tcPr>
          <w:p>
            <w:pPr>
              <w:spacing w:after="20"/>
            </w:pPr>
            <w:r>
              <w:rPr>
                <w:b/>
                <w:color w:val="1C3A36"/>
                <w:sz w:val="18"/>
              </w:rPr>
              <w:t>Share of 1Q26</w:t>
            </w:r>
          </w:p>
        </w:tc>
      </w:tr>
      <w:tr>
        <w:tc>
          <w:tcPr>
            <w:tcW w:type="dxa" w:w="3744"/>
          </w:tcPr>
          <w:p>
            <w:pPr>
              <w:spacing w:after="20"/>
            </w:pPr>
            <w:r>
              <w:rPr>
                <w:b/>
                <w:color w:val="1C3A36"/>
                <w:sz w:val="18"/>
              </w:rPr>
              <w:t>Cleopatra Hospital</w:t>
            </w:r>
          </w:p>
        </w:tc>
        <w:tc>
          <w:tcPr>
            <w:tcW w:type="dxa" w:w="2304"/>
          </w:tcPr>
          <w:p>
            <w:pPr>
              <w:spacing w:after="20"/>
              <w:jc w:val="right"/>
            </w:pPr>
            <w:r>
              <w:rPr>
                <w:color w:val="1C3A36"/>
                <w:sz w:val="18"/>
              </w:rPr>
              <w:t>2,461</w:t>
            </w:r>
          </w:p>
        </w:tc>
        <w:tc>
          <w:tcPr>
            <w:tcW w:type="dxa" w:w="2160"/>
          </w:tcPr>
          <w:p>
            <w:pPr>
              <w:spacing w:after="20"/>
              <w:jc w:val="right"/>
            </w:pPr>
            <w:r>
              <w:rPr>
                <w:color w:val="1C3A36"/>
                <w:sz w:val="18"/>
              </w:rPr>
              <w:t>623</w:t>
            </w:r>
          </w:p>
        </w:tc>
        <w:tc>
          <w:tcPr>
            <w:tcW w:type="dxa" w:w="1584"/>
          </w:tcPr>
          <w:p>
            <w:pPr>
              <w:spacing w:after="20"/>
              <w:jc w:val="right"/>
            </w:pPr>
            <w:r>
              <w:rPr>
                <w:color w:val="1C3A36"/>
                <w:sz w:val="18"/>
              </w:rPr>
              <w:t>31%</w:t>
            </w:r>
          </w:p>
        </w:tc>
      </w:tr>
      <w:tr>
        <w:tc>
          <w:tcPr>
            <w:tcW w:type="dxa" w:w="3744"/>
          </w:tcPr>
          <w:p>
            <w:pPr>
              <w:spacing w:after="20"/>
            </w:pPr>
            <w:r>
              <w:rPr>
                <w:b/>
                <w:color w:val="1C3A36"/>
                <w:sz w:val="18"/>
              </w:rPr>
              <w:t>Cairo Specialized</w:t>
            </w:r>
          </w:p>
        </w:tc>
        <w:tc>
          <w:tcPr>
            <w:tcW w:type="dxa" w:w="2304"/>
          </w:tcPr>
          <w:p>
            <w:pPr>
              <w:spacing w:after="20"/>
              <w:jc w:val="right"/>
            </w:pPr>
            <w:r>
              <w:rPr>
                <w:color w:val="1C3A36"/>
                <w:sz w:val="18"/>
              </w:rPr>
              <w:t>1,579</w:t>
            </w:r>
          </w:p>
        </w:tc>
        <w:tc>
          <w:tcPr>
            <w:tcW w:type="dxa" w:w="2160"/>
          </w:tcPr>
          <w:p>
            <w:pPr>
              <w:spacing w:after="20"/>
              <w:jc w:val="right"/>
            </w:pPr>
            <w:r>
              <w:rPr>
                <w:color w:val="1C3A36"/>
                <w:sz w:val="18"/>
              </w:rPr>
              <w:t>420</w:t>
            </w:r>
          </w:p>
        </w:tc>
        <w:tc>
          <w:tcPr>
            <w:tcW w:type="dxa" w:w="1584"/>
          </w:tcPr>
          <w:p>
            <w:pPr>
              <w:spacing w:after="20"/>
              <w:jc w:val="right"/>
            </w:pPr>
            <w:r>
              <w:rPr>
                <w:color w:val="1C3A36"/>
                <w:sz w:val="18"/>
              </w:rPr>
              <w:t>21%</w:t>
            </w:r>
          </w:p>
        </w:tc>
      </w:tr>
      <w:tr>
        <w:tc>
          <w:tcPr>
            <w:tcW w:type="dxa" w:w="3744"/>
          </w:tcPr>
          <w:p>
            <w:pPr>
              <w:spacing w:after="20"/>
            </w:pPr>
            <w:r>
              <w:rPr>
                <w:b/>
                <w:color w:val="1C3A36"/>
                <w:sz w:val="18"/>
              </w:rPr>
              <w:t>Al Shorouk</w:t>
            </w:r>
          </w:p>
        </w:tc>
        <w:tc>
          <w:tcPr>
            <w:tcW w:type="dxa" w:w="2304"/>
          </w:tcPr>
          <w:p>
            <w:pPr>
              <w:spacing w:after="20"/>
              <w:jc w:val="right"/>
            </w:pPr>
            <w:r>
              <w:rPr>
                <w:color w:val="1C3A36"/>
                <w:sz w:val="18"/>
              </w:rPr>
              <w:t>1,074</w:t>
            </w:r>
          </w:p>
        </w:tc>
        <w:tc>
          <w:tcPr>
            <w:tcW w:type="dxa" w:w="2160"/>
          </w:tcPr>
          <w:p>
            <w:pPr>
              <w:spacing w:after="20"/>
              <w:jc w:val="right"/>
            </w:pPr>
            <w:r>
              <w:rPr>
                <w:color w:val="1C3A36"/>
                <w:sz w:val="18"/>
              </w:rPr>
              <w:t>269</w:t>
            </w:r>
          </w:p>
        </w:tc>
        <w:tc>
          <w:tcPr>
            <w:tcW w:type="dxa" w:w="1584"/>
          </w:tcPr>
          <w:p>
            <w:pPr>
              <w:spacing w:after="20"/>
              <w:jc w:val="right"/>
            </w:pPr>
            <w:r>
              <w:rPr>
                <w:color w:val="1C3A36"/>
                <w:sz w:val="18"/>
              </w:rPr>
              <w:t>13%</w:t>
            </w:r>
          </w:p>
        </w:tc>
      </w:tr>
      <w:tr>
        <w:tc>
          <w:tcPr>
            <w:tcW w:type="dxa" w:w="3744"/>
          </w:tcPr>
          <w:p>
            <w:pPr>
              <w:spacing w:after="20"/>
            </w:pPr>
            <w:r>
              <w:rPr>
                <w:b/>
                <w:color w:val="1C3A36"/>
                <w:sz w:val="18"/>
              </w:rPr>
              <w:t>Nile Badrawi</w:t>
            </w:r>
          </w:p>
        </w:tc>
        <w:tc>
          <w:tcPr>
            <w:tcW w:type="dxa" w:w="2304"/>
          </w:tcPr>
          <w:p>
            <w:pPr>
              <w:spacing w:after="20"/>
              <w:jc w:val="right"/>
            </w:pPr>
            <w:r>
              <w:rPr>
                <w:color w:val="1C3A36"/>
                <w:sz w:val="18"/>
              </w:rPr>
              <w:t>1,057</w:t>
            </w:r>
          </w:p>
        </w:tc>
        <w:tc>
          <w:tcPr>
            <w:tcW w:type="dxa" w:w="2160"/>
          </w:tcPr>
          <w:p>
            <w:pPr>
              <w:spacing w:after="20"/>
              <w:jc w:val="right"/>
            </w:pPr>
            <w:r>
              <w:rPr>
                <w:color w:val="1C3A36"/>
                <w:sz w:val="18"/>
              </w:rPr>
              <w:t>240</w:t>
            </w:r>
          </w:p>
        </w:tc>
        <w:tc>
          <w:tcPr>
            <w:tcW w:type="dxa" w:w="1584"/>
          </w:tcPr>
          <w:p>
            <w:pPr>
              <w:spacing w:after="20"/>
              <w:jc w:val="right"/>
            </w:pPr>
            <w:r>
              <w:rPr>
                <w:color w:val="1C3A36"/>
                <w:sz w:val="18"/>
              </w:rPr>
              <w:t>12%</w:t>
            </w:r>
          </w:p>
        </w:tc>
      </w:tr>
      <w:tr>
        <w:tc>
          <w:tcPr>
            <w:tcW w:type="dxa" w:w="3744"/>
          </w:tcPr>
          <w:p>
            <w:pPr>
              <w:spacing w:after="20"/>
            </w:pPr>
            <w:r>
              <w:rPr>
                <w:b/>
                <w:color w:val="1C3A36"/>
                <w:sz w:val="18"/>
              </w:rPr>
              <w:t>El Katib</w:t>
            </w:r>
          </w:p>
        </w:tc>
        <w:tc>
          <w:tcPr>
            <w:tcW w:type="dxa" w:w="2304"/>
          </w:tcPr>
          <w:p>
            <w:pPr>
              <w:spacing w:after="20"/>
              <w:jc w:val="right"/>
            </w:pPr>
            <w:r>
              <w:rPr>
                <w:color w:val="1C3A36"/>
                <w:sz w:val="18"/>
              </w:rPr>
              <w:t>354</w:t>
            </w:r>
          </w:p>
        </w:tc>
        <w:tc>
          <w:tcPr>
            <w:tcW w:type="dxa" w:w="2160"/>
          </w:tcPr>
          <w:p>
            <w:pPr>
              <w:spacing w:after="20"/>
              <w:jc w:val="right"/>
            </w:pPr>
            <w:r>
              <w:rPr>
                <w:color w:val="1C3A36"/>
                <w:sz w:val="18"/>
              </w:rPr>
              <w:t>81</w:t>
            </w:r>
          </w:p>
        </w:tc>
        <w:tc>
          <w:tcPr>
            <w:tcW w:type="dxa" w:w="1584"/>
          </w:tcPr>
          <w:p>
            <w:pPr>
              <w:spacing w:after="20"/>
              <w:jc w:val="right"/>
            </w:pPr>
            <w:r>
              <w:rPr>
                <w:color w:val="1C3A36"/>
                <w:sz w:val="18"/>
              </w:rPr>
              <w:t>4%</w:t>
            </w:r>
          </w:p>
        </w:tc>
      </w:tr>
      <w:tr>
        <w:tc>
          <w:tcPr>
            <w:tcW w:type="dxa" w:w="3744"/>
          </w:tcPr>
          <w:p>
            <w:pPr>
              <w:spacing w:after="20"/>
            </w:pPr>
            <w:r>
              <w:rPr>
                <w:b/>
                <w:color w:val="1C3A36"/>
                <w:sz w:val="18"/>
              </w:rPr>
              <w:t>Cleopatra October</w:t>
            </w:r>
          </w:p>
        </w:tc>
        <w:tc>
          <w:tcPr>
            <w:tcW w:type="dxa" w:w="2304"/>
          </w:tcPr>
          <w:p>
            <w:pPr>
              <w:spacing w:after="20"/>
              <w:jc w:val="right"/>
            </w:pPr>
            <w:r>
              <w:rPr>
                <w:color w:val="1C3A36"/>
                <w:sz w:val="18"/>
              </w:rPr>
              <w:t>—</w:t>
            </w:r>
          </w:p>
        </w:tc>
        <w:tc>
          <w:tcPr>
            <w:tcW w:type="dxa" w:w="2160"/>
          </w:tcPr>
          <w:p>
            <w:pPr>
              <w:spacing w:after="20"/>
              <w:jc w:val="right"/>
            </w:pPr>
            <w:r>
              <w:rPr>
                <w:color w:val="1C3A36"/>
                <w:sz w:val="18"/>
              </w:rPr>
              <w:t>108</w:t>
            </w:r>
          </w:p>
        </w:tc>
        <w:tc>
          <w:tcPr>
            <w:tcW w:type="dxa" w:w="1584"/>
          </w:tcPr>
          <w:p>
            <w:pPr>
              <w:spacing w:after="20"/>
              <w:jc w:val="right"/>
            </w:pPr>
            <w:r>
              <w:rPr>
                <w:color w:val="1C3A36"/>
                <w:sz w:val="18"/>
              </w:rPr>
              <w:t>5%</w:t>
            </w:r>
          </w:p>
        </w:tc>
      </w:tr>
      <w:tr>
        <w:tc>
          <w:tcPr>
            <w:tcW w:type="dxa" w:w="3744"/>
          </w:tcPr>
          <w:p>
            <w:pPr>
              <w:spacing w:after="20"/>
            </w:pPr>
            <w:r>
              <w:rPr>
                <w:b/>
                <w:color w:val="1C3A36"/>
                <w:sz w:val="18"/>
              </w:rPr>
              <w:t>Cleopatra El Tagamoa (new)</w:t>
            </w:r>
          </w:p>
        </w:tc>
        <w:tc>
          <w:tcPr>
            <w:tcW w:type="dxa" w:w="2304"/>
          </w:tcPr>
          <w:p>
            <w:pPr>
              <w:spacing w:after="20"/>
              <w:jc w:val="right"/>
            </w:pPr>
            <w:r>
              <w:rPr>
                <w:color w:val="1C3A36"/>
                <w:sz w:val="18"/>
              </w:rPr>
              <w:t>—</w:t>
            </w:r>
          </w:p>
        </w:tc>
        <w:tc>
          <w:tcPr>
            <w:tcW w:type="dxa" w:w="2160"/>
          </w:tcPr>
          <w:p>
            <w:pPr>
              <w:spacing w:after="20"/>
              <w:jc w:val="right"/>
            </w:pPr>
            <w:r>
              <w:rPr>
                <w:color w:val="1C3A36"/>
                <w:sz w:val="18"/>
              </w:rPr>
              <w:t>154</w:t>
            </w:r>
          </w:p>
        </w:tc>
        <w:tc>
          <w:tcPr>
            <w:tcW w:type="dxa" w:w="1584"/>
          </w:tcPr>
          <w:p>
            <w:pPr>
              <w:spacing w:after="20"/>
              <w:jc w:val="right"/>
            </w:pPr>
            <w:r>
              <w:rPr>
                <w:color w:val="1C3A36"/>
                <w:sz w:val="18"/>
              </w:rPr>
              <w:t>8%</w:t>
            </w:r>
          </w:p>
        </w:tc>
      </w:tr>
    </w:tbl>
    <w:p>
      <w:pPr>
        <w:spacing w:after="40"/>
      </w:pPr>
    </w:p>
    <w:p>
      <w:pPr>
        <w:spacing w:after="200" w:before="0"/>
      </w:pPr>
      <w:r>
        <w:rPr>
          <w:b w:val="0"/>
          <w:i/>
          <w:color w:val="6E7B77"/>
          <w:sz w:val="17"/>
        </w:rPr>
        <w:t>Source: CHG FY2025 and 1Q2026 earnings releases (official). CTH opened 27-Jan-2026 and reached 8% of group revenue within its first quarter.</w:t>
      </w:r>
    </w:p>
    <w:p>
      <w:pPr>
        <w:spacing w:after="80" w:before="200"/>
      </w:pPr>
      <w:r>
        <w:rPr>
          <w:b/>
          <w:i w:val="0"/>
          <w:color w:val="1C3A36"/>
          <w:sz w:val="24"/>
        </w:rPr>
        <w:t>Operating KPIs — volume × price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3600"/>
            <w:shd w:val="clear" w:color="auto" w:fill="EAF0EE"/>
          </w:tcPr>
          <w:p>
            <w:pPr>
              <w:spacing w:after="20"/>
            </w:pPr>
            <w:r>
              <w:rPr>
                <w:b/>
                <w:color w:val="1C3A36"/>
                <w:sz w:val="17"/>
              </w:rPr>
              <w:t>Core KPI (consolidated)</w:t>
            </w:r>
          </w:p>
        </w:tc>
        <w:tc>
          <w:tcPr>
            <w:tcW w:type="dxa" w:w="1944"/>
            <w:shd w:val="clear" w:color="auto" w:fill="EAF0EE"/>
          </w:tcPr>
          <w:p>
            <w:pPr>
              <w:spacing w:after="20"/>
            </w:pPr>
            <w:r>
              <w:rPr>
                <w:b/>
                <w:color w:val="1C3A36"/>
                <w:sz w:val="17"/>
              </w:rPr>
              <w:t>FY24 volume</w:t>
            </w:r>
          </w:p>
        </w:tc>
        <w:tc>
          <w:tcPr>
            <w:tcW w:type="dxa" w:w="1944"/>
            <w:shd w:val="clear" w:color="auto" w:fill="EAF0EE"/>
          </w:tcPr>
          <w:p>
            <w:pPr>
              <w:spacing w:after="20"/>
            </w:pPr>
            <w:r>
              <w:rPr>
                <w:b/>
                <w:color w:val="1C3A36"/>
                <w:sz w:val="17"/>
              </w:rPr>
              <w:t>FY25 volume</w:t>
            </w:r>
          </w:p>
        </w:tc>
        <w:tc>
          <w:tcPr>
            <w:tcW w:type="dxa" w:w="1080"/>
            <w:shd w:val="clear" w:color="auto" w:fill="EAF0EE"/>
          </w:tcPr>
          <w:p>
            <w:pPr>
              <w:spacing w:after="20"/>
            </w:pPr>
            <w:r>
              <w:rPr>
                <w:b/>
                <w:color w:val="1C3A36"/>
                <w:sz w:val="17"/>
              </w:rPr>
              <w:t>Δ%</w:t>
            </w:r>
          </w:p>
        </w:tc>
        <w:tc>
          <w:tcPr>
            <w:tcW w:type="dxa" w:w="1944"/>
            <w:shd w:val="clear" w:color="auto" w:fill="EAF0EE"/>
          </w:tcPr>
          <w:p>
            <w:pPr>
              <w:spacing w:after="20"/>
            </w:pPr>
            <w:r>
              <w:rPr>
                <w:b/>
                <w:color w:val="1C3A36"/>
                <w:sz w:val="17"/>
              </w:rPr>
              <w:t>FY25 ARP (EGP)</w:t>
            </w:r>
          </w:p>
        </w:tc>
      </w:tr>
      <w:tr>
        <w:tc>
          <w:tcPr>
            <w:tcW w:type="dxa" w:w="3600"/>
          </w:tcPr>
          <w:p>
            <w:pPr>
              <w:spacing w:after="20"/>
            </w:pPr>
            <w:r>
              <w:rPr>
                <w:b/>
                <w:color w:val="1C3A36"/>
                <w:sz w:val="17"/>
              </w:rPr>
              <w:t>Paid outpatient consultations</w:t>
            </w:r>
          </w:p>
        </w:tc>
        <w:tc>
          <w:tcPr>
            <w:tcW w:type="dxa" w:w="1944"/>
          </w:tcPr>
          <w:p>
            <w:pPr>
              <w:spacing w:after="20"/>
              <w:jc w:val="right"/>
            </w:pPr>
            <w:r>
              <w:rPr>
                <w:color w:val="1C3A36"/>
                <w:sz w:val="17"/>
              </w:rPr>
              <w:t>1,068,211</w:t>
            </w:r>
          </w:p>
        </w:tc>
        <w:tc>
          <w:tcPr>
            <w:tcW w:type="dxa" w:w="1944"/>
          </w:tcPr>
          <w:p>
            <w:pPr>
              <w:spacing w:after="20"/>
              <w:jc w:val="right"/>
            </w:pPr>
            <w:r>
              <w:rPr>
                <w:color w:val="1C3A36"/>
                <w:sz w:val="17"/>
              </w:rPr>
              <w:t>1,204,807</w:t>
            </w:r>
          </w:p>
        </w:tc>
        <w:tc>
          <w:tcPr>
            <w:tcW w:type="dxa" w:w="1080"/>
          </w:tcPr>
          <w:p>
            <w:pPr>
              <w:spacing w:after="20"/>
              <w:jc w:val="right"/>
            </w:pPr>
            <w:r>
              <w:rPr>
                <w:color w:val="1C3A36"/>
                <w:sz w:val="17"/>
              </w:rPr>
              <w:t>+13%</w:t>
            </w:r>
          </w:p>
        </w:tc>
        <w:tc>
          <w:tcPr>
            <w:tcW w:type="dxa" w:w="1944"/>
          </w:tcPr>
          <w:p>
            <w:pPr>
              <w:spacing w:after="20"/>
              <w:jc w:val="right"/>
            </w:pPr>
            <w:r>
              <w:rPr>
                <w:color w:val="1C3A36"/>
                <w:sz w:val="17"/>
              </w:rPr>
              <w:t>457</w:t>
            </w:r>
          </w:p>
        </w:tc>
      </w:tr>
      <w:tr>
        <w:tc>
          <w:tcPr>
            <w:tcW w:type="dxa" w:w="3600"/>
          </w:tcPr>
          <w:p>
            <w:pPr>
              <w:spacing w:after="20"/>
            </w:pPr>
            <w:r>
              <w:rPr>
                <w:b/>
                <w:color w:val="1C3A36"/>
                <w:sz w:val="17"/>
              </w:rPr>
              <w:t>Inpatients</w:t>
            </w:r>
          </w:p>
        </w:tc>
        <w:tc>
          <w:tcPr>
            <w:tcW w:type="dxa" w:w="1944"/>
          </w:tcPr>
          <w:p>
            <w:pPr>
              <w:spacing w:after="20"/>
              <w:jc w:val="right"/>
            </w:pPr>
            <w:r>
              <w:rPr>
                <w:color w:val="1C3A36"/>
                <w:sz w:val="17"/>
              </w:rPr>
              <w:t>66,859</w:t>
            </w:r>
          </w:p>
        </w:tc>
        <w:tc>
          <w:tcPr>
            <w:tcW w:type="dxa" w:w="1944"/>
          </w:tcPr>
          <w:p>
            <w:pPr>
              <w:spacing w:after="20"/>
              <w:jc w:val="right"/>
            </w:pPr>
            <w:r>
              <w:rPr>
                <w:color w:val="1C3A36"/>
                <w:sz w:val="17"/>
              </w:rPr>
              <w:t>75,107</w:t>
            </w:r>
          </w:p>
        </w:tc>
        <w:tc>
          <w:tcPr>
            <w:tcW w:type="dxa" w:w="1080"/>
          </w:tcPr>
          <w:p>
            <w:pPr>
              <w:spacing w:after="20"/>
              <w:jc w:val="right"/>
            </w:pPr>
            <w:r>
              <w:rPr>
                <w:color w:val="1C3A36"/>
                <w:sz w:val="17"/>
              </w:rPr>
              <w:t>+12%</w:t>
            </w:r>
          </w:p>
        </w:tc>
        <w:tc>
          <w:tcPr>
            <w:tcW w:type="dxa" w:w="1944"/>
          </w:tcPr>
          <w:p>
            <w:pPr>
              <w:spacing w:after="20"/>
              <w:jc w:val="right"/>
            </w:pPr>
            <w:r>
              <w:rPr>
                <w:color w:val="1C3A36"/>
                <w:sz w:val="17"/>
              </w:rPr>
              <w:t>21,266</w:t>
            </w:r>
          </w:p>
        </w:tc>
      </w:tr>
      <w:tr>
        <w:tc>
          <w:tcPr>
            <w:tcW w:type="dxa" w:w="3600"/>
          </w:tcPr>
          <w:p>
            <w:pPr>
              <w:spacing w:after="20"/>
            </w:pPr>
            <w:r>
              <w:rPr>
                <w:b/>
                <w:color w:val="1C3A36"/>
                <w:sz w:val="17"/>
              </w:rPr>
              <w:t>Surgical procedures</w:t>
            </w:r>
          </w:p>
        </w:tc>
        <w:tc>
          <w:tcPr>
            <w:tcW w:type="dxa" w:w="1944"/>
          </w:tcPr>
          <w:p>
            <w:pPr>
              <w:spacing w:after="20"/>
              <w:jc w:val="right"/>
            </w:pPr>
            <w:r>
              <w:rPr>
                <w:color w:val="1C3A36"/>
                <w:sz w:val="17"/>
              </w:rPr>
              <w:t>42,558</w:t>
            </w:r>
          </w:p>
        </w:tc>
        <w:tc>
          <w:tcPr>
            <w:tcW w:type="dxa" w:w="1944"/>
          </w:tcPr>
          <w:p>
            <w:pPr>
              <w:spacing w:after="20"/>
              <w:jc w:val="right"/>
            </w:pPr>
            <w:r>
              <w:rPr>
                <w:color w:val="1C3A36"/>
                <w:sz w:val="17"/>
              </w:rPr>
              <w:t>43,415</w:t>
            </w:r>
          </w:p>
        </w:tc>
        <w:tc>
          <w:tcPr>
            <w:tcW w:type="dxa" w:w="1080"/>
          </w:tcPr>
          <w:p>
            <w:pPr>
              <w:spacing w:after="20"/>
              <w:jc w:val="right"/>
            </w:pPr>
            <w:r>
              <w:rPr>
                <w:color w:val="1C3A36"/>
                <w:sz w:val="17"/>
              </w:rPr>
              <w:t>+2%</w:t>
            </w:r>
          </w:p>
        </w:tc>
        <w:tc>
          <w:tcPr>
            <w:tcW w:type="dxa" w:w="1944"/>
          </w:tcPr>
          <w:p>
            <w:pPr>
              <w:spacing w:after="20"/>
              <w:jc w:val="right"/>
            </w:pPr>
            <w:r>
              <w:rPr>
                <w:color w:val="1C3A36"/>
                <w:sz w:val="17"/>
              </w:rPr>
              <w:t>30,086</w:t>
            </w:r>
          </w:p>
        </w:tc>
      </w:tr>
      <w:tr>
        <w:tc>
          <w:tcPr>
            <w:tcW w:type="dxa" w:w="3600"/>
          </w:tcPr>
          <w:p>
            <w:pPr>
              <w:spacing w:after="20"/>
            </w:pPr>
            <w:r>
              <w:rPr>
                <w:b/>
                <w:color w:val="1C3A36"/>
                <w:sz w:val="17"/>
              </w:rPr>
              <w:t>Emergency visits</w:t>
            </w:r>
          </w:p>
        </w:tc>
        <w:tc>
          <w:tcPr>
            <w:tcW w:type="dxa" w:w="1944"/>
          </w:tcPr>
          <w:p>
            <w:pPr>
              <w:spacing w:after="20"/>
              <w:jc w:val="right"/>
            </w:pPr>
            <w:r>
              <w:rPr>
                <w:color w:val="1C3A36"/>
                <w:sz w:val="17"/>
              </w:rPr>
              <w:t>174,597</w:t>
            </w:r>
          </w:p>
        </w:tc>
        <w:tc>
          <w:tcPr>
            <w:tcW w:type="dxa" w:w="1944"/>
          </w:tcPr>
          <w:p>
            <w:pPr>
              <w:spacing w:after="20"/>
              <w:jc w:val="right"/>
            </w:pPr>
            <w:r>
              <w:rPr>
                <w:color w:val="1C3A36"/>
                <w:sz w:val="17"/>
              </w:rPr>
              <w:t>192,620</w:t>
            </w:r>
          </w:p>
        </w:tc>
        <w:tc>
          <w:tcPr>
            <w:tcW w:type="dxa" w:w="1080"/>
          </w:tcPr>
          <w:p>
            <w:pPr>
              <w:spacing w:after="20"/>
              <w:jc w:val="right"/>
            </w:pPr>
            <w:r>
              <w:rPr>
                <w:color w:val="1C3A36"/>
                <w:sz w:val="17"/>
              </w:rPr>
              <w:t>+10%</w:t>
            </w:r>
          </w:p>
        </w:tc>
        <w:tc>
          <w:tcPr>
            <w:tcW w:type="dxa" w:w="1944"/>
          </w:tcPr>
          <w:p>
            <w:pPr>
              <w:spacing w:after="20"/>
              <w:jc w:val="right"/>
            </w:pPr>
            <w:r>
              <w:rPr>
                <w:color w:val="1C3A36"/>
                <w:sz w:val="17"/>
              </w:rPr>
              <w:t>1,348</w:t>
            </w:r>
          </w:p>
        </w:tc>
      </w:tr>
      <w:tr>
        <w:tc>
          <w:tcPr>
            <w:tcW w:type="dxa" w:w="3600"/>
          </w:tcPr>
          <w:p>
            <w:pPr>
              <w:spacing w:after="20"/>
            </w:pPr>
            <w:r>
              <w:rPr>
                <w:b/>
                <w:color w:val="1C3A36"/>
                <w:sz w:val="17"/>
              </w:rPr>
              <w:t>Catheterizations</w:t>
            </w:r>
          </w:p>
        </w:tc>
        <w:tc>
          <w:tcPr>
            <w:tcW w:type="dxa" w:w="1944"/>
          </w:tcPr>
          <w:p>
            <w:pPr>
              <w:spacing w:after="20"/>
              <w:jc w:val="right"/>
            </w:pPr>
            <w:r>
              <w:rPr>
                <w:color w:val="1C3A36"/>
                <w:sz w:val="17"/>
              </w:rPr>
              <w:t>5,510</w:t>
            </w:r>
          </w:p>
        </w:tc>
        <w:tc>
          <w:tcPr>
            <w:tcW w:type="dxa" w:w="1944"/>
          </w:tcPr>
          <w:p>
            <w:pPr>
              <w:spacing w:after="20"/>
              <w:jc w:val="right"/>
            </w:pPr>
            <w:r>
              <w:rPr>
                <w:color w:val="1C3A36"/>
                <w:sz w:val="17"/>
              </w:rPr>
              <w:t>6,089</w:t>
            </w:r>
          </w:p>
        </w:tc>
        <w:tc>
          <w:tcPr>
            <w:tcW w:type="dxa" w:w="1080"/>
          </w:tcPr>
          <w:p>
            <w:pPr>
              <w:spacing w:after="20"/>
              <w:jc w:val="right"/>
            </w:pPr>
            <w:r>
              <w:rPr>
                <w:color w:val="1C3A36"/>
                <w:sz w:val="17"/>
              </w:rPr>
              <w:t>+11%</w:t>
            </w:r>
          </w:p>
        </w:tc>
        <w:tc>
          <w:tcPr>
            <w:tcW w:type="dxa" w:w="1944"/>
          </w:tcPr>
          <w:p>
            <w:pPr>
              <w:spacing w:after="20"/>
              <w:jc w:val="right"/>
            </w:pPr>
            <w:r>
              <w:rPr>
                <w:color w:val="1C3A36"/>
                <w:sz w:val="17"/>
              </w:rPr>
              <w:t>78,253</w:t>
            </w:r>
          </w:p>
        </w:tc>
      </w:tr>
    </w:tbl>
    <w:p>
      <w:pPr>
        <w:spacing w:after="40"/>
      </w:pPr>
    </w:p>
    <w:p>
      <w:pPr>
        <w:spacing w:after="200" w:before="0"/>
      </w:pPr>
      <w:r>
        <w:rPr>
          <w:b w:val="0"/>
          <w:i/>
          <w:color w:val="6E7B77"/>
          <w:sz w:val="17"/>
        </w:rPr>
        <w:t>Case volumes and average revenue per case (ARP), FY2024→FY2025, from the company’s disclosure. Revenue growth is volume × price, with mix shifting toward higher-acuity inpatient and cath-lab work.</w:t>
      </w:r>
    </w:p>
    <w:p>
      <w:pPr>
        <w:spacing w:after="80" w:before="200"/>
      </w:pPr>
      <w:r>
        <w:rPr>
          <w:b/>
          <w:i w:val="0"/>
          <w:color w:val="1C3A36"/>
          <w:sz w:val="24"/>
        </w:rPr>
        <w:t>Capacity, growth and the balance sheet</w:t>
      </w:r>
    </w:p>
    <w:p>
      <w:pPr>
        <w:spacing w:after="120" w:before="0"/>
      </w:pPr>
      <w:r>
        <w:rPr>
          <w:b w:val="0"/>
          <w:i w:val="0"/>
          <w:color w:val="1C3A36"/>
          <w:sz w:val="21"/>
        </w:rPr>
        <w:t>The network runs ~880 operational beds as of Q4-2025 and is adding ~440 — 240 at Cleopatra El Tagamoa (CTH, launched January 2026) and 200 at the October build-to-suit — to reach roughly 1,320 by 2027 (a ~50% increase). Management guides revenue to "more than double by 2028 versus 2025." Growth has been funded partly with debt: net financial debt stood at EGP 2,993.7mn excluding leases (EGP 3,164.1mn including IFRS-16 leases) at end-March 2026, about 1.6× annualized EBITDA — modest, and guided lower as the new hospitals mature and capex normalizes. The two-clock caution applies: the multi-year "2× by 2028" ambition is a ceiling on the story, not a near-term figure, and this study anchors on a risk-adjusted ~12-month fair value while showing the fuller build in the scenarios. Built bottom-up from the disclosed bed-ramp curve and each service line’s own volume and ARP growth (§1.6, Appendix A.5), this study’s revenue path reaches 2.18× FY2025 by FY2028E — almost exactly management’s own guidance, and a materially better cross-check than an assumed top-down fade.</w:t>
      </w:r>
    </w:p>
    <w:p>
      <w:pPr>
        <w:spacing w:after="40"/>
        <w:jc w:val="center"/>
      </w:pPr>
      <w:r>
        <w:drawing>
          <wp:inline xmlns:a="http://schemas.openxmlformats.org/drawingml/2006/main" xmlns:pic="http://schemas.openxmlformats.org/drawingml/2006/picture">
            <wp:extent cx="6126480" cy="2402541"/>
            <wp:docPr id="2" name="Picture 2"/>
            <wp:cNvGraphicFramePr>
              <a:graphicFrameLocks noChangeAspect="1"/>
            </wp:cNvGraphicFramePr>
            <a:graphic>
              <a:graphicData uri="http://schemas.openxmlformats.org/drawingml/2006/picture">
                <pic:pic>
                  <pic:nvPicPr>
                    <pic:cNvPr id="0" name="fig7_fin.png"/>
                    <pic:cNvPicPr/>
                  </pic:nvPicPr>
                  <pic:blipFill>
                    <a:blip r:embed="rId10"/>
                    <a:stretch>
                      <a:fillRect/>
                    </a:stretch>
                  </pic:blipFill>
                  <pic:spPr>
                    <a:xfrm>
                      <a:off x="0" y="0"/>
                      <a:ext cx="6126480" cy="2402541"/>
                    </a:xfrm>
                    <a:prstGeom prst="rect"/>
                  </pic:spPr>
                </pic:pic>
              </a:graphicData>
            </a:graphic>
          </wp:inline>
        </w:drawing>
      </w:r>
    </w:p>
    <w:p>
      <w:pPr>
        <w:spacing w:after="200" w:before="0"/>
      </w:pPr>
      <w:r>
        <w:rPr>
          <w:b w:val="0"/>
          <w:i/>
          <w:color w:val="6E7B77"/>
          <w:sz w:val="17"/>
        </w:rPr>
        <w:t>Figure 2 — revenue and reported-basis EBITDA, FY2023A–FY2030E (EGP bn). The forecast (right of the dotted line) is built bottom-up from disclosed volume/ARP data and the bed-capacity ramp, and lands close to management’s own “more than double by 2028” target.</w:t>
      </w:r>
    </w:p>
    <w:p>
      <w:pPr>
        <w:spacing w:after="120" w:before="280"/>
      </w:pPr>
      <w:r>
        <w:rPr>
          <w:b/>
          <w:i w:val="0"/>
          <w:color w:val="1C3A36"/>
          <w:sz w:val="30"/>
        </w:rPr>
        <w:t>1 · Fundamental valuation</w:t>
      </w:r>
    </w:p>
    <w:p>
      <w:pPr>
        <w:spacing w:after="120" w:before="0"/>
      </w:pPr>
      <w:r>
        <w:rPr>
          <w:b w:val="0"/>
          <w:i w:val="0"/>
          <w:color w:val="1C3A36"/>
          <w:sz w:val="21"/>
        </w:rPr>
        <w:t>CLHO is valued as an operating company. The primary lens is a discounted-cash-flow model on free cash flow to the firm, deliberately built in two rate stages to isolate the Egyptian-discount-rate crux; it is then cross-read against three independent lenses. No lens is a point estimate — each carries a bear/base/bull range, and the section closes with a declared weighting rather than a single number pretending to false precision.</w:t>
      </w:r>
    </w:p>
    <w:p>
      <w:pPr>
        <w:spacing w:after="80" w:before="200"/>
      </w:pPr>
      <w:r>
        <w:rPr>
          <w:b/>
          <w:i w:val="0"/>
          <w:color w:val="1C3A36"/>
          <w:sz w:val="24"/>
        </w:rPr>
        <w:t>1.1 · Discounted cash flow — the rate-path lens (primary)</w:t>
      </w:r>
    </w:p>
    <w:p>
      <w:pPr>
        <w:spacing w:after="120" w:before="0"/>
      </w:pPr>
      <w:r>
        <w:rPr>
          <w:b w:val="0"/>
          <w:i w:val="0"/>
          <w:color w:val="1C3A36"/>
          <w:sz w:val="21"/>
        </w:rPr>
        <w:t>Five years of explicit free cash flow to the firm are projected off the sourced FY2025 base and the disclosed 1Q2026 and April trajectory. The discount rate is the heart of the model. Egypt’s risk-free rate — the local-currency 10-year government yield — is about 22.55% today, and the bottom-up WACC at that level is roughly 25.1% (CDS-based ERP) to 28.3% (rating-based). But the Central Bank has begun an easing cycle, paused since mid-2026 only by regional conflict, and targets 7±2% inflation. The model therefore discounts years one and two at the spot WACC (25.1%) and years three to five, plus the terminal value, at a normalized-stage WACC of about 17.9% — the single most consequential judgment in the study, sensitized explicitly in §1.9.</w:t>
      </w:r>
    </w:p>
    <w:p>
      <w:pPr>
        <w:spacing w:after="120" w:before="0"/>
      </w:pPr>
      <w:r>
        <w:rPr>
          <w:b/>
          <w:i w:val="0"/>
          <w:color w:val="1C3A36"/>
          <w:sz w:val="21"/>
        </w:rPr>
        <w:t xml:space="preserve">The discount rate is rebuilt from the ground up. </w:t>
      </w:r>
      <w:r>
        <w:rPr>
          <w:b w:val="0"/>
          <w:i w:val="0"/>
          <w:color w:val="1C3A36"/>
          <w:sz w:val="21"/>
        </w:rPr>
        <w:t>This study replaces the two-stage-flat WACC used previously — a convention the house protocol now retires — with a sliding schedule in which every explicit year is discounted at its own forward rate, and the terminal value is brought home on the identical cumulative factor as year five’s cash flow. One date, one price of time. Three further corrections are made, and they pull in opposite directions, which is the honest part: the beta is raised to the house-band floor of 0.80 (the regression returns 0.446, but it is statistically weak — R² of 5.9%, a 90% confidence interval spanning roughly 0.15 to 0.74 — and it sits below even a defensive-business prior); the sovereign default premium is netted out of the risk-free rate before a CDS-based equity premium is added on top, because charging it twice is why the EGP ten-year prints 22.55% rather than 4–5%; and the terminal inputs are constructed from the central bank’s own target rather than asserted. The net effect on the level is almost nil — 25.15% explicit, 17.87% terminal, against 25.23% and 17.80% before. The derivation is entirely different; the answer is not. That is worth saying plainly rather than dressing a rebuild as a discovery.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384"/>
            <w:shd w:val="clear" w:color="auto" w:fill="EAF0EE"/>
          </w:tcPr>
          <w:p>
            <w:pPr>
              <w:spacing w:after="20"/>
            </w:pPr>
            <w:r>
              <w:rPr>
                <w:b/>
                <w:color w:val="1C3A36"/>
                <w:sz w:val="17"/>
              </w:rPr>
              <w:t>Discount-rate schedule</w:t>
            </w:r>
          </w:p>
        </w:tc>
        <w:tc>
          <w:tcPr>
            <w:tcW w:type="dxa" w:w="1224"/>
            <w:shd w:val="clear" w:color="auto" w:fill="EAF0EE"/>
          </w:tcPr>
          <w:p>
            <w:pPr>
              <w:spacing w:after="20"/>
            </w:pPr>
            <w:r>
              <w:rPr>
                <w:b/>
                <w:color w:val="1C3A36"/>
                <w:sz w:val="17"/>
              </w:rPr>
              <w:t>FY26E</w:t>
            </w:r>
          </w:p>
        </w:tc>
        <w:tc>
          <w:tcPr>
            <w:tcW w:type="dxa" w:w="1224"/>
            <w:shd w:val="clear" w:color="auto" w:fill="EAF0EE"/>
          </w:tcPr>
          <w:p>
            <w:pPr>
              <w:spacing w:after="20"/>
            </w:pPr>
            <w:r>
              <w:rPr>
                <w:b/>
                <w:color w:val="1C3A36"/>
                <w:sz w:val="17"/>
              </w:rPr>
              <w:t>FY27E</w:t>
            </w:r>
          </w:p>
        </w:tc>
        <w:tc>
          <w:tcPr>
            <w:tcW w:type="dxa" w:w="1224"/>
            <w:shd w:val="clear" w:color="auto" w:fill="EAF0EE"/>
          </w:tcPr>
          <w:p>
            <w:pPr>
              <w:spacing w:after="20"/>
            </w:pPr>
            <w:r>
              <w:rPr>
                <w:b/>
                <w:color w:val="1C3A36"/>
                <w:sz w:val="17"/>
              </w:rPr>
              <w:t>FY28E</w:t>
            </w:r>
          </w:p>
        </w:tc>
        <w:tc>
          <w:tcPr>
            <w:tcW w:type="dxa" w:w="1224"/>
            <w:shd w:val="clear" w:color="auto" w:fill="EAF0EE"/>
          </w:tcPr>
          <w:p>
            <w:pPr>
              <w:spacing w:after="20"/>
            </w:pPr>
            <w:r>
              <w:rPr>
                <w:b/>
                <w:color w:val="1C3A36"/>
                <w:sz w:val="17"/>
              </w:rPr>
              <w:t>FY29E</w:t>
            </w:r>
          </w:p>
        </w:tc>
        <w:tc>
          <w:tcPr>
            <w:tcW w:type="dxa" w:w="1224"/>
            <w:shd w:val="clear" w:color="auto" w:fill="EAF0EE"/>
          </w:tcPr>
          <w:p>
            <w:pPr>
              <w:spacing w:after="20"/>
            </w:pPr>
            <w:r>
              <w:rPr>
                <w:b/>
                <w:color w:val="1C3A36"/>
                <w:sz w:val="17"/>
              </w:rPr>
              <w:t>FY30E</w:t>
            </w:r>
          </w:p>
        </w:tc>
      </w:tr>
      <w:tr>
        <w:tc>
          <w:tcPr>
            <w:tcW w:type="dxa" w:w="3384"/>
          </w:tcPr>
          <w:p>
            <w:pPr>
              <w:spacing w:after="20"/>
            </w:pPr>
            <w:r>
              <w:rPr>
                <w:b/>
                <w:color w:val="1C3A36"/>
                <w:sz w:val="17"/>
              </w:rPr>
              <w:t>Kd path (CBE easing calendar + audited spread)</w:t>
            </w:r>
          </w:p>
        </w:tc>
        <w:tc>
          <w:tcPr>
            <w:tcW w:type="dxa" w:w="1224"/>
          </w:tcPr>
          <w:p>
            <w:pPr>
              <w:spacing w:after="20"/>
              <w:jc w:val="right"/>
            </w:pPr>
            <w:r>
              <w:rPr>
                <w:color w:val="1C3A36"/>
                <w:sz w:val="17"/>
              </w:rPr>
              <w:t>20.15%</w:t>
            </w:r>
          </w:p>
        </w:tc>
        <w:tc>
          <w:tcPr>
            <w:tcW w:type="dxa" w:w="1224"/>
          </w:tcPr>
          <w:p>
            <w:pPr>
              <w:spacing w:after="20"/>
              <w:jc w:val="right"/>
            </w:pPr>
            <w:r>
              <w:rPr>
                <w:color w:val="1C3A36"/>
                <w:sz w:val="17"/>
              </w:rPr>
              <w:t>18.50%</w:t>
            </w:r>
          </w:p>
        </w:tc>
        <w:tc>
          <w:tcPr>
            <w:tcW w:type="dxa" w:w="1224"/>
          </w:tcPr>
          <w:p>
            <w:pPr>
              <w:spacing w:after="20"/>
              <w:jc w:val="right"/>
            </w:pPr>
            <w:r>
              <w:rPr>
                <w:color w:val="1C3A36"/>
                <w:sz w:val="17"/>
              </w:rPr>
              <w:t>16.75%</w:t>
            </w:r>
          </w:p>
        </w:tc>
        <w:tc>
          <w:tcPr>
            <w:tcW w:type="dxa" w:w="1224"/>
          </w:tcPr>
          <w:p>
            <w:pPr>
              <w:spacing w:after="20"/>
              <w:jc w:val="right"/>
            </w:pPr>
            <w:r>
              <w:rPr>
                <w:color w:val="1C3A36"/>
                <w:sz w:val="17"/>
              </w:rPr>
              <w:t>15.60%</w:t>
            </w:r>
          </w:p>
        </w:tc>
        <w:tc>
          <w:tcPr>
            <w:tcW w:type="dxa" w:w="1224"/>
          </w:tcPr>
          <w:p>
            <w:pPr>
              <w:spacing w:after="20"/>
              <w:jc w:val="right"/>
            </w:pPr>
            <w:r>
              <w:rPr>
                <w:color w:val="1C3A36"/>
                <w:sz w:val="17"/>
              </w:rPr>
              <w:t>15.00%</w:t>
            </w:r>
          </w:p>
        </w:tc>
      </w:tr>
      <w:tr>
        <w:tc>
          <w:tcPr>
            <w:tcW w:type="dxa" w:w="3384"/>
          </w:tcPr>
          <w:p>
            <w:pPr>
              <w:spacing w:after="20"/>
            </w:pPr>
            <w:r>
              <w:rPr>
                <w:b/>
                <w:color w:val="1C3A36"/>
                <w:sz w:val="17"/>
              </w:rPr>
              <w:t>Glide fraction (inherited from Kd, not invented)</w:t>
            </w:r>
          </w:p>
        </w:tc>
        <w:tc>
          <w:tcPr>
            <w:tcW w:type="dxa" w:w="1224"/>
          </w:tcPr>
          <w:p>
            <w:pPr>
              <w:spacing w:after="20"/>
              <w:jc w:val="right"/>
            </w:pPr>
            <w:r>
              <w:rPr>
                <w:color w:val="1C3A36"/>
                <w:sz w:val="17"/>
              </w:rPr>
              <w:t>0.000</w:t>
            </w:r>
          </w:p>
        </w:tc>
        <w:tc>
          <w:tcPr>
            <w:tcW w:type="dxa" w:w="1224"/>
          </w:tcPr>
          <w:p>
            <w:pPr>
              <w:spacing w:after="20"/>
              <w:jc w:val="right"/>
            </w:pPr>
            <w:r>
              <w:rPr>
                <w:color w:val="1C3A36"/>
                <w:sz w:val="17"/>
              </w:rPr>
              <w:t>0.320</w:t>
            </w:r>
          </w:p>
        </w:tc>
        <w:tc>
          <w:tcPr>
            <w:tcW w:type="dxa" w:w="1224"/>
          </w:tcPr>
          <w:p>
            <w:pPr>
              <w:spacing w:after="20"/>
              <w:jc w:val="right"/>
            </w:pPr>
            <w:r>
              <w:rPr>
                <w:color w:val="1C3A36"/>
                <w:sz w:val="17"/>
              </w:rPr>
              <w:t>0.660</w:t>
            </w:r>
          </w:p>
        </w:tc>
        <w:tc>
          <w:tcPr>
            <w:tcW w:type="dxa" w:w="1224"/>
          </w:tcPr>
          <w:p>
            <w:pPr>
              <w:spacing w:after="20"/>
              <w:jc w:val="right"/>
            </w:pPr>
            <w:r>
              <w:rPr>
                <w:color w:val="1C3A36"/>
                <w:sz w:val="17"/>
              </w:rPr>
              <w:t>0.883</w:t>
            </w:r>
          </w:p>
        </w:tc>
        <w:tc>
          <w:tcPr>
            <w:tcW w:type="dxa" w:w="1224"/>
          </w:tcPr>
          <w:p>
            <w:pPr>
              <w:spacing w:after="20"/>
              <w:jc w:val="right"/>
            </w:pPr>
            <w:r>
              <w:rPr>
                <w:color w:val="1C3A36"/>
                <w:sz w:val="17"/>
              </w:rPr>
              <w:t>1.000</w:t>
            </w:r>
          </w:p>
        </w:tc>
      </w:tr>
      <w:tr>
        <w:tc>
          <w:tcPr>
            <w:tcW w:type="dxa" w:w="3384"/>
          </w:tcPr>
          <w:p>
            <w:pPr>
              <w:spacing w:after="20"/>
            </w:pPr>
            <w:r>
              <w:rPr>
                <w:b/>
                <w:color w:val="1C3A36"/>
                <w:sz w:val="17"/>
              </w:rPr>
              <w:t>Forward WACC</w:t>
            </w:r>
          </w:p>
        </w:tc>
        <w:tc>
          <w:tcPr>
            <w:tcW w:type="dxa" w:w="1224"/>
          </w:tcPr>
          <w:p>
            <w:pPr>
              <w:spacing w:after="20"/>
              <w:jc w:val="right"/>
            </w:pPr>
            <w:r>
              <w:rPr>
                <w:color w:val="1C3A36"/>
                <w:sz w:val="17"/>
              </w:rPr>
              <w:t>25.15%</w:t>
            </w:r>
          </w:p>
        </w:tc>
        <w:tc>
          <w:tcPr>
            <w:tcW w:type="dxa" w:w="1224"/>
          </w:tcPr>
          <w:p>
            <w:pPr>
              <w:spacing w:after="20"/>
              <w:jc w:val="right"/>
            </w:pPr>
            <w:r>
              <w:rPr>
                <w:color w:val="1C3A36"/>
                <w:sz w:val="17"/>
              </w:rPr>
              <w:t>22.82%</w:t>
            </w:r>
          </w:p>
        </w:tc>
        <w:tc>
          <w:tcPr>
            <w:tcW w:type="dxa" w:w="1224"/>
          </w:tcPr>
          <w:p>
            <w:pPr>
              <w:spacing w:after="20"/>
              <w:jc w:val="right"/>
            </w:pPr>
            <w:r>
              <w:rPr>
                <w:color w:val="1C3A36"/>
                <w:sz w:val="17"/>
              </w:rPr>
              <w:t>20.34%</w:t>
            </w:r>
          </w:p>
        </w:tc>
        <w:tc>
          <w:tcPr>
            <w:tcW w:type="dxa" w:w="1224"/>
          </w:tcPr>
          <w:p>
            <w:pPr>
              <w:spacing w:after="20"/>
              <w:jc w:val="right"/>
            </w:pPr>
            <w:r>
              <w:rPr>
                <w:color w:val="1C3A36"/>
                <w:sz w:val="17"/>
              </w:rPr>
              <w:t>18.72%</w:t>
            </w:r>
          </w:p>
        </w:tc>
        <w:tc>
          <w:tcPr>
            <w:tcW w:type="dxa" w:w="1224"/>
          </w:tcPr>
          <w:p>
            <w:pPr>
              <w:spacing w:after="20"/>
              <w:jc w:val="right"/>
            </w:pPr>
            <w:r>
              <w:rPr>
                <w:color w:val="1C3A36"/>
                <w:sz w:val="17"/>
              </w:rPr>
              <w:t>17.87%</w:t>
            </w:r>
          </w:p>
        </w:tc>
      </w:tr>
      <w:tr>
        <w:tc>
          <w:tcPr>
            <w:tcW w:type="dxa" w:w="3384"/>
          </w:tcPr>
          <w:p>
            <w:pPr>
              <w:spacing w:after="20"/>
            </w:pPr>
            <w:r>
              <w:rPr>
                <w:b/>
                <w:color w:val="1C3A36"/>
                <w:sz w:val="17"/>
              </w:rPr>
              <w:t>Cumulative discount factor</w:t>
            </w:r>
          </w:p>
        </w:tc>
        <w:tc>
          <w:tcPr>
            <w:tcW w:type="dxa" w:w="1224"/>
          </w:tcPr>
          <w:p>
            <w:pPr>
              <w:spacing w:after="20"/>
              <w:jc w:val="right"/>
            </w:pPr>
            <w:r>
              <w:rPr>
                <w:color w:val="1C3A36"/>
                <w:sz w:val="17"/>
              </w:rPr>
              <w:t>0.7990</w:t>
            </w:r>
          </w:p>
        </w:tc>
        <w:tc>
          <w:tcPr>
            <w:tcW w:type="dxa" w:w="1224"/>
          </w:tcPr>
          <w:p>
            <w:pPr>
              <w:spacing w:after="20"/>
              <w:jc w:val="right"/>
            </w:pPr>
            <w:r>
              <w:rPr>
                <w:color w:val="1C3A36"/>
                <w:sz w:val="17"/>
              </w:rPr>
              <w:t>0.6506</w:t>
            </w:r>
          </w:p>
        </w:tc>
        <w:tc>
          <w:tcPr>
            <w:tcW w:type="dxa" w:w="1224"/>
          </w:tcPr>
          <w:p>
            <w:pPr>
              <w:spacing w:after="20"/>
              <w:jc w:val="right"/>
            </w:pPr>
            <w:r>
              <w:rPr>
                <w:color w:val="1C3A36"/>
                <w:sz w:val="17"/>
              </w:rPr>
              <w:t>0.5406</w:t>
            </w:r>
          </w:p>
        </w:tc>
        <w:tc>
          <w:tcPr>
            <w:tcW w:type="dxa" w:w="1224"/>
          </w:tcPr>
          <w:p>
            <w:pPr>
              <w:spacing w:after="20"/>
              <w:jc w:val="right"/>
            </w:pPr>
            <w:r>
              <w:rPr>
                <w:color w:val="1C3A36"/>
                <w:sz w:val="17"/>
              </w:rPr>
              <w:t>0.4554</w:t>
            </w:r>
          </w:p>
        </w:tc>
        <w:tc>
          <w:tcPr>
            <w:tcW w:type="dxa" w:w="1224"/>
          </w:tcPr>
          <w:p>
            <w:pPr>
              <w:spacing w:after="20"/>
              <w:jc w:val="right"/>
            </w:pPr>
            <w:r>
              <w:rPr>
                <w:color w:val="1C3A36"/>
                <w:sz w:val="17"/>
              </w:rPr>
              <w:t>0.3864</w:t>
            </w:r>
          </w:p>
        </w:tc>
      </w:tr>
    </w:tbl>
    <w:p>
      <w:pPr>
        <w:spacing w:after="40"/>
      </w:pPr>
    </w:p>
    <w:p>
      <w:pPr>
        <w:spacing w:after="200" w:before="0"/>
      </w:pPr>
      <w:r>
        <w:rPr>
          <w:b w:val="0"/>
          <w:i/>
          <w:color w:val="6E7B77"/>
          <w:sz w:val="17"/>
        </w:rPr>
        <w:t>The glide SHAPE is inherited from the Kd path, never chosen separately — so the easing calendar is one judgment, not two. The terminal value is discounted at 0.3864, the same factor applied to FY2030E’s cash flow, because a pound arriving on 31-Dec-2030 is worth the same whether it is labelled a forecast cash flow or a terminal value.</w:t>
      </w:r>
    </w:p>
    <w:p>
      <w:pPr>
        <w:spacing w:after="120" w:before="0"/>
      </w:pPr>
      <w:r>
        <w:rPr>
          <w:b/>
          <w:i w:val="0"/>
          <w:color w:val="1C3A36"/>
          <w:sz w:val="21"/>
        </w:rPr>
        <w:t xml:space="preserve">Cost of debt — the P&amp;L number is a fiction, and the gate exists to catch that. </w:t>
      </w:r>
      <w:r>
        <w:rPr>
          <w:b w:val="0"/>
          <w:i w:val="0"/>
          <w:color w:val="1C3A36"/>
          <w:sz w:val="21"/>
        </w:rPr>
        <w:t>Take CLHO’s interest expense and divide it by its average debt and you get 7.7%. That number is worthless, and any model built on it would be badly wrong. The reason is that most of CLHO’s economic interest has not been running through the income statement at all — it has been capitalised into projects under construction. The FY2024 audited accounts put the capitalised balance at EGP 386.2mn against EGP 40.6mn a year earlier: a flow of EGP 345.6mn in a single year, nearly three times the EGP 122.0mn that actually reached the P&amp;L. Add it back and the true effective rate for FY2024 is (30.3%) — which corroborates the rate the company says it pays (28.90% on loans, disclosed in the same accounts) to within a hundred and fifty basis points. Only then is a cost of debt defensible. The currency question is settled by the same note: the USD, EUR and GBP monetary-liability columns are all nil. Every pound of borrowing is EGP-denominated — no blend is available, and none is required; the Group’s only FX exposure is asset-side cash. The adopted Kd of 20.15% is today’s CBE lending corridor plus CLHO’s own audited spread of sixty-five basis points, a spread that holds at two independent year-ends (28.90% against a 28.25% corridor in 2024; 20.90% against 20.25% in 2023). And because the book is entirely variable-rate — the audited sensitivity note puts ±600bp at ∓EGP 121mn — the interest bill re-prices with the corridor on its own. That is not a stylistic point: it is the mechanical reason a sliding discount schedule, rather than a flat one, is the structurally correct choice for this company.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96"/>
            <w:shd w:val="clear" w:color="auto" w:fill="EAF0EE"/>
          </w:tcPr>
          <w:p>
            <w:pPr>
              <w:spacing w:after="20"/>
            </w:pPr>
            <w:r>
              <w:rPr>
                <w:b/>
                <w:color w:val="1C3A36"/>
                <w:sz w:val="17"/>
              </w:rPr>
              <w:t>EGP mn</w:t>
            </w:r>
          </w:p>
        </w:tc>
        <w:tc>
          <w:tcPr>
            <w:tcW w:type="dxa" w:w="1354"/>
            <w:shd w:val="clear" w:color="auto" w:fill="EAF0EE"/>
          </w:tcPr>
          <w:p>
            <w:pPr>
              <w:spacing w:after="20"/>
            </w:pPr>
            <w:r>
              <w:rPr>
                <w:b/>
                <w:color w:val="1C3A36"/>
                <w:sz w:val="17"/>
              </w:rPr>
              <w:t>FY26E</w:t>
            </w:r>
          </w:p>
        </w:tc>
        <w:tc>
          <w:tcPr>
            <w:tcW w:type="dxa" w:w="1354"/>
            <w:shd w:val="clear" w:color="auto" w:fill="EAF0EE"/>
          </w:tcPr>
          <w:p>
            <w:pPr>
              <w:spacing w:after="20"/>
            </w:pPr>
            <w:r>
              <w:rPr>
                <w:b/>
                <w:color w:val="1C3A36"/>
                <w:sz w:val="17"/>
              </w:rPr>
              <w:t>FY27E</w:t>
            </w:r>
          </w:p>
        </w:tc>
        <w:tc>
          <w:tcPr>
            <w:tcW w:type="dxa" w:w="1354"/>
            <w:shd w:val="clear" w:color="auto" w:fill="EAF0EE"/>
          </w:tcPr>
          <w:p>
            <w:pPr>
              <w:spacing w:after="20"/>
            </w:pPr>
            <w:r>
              <w:rPr>
                <w:b/>
                <w:color w:val="1C3A36"/>
                <w:sz w:val="17"/>
              </w:rPr>
              <w:t>FY28E</w:t>
            </w:r>
          </w:p>
        </w:tc>
        <w:tc>
          <w:tcPr>
            <w:tcW w:type="dxa" w:w="1354"/>
            <w:shd w:val="clear" w:color="auto" w:fill="EAF0EE"/>
          </w:tcPr>
          <w:p>
            <w:pPr>
              <w:spacing w:after="20"/>
            </w:pPr>
            <w:r>
              <w:rPr>
                <w:b/>
                <w:color w:val="1C3A36"/>
                <w:sz w:val="17"/>
              </w:rPr>
              <w:t>FY29E</w:t>
            </w:r>
          </w:p>
        </w:tc>
        <w:tc>
          <w:tcPr>
            <w:tcW w:type="dxa" w:w="1354"/>
            <w:shd w:val="clear" w:color="auto" w:fill="EAF0EE"/>
          </w:tcPr>
          <w:p>
            <w:pPr>
              <w:spacing w:after="20"/>
            </w:pPr>
            <w:r>
              <w:rPr>
                <w:b/>
                <w:color w:val="1C3A36"/>
                <w:sz w:val="17"/>
              </w:rPr>
              <w:t>FY30E</w:t>
            </w:r>
          </w:p>
        </w:tc>
      </w:tr>
      <w:tr>
        <w:tc>
          <w:tcPr>
            <w:tcW w:type="dxa" w:w="3096"/>
          </w:tcPr>
          <w:p>
            <w:pPr>
              <w:spacing w:after="20"/>
            </w:pPr>
            <w:r>
              <w:rPr>
                <w:b/>
                <w:color w:val="1C3A36"/>
                <w:sz w:val="17"/>
              </w:rPr>
              <w:t>Revenue</w:t>
            </w:r>
          </w:p>
        </w:tc>
        <w:tc>
          <w:tcPr>
            <w:tcW w:type="dxa" w:w="1354"/>
          </w:tcPr>
          <w:p>
            <w:pPr>
              <w:spacing w:after="20"/>
              <w:jc w:val="right"/>
            </w:pPr>
            <w:r>
              <w:rPr>
                <w:color w:val="1C3A36"/>
                <w:sz w:val="17"/>
              </w:rPr>
              <w:t>9,253.6</w:t>
            </w:r>
          </w:p>
        </w:tc>
        <w:tc>
          <w:tcPr>
            <w:tcW w:type="dxa" w:w="1354"/>
          </w:tcPr>
          <w:p>
            <w:pPr>
              <w:spacing w:after="20"/>
              <w:jc w:val="right"/>
            </w:pPr>
            <w:r>
              <w:rPr>
                <w:color w:val="1C3A36"/>
                <w:sz w:val="17"/>
              </w:rPr>
              <w:t>12,303.1</w:t>
            </w:r>
          </w:p>
        </w:tc>
        <w:tc>
          <w:tcPr>
            <w:tcW w:type="dxa" w:w="1354"/>
          </w:tcPr>
          <w:p>
            <w:pPr>
              <w:spacing w:after="20"/>
              <w:jc w:val="right"/>
            </w:pPr>
            <w:r>
              <w:rPr>
                <w:color w:val="1C3A36"/>
                <w:sz w:val="17"/>
              </w:rPr>
              <w:t>15,786.3</w:t>
            </w:r>
          </w:p>
        </w:tc>
        <w:tc>
          <w:tcPr>
            <w:tcW w:type="dxa" w:w="1354"/>
          </w:tcPr>
          <w:p>
            <w:pPr>
              <w:spacing w:after="20"/>
              <w:jc w:val="right"/>
            </w:pPr>
            <w:r>
              <w:rPr>
                <w:color w:val="1C3A36"/>
                <w:sz w:val="17"/>
              </w:rPr>
              <w:t>19,065.0</w:t>
            </w:r>
          </w:p>
        </w:tc>
        <w:tc>
          <w:tcPr>
            <w:tcW w:type="dxa" w:w="1354"/>
          </w:tcPr>
          <w:p>
            <w:pPr>
              <w:spacing w:after="20"/>
              <w:jc w:val="right"/>
            </w:pPr>
            <w:r>
              <w:rPr>
                <w:color w:val="1C3A36"/>
                <w:sz w:val="17"/>
              </w:rPr>
              <w:t>21,821.4</w:t>
            </w:r>
          </w:p>
        </w:tc>
      </w:tr>
      <w:tr>
        <w:tc>
          <w:tcPr>
            <w:tcW w:type="dxa" w:w="3096"/>
          </w:tcPr>
          <w:p>
            <w:pPr>
              <w:spacing w:after="20"/>
            </w:pPr>
            <w:r>
              <w:rPr>
                <w:b/>
                <w:color w:val="1C3A36"/>
                <w:sz w:val="17"/>
              </w:rPr>
              <w:t>EBITDA (reported basis)</w:t>
            </w:r>
          </w:p>
        </w:tc>
        <w:tc>
          <w:tcPr>
            <w:tcW w:type="dxa" w:w="1354"/>
          </w:tcPr>
          <w:p>
            <w:pPr>
              <w:spacing w:after="20"/>
              <w:jc w:val="right"/>
            </w:pPr>
            <w:r>
              <w:rPr>
                <w:color w:val="1C3A36"/>
                <w:sz w:val="17"/>
              </w:rPr>
              <w:t>1,989.5</w:t>
            </w:r>
          </w:p>
        </w:tc>
        <w:tc>
          <w:tcPr>
            <w:tcW w:type="dxa" w:w="1354"/>
          </w:tcPr>
          <w:p>
            <w:pPr>
              <w:spacing w:after="20"/>
              <w:jc w:val="right"/>
            </w:pPr>
            <w:r>
              <w:rPr>
                <w:color w:val="1C3A36"/>
                <w:sz w:val="17"/>
              </w:rPr>
              <w:t>3,014.3</w:t>
            </w:r>
          </w:p>
        </w:tc>
        <w:tc>
          <w:tcPr>
            <w:tcW w:type="dxa" w:w="1354"/>
          </w:tcPr>
          <w:p>
            <w:pPr>
              <w:spacing w:after="20"/>
              <w:jc w:val="right"/>
            </w:pPr>
            <w:r>
              <w:rPr>
                <w:color w:val="1C3A36"/>
                <w:sz w:val="17"/>
              </w:rPr>
              <w:t>4,183.4</w:t>
            </w:r>
          </w:p>
        </w:tc>
        <w:tc>
          <w:tcPr>
            <w:tcW w:type="dxa" w:w="1354"/>
          </w:tcPr>
          <w:p>
            <w:pPr>
              <w:spacing w:after="20"/>
              <w:jc w:val="right"/>
            </w:pPr>
            <w:r>
              <w:rPr>
                <w:color w:val="1C3A36"/>
                <w:sz w:val="17"/>
              </w:rPr>
              <w:t>5,242.9</w:t>
            </w:r>
          </w:p>
        </w:tc>
        <w:tc>
          <w:tcPr>
            <w:tcW w:type="dxa" w:w="1354"/>
          </w:tcPr>
          <w:p>
            <w:pPr>
              <w:spacing w:after="20"/>
              <w:jc w:val="right"/>
            </w:pPr>
            <w:r>
              <w:rPr>
                <w:color w:val="1C3A36"/>
                <w:sz w:val="17"/>
              </w:rPr>
              <w:t>6,110.0</w:t>
            </w:r>
          </w:p>
        </w:tc>
      </w:tr>
      <w:tr>
        <w:tc>
          <w:tcPr>
            <w:tcW w:type="dxa" w:w="3096"/>
          </w:tcPr>
          <w:p>
            <w:pPr>
              <w:spacing w:after="20"/>
            </w:pPr>
            <w:r>
              <w:rPr>
                <w:b/>
                <w:color w:val="1C3A36"/>
                <w:sz w:val="17"/>
              </w:rPr>
              <w:t>(–) D&amp;A</w:t>
            </w:r>
          </w:p>
        </w:tc>
        <w:tc>
          <w:tcPr>
            <w:tcW w:type="dxa" w:w="1354"/>
          </w:tcPr>
          <w:p>
            <w:pPr>
              <w:spacing w:after="20"/>
              <w:jc w:val="right"/>
            </w:pPr>
            <w:r>
              <w:rPr>
                <w:color w:val="1C3A36"/>
                <w:sz w:val="17"/>
              </w:rPr>
              <w:t>(480.0)</w:t>
            </w:r>
          </w:p>
        </w:tc>
        <w:tc>
          <w:tcPr>
            <w:tcW w:type="dxa" w:w="1354"/>
          </w:tcPr>
          <w:p>
            <w:pPr>
              <w:spacing w:after="20"/>
              <w:jc w:val="right"/>
            </w:pPr>
            <w:r>
              <w:rPr>
                <w:color w:val="1C3A36"/>
                <w:sz w:val="17"/>
              </w:rPr>
              <w:t>(560.0)</w:t>
            </w:r>
          </w:p>
        </w:tc>
        <w:tc>
          <w:tcPr>
            <w:tcW w:type="dxa" w:w="1354"/>
          </w:tcPr>
          <w:p>
            <w:pPr>
              <w:spacing w:after="20"/>
              <w:jc w:val="right"/>
            </w:pPr>
            <w:r>
              <w:rPr>
                <w:color w:val="1C3A36"/>
                <w:sz w:val="17"/>
              </w:rPr>
              <w:t>(620.0)</w:t>
            </w:r>
          </w:p>
        </w:tc>
        <w:tc>
          <w:tcPr>
            <w:tcW w:type="dxa" w:w="1354"/>
          </w:tcPr>
          <w:p>
            <w:pPr>
              <w:spacing w:after="20"/>
              <w:jc w:val="right"/>
            </w:pPr>
            <w:r>
              <w:rPr>
                <w:color w:val="1C3A36"/>
                <w:sz w:val="17"/>
              </w:rPr>
              <w:t>(680.0)</w:t>
            </w:r>
          </w:p>
        </w:tc>
        <w:tc>
          <w:tcPr>
            <w:tcW w:type="dxa" w:w="1354"/>
          </w:tcPr>
          <w:p>
            <w:pPr>
              <w:spacing w:after="20"/>
              <w:jc w:val="right"/>
            </w:pPr>
            <w:r>
              <w:rPr>
                <w:color w:val="1C3A36"/>
                <w:sz w:val="17"/>
              </w:rPr>
              <w:t>(740.0)</w:t>
            </w:r>
          </w:p>
        </w:tc>
      </w:tr>
      <w:tr>
        <w:tc>
          <w:tcPr>
            <w:tcW w:type="dxa" w:w="3096"/>
          </w:tcPr>
          <w:p>
            <w:pPr>
              <w:spacing w:after="20"/>
            </w:pPr>
            <w:r>
              <w:rPr>
                <w:b/>
                <w:color w:val="1C3A36"/>
                <w:sz w:val="17"/>
              </w:rPr>
              <w:t>EBIT</w:t>
            </w:r>
          </w:p>
        </w:tc>
        <w:tc>
          <w:tcPr>
            <w:tcW w:type="dxa" w:w="1354"/>
          </w:tcPr>
          <w:p>
            <w:pPr>
              <w:spacing w:after="20"/>
              <w:jc w:val="right"/>
            </w:pPr>
            <w:r>
              <w:rPr>
                <w:color w:val="1C3A36"/>
                <w:sz w:val="17"/>
              </w:rPr>
              <w:t>1,509.5</w:t>
            </w:r>
          </w:p>
        </w:tc>
        <w:tc>
          <w:tcPr>
            <w:tcW w:type="dxa" w:w="1354"/>
          </w:tcPr>
          <w:p>
            <w:pPr>
              <w:spacing w:after="20"/>
              <w:jc w:val="right"/>
            </w:pPr>
            <w:r>
              <w:rPr>
                <w:color w:val="1C3A36"/>
                <w:sz w:val="17"/>
              </w:rPr>
              <w:t>2,454.3</w:t>
            </w:r>
          </w:p>
        </w:tc>
        <w:tc>
          <w:tcPr>
            <w:tcW w:type="dxa" w:w="1354"/>
          </w:tcPr>
          <w:p>
            <w:pPr>
              <w:spacing w:after="20"/>
              <w:jc w:val="right"/>
            </w:pPr>
            <w:r>
              <w:rPr>
                <w:color w:val="1C3A36"/>
                <w:sz w:val="17"/>
              </w:rPr>
              <w:t>3,563.4</w:t>
            </w:r>
          </w:p>
        </w:tc>
        <w:tc>
          <w:tcPr>
            <w:tcW w:type="dxa" w:w="1354"/>
          </w:tcPr>
          <w:p>
            <w:pPr>
              <w:spacing w:after="20"/>
              <w:jc w:val="right"/>
            </w:pPr>
            <w:r>
              <w:rPr>
                <w:color w:val="1C3A36"/>
                <w:sz w:val="17"/>
              </w:rPr>
              <w:t>4,562.9</w:t>
            </w:r>
          </w:p>
        </w:tc>
        <w:tc>
          <w:tcPr>
            <w:tcW w:type="dxa" w:w="1354"/>
          </w:tcPr>
          <w:p>
            <w:pPr>
              <w:spacing w:after="20"/>
              <w:jc w:val="right"/>
            </w:pPr>
            <w:r>
              <w:rPr>
                <w:color w:val="1C3A36"/>
                <w:sz w:val="17"/>
              </w:rPr>
              <w:t>5,370.0</w:t>
            </w:r>
          </w:p>
        </w:tc>
      </w:tr>
      <w:tr>
        <w:tc>
          <w:tcPr>
            <w:tcW w:type="dxa" w:w="3096"/>
          </w:tcPr>
          <w:p>
            <w:pPr>
              <w:spacing w:after="20"/>
            </w:pPr>
            <w:r>
              <w:rPr>
                <w:b/>
                <w:color w:val="1C3A36"/>
                <w:sz w:val="17"/>
              </w:rPr>
              <w:t>NOPAT = EBIT × (1 – 22.5%)</w:t>
            </w:r>
          </w:p>
        </w:tc>
        <w:tc>
          <w:tcPr>
            <w:tcW w:type="dxa" w:w="1354"/>
          </w:tcPr>
          <w:p>
            <w:pPr>
              <w:spacing w:after="20"/>
              <w:jc w:val="right"/>
            </w:pPr>
            <w:r>
              <w:rPr>
                <w:color w:val="1C3A36"/>
                <w:sz w:val="17"/>
              </w:rPr>
              <w:t>1,169.9</w:t>
            </w:r>
          </w:p>
        </w:tc>
        <w:tc>
          <w:tcPr>
            <w:tcW w:type="dxa" w:w="1354"/>
          </w:tcPr>
          <w:p>
            <w:pPr>
              <w:spacing w:after="20"/>
              <w:jc w:val="right"/>
            </w:pPr>
            <w:r>
              <w:rPr>
                <w:color w:val="1C3A36"/>
                <w:sz w:val="17"/>
              </w:rPr>
              <w:t>1,902.0</w:t>
            </w:r>
          </w:p>
        </w:tc>
        <w:tc>
          <w:tcPr>
            <w:tcW w:type="dxa" w:w="1354"/>
          </w:tcPr>
          <w:p>
            <w:pPr>
              <w:spacing w:after="20"/>
              <w:jc w:val="right"/>
            </w:pPr>
            <w:r>
              <w:rPr>
                <w:color w:val="1C3A36"/>
                <w:sz w:val="17"/>
              </w:rPr>
              <w:t>2,761.6</w:t>
            </w:r>
          </w:p>
        </w:tc>
        <w:tc>
          <w:tcPr>
            <w:tcW w:type="dxa" w:w="1354"/>
          </w:tcPr>
          <w:p>
            <w:pPr>
              <w:spacing w:after="20"/>
              <w:jc w:val="right"/>
            </w:pPr>
            <w:r>
              <w:rPr>
                <w:color w:val="1C3A36"/>
                <w:sz w:val="17"/>
              </w:rPr>
              <w:t>3,536.2</w:t>
            </w:r>
          </w:p>
        </w:tc>
        <w:tc>
          <w:tcPr>
            <w:tcW w:type="dxa" w:w="1354"/>
          </w:tcPr>
          <w:p>
            <w:pPr>
              <w:spacing w:after="20"/>
              <w:jc w:val="right"/>
            </w:pPr>
            <w:r>
              <w:rPr>
                <w:color w:val="1C3A36"/>
                <w:sz w:val="17"/>
              </w:rPr>
              <w:t>4,161.7</w:t>
            </w:r>
          </w:p>
        </w:tc>
      </w:tr>
      <w:tr>
        <w:tc>
          <w:tcPr>
            <w:tcW w:type="dxa" w:w="3096"/>
          </w:tcPr>
          <w:p>
            <w:pPr>
              <w:spacing w:after="20"/>
            </w:pPr>
            <w:r>
              <w:rPr>
                <w:b/>
                <w:color w:val="1C3A36"/>
                <w:sz w:val="17"/>
              </w:rPr>
              <w:t>(+) D&amp;A</w:t>
            </w:r>
          </w:p>
        </w:tc>
        <w:tc>
          <w:tcPr>
            <w:tcW w:type="dxa" w:w="1354"/>
          </w:tcPr>
          <w:p>
            <w:pPr>
              <w:spacing w:after="20"/>
              <w:jc w:val="right"/>
            </w:pPr>
            <w:r>
              <w:rPr>
                <w:color w:val="1C3A36"/>
                <w:sz w:val="17"/>
              </w:rPr>
              <w:t>480.0</w:t>
            </w:r>
          </w:p>
        </w:tc>
        <w:tc>
          <w:tcPr>
            <w:tcW w:type="dxa" w:w="1354"/>
          </w:tcPr>
          <w:p>
            <w:pPr>
              <w:spacing w:after="20"/>
              <w:jc w:val="right"/>
            </w:pPr>
            <w:r>
              <w:rPr>
                <w:color w:val="1C3A36"/>
                <w:sz w:val="17"/>
              </w:rPr>
              <w:t>560.0</w:t>
            </w:r>
          </w:p>
        </w:tc>
        <w:tc>
          <w:tcPr>
            <w:tcW w:type="dxa" w:w="1354"/>
          </w:tcPr>
          <w:p>
            <w:pPr>
              <w:spacing w:after="20"/>
              <w:jc w:val="right"/>
            </w:pPr>
            <w:r>
              <w:rPr>
                <w:color w:val="1C3A36"/>
                <w:sz w:val="17"/>
              </w:rPr>
              <w:t>620.0</w:t>
            </w:r>
          </w:p>
        </w:tc>
        <w:tc>
          <w:tcPr>
            <w:tcW w:type="dxa" w:w="1354"/>
          </w:tcPr>
          <w:p>
            <w:pPr>
              <w:spacing w:after="20"/>
              <w:jc w:val="right"/>
            </w:pPr>
            <w:r>
              <w:rPr>
                <w:color w:val="1C3A36"/>
                <w:sz w:val="17"/>
              </w:rPr>
              <w:t>680.0</w:t>
            </w:r>
          </w:p>
        </w:tc>
        <w:tc>
          <w:tcPr>
            <w:tcW w:type="dxa" w:w="1354"/>
          </w:tcPr>
          <w:p>
            <w:pPr>
              <w:spacing w:after="20"/>
              <w:jc w:val="right"/>
            </w:pPr>
            <w:r>
              <w:rPr>
                <w:color w:val="1C3A36"/>
                <w:sz w:val="17"/>
              </w:rPr>
              <w:t>740.0</w:t>
            </w:r>
          </w:p>
        </w:tc>
      </w:tr>
      <w:tr>
        <w:tc>
          <w:tcPr>
            <w:tcW w:type="dxa" w:w="3096"/>
          </w:tcPr>
          <w:p>
            <w:pPr>
              <w:spacing w:after="20"/>
            </w:pPr>
            <w:r>
              <w:rPr>
                <w:b/>
                <w:color w:val="1C3A36"/>
                <w:sz w:val="17"/>
              </w:rPr>
              <w:t>(–) Capex</w:t>
            </w:r>
          </w:p>
        </w:tc>
        <w:tc>
          <w:tcPr>
            <w:tcW w:type="dxa" w:w="1354"/>
          </w:tcPr>
          <w:p>
            <w:pPr>
              <w:spacing w:after="20"/>
              <w:jc w:val="right"/>
            </w:pPr>
            <w:r>
              <w:rPr>
                <w:color w:val="1C3A36"/>
                <w:sz w:val="17"/>
              </w:rPr>
              <w:t>(1,400.0)</w:t>
            </w:r>
          </w:p>
        </w:tc>
        <w:tc>
          <w:tcPr>
            <w:tcW w:type="dxa" w:w="1354"/>
          </w:tcPr>
          <w:p>
            <w:pPr>
              <w:spacing w:after="20"/>
              <w:jc w:val="right"/>
            </w:pPr>
            <w:r>
              <w:rPr>
                <w:color w:val="1C3A36"/>
                <w:sz w:val="17"/>
              </w:rPr>
              <w:t>(1,100.0)</w:t>
            </w:r>
          </w:p>
        </w:tc>
        <w:tc>
          <w:tcPr>
            <w:tcW w:type="dxa" w:w="1354"/>
          </w:tcPr>
          <w:p>
            <w:pPr>
              <w:spacing w:after="20"/>
              <w:jc w:val="right"/>
            </w:pPr>
            <w:r>
              <w:rPr>
                <w:color w:val="1C3A36"/>
                <w:sz w:val="17"/>
              </w:rPr>
              <w:t>(1,150.0)</w:t>
            </w:r>
          </w:p>
        </w:tc>
        <w:tc>
          <w:tcPr>
            <w:tcW w:type="dxa" w:w="1354"/>
          </w:tcPr>
          <w:p>
            <w:pPr>
              <w:spacing w:after="20"/>
              <w:jc w:val="right"/>
            </w:pPr>
            <w:r>
              <w:rPr>
                <w:color w:val="1C3A36"/>
                <w:sz w:val="17"/>
              </w:rPr>
              <w:t>(1,220.0)</w:t>
            </w:r>
          </w:p>
        </w:tc>
        <w:tc>
          <w:tcPr>
            <w:tcW w:type="dxa" w:w="1354"/>
          </w:tcPr>
          <w:p>
            <w:pPr>
              <w:spacing w:after="20"/>
              <w:jc w:val="right"/>
            </w:pPr>
            <w:r>
              <w:rPr>
                <w:color w:val="1C3A36"/>
                <w:sz w:val="17"/>
              </w:rPr>
              <w:t>(1,280.0)</w:t>
            </w:r>
          </w:p>
        </w:tc>
      </w:tr>
      <w:tr>
        <w:tc>
          <w:tcPr>
            <w:tcW w:type="dxa" w:w="3096"/>
          </w:tcPr>
          <w:p>
            <w:pPr>
              <w:spacing w:after="20"/>
            </w:pPr>
            <w:r>
              <w:rPr>
                <w:b/>
                <w:color w:val="1C3A36"/>
                <w:sz w:val="17"/>
              </w:rPr>
              <w:t>(–) Δ working capital</w:t>
            </w:r>
          </w:p>
        </w:tc>
        <w:tc>
          <w:tcPr>
            <w:tcW w:type="dxa" w:w="1354"/>
          </w:tcPr>
          <w:p>
            <w:pPr>
              <w:spacing w:after="20"/>
              <w:jc w:val="right"/>
            </w:pPr>
            <w:r>
              <w:rPr>
                <w:color w:val="1C3A36"/>
                <w:sz w:val="17"/>
              </w:rPr>
              <w:t>(116.6)</w:t>
            </w:r>
          </w:p>
        </w:tc>
        <w:tc>
          <w:tcPr>
            <w:tcW w:type="dxa" w:w="1354"/>
          </w:tcPr>
          <w:p>
            <w:pPr>
              <w:spacing w:after="20"/>
              <w:jc w:val="right"/>
            </w:pPr>
            <w:r>
              <w:rPr>
                <w:color w:val="1C3A36"/>
                <w:sz w:val="17"/>
              </w:rPr>
              <w:t>(98.4)</w:t>
            </w:r>
          </w:p>
        </w:tc>
        <w:tc>
          <w:tcPr>
            <w:tcW w:type="dxa" w:w="1354"/>
          </w:tcPr>
          <w:p>
            <w:pPr>
              <w:spacing w:after="20"/>
              <w:jc w:val="right"/>
            </w:pPr>
            <w:r>
              <w:rPr>
                <w:color w:val="1C3A36"/>
                <w:sz w:val="17"/>
              </w:rPr>
              <w:t>(59.4)</w:t>
            </w:r>
          </w:p>
        </w:tc>
        <w:tc>
          <w:tcPr>
            <w:tcW w:type="dxa" w:w="1354"/>
          </w:tcPr>
          <w:p>
            <w:pPr>
              <w:spacing w:after="20"/>
              <w:jc w:val="right"/>
            </w:pPr>
            <w:r>
              <w:rPr>
                <w:color w:val="1C3A36"/>
                <w:sz w:val="17"/>
              </w:rPr>
              <w:t>(32.8)</w:t>
            </w:r>
          </w:p>
        </w:tc>
        <w:tc>
          <w:tcPr>
            <w:tcW w:type="dxa" w:w="1354"/>
          </w:tcPr>
          <w:p>
            <w:pPr>
              <w:spacing w:after="20"/>
              <w:jc w:val="right"/>
            </w:pPr>
            <w:r>
              <w:rPr>
                <w:color w:val="1C3A36"/>
                <w:sz w:val="17"/>
              </w:rPr>
              <w:t>(27.6)</w:t>
            </w:r>
          </w:p>
        </w:tc>
      </w:tr>
      <w:tr>
        <w:tc>
          <w:tcPr>
            <w:tcW w:type="dxa" w:w="3096"/>
            <w:shd w:val="clear" w:color="auto" w:fill="F6F1E6"/>
          </w:tcPr>
          <w:p>
            <w:pPr>
              <w:spacing w:after="20"/>
            </w:pPr>
            <w:r>
              <w:rPr>
                <w:b/>
                <w:color w:val="1C3A36"/>
                <w:sz w:val="17"/>
              </w:rPr>
              <w:t>Free cash flow to the firm</w:t>
            </w:r>
          </w:p>
        </w:tc>
        <w:tc>
          <w:tcPr>
            <w:tcW w:type="dxa" w:w="1354"/>
            <w:shd w:val="clear" w:color="auto" w:fill="F6F1E6"/>
          </w:tcPr>
          <w:p>
            <w:pPr>
              <w:spacing w:after="20"/>
              <w:jc w:val="right"/>
            </w:pPr>
            <w:r>
              <w:rPr>
                <w:b/>
                <w:color w:val="1C3A36"/>
                <w:sz w:val="17"/>
              </w:rPr>
              <w:t>133.3</w:t>
            </w:r>
          </w:p>
        </w:tc>
        <w:tc>
          <w:tcPr>
            <w:tcW w:type="dxa" w:w="1354"/>
            <w:shd w:val="clear" w:color="auto" w:fill="F6F1E6"/>
          </w:tcPr>
          <w:p>
            <w:pPr>
              <w:spacing w:after="20"/>
              <w:jc w:val="right"/>
            </w:pPr>
            <w:r>
              <w:rPr>
                <w:b/>
                <w:color w:val="1C3A36"/>
                <w:sz w:val="17"/>
              </w:rPr>
              <w:t>1,263.6</w:t>
            </w:r>
          </w:p>
        </w:tc>
        <w:tc>
          <w:tcPr>
            <w:tcW w:type="dxa" w:w="1354"/>
            <w:shd w:val="clear" w:color="auto" w:fill="F6F1E6"/>
          </w:tcPr>
          <w:p>
            <w:pPr>
              <w:spacing w:after="20"/>
              <w:jc w:val="right"/>
            </w:pPr>
            <w:r>
              <w:rPr>
                <w:b/>
                <w:color w:val="1C3A36"/>
                <w:sz w:val="17"/>
              </w:rPr>
              <w:t>2,172.2</w:t>
            </w:r>
          </w:p>
        </w:tc>
        <w:tc>
          <w:tcPr>
            <w:tcW w:type="dxa" w:w="1354"/>
            <w:shd w:val="clear" w:color="auto" w:fill="F6F1E6"/>
          </w:tcPr>
          <w:p>
            <w:pPr>
              <w:spacing w:after="20"/>
              <w:jc w:val="right"/>
            </w:pPr>
            <w:r>
              <w:rPr>
                <w:b/>
                <w:color w:val="1C3A36"/>
                <w:sz w:val="17"/>
              </w:rPr>
              <w:t>2,963.4</w:t>
            </w:r>
          </w:p>
        </w:tc>
        <w:tc>
          <w:tcPr>
            <w:tcW w:type="dxa" w:w="1354"/>
            <w:shd w:val="clear" w:color="auto" w:fill="F6F1E6"/>
          </w:tcPr>
          <w:p>
            <w:pPr>
              <w:spacing w:after="20"/>
              <w:jc w:val="right"/>
            </w:pPr>
            <w:r>
              <w:rPr>
                <w:b/>
                <w:color w:val="1C3A36"/>
                <w:sz w:val="17"/>
              </w:rPr>
              <w:t>3,594.2</w:t>
            </w:r>
          </w:p>
        </w:tc>
      </w:tr>
      <w:tr>
        <w:tc>
          <w:tcPr>
            <w:tcW w:type="dxa" w:w="3096"/>
          </w:tcPr>
          <w:p>
            <w:pPr>
              <w:spacing w:after="20"/>
            </w:pPr>
            <w:r>
              <w:rPr>
                <w:b/>
                <w:color w:val="1C3A36"/>
                <w:sz w:val="17"/>
              </w:rPr>
              <w:t>Discount factor (scen B)</w:t>
            </w:r>
          </w:p>
        </w:tc>
        <w:tc>
          <w:tcPr>
            <w:tcW w:type="dxa" w:w="1354"/>
          </w:tcPr>
          <w:p>
            <w:pPr>
              <w:spacing w:after="20"/>
              <w:jc w:val="right"/>
            </w:pPr>
            <w:r>
              <w:rPr>
                <w:color w:val="1C3A36"/>
                <w:sz w:val="17"/>
              </w:rPr>
              <w:t>0.7990</w:t>
            </w:r>
          </w:p>
        </w:tc>
        <w:tc>
          <w:tcPr>
            <w:tcW w:type="dxa" w:w="1354"/>
          </w:tcPr>
          <w:p>
            <w:pPr>
              <w:spacing w:after="20"/>
              <w:jc w:val="right"/>
            </w:pPr>
            <w:r>
              <w:rPr>
                <w:color w:val="1C3A36"/>
                <w:sz w:val="17"/>
              </w:rPr>
              <w:t>0.6506</w:t>
            </w:r>
          </w:p>
        </w:tc>
        <w:tc>
          <w:tcPr>
            <w:tcW w:type="dxa" w:w="1354"/>
          </w:tcPr>
          <w:p>
            <w:pPr>
              <w:spacing w:after="20"/>
              <w:jc w:val="right"/>
            </w:pPr>
            <w:r>
              <w:rPr>
                <w:color w:val="1C3A36"/>
                <w:sz w:val="17"/>
              </w:rPr>
              <w:t>0.5406</w:t>
            </w:r>
          </w:p>
        </w:tc>
        <w:tc>
          <w:tcPr>
            <w:tcW w:type="dxa" w:w="1354"/>
          </w:tcPr>
          <w:p>
            <w:pPr>
              <w:spacing w:after="20"/>
              <w:jc w:val="right"/>
            </w:pPr>
            <w:r>
              <w:rPr>
                <w:color w:val="1C3A36"/>
                <w:sz w:val="17"/>
              </w:rPr>
              <w:t>0.4554</w:t>
            </w:r>
          </w:p>
        </w:tc>
        <w:tc>
          <w:tcPr>
            <w:tcW w:type="dxa" w:w="1354"/>
          </w:tcPr>
          <w:p>
            <w:pPr>
              <w:spacing w:after="20"/>
              <w:jc w:val="right"/>
            </w:pPr>
            <w:r>
              <w:rPr>
                <w:color w:val="1C3A36"/>
                <w:sz w:val="17"/>
              </w:rPr>
              <w:t>0.3864</w:t>
            </w:r>
          </w:p>
        </w:tc>
      </w:tr>
      <w:tr>
        <w:tc>
          <w:tcPr>
            <w:tcW w:type="dxa" w:w="3096"/>
          </w:tcPr>
          <w:p>
            <w:pPr>
              <w:spacing w:after="20"/>
            </w:pPr>
            <w:r>
              <w:rPr>
                <w:b/>
                <w:color w:val="1C3A36"/>
                <w:sz w:val="17"/>
              </w:rPr>
              <w:t>PV of FCFF</w:t>
            </w:r>
          </w:p>
        </w:tc>
        <w:tc>
          <w:tcPr>
            <w:tcW w:type="dxa" w:w="1354"/>
          </w:tcPr>
          <w:p>
            <w:pPr>
              <w:spacing w:after="20"/>
              <w:jc w:val="right"/>
            </w:pPr>
            <w:r>
              <w:rPr>
                <w:color w:val="1C3A36"/>
                <w:sz w:val="17"/>
              </w:rPr>
              <w:t>106.5</w:t>
            </w:r>
          </w:p>
        </w:tc>
        <w:tc>
          <w:tcPr>
            <w:tcW w:type="dxa" w:w="1354"/>
          </w:tcPr>
          <w:p>
            <w:pPr>
              <w:spacing w:after="20"/>
              <w:jc w:val="right"/>
            </w:pPr>
            <w:r>
              <w:rPr>
                <w:color w:val="1C3A36"/>
                <w:sz w:val="17"/>
              </w:rPr>
              <w:t>822.1</w:t>
            </w:r>
          </w:p>
        </w:tc>
        <w:tc>
          <w:tcPr>
            <w:tcW w:type="dxa" w:w="1354"/>
          </w:tcPr>
          <w:p>
            <w:pPr>
              <w:spacing w:after="20"/>
              <w:jc w:val="right"/>
            </w:pPr>
            <w:r>
              <w:rPr>
                <w:color w:val="1C3A36"/>
                <w:sz w:val="17"/>
              </w:rPr>
              <w:t>1,174.3</w:t>
            </w:r>
          </w:p>
        </w:tc>
        <w:tc>
          <w:tcPr>
            <w:tcW w:type="dxa" w:w="1354"/>
          </w:tcPr>
          <w:p>
            <w:pPr>
              <w:spacing w:after="20"/>
              <w:jc w:val="right"/>
            </w:pPr>
            <w:r>
              <w:rPr>
                <w:color w:val="1C3A36"/>
                <w:sz w:val="17"/>
              </w:rPr>
              <w:t>1,349.6</w:t>
            </w:r>
          </w:p>
        </w:tc>
        <w:tc>
          <w:tcPr>
            <w:tcW w:type="dxa" w:w="1354"/>
          </w:tcPr>
          <w:p>
            <w:pPr>
              <w:spacing w:after="20"/>
              <w:jc w:val="right"/>
            </w:pPr>
            <w:r>
              <w:rPr>
                <w:color w:val="1C3A36"/>
                <w:sz w:val="17"/>
              </w:rPr>
              <w:t>1,388.7</w:t>
            </w:r>
          </w:p>
        </w:tc>
      </w:tr>
    </w:tbl>
    <w:p>
      <w:pPr>
        <w:spacing w:after="40"/>
      </w:pPr>
    </w:p>
    <w:p>
      <w:pPr>
        <w:spacing w:after="200" w:before="0"/>
      </w:pPr>
      <w:r>
        <w:rPr>
          <w:b w:val="0"/>
          <w:i/>
          <w:color w:val="6E7B77"/>
          <w:sz w:val="17"/>
        </w:rPr>
        <w:t>Free cash flow to the firm, five-year explicit forecast. Every input links to the model’s Assumptions sheet. Terminal value is added after the explicit window; scenario B (rate-path) discount factors shown.</w:t>
      </w:r>
    </w:p>
    <w:p>
      <w:pPr>
        <w:spacing w:after="80" w:before="200"/>
      </w:pPr>
      <w:r>
        <w:rPr>
          <w:b/>
          <w:i w:val="0"/>
          <w:color w:val="1C3A36"/>
          <w:sz w:val="24"/>
        </w:rPr>
        <w:t>Terminal value — the calculation, shown in full</w:t>
      </w:r>
    </w:p>
    <w:p>
      <w:pPr>
        <w:spacing w:after="120" w:before="0"/>
      </w:pPr>
      <w:r>
        <w:rPr>
          <w:b w:val="0"/>
          <w:i w:val="0"/>
          <w:color w:val="1C3A36"/>
          <w:sz w:val="21"/>
        </w:rPr>
        <w:t>Terminal value is computed with the standard Gordon-growth perpetuity formula, applied to the final explicit-year free cash flow and then discounted back to today at the same rate used for that year. Every step below uses the rate-path scenario (B, base case); scenarios A and C repeat the identical mechanics at their own WACC.</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672"/>
            <w:shd w:val="clear" w:color="auto" w:fill="EAF0EE"/>
          </w:tcPr>
          <w:p>
            <w:pPr>
              <w:spacing w:after="20"/>
            </w:pPr>
            <w:r>
              <w:rPr>
                <w:b/>
                <w:color w:val="1C3A36"/>
                <w:sz w:val="17"/>
              </w:rPr>
              <w:t>Step</w:t>
            </w:r>
          </w:p>
        </w:tc>
        <w:tc>
          <w:tcPr>
            <w:tcW w:type="dxa" w:w="3312"/>
            <w:shd w:val="clear" w:color="auto" w:fill="EAF0EE"/>
          </w:tcPr>
          <w:p>
            <w:pPr>
              <w:spacing w:after="20"/>
            </w:pPr>
            <w:r>
              <w:rPr>
                <w:b/>
                <w:color w:val="1C3A36"/>
                <w:sz w:val="17"/>
              </w:rPr>
              <w:t>Formula</w:t>
            </w:r>
          </w:p>
        </w:tc>
        <w:tc>
          <w:tcPr>
            <w:tcW w:type="dxa" w:w="3816"/>
            <w:shd w:val="clear" w:color="auto" w:fill="EAF0EE"/>
          </w:tcPr>
          <w:p>
            <w:pPr>
              <w:spacing w:after="20"/>
            </w:pPr>
            <w:r>
              <w:rPr>
                <w:b/>
                <w:color w:val="1C3A36"/>
                <w:sz w:val="17"/>
              </w:rPr>
              <w:t>Value</w:t>
            </w:r>
          </w:p>
        </w:tc>
      </w:tr>
      <w:tr>
        <w:tc>
          <w:tcPr>
            <w:tcW w:type="dxa" w:w="3672"/>
          </w:tcPr>
          <w:p>
            <w:pPr>
              <w:spacing w:after="20"/>
            </w:pPr>
            <w:r>
              <w:rPr>
                <w:b/>
                <w:color w:val="1C3A36"/>
                <w:sz w:val="17"/>
              </w:rPr>
              <w:t>1 · FCFF, final explicit year (FY30E)</w:t>
            </w:r>
          </w:p>
        </w:tc>
        <w:tc>
          <w:tcPr>
            <w:tcW w:type="dxa" w:w="3312"/>
          </w:tcPr>
          <w:p>
            <w:pPr>
              <w:spacing w:after="20"/>
              <w:jc w:val="right"/>
            </w:pPr>
            <w:r>
              <w:rPr>
                <w:color w:val="1C3A36"/>
                <w:sz w:val="17"/>
              </w:rPr>
              <w:t>—</w:t>
            </w:r>
          </w:p>
        </w:tc>
        <w:tc>
          <w:tcPr>
            <w:tcW w:type="dxa" w:w="3816"/>
          </w:tcPr>
          <w:p>
            <w:pPr>
              <w:spacing w:after="20"/>
              <w:jc w:val="right"/>
            </w:pPr>
            <w:r>
              <w:rPr>
                <w:color w:val="1C3A36"/>
                <w:sz w:val="17"/>
              </w:rPr>
              <w:t>3,594.2 EGP mn</w:t>
            </w:r>
          </w:p>
        </w:tc>
      </w:tr>
      <w:tr>
        <w:tc>
          <w:tcPr>
            <w:tcW w:type="dxa" w:w="3672"/>
          </w:tcPr>
          <w:p>
            <w:pPr>
              <w:spacing w:after="20"/>
            </w:pPr>
            <w:r>
              <w:rPr>
                <w:b/>
                <w:color w:val="1C3A36"/>
                <w:sz w:val="17"/>
              </w:rPr>
              <w:t>2 · × (1 + terminal g)</w:t>
            </w:r>
          </w:p>
        </w:tc>
        <w:tc>
          <w:tcPr>
            <w:tcW w:type="dxa" w:w="3312"/>
          </w:tcPr>
          <w:p>
            <w:pPr>
              <w:spacing w:after="20"/>
              <w:jc w:val="right"/>
            </w:pPr>
            <w:r>
              <w:rPr>
                <w:color w:val="1C3A36"/>
                <w:sz w:val="17"/>
              </w:rPr>
              <w:t>× (1 + 5%)</w:t>
            </w:r>
          </w:p>
        </w:tc>
        <w:tc>
          <w:tcPr>
            <w:tcW w:type="dxa" w:w="3816"/>
          </w:tcPr>
          <w:p>
            <w:pPr>
              <w:spacing w:after="20"/>
              <w:jc w:val="right"/>
            </w:pPr>
            <w:r>
              <w:rPr>
                <w:color w:val="1C3A36"/>
                <w:sz w:val="17"/>
              </w:rPr>
              <w:t>3,773.9 EGP mn = normalized FY2031E cash flow</w:t>
            </w:r>
          </w:p>
        </w:tc>
      </w:tr>
      <w:tr>
        <w:tc>
          <w:tcPr>
            <w:tcW w:type="dxa" w:w="3672"/>
          </w:tcPr>
          <w:p>
            <w:pPr>
              <w:spacing w:after="20"/>
            </w:pPr>
            <w:r>
              <w:rPr>
                <w:b/>
                <w:color w:val="1C3A36"/>
                <w:sz w:val="17"/>
              </w:rPr>
              <w:t>3 · Capitalization rate</w:t>
            </w:r>
          </w:p>
        </w:tc>
        <w:tc>
          <w:tcPr>
            <w:tcW w:type="dxa" w:w="3312"/>
          </w:tcPr>
          <w:p>
            <w:pPr>
              <w:spacing w:after="20"/>
              <w:jc w:val="right"/>
            </w:pPr>
            <w:r>
              <w:rPr>
                <w:color w:val="1C3A36"/>
                <w:sz w:val="17"/>
              </w:rPr>
              <w:t>Normalized WACC − terminal g</w:t>
            </w:r>
          </w:p>
        </w:tc>
        <w:tc>
          <w:tcPr>
            <w:tcW w:type="dxa" w:w="3816"/>
          </w:tcPr>
          <w:p>
            <w:pPr>
              <w:spacing w:after="20"/>
              <w:jc w:val="right"/>
            </w:pPr>
            <w:r>
              <w:rPr>
                <w:color w:val="1C3A36"/>
                <w:sz w:val="17"/>
              </w:rPr>
              <w:t>17.87% − 5% = 12.87%</w:t>
            </w:r>
          </w:p>
        </w:tc>
      </w:tr>
      <w:tr>
        <w:tc>
          <w:tcPr>
            <w:tcW w:type="dxa" w:w="3672"/>
          </w:tcPr>
          <w:p>
            <w:pPr>
              <w:spacing w:after="20"/>
            </w:pPr>
            <w:r>
              <w:rPr>
                <w:b/>
                <w:color w:val="1C3A36"/>
                <w:sz w:val="17"/>
              </w:rPr>
              <w:t>4 · Terminal value at end-FY2030E</w:t>
            </w:r>
          </w:p>
        </w:tc>
        <w:tc>
          <w:tcPr>
            <w:tcW w:type="dxa" w:w="3312"/>
          </w:tcPr>
          <w:p>
            <w:pPr>
              <w:spacing w:after="20"/>
              <w:jc w:val="right"/>
            </w:pPr>
            <w:r>
              <w:rPr>
                <w:color w:val="1C3A36"/>
                <w:sz w:val="17"/>
              </w:rPr>
              <w:t>Step 2 ÷ Step 3</w:t>
            </w:r>
          </w:p>
        </w:tc>
        <w:tc>
          <w:tcPr>
            <w:tcW w:type="dxa" w:w="3816"/>
          </w:tcPr>
          <w:p>
            <w:pPr>
              <w:spacing w:after="20"/>
              <w:jc w:val="right"/>
            </w:pPr>
            <w:r>
              <w:rPr>
                <w:color w:val="1C3A36"/>
                <w:sz w:val="17"/>
              </w:rPr>
              <w:t>29,330.8 EGP mn</w:t>
            </w:r>
          </w:p>
        </w:tc>
      </w:tr>
      <w:tr>
        <w:tc>
          <w:tcPr>
            <w:tcW w:type="dxa" w:w="3672"/>
          </w:tcPr>
          <w:p>
            <w:pPr>
              <w:spacing w:after="20"/>
            </w:pPr>
            <w:r>
              <w:rPr>
                <w:b/>
                <w:color w:val="1C3A36"/>
                <w:sz w:val="17"/>
              </w:rPr>
              <w:t>5 · Discount factor, FY2030E (year 5)</w:t>
            </w:r>
          </w:p>
        </w:tc>
        <w:tc>
          <w:tcPr>
            <w:tcW w:type="dxa" w:w="3312"/>
          </w:tcPr>
          <w:p>
            <w:pPr>
              <w:spacing w:after="20"/>
              <w:jc w:val="right"/>
            </w:pPr>
            <w:r>
              <w:rPr>
                <w:color w:val="1C3A36"/>
                <w:sz w:val="17"/>
              </w:rPr>
              <w:t>1 ÷ (1+WACC)ⁿ, two-stage path</w:t>
            </w:r>
          </w:p>
        </w:tc>
        <w:tc>
          <w:tcPr>
            <w:tcW w:type="dxa" w:w="3816"/>
          </w:tcPr>
          <w:p>
            <w:pPr>
              <w:spacing w:after="20"/>
              <w:jc w:val="right"/>
            </w:pPr>
            <w:r>
              <w:rPr>
                <w:color w:val="1C3A36"/>
                <w:sz w:val="17"/>
              </w:rPr>
              <w:t>0.3864</w:t>
            </w:r>
          </w:p>
        </w:tc>
      </w:tr>
      <w:tr>
        <w:tc>
          <w:tcPr>
            <w:tcW w:type="dxa" w:w="3672"/>
            <w:shd w:val="clear" w:color="auto" w:fill="F6F1E6"/>
          </w:tcPr>
          <w:p>
            <w:pPr>
              <w:spacing w:after="20"/>
            </w:pPr>
            <w:r>
              <w:rPr>
                <w:b/>
                <w:color w:val="1C3A36"/>
                <w:sz w:val="17"/>
              </w:rPr>
              <w:t>6 · PV of terminal value</w:t>
            </w:r>
          </w:p>
        </w:tc>
        <w:tc>
          <w:tcPr>
            <w:tcW w:type="dxa" w:w="3312"/>
            <w:shd w:val="clear" w:color="auto" w:fill="F6F1E6"/>
          </w:tcPr>
          <w:p>
            <w:pPr>
              <w:spacing w:after="20"/>
              <w:jc w:val="right"/>
            </w:pPr>
            <w:r>
              <w:rPr>
                <w:b/>
                <w:color w:val="1C3A36"/>
                <w:sz w:val="17"/>
              </w:rPr>
              <w:t>Step 4 × Step 5</w:t>
            </w:r>
          </w:p>
        </w:tc>
        <w:tc>
          <w:tcPr>
            <w:tcW w:type="dxa" w:w="3816"/>
            <w:shd w:val="clear" w:color="auto" w:fill="F6F1E6"/>
          </w:tcPr>
          <w:p>
            <w:pPr>
              <w:spacing w:after="20"/>
              <w:jc w:val="right"/>
            </w:pPr>
            <w:r>
              <w:rPr>
                <w:b/>
                <w:color w:val="1C3A36"/>
                <w:sz w:val="17"/>
              </w:rPr>
              <w:t>11,332.5 EGP mn</w:t>
            </w:r>
          </w:p>
        </w:tc>
      </w:tr>
    </w:tbl>
    <w:p>
      <w:pPr>
        <w:spacing w:after="40"/>
      </w:pPr>
    </w:p>
    <w:p>
      <w:pPr>
        <w:spacing w:after="200" w:before="0"/>
      </w:pPr>
      <w:r>
        <w:rPr>
          <w:b w:val="0"/>
          <w:i/>
          <w:color w:val="6E7B77"/>
          <w:sz w:val="17"/>
        </w:rPr>
        <w:t>Formula: TV = FCFF_FY30E × (1 + g) ÷ (WACC_normalized − g), then discounted to today at the same factor applied to FY2030E’s explicit cash flow (the terminal value sits at the END of FY2030E, one FY2030E discount period away). 3,594.2 × (1+5%) ÷ (17.87%−5%) = 29,330.8; × 0.3864 = 11,332.5, matching the PV of terminal value in the bridge below exactly.</w:t>
      </w:r>
    </w:p>
    <w:p>
      <w:pPr>
        <w:spacing w:after="120" w:before="0"/>
      </w:pPr>
      <w:r>
        <w:rPr>
          <w:b/>
          <w:i w:val="0"/>
          <w:color w:val="1C3A36"/>
          <w:sz w:val="21"/>
        </w:rPr>
        <w:t xml:space="preserve">Why g = 5%, in one line. </w:t>
      </w:r>
      <w:r>
        <w:rPr>
          <w:b w:val="0"/>
          <w:i w:val="0"/>
          <w:color w:val="1C3A36"/>
          <w:sz w:val="21"/>
        </w:rPr>
        <w:t>CLHO’s NOPAT actually compounded at 31% a year from FY2021 to FY2025 (EGP 394.9mn → EGP 1,162.3mn) — but that figure includes three debt-funded construction years and cannot be extrapolated forever without CLHO mathematically overtaking the Egyptian economy within decades. The other reference point, built only from the one year CLHO self-funded its own reinvestment (2022: ROIC 17.0% × reinvestment rate 19% = 3.3%), sits well below 5%. The 5% terminal g used above is the Testahil standing-procedure default, positioned between these two honest bounds; the full reconciliation, both check numbers, and the arithmetic constraint are shown in §1.9.</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736"/>
            <w:shd w:val="clear" w:color="auto" w:fill="EAF0EE"/>
          </w:tcPr>
          <w:p>
            <w:pPr>
              <w:spacing w:after="20"/>
            </w:pPr>
            <w:r>
              <w:rPr>
                <w:b/>
                <w:color w:val="1C3A36"/>
                <w:sz w:val="17"/>
              </w:rPr>
              <w:t>Scenario</w:t>
            </w:r>
          </w:p>
        </w:tc>
        <w:tc>
          <w:tcPr>
            <w:tcW w:type="dxa" w:w="2664"/>
            <w:shd w:val="clear" w:color="auto" w:fill="EAF0EE"/>
          </w:tcPr>
          <w:p>
            <w:pPr>
              <w:spacing w:after="20"/>
            </w:pPr>
            <w:r>
              <w:rPr>
                <w:b/>
                <w:color w:val="1C3A36"/>
                <w:sz w:val="17"/>
              </w:rPr>
              <w:t>Rate assumption</w:t>
            </w:r>
          </w:p>
        </w:tc>
        <w:tc>
          <w:tcPr>
            <w:tcW w:type="dxa" w:w="1008"/>
            <w:shd w:val="clear" w:color="auto" w:fill="EAF0EE"/>
          </w:tcPr>
          <w:p>
            <w:pPr>
              <w:spacing w:after="20"/>
            </w:pPr>
            <w:r>
              <w:rPr>
                <w:b/>
                <w:color w:val="1C3A36"/>
                <w:sz w:val="17"/>
              </w:rPr>
              <w:t>Terminal g</w:t>
            </w:r>
          </w:p>
        </w:tc>
        <w:tc>
          <w:tcPr>
            <w:tcW w:type="dxa" w:w="1440"/>
            <w:shd w:val="clear" w:color="auto" w:fill="EAF0EE"/>
          </w:tcPr>
          <w:p>
            <w:pPr>
              <w:spacing w:after="20"/>
            </w:pPr>
            <w:r>
              <w:rPr>
                <w:b/>
                <w:color w:val="1C3A36"/>
                <w:sz w:val="17"/>
              </w:rPr>
              <w:t>EV (EGP mn)</w:t>
            </w:r>
          </w:p>
        </w:tc>
        <w:tc>
          <w:tcPr>
            <w:tcW w:type="dxa" w:w="1080"/>
            <w:shd w:val="clear" w:color="auto" w:fill="EAF0EE"/>
          </w:tcPr>
          <w:p>
            <w:pPr>
              <w:spacing w:after="20"/>
            </w:pPr>
            <w:r>
              <w:rPr>
                <w:b/>
                <w:color w:val="1C3A36"/>
                <w:sz w:val="17"/>
              </w:rPr>
              <w:t>TV % of EV</w:t>
            </w:r>
          </w:p>
        </w:tc>
        <w:tc>
          <w:tcPr>
            <w:tcW w:type="dxa" w:w="1080"/>
            <w:shd w:val="clear" w:color="auto" w:fill="EAF0EE"/>
          </w:tcPr>
          <w:p>
            <w:pPr>
              <w:spacing w:after="20"/>
            </w:pPr>
            <w:r>
              <w:rPr>
                <w:b/>
                <w:color w:val="1C3A36"/>
                <w:sz w:val="17"/>
              </w:rPr>
              <w:t>FV / share</w:t>
            </w:r>
          </w:p>
        </w:tc>
      </w:tr>
      <w:tr>
        <w:tc>
          <w:tcPr>
            <w:tcW w:type="dxa" w:w="2736"/>
          </w:tcPr>
          <w:p>
            <w:pPr>
              <w:spacing w:after="20"/>
            </w:pPr>
            <w:r>
              <w:rPr>
                <w:b/>
                <w:color w:val="1C3A36"/>
                <w:sz w:val="17"/>
              </w:rPr>
              <w:t>A — flat crisis rates</w:t>
            </w:r>
          </w:p>
        </w:tc>
        <w:tc>
          <w:tcPr>
            <w:tcW w:type="dxa" w:w="2664"/>
          </w:tcPr>
          <w:p>
            <w:pPr>
              <w:spacing w:after="20"/>
              <w:jc w:val="right"/>
            </w:pPr>
            <w:r>
              <w:rPr>
                <w:color w:val="1C3A36"/>
                <w:sz w:val="17"/>
              </w:rPr>
              <w:t>spot WACC all years</w:t>
            </w:r>
          </w:p>
        </w:tc>
        <w:tc>
          <w:tcPr>
            <w:tcW w:type="dxa" w:w="1008"/>
          </w:tcPr>
          <w:p>
            <w:pPr>
              <w:spacing w:after="20"/>
              <w:jc w:val="right"/>
            </w:pPr>
            <w:r>
              <w:rPr>
                <w:color w:val="1C3A36"/>
                <w:sz w:val="17"/>
              </w:rPr>
              <w:t>5%</w:t>
            </w:r>
          </w:p>
        </w:tc>
        <w:tc>
          <w:tcPr>
            <w:tcW w:type="dxa" w:w="1440"/>
          </w:tcPr>
          <w:p>
            <w:pPr>
              <w:spacing w:after="20"/>
              <w:jc w:val="right"/>
            </w:pPr>
            <w:r>
              <w:rPr>
                <w:color w:val="1C3A36"/>
                <w:sz w:val="17"/>
              </w:rPr>
              <w:t>9,501.9</w:t>
            </w:r>
          </w:p>
        </w:tc>
        <w:tc>
          <w:tcPr>
            <w:tcW w:type="dxa" w:w="1080"/>
          </w:tcPr>
          <w:p>
            <w:pPr>
              <w:spacing w:after="20"/>
              <w:jc w:val="right"/>
            </w:pPr>
            <w:r>
              <w:rPr>
                <w:color w:val="1C3A36"/>
                <w:sz w:val="17"/>
              </w:rPr>
              <w:t>54%</w:t>
            </w:r>
          </w:p>
        </w:tc>
        <w:tc>
          <w:tcPr>
            <w:tcW w:type="dxa" w:w="1080"/>
          </w:tcPr>
          <w:p>
            <w:pPr>
              <w:spacing w:after="20"/>
              <w:jc w:val="right"/>
            </w:pPr>
            <w:r>
              <w:rPr>
                <w:color w:val="1C3A36"/>
                <w:sz w:val="17"/>
              </w:rPr>
              <w:t>3.85</w:t>
            </w:r>
          </w:p>
        </w:tc>
      </w:tr>
      <w:tr>
        <w:tc>
          <w:tcPr>
            <w:tcW w:type="dxa" w:w="2736"/>
            <w:shd w:val="clear" w:color="auto" w:fill="F6F1E6"/>
          </w:tcPr>
          <w:p>
            <w:pPr>
              <w:spacing w:after="20"/>
            </w:pPr>
            <w:r>
              <w:rPr>
                <w:b/>
                <w:color w:val="1C3A36"/>
                <w:sz w:val="17"/>
              </w:rPr>
              <w:t>B — rate path (base)</w:t>
            </w:r>
          </w:p>
        </w:tc>
        <w:tc>
          <w:tcPr>
            <w:tcW w:type="dxa" w:w="2664"/>
            <w:shd w:val="clear" w:color="auto" w:fill="F6F1E6"/>
          </w:tcPr>
          <w:p>
            <w:pPr>
              <w:spacing w:after="20"/>
              <w:jc w:val="right"/>
            </w:pPr>
            <w:r>
              <w:rPr>
                <w:b/>
                <w:color w:val="1C3A36"/>
                <w:sz w:val="17"/>
              </w:rPr>
              <w:t>25.1% → 17.9%</w:t>
            </w:r>
          </w:p>
        </w:tc>
        <w:tc>
          <w:tcPr>
            <w:tcW w:type="dxa" w:w="1008"/>
            <w:shd w:val="clear" w:color="auto" w:fill="F6F1E6"/>
          </w:tcPr>
          <w:p>
            <w:pPr>
              <w:spacing w:after="20"/>
              <w:jc w:val="right"/>
            </w:pPr>
            <w:r>
              <w:rPr>
                <w:b/>
                <w:color w:val="1C3A36"/>
                <w:sz w:val="17"/>
              </w:rPr>
              <w:t>5%</w:t>
            </w:r>
          </w:p>
        </w:tc>
        <w:tc>
          <w:tcPr>
            <w:tcW w:type="dxa" w:w="1440"/>
            <w:shd w:val="clear" w:color="auto" w:fill="F6F1E6"/>
          </w:tcPr>
          <w:p>
            <w:pPr>
              <w:spacing w:after="20"/>
              <w:jc w:val="right"/>
            </w:pPr>
            <w:r>
              <w:rPr>
                <w:b/>
                <w:color w:val="1C3A36"/>
                <w:sz w:val="17"/>
              </w:rPr>
              <w:t>14,318.2</w:t>
            </w:r>
          </w:p>
        </w:tc>
        <w:tc>
          <w:tcPr>
            <w:tcW w:type="dxa" w:w="1080"/>
            <w:shd w:val="clear" w:color="auto" w:fill="F6F1E6"/>
          </w:tcPr>
          <w:p>
            <w:pPr>
              <w:spacing w:after="20"/>
              <w:jc w:val="right"/>
            </w:pPr>
            <w:r>
              <w:rPr>
                <w:b/>
                <w:color w:val="1C3A36"/>
                <w:sz w:val="17"/>
              </w:rPr>
              <w:t>66%</w:t>
            </w:r>
          </w:p>
        </w:tc>
        <w:tc>
          <w:tcPr>
            <w:tcW w:type="dxa" w:w="1080"/>
            <w:shd w:val="clear" w:color="auto" w:fill="F6F1E6"/>
          </w:tcPr>
          <w:p>
            <w:pPr>
              <w:spacing w:after="20"/>
              <w:jc w:val="right"/>
            </w:pPr>
            <w:r>
              <w:rPr>
                <w:b/>
                <w:color w:val="1C3A36"/>
                <w:sz w:val="17"/>
              </w:rPr>
              <w:t>7.17</w:t>
            </w:r>
          </w:p>
        </w:tc>
      </w:tr>
      <w:tr>
        <w:tc>
          <w:tcPr>
            <w:tcW w:type="dxa" w:w="2736"/>
          </w:tcPr>
          <w:p>
            <w:pPr>
              <w:spacing w:after="20"/>
            </w:pPr>
            <w:r>
              <w:rPr>
                <w:b/>
                <w:color w:val="1C3A36"/>
                <w:sz w:val="17"/>
              </w:rPr>
              <w:t>C — faster normalization</w:t>
            </w:r>
          </w:p>
        </w:tc>
        <w:tc>
          <w:tcPr>
            <w:tcW w:type="dxa" w:w="2664"/>
          </w:tcPr>
          <w:p>
            <w:pPr>
              <w:spacing w:after="20"/>
              <w:jc w:val="right"/>
            </w:pPr>
            <w:r>
              <w:rPr>
                <w:color w:val="1C3A36"/>
                <w:sz w:val="17"/>
              </w:rPr>
              <w:t>25.1% → 16.9%</w:t>
            </w:r>
          </w:p>
        </w:tc>
        <w:tc>
          <w:tcPr>
            <w:tcW w:type="dxa" w:w="1008"/>
          </w:tcPr>
          <w:p>
            <w:pPr>
              <w:spacing w:after="20"/>
              <w:jc w:val="right"/>
            </w:pPr>
            <w:r>
              <w:rPr>
                <w:color w:val="1C3A36"/>
                <w:sz w:val="17"/>
              </w:rPr>
              <w:t>5%</w:t>
            </w:r>
          </w:p>
        </w:tc>
        <w:tc>
          <w:tcPr>
            <w:tcW w:type="dxa" w:w="1440"/>
          </w:tcPr>
          <w:p>
            <w:pPr>
              <w:spacing w:after="20"/>
              <w:jc w:val="right"/>
            </w:pPr>
            <w:r>
              <w:rPr>
                <w:color w:val="1C3A36"/>
                <w:sz w:val="17"/>
              </w:rPr>
              <w:t>15,700.1</w:t>
            </w:r>
          </w:p>
        </w:tc>
        <w:tc>
          <w:tcPr>
            <w:tcW w:type="dxa" w:w="1080"/>
          </w:tcPr>
          <w:p>
            <w:pPr>
              <w:spacing w:after="20"/>
              <w:jc w:val="right"/>
            </w:pPr>
            <w:r>
              <w:rPr>
                <w:color w:val="1C3A36"/>
                <w:sz w:val="17"/>
              </w:rPr>
              <w:t>68%</w:t>
            </w:r>
          </w:p>
        </w:tc>
        <w:tc>
          <w:tcPr>
            <w:tcW w:type="dxa" w:w="1080"/>
          </w:tcPr>
          <w:p>
            <w:pPr>
              <w:spacing w:after="20"/>
              <w:jc w:val="right"/>
            </w:pPr>
            <w:r>
              <w:rPr>
                <w:color w:val="1C3A36"/>
                <w:sz w:val="17"/>
              </w:rPr>
              <w:t>8.12</w:t>
            </w:r>
          </w:p>
        </w:tc>
      </w:tr>
    </w:tbl>
    <w:p>
      <w:pPr>
        <w:spacing w:after="40"/>
      </w:pPr>
    </w:p>
    <w:p>
      <w:pPr>
        <w:spacing w:after="200" w:before="0"/>
      </w:pPr>
      <w:r>
        <w:rPr>
          <w:b w:val="0"/>
          <w:i/>
          <w:color w:val="6E7B77"/>
          <w:sz w:val="17"/>
        </w:rPr>
        <w:t>EV → equity bridge (identical in all scenarios): EV − net debt incl. leases 3,164.1 − NCI 452.8 + associates 18.6, ÷ 1,449.4mn shares. Terminal growth is 5% across all three scenarios — the Testahil standing procedure (13-Jul-2026): center 5%, sensitized 3–7%, for any well-established Egyptian/EM name, replacing a company-specific macro-derived point estimate. Terminal value is still a high share of EV at this lower g — disclosed per the study’s high-terminal-DCF rule; §1.9 shows the full sensitivity plus the historical reconciliation that grounds the 5% choice.</w:t>
      </w:r>
    </w:p>
    <w:p>
      <w:pPr>
        <w:spacing w:after="120" w:before="0"/>
      </w:pPr>
      <w:r>
        <w:rPr>
          <w:b/>
          <w:i w:val="0"/>
          <w:color w:val="1C3A36"/>
          <w:sz w:val="21"/>
        </w:rPr>
        <w:t xml:space="preserve">Reading the DCF. </w:t>
      </w:r>
      <w:r>
        <w:rPr>
          <w:b w:val="0"/>
          <w:i w:val="0"/>
          <w:color w:val="1C3A36"/>
          <w:sz w:val="21"/>
        </w:rPr>
        <w:t>The spread between EGP 3.85 and EGP 7.17 is almost entirely the discount rate, not the business. That is the honest headline: at Egyptian crisis rates a fast-growing, well-run hospital chain is worth meaningfully less than spot; on a credible path back to the CBE’s target it is worth modestly more. Terminal value carries a high share of enterprise value — unavoidable for a high-growth, long-duration asset — so the terminal-g and normalized-WACC assumptions are sensitized directly rather than buried.</w:t>
      </w:r>
    </w:p>
    <w:p>
      <w:pPr>
        <w:spacing w:after="80" w:before="200"/>
      </w:pPr>
      <w:r>
        <w:rPr>
          <w:b/>
          <w:i w:val="0"/>
          <w:color w:val="1C3A36"/>
          <w:sz w:val="24"/>
        </w:rPr>
        <w:t>1.2 · What the price implies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312"/>
            <w:shd w:val="clear" w:color="auto" w:fill="EAF0EE"/>
          </w:tcPr>
          <w:p>
            <w:pPr>
              <w:spacing w:after="20"/>
            </w:pPr>
            <w:r>
              <w:rPr>
                <w:b/>
                <w:color w:val="1C3A36"/>
                <w:sz w:val="17"/>
              </w:rPr>
              <w:t>Metric</w:t>
            </w:r>
          </w:p>
        </w:tc>
        <w:tc>
          <w:tcPr>
            <w:tcW w:type="dxa" w:w="1656"/>
            <w:shd w:val="clear" w:color="auto" w:fill="EAF0EE"/>
          </w:tcPr>
          <w:p>
            <w:pPr>
              <w:spacing w:after="20"/>
            </w:pPr>
            <w:r>
              <w:rPr>
                <w:b/>
                <w:color w:val="1C3A36"/>
                <w:sz w:val="17"/>
              </w:rPr>
              <w:t>At spot</w:t>
            </w:r>
          </w:p>
        </w:tc>
        <w:tc>
          <w:tcPr>
            <w:tcW w:type="dxa" w:w="1944"/>
            <w:shd w:val="clear" w:color="auto" w:fill="EAF0EE"/>
          </w:tcPr>
          <w:p>
            <w:pPr>
              <w:spacing w:after="20"/>
            </w:pPr>
            <w:r>
              <w:rPr>
                <w:b/>
                <w:color w:val="1C3A36"/>
                <w:sz w:val="17"/>
              </w:rPr>
              <w:t>At central base</w:t>
            </w:r>
          </w:p>
        </w:tc>
        <w:tc>
          <w:tcPr>
            <w:tcW w:type="dxa" w:w="2880"/>
            <w:shd w:val="clear" w:color="auto" w:fill="EAF0EE"/>
          </w:tcPr>
          <w:p>
            <w:pPr>
              <w:spacing w:after="20"/>
            </w:pPr>
            <w:r>
              <w:rPr>
                <w:b/>
                <w:color w:val="1C3A36"/>
                <w:sz w:val="17"/>
              </w:rPr>
              <w:t>Comment</w:t>
            </w:r>
          </w:p>
        </w:tc>
      </w:tr>
      <w:tr>
        <w:tc>
          <w:tcPr>
            <w:tcW w:type="dxa" w:w="3312"/>
          </w:tcPr>
          <w:p>
            <w:pPr>
              <w:spacing w:after="20"/>
            </w:pPr>
            <w:r>
              <w:rPr>
                <w:b/>
                <w:color w:val="1C3A36"/>
                <w:sz w:val="17"/>
              </w:rPr>
              <w:t>P/E — FY2025 actual</w:t>
            </w:r>
          </w:p>
        </w:tc>
        <w:tc>
          <w:tcPr>
            <w:tcW w:type="dxa" w:w="1656"/>
          </w:tcPr>
          <w:p>
            <w:pPr>
              <w:spacing w:after="20"/>
              <w:jc w:val="right"/>
            </w:pPr>
            <w:r>
              <w:rPr>
                <w:color w:val="1C3A36"/>
                <w:sz w:val="17"/>
              </w:rPr>
              <w:t>24.3×</w:t>
            </w:r>
          </w:p>
        </w:tc>
        <w:tc>
          <w:tcPr>
            <w:tcW w:type="dxa" w:w="1944"/>
          </w:tcPr>
          <w:p>
            <w:pPr>
              <w:spacing w:after="20"/>
              <w:jc w:val="right"/>
            </w:pPr>
            <w:r>
              <w:rPr>
                <w:color w:val="1C3A36"/>
                <w:sz w:val="17"/>
              </w:rPr>
              <w:t>—</w:t>
            </w:r>
          </w:p>
        </w:tc>
        <w:tc>
          <w:tcPr>
            <w:tcW w:type="dxa" w:w="2880"/>
          </w:tcPr>
          <w:p>
            <w:pPr>
              <w:spacing w:after="20"/>
              <w:jc w:val="right"/>
            </w:pPr>
            <w:r>
              <w:rPr>
                <w:color w:val="1C3A36"/>
                <w:sz w:val="17"/>
              </w:rPr>
              <w:t>EPS EGP 0.568 PARENT-basis (823.9/1,449.4). The company's headline 0.67 is GROUP net profit per share; the prior study mixed the two bases in one row.</w:t>
            </w:r>
          </w:p>
        </w:tc>
      </w:tr>
      <w:tr>
        <w:tc>
          <w:tcPr>
            <w:tcW w:type="dxa" w:w="3312"/>
          </w:tcPr>
          <w:p>
            <w:pPr>
              <w:spacing w:after="20"/>
            </w:pPr>
            <w:r>
              <w:rPr>
                <w:b/>
                <w:color w:val="1C3A36"/>
                <w:sz w:val="17"/>
              </w:rPr>
              <w:t>P/E — trailing twelve months</w:t>
            </w:r>
          </w:p>
        </w:tc>
        <w:tc>
          <w:tcPr>
            <w:tcW w:type="dxa" w:w="1656"/>
          </w:tcPr>
          <w:p>
            <w:pPr>
              <w:spacing w:after="20"/>
              <w:jc w:val="right"/>
            </w:pPr>
            <w:r>
              <w:rPr>
                <w:color w:val="1C3A36"/>
                <w:sz w:val="17"/>
              </w:rPr>
              <w:t>31.9×</w:t>
            </w:r>
          </w:p>
        </w:tc>
        <w:tc>
          <w:tcPr>
            <w:tcW w:type="dxa" w:w="1944"/>
          </w:tcPr>
          <w:p>
            <w:pPr>
              <w:spacing w:after="20"/>
              <w:jc w:val="right"/>
            </w:pPr>
            <w:r>
              <w:rPr>
                <w:color w:val="1C3A36"/>
                <w:sz w:val="17"/>
              </w:rPr>
              <w:t>—</w:t>
            </w:r>
          </w:p>
        </w:tc>
        <w:tc>
          <w:tcPr>
            <w:tcW w:type="dxa" w:w="2880"/>
          </w:tcPr>
          <w:p>
            <w:pPr>
              <w:spacing w:after="20"/>
              <w:jc w:val="right"/>
            </w:pPr>
            <w:r>
              <w:rPr>
                <w:color w:val="1C3A36"/>
                <w:sz w:val="17"/>
              </w:rPr>
              <w:t>depressed by the CTH start-up quarter</w:t>
            </w:r>
          </w:p>
        </w:tc>
      </w:tr>
      <w:tr>
        <w:tc>
          <w:tcPr>
            <w:tcW w:type="dxa" w:w="3312"/>
          </w:tcPr>
          <w:p>
            <w:pPr>
              <w:spacing w:after="20"/>
            </w:pPr>
            <w:r>
              <w:rPr>
                <w:b/>
                <w:color w:val="1C3A36"/>
                <w:sz w:val="17"/>
              </w:rPr>
              <w:t>P/E — FY26E</w:t>
            </w:r>
          </w:p>
        </w:tc>
        <w:tc>
          <w:tcPr>
            <w:tcW w:type="dxa" w:w="1656"/>
          </w:tcPr>
          <w:p>
            <w:pPr>
              <w:spacing w:after="20"/>
              <w:jc w:val="right"/>
            </w:pPr>
            <w:r>
              <w:rPr>
                <w:color w:val="1C3A36"/>
                <w:sz w:val="17"/>
              </w:rPr>
              <w:t>29.7×</w:t>
            </w:r>
          </w:p>
        </w:tc>
        <w:tc>
          <w:tcPr>
            <w:tcW w:type="dxa" w:w="1944"/>
          </w:tcPr>
          <w:p>
            <w:pPr>
              <w:spacing w:after="20"/>
              <w:jc w:val="right"/>
            </w:pPr>
            <w:r>
              <w:rPr>
                <w:color w:val="1C3A36"/>
                <w:sz w:val="17"/>
              </w:rPr>
              <w:t>16.8×</w:t>
            </w:r>
          </w:p>
        </w:tc>
        <w:tc>
          <w:tcPr>
            <w:tcW w:type="dxa" w:w="2880"/>
          </w:tcPr>
          <w:p>
            <w:pPr>
              <w:spacing w:after="20"/>
              <w:jc w:val="right"/>
            </w:pPr>
            <w:r>
              <w:rPr>
                <w:color w:val="1C3A36"/>
                <w:sz w:val="17"/>
              </w:rPr>
              <w:t>trough year: CTH ramp + peak interest</w:t>
            </w:r>
          </w:p>
        </w:tc>
      </w:tr>
      <w:tr>
        <w:tc>
          <w:tcPr>
            <w:tcW w:type="dxa" w:w="3312"/>
          </w:tcPr>
          <w:p>
            <w:pPr>
              <w:spacing w:after="20"/>
            </w:pPr>
            <w:r>
              <w:rPr>
                <w:b/>
                <w:color w:val="1C3A36"/>
                <w:sz w:val="17"/>
              </w:rPr>
              <w:t>P/E — FY27E</w:t>
            </w:r>
          </w:p>
        </w:tc>
        <w:tc>
          <w:tcPr>
            <w:tcW w:type="dxa" w:w="1656"/>
          </w:tcPr>
          <w:p>
            <w:pPr>
              <w:spacing w:after="20"/>
              <w:jc w:val="right"/>
            </w:pPr>
            <w:r>
              <w:rPr>
                <w:color w:val="1C3A36"/>
                <w:sz w:val="17"/>
              </w:rPr>
              <w:t>16.6×</w:t>
            </w:r>
          </w:p>
        </w:tc>
        <w:tc>
          <w:tcPr>
            <w:tcW w:type="dxa" w:w="1944"/>
          </w:tcPr>
          <w:p>
            <w:pPr>
              <w:spacing w:after="20"/>
              <w:jc w:val="right"/>
            </w:pPr>
            <w:r>
              <w:rPr>
                <w:color w:val="1C3A36"/>
                <w:sz w:val="17"/>
              </w:rPr>
              <w:t>9.4×</w:t>
            </w:r>
          </w:p>
        </w:tc>
        <w:tc>
          <w:tcPr>
            <w:tcW w:type="dxa" w:w="2880"/>
          </w:tcPr>
          <w:p>
            <w:pPr>
              <w:spacing w:after="20"/>
              <w:jc w:val="right"/>
            </w:pPr>
            <w:r>
              <w:rPr>
                <w:color w:val="1C3A36"/>
                <w:sz w:val="17"/>
              </w:rPr>
              <w:t>normalizes as CTH turns</w:t>
            </w:r>
          </w:p>
        </w:tc>
      </w:tr>
      <w:tr>
        <w:tc>
          <w:tcPr>
            <w:tcW w:type="dxa" w:w="3312"/>
          </w:tcPr>
          <w:p>
            <w:pPr>
              <w:spacing w:after="20"/>
            </w:pPr>
            <w:r>
              <w:rPr>
                <w:b/>
                <w:color w:val="1C3A36"/>
                <w:sz w:val="17"/>
              </w:rPr>
              <w:t>EV/EBITDA — FY25 adjusted</w:t>
            </w:r>
          </w:p>
        </w:tc>
        <w:tc>
          <w:tcPr>
            <w:tcW w:type="dxa" w:w="1656"/>
          </w:tcPr>
          <w:p>
            <w:pPr>
              <w:spacing w:after="20"/>
              <w:jc w:val="right"/>
            </w:pPr>
            <w:r>
              <w:rPr>
                <w:color w:val="1C3A36"/>
                <w:sz w:val="17"/>
              </w:rPr>
              <w:t>12.7×</w:t>
            </w:r>
          </w:p>
        </w:tc>
        <w:tc>
          <w:tcPr>
            <w:tcW w:type="dxa" w:w="1944"/>
          </w:tcPr>
          <w:p>
            <w:pPr>
              <w:spacing w:after="20"/>
              <w:jc w:val="right"/>
            </w:pPr>
            <w:r>
              <w:rPr>
                <w:color w:val="1C3A36"/>
                <w:sz w:val="17"/>
              </w:rPr>
              <w:t>—</w:t>
            </w:r>
          </w:p>
        </w:tc>
        <w:tc>
          <w:tcPr>
            <w:tcW w:type="dxa" w:w="2880"/>
          </w:tcPr>
          <w:p>
            <w:pPr>
              <w:spacing w:after="20"/>
              <w:jc w:val="right"/>
            </w:pPr>
            <w:r>
              <w:rPr>
                <w:color w:val="1C3A36"/>
                <w:sz w:val="17"/>
              </w:rPr>
              <w:t>company-defined adjusted EBITDA</w:t>
            </w:r>
          </w:p>
        </w:tc>
      </w:tr>
      <w:tr>
        <w:tc>
          <w:tcPr>
            <w:tcW w:type="dxa" w:w="3312"/>
          </w:tcPr>
          <w:p>
            <w:pPr>
              <w:spacing w:after="20"/>
            </w:pPr>
            <w:r>
              <w:rPr>
                <w:b/>
                <w:color w:val="1C3A36"/>
                <w:sz w:val="17"/>
              </w:rPr>
              <w:t>EV/EBITDA — FY27E reported</w:t>
            </w:r>
          </w:p>
        </w:tc>
        <w:tc>
          <w:tcPr>
            <w:tcW w:type="dxa" w:w="1656"/>
          </w:tcPr>
          <w:p>
            <w:pPr>
              <w:spacing w:after="20"/>
              <w:jc w:val="right"/>
            </w:pPr>
            <w:r>
              <w:rPr>
                <w:color w:val="1C3A36"/>
                <w:sz w:val="17"/>
              </w:rPr>
              <w:t>9.0×</w:t>
            </w:r>
          </w:p>
        </w:tc>
        <w:tc>
          <w:tcPr>
            <w:tcW w:type="dxa" w:w="1944"/>
          </w:tcPr>
          <w:p>
            <w:pPr>
              <w:spacing w:after="20"/>
              <w:jc w:val="right"/>
            </w:pPr>
            <w:r>
              <w:rPr>
                <w:color w:val="1C3A36"/>
                <w:sz w:val="17"/>
              </w:rPr>
              <w:t>5.6×</w:t>
            </w:r>
          </w:p>
        </w:tc>
        <w:tc>
          <w:tcPr>
            <w:tcW w:type="dxa" w:w="2880"/>
          </w:tcPr>
          <w:p>
            <w:pPr>
              <w:spacing w:after="20"/>
              <w:jc w:val="right"/>
            </w:pPr>
            <w:r>
              <w:rPr>
                <w:color w:val="1C3A36"/>
                <w:sz w:val="17"/>
              </w:rPr>
              <w:t>reported basis (EBIT + D&amp;A), model</w:t>
            </w:r>
          </w:p>
        </w:tc>
      </w:tr>
      <w:tr>
        <w:tc>
          <w:tcPr>
            <w:tcW w:type="dxa" w:w="3312"/>
          </w:tcPr>
          <w:p>
            <w:pPr>
              <w:spacing w:after="20"/>
            </w:pPr>
            <w:r>
              <w:rPr>
                <w:b/>
                <w:color w:val="1C3A36"/>
                <w:sz w:val="17"/>
              </w:rPr>
              <w:t>EV per current bed (EGP mn)</w:t>
            </w:r>
          </w:p>
        </w:tc>
        <w:tc>
          <w:tcPr>
            <w:tcW w:type="dxa" w:w="1656"/>
          </w:tcPr>
          <w:p>
            <w:pPr>
              <w:spacing w:after="20"/>
              <w:jc w:val="right"/>
            </w:pPr>
            <w:r>
              <w:rPr>
                <w:color w:val="1C3A36"/>
                <w:sz w:val="17"/>
              </w:rPr>
              <w:t>31.0</w:t>
            </w:r>
          </w:p>
        </w:tc>
        <w:tc>
          <w:tcPr>
            <w:tcW w:type="dxa" w:w="1944"/>
          </w:tcPr>
          <w:p>
            <w:pPr>
              <w:spacing w:after="20"/>
              <w:jc w:val="right"/>
            </w:pPr>
            <w:r>
              <w:rPr>
                <w:color w:val="1C3A36"/>
                <w:sz w:val="17"/>
              </w:rPr>
              <w:t>—</w:t>
            </w:r>
          </w:p>
        </w:tc>
        <w:tc>
          <w:tcPr>
            <w:tcW w:type="dxa" w:w="2880"/>
          </w:tcPr>
          <w:p>
            <w:pPr>
              <w:spacing w:after="20"/>
              <w:jc w:val="right"/>
            </w:pPr>
            <w:r>
              <w:rPr>
                <w:color w:val="1C3A36"/>
                <w:sz w:val="17"/>
              </w:rPr>
              <w:t>880 operational beds (Q4-2025)</w:t>
            </w:r>
          </w:p>
        </w:tc>
      </w:tr>
      <w:tr>
        <w:tc>
          <w:tcPr>
            <w:tcW w:type="dxa" w:w="3312"/>
          </w:tcPr>
          <w:p>
            <w:pPr>
              <w:spacing w:after="20"/>
            </w:pPr>
            <w:r>
              <w:rPr>
                <w:b/>
                <w:color w:val="1C3A36"/>
                <w:sz w:val="17"/>
              </w:rPr>
              <w:t>EV per forward bed (EGP mn)</w:t>
            </w:r>
          </w:p>
        </w:tc>
        <w:tc>
          <w:tcPr>
            <w:tcW w:type="dxa" w:w="1656"/>
          </w:tcPr>
          <w:p>
            <w:pPr>
              <w:spacing w:after="20"/>
              <w:jc w:val="right"/>
            </w:pPr>
            <w:r>
              <w:rPr>
                <w:color w:val="1C3A36"/>
                <w:sz w:val="17"/>
              </w:rPr>
              <w:t>20.6</w:t>
            </w:r>
          </w:p>
        </w:tc>
        <w:tc>
          <w:tcPr>
            <w:tcW w:type="dxa" w:w="1944"/>
          </w:tcPr>
          <w:p>
            <w:pPr>
              <w:spacing w:after="20"/>
              <w:jc w:val="right"/>
            </w:pPr>
            <w:r>
              <w:rPr>
                <w:color w:val="1C3A36"/>
                <w:sz w:val="17"/>
              </w:rPr>
              <w:t>12.8</w:t>
            </w:r>
          </w:p>
        </w:tc>
        <w:tc>
          <w:tcPr>
            <w:tcW w:type="dxa" w:w="2880"/>
          </w:tcPr>
          <w:p>
            <w:pPr>
              <w:spacing w:after="20"/>
              <w:jc w:val="right"/>
            </w:pPr>
            <w:r>
              <w:rPr>
                <w:color w:val="1C3A36"/>
                <w:sz w:val="17"/>
              </w:rPr>
              <w:t>~1,320 beds by end-2027</w:t>
            </w:r>
          </w:p>
        </w:tc>
      </w:tr>
    </w:tbl>
    <w:p>
      <w:pPr>
        <w:spacing w:after="40"/>
      </w:pPr>
    </w:p>
    <w:p>
      <w:pPr>
        <w:spacing w:after="200" w:before="0"/>
      </w:pPr>
      <w:r>
        <w:rPr>
          <w:b w:val="0"/>
          <w:i/>
          <w:color w:val="6E7B77"/>
          <w:sz w:val="17"/>
        </w:rPr>
        <w:t>Implied multiples at spot and at the weighted central estimate. The forward-bed figure is the cleanest cross-check on the EV-per-bed lens in §1.4.</w:t>
      </w:r>
    </w:p>
    <w:p>
      <w:pPr>
        <w:spacing w:after="80" w:before="200"/>
      </w:pPr>
      <w:r>
        <w:rPr>
          <w:b/>
          <w:i w:val="0"/>
          <w:color w:val="1C3A36"/>
          <w:sz w:val="24"/>
        </w:rPr>
        <w:t>1.3 · Relative multiples</w:t>
      </w:r>
    </w:p>
    <w:p>
      <w:pPr>
        <w:spacing w:after="120" w:before="0"/>
      </w:pPr>
      <w:r>
        <w:rPr>
          <w:b w:val="0"/>
          <w:i w:val="0"/>
          <w:color w:val="1C3A36"/>
          <w:sz w:val="21"/>
        </w:rPr>
        <w:t>Egyptian healthcare screens on a very high headline industry P/E (~47× on a thin, small-cap-heavy sample), and CLHO itself trades on 24.3× FY2025 earnings — 31.9× on the trailing twelve months, inflated by the El Tagamoa start-up quarter. Regional Gulf operators — Dr Sulaiman Al Habib (~31× P/E, ~24× EV/EBITDA), Mouwasat, Dallah, Burjeel — trade richly too, but they carry a cost of equity 13–15 percentage points below Egypt’s, so their multiples cannot be imported naively (the EFG portable lesson: adopt the machinery, not the optimism). A justified band of 15–23× on FY27E parent EPS of EGP 0.985 yields EGP 10.43–15.99 with a base near EGP 13.21.</w:t>
      </w:r>
    </w:p>
    <w:p>
      <w:pPr>
        <w:spacing w:after="80" w:before="200"/>
      </w:pPr>
      <w:r>
        <w:rPr>
          <w:b/>
          <w:i w:val="0"/>
          <w:color w:val="1C3A36"/>
          <w:sz w:val="24"/>
        </w:rPr>
        <w:t>1.4 · Normalized earnings power</w:t>
      </w:r>
    </w:p>
    <w:p>
      <w:pPr>
        <w:spacing w:after="120" w:before="0"/>
      </w:pPr>
      <w:r>
        <w:rPr>
          <w:b w:val="0"/>
          <w:i w:val="0"/>
          <w:color w:val="1C3A36"/>
          <w:sz w:val="21"/>
        </w:rPr>
        <w:t>Because FY2026 earnings are temporarily depressed — the new El Tagamoa hospital runs at a start-up loss and net interest is elevated before deleveraging — a through-cycle lens strips out net interest to value the operating engine. On the company’s own normalized definition (profit before tax plus net interest, taxed at 22.5%), FY26E normalized parent profit capitalised at 15–22× gives EGP 6.97–10.23, base near EGP 8.37. FY2025 normalized net profit was a disclosed EGP 1,162mn (16% margin, +29% y/y), so this lens is anchored on a real, recent number rather than a hopeful one.</w:t>
      </w:r>
    </w:p>
    <w:p>
      <w:pPr>
        <w:spacing w:after="80" w:before="200"/>
      </w:pPr>
      <w:r>
        <w:rPr>
          <w:b/>
          <w:i w:val="0"/>
          <w:color w:val="1C3A36"/>
          <w:sz w:val="24"/>
        </w:rPr>
        <w:t>1.5 · EV per operational bed and the synthesis</w:t>
      </w:r>
    </w:p>
    <w:p>
      <w:pPr>
        <w:spacing w:after="120" w:before="0"/>
      </w:pPr>
      <w:r>
        <w:rPr>
          <w:b w:val="0"/>
          <w:i w:val="0"/>
          <w:color w:val="1C3A36"/>
          <w:sz w:val="21"/>
        </w:rPr>
        <w:t>The transaction lens values the ~1,320 forward operational beds at EGP 20–35mn each — a wide band by construction, bracketing Egyptian replacement cost (Cleopatra El Tagamoa cost roughly EGP 11–12mn per bed to build, ex-land, under a public-private structure) at the low end and regional transaction marks at the high end. It yields EGP 6.46–11.70. Blending the four lenses at the declared 40/25/20/15 weights — DCF heaviest because it is the only lens that prices the rate path explicitly — gives the weighted central of about EGP 9.21, within EGP 6.51–11.05.</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736"/>
            <w:shd w:val="clear" w:color="auto" w:fill="EAF0EE"/>
          </w:tcPr>
          <w:p>
            <w:pPr>
              <w:spacing w:after="20"/>
            </w:pPr>
            <w:r>
              <w:rPr>
                <w:b/>
                <w:color w:val="1C3A36"/>
                <w:sz w:val="17"/>
              </w:rPr>
              <w:t>Lens</w:t>
            </w:r>
          </w:p>
        </w:tc>
        <w:tc>
          <w:tcPr>
            <w:tcW w:type="dxa" w:w="1037"/>
            <w:shd w:val="clear" w:color="auto" w:fill="EAF0EE"/>
          </w:tcPr>
          <w:p>
            <w:pPr>
              <w:spacing w:after="20"/>
            </w:pPr>
            <w:r>
              <w:rPr>
                <w:b/>
                <w:color w:val="1C3A36"/>
                <w:sz w:val="17"/>
              </w:rPr>
              <w:t>Bear</w:t>
            </w:r>
          </w:p>
        </w:tc>
        <w:tc>
          <w:tcPr>
            <w:tcW w:type="dxa" w:w="1037"/>
            <w:shd w:val="clear" w:color="auto" w:fill="EAF0EE"/>
          </w:tcPr>
          <w:p>
            <w:pPr>
              <w:spacing w:after="20"/>
            </w:pPr>
            <w:r>
              <w:rPr>
                <w:b/>
                <w:color w:val="1C3A36"/>
                <w:sz w:val="17"/>
              </w:rPr>
              <w:t>Base</w:t>
            </w:r>
          </w:p>
        </w:tc>
        <w:tc>
          <w:tcPr>
            <w:tcW w:type="dxa" w:w="1037"/>
            <w:shd w:val="clear" w:color="auto" w:fill="EAF0EE"/>
          </w:tcPr>
          <w:p>
            <w:pPr>
              <w:spacing w:after="20"/>
            </w:pPr>
            <w:r>
              <w:rPr>
                <w:b/>
                <w:color w:val="1C3A36"/>
                <w:sz w:val="17"/>
              </w:rPr>
              <w:t>Bull</w:t>
            </w:r>
          </w:p>
        </w:tc>
        <w:tc>
          <w:tcPr>
            <w:tcW w:type="dxa" w:w="1037"/>
            <w:shd w:val="clear" w:color="auto" w:fill="EAF0EE"/>
          </w:tcPr>
          <w:p>
            <w:pPr>
              <w:spacing w:after="20"/>
            </w:pPr>
            <w:r>
              <w:rPr>
                <w:b/>
                <w:color w:val="1C3A36"/>
                <w:sz w:val="17"/>
              </w:rPr>
              <w:t>Weight</w:t>
            </w:r>
          </w:p>
        </w:tc>
        <w:tc>
          <w:tcPr>
            <w:tcW w:type="dxa" w:w="2304"/>
            <w:shd w:val="clear" w:color="auto" w:fill="EAF0EE"/>
          </w:tcPr>
          <w:p>
            <w:pPr>
              <w:spacing w:after="20"/>
            </w:pPr>
            <w:r>
              <w:rPr>
                <w:b/>
                <w:color w:val="1C3A36"/>
                <w:sz w:val="17"/>
              </w:rPr>
              <w:t>Weighted base contribution</w:t>
            </w:r>
          </w:p>
        </w:tc>
      </w:tr>
      <w:tr>
        <w:tc>
          <w:tcPr>
            <w:tcW w:type="dxa" w:w="2736"/>
          </w:tcPr>
          <w:p>
            <w:pPr>
              <w:spacing w:after="20"/>
            </w:pPr>
            <w:r>
              <w:rPr>
                <w:b/>
                <w:color w:val="1C3A36"/>
                <w:sz w:val="17"/>
              </w:rPr>
              <w:t>DCF — rate path</w:t>
            </w:r>
          </w:p>
        </w:tc>
        <w:tc>
          <w:tcPr>
            <w:tcW w:type="dxa" w:w="1037"/>
          </w:tcPr>
          <w:p>
            <w:pPr>
              <w:spacing w:after="20"/>
              <w:jc w:val="right"/>
            </w:pPr>
            <w:r>
              <w:rPr>
                <w:color w:val="1C3A36"/>
                <w:sz w:val="17"/>
              </w:rPr>
              <w:t>3.85</w:t>
            </w:r>
          </w:p>
        </w:tc>
        <w:tc>
          <w:tcPr>
            <w:tcW w:type="dxa" w:w="1037"/>
          </w:tcPr>
          <w:p>
            <w:pPr>
              <w:spacing w:after="20"/>
              <w:jc w:val="right"/>
            </w:pPr>
            <w:r>
              <w:rPr>
                <w:color w:val="1C3A36"/>
                <w:sz w:val="17"/>
              </w:rPr>
              <w:t>7.17</w:t>
            </w:r>
          </w:p>
        </w:tc>
        <w:tc>
          <w:tcPr>
            <w:tcW w:type="dxa" w:w="1037"/>
          </w:tcPr>
          <w:p>
            <w:pPr>
              <w:spacing w:after="20"/>
              <w:jc w:val="right"/>
            </w:pPr>
            <w:r>
              <w:rPr>
                <w:color w:val="1C3A36"/>
                <w:sz w:val="17"/>
              </w:rPr>
              <w:t>8.12</w:t>
            </w:r>
          </w:p>
        </w:tc>
        <w:tc>
          <w:tcPr>
            <w:tcW w:type="dxa" w:w="1037"/>
          </w:tcPr>
          <w:p>
            <w:pPr>
              <w:spacing w:after="20"/>
              <w:jc w:val="right"/>
            </w:pPr>
            <w:r>
              <w:rPr>
                <w:color w:val="1C3A36"/>
                <w:sz w:val="17"/>
              </w:rPr>
              <w:t>40%</w:t>
            </w:r>
          </w:p>
        </w:tc>
        <w:tc>
          <w:tcPr>
            <w:tcW w:type="dxa" w:w="2304"/>
          </w:tcPr>
          <w:p>
            <w:pPr>
              <w:spacing w:after="20"/>
              <w:jc w:val="right"/>
            </w:pPr>
            <w:r>
              <w:rPr>
                <w:color w:val="1C3A36"/>
                <w:sz w:val="17"/>
              </w:rPr>
              <w:t>2.87</w:t>
            </w:r>
          </w:p>
        </w:tc>
      </w:tr>
      <w:tr>
        <w:tc>
          <w:tcPr>
            <w:tcW w:type="dxa" w:w="2736"/>
          </w:tcPr>
          <w:p>
            <w:pPr>
              <w:spacing w:after="20"/>
            </w:pPr>
            <w:r>
              <w:rPr>
                <w:b/>
                <w:color w:val="1C3A36"/>
                <w:sz w:val="17"/>
              </w:rPr>
              <w:t>Relative multiples</w:t>
            </w:r>
          </w:p>
        </w:tc>
        <w:tc>
          <w:tcPr>
            <w:tcW w:type="dxa" w:w="1037"/>
          </w:tcPr>
          <w:p>
            <w:pPr>
              <w:spacing w:after="20"/>
              <w:jc w:val="right"/>
            </w:pPr>
            <w:r>
              <w:rPr>
                <w:color w:val="1C3A36"/>
                <w:sz w:val="17"/>
              </w:rPr>
              <w:t>10.43</w:t>
            </w:r>
          </w:p>
        </w:tc>
        <w:tc>
          <w:tcPr>
            <w:tcW w:type="dxa" w:w="1037"/>
          </w:tcPr>
          <w:p>
            <w:pPr>
              <w:spacing w:after="20"/>
              <w:jc w:val="right"/>
            </w:pPr>
            <w:r>
              <w:rPr>
                <w:color w:val="1C3A36"/>
                <w:sz w:val="17"/>
              </w:rPr>
              <w:t>13.21</w:t>
            </w:r>
          </w:p>
        </w:tc>
        <w:tc>
          <w:tcPr>
            <w:tcW w:type="dxa" w:w="1037"/>
          </w:tcPr>
          <w:p>
            <w:pPr>
              <w:spacing w:after="20"/>
              <w:jc w:val="right"/>
            </w:pPr>
            <w:r>
              <w:rPr>
                <w:color w:val="1C3A36"/>
                <w:sz w:val="17"/>
              </w:rPr>
              <w:t>15.99</w:t>
            </w:r>
          </w:p>
        </w:tc>
        <w:tc>
          <w:tcPr>
            <w:tcW w:type="dxa" w:w="1037"/>
          </w:tcPr>
          <w:p>
            <w:pPr>
              <w:spacing w:after="20"/>
              <w:jc w:val="right"/>
            </w:pPr>
            <w:r>
              <w:rPr>
                <w:color w:val="1C3A36"/>
                <w:sz w:val="17"/>
              </w:rPr>
              <w:t>25%</w:t>
            </w:r>
          </w:p>
        </w:tc>
        <w:tc>
          <w:tcPr>
            <w:tcW w:type="dxa" w:w="2304"/>
          </w:tcPr>
          <w:p>
            <w:pPr>
              <w:spacing w:after="20"/>
              <w:jc w:val="right"/>
            </w:pPr>
            <w:r>
              <w:rPr>
                <w:color w:val="1C3A36"/>
                <w:sz w:val="17"/>
              </w:rPr>
              <w:t>3.30</w:t>
            </w:r>
          </w:p>
        </w:tc>
      </w:tr>
      <w:tr>
        <w:tc>
          <w:tcPr>
            <w:tcW w:type="dxa" w:w="2736"/>
          </w:tcPr>
          <w:p>
            <w:pPr>
              <w:spacing w:after="20"/>
            </w:pPr>
            <w:r>
              <w:rPr>
                <w:b/>
                <w:color w:val="1C3A36"/>
                <w:sz w:val="17"/>
              </w:rPr>
              <w:t>Normalized earnings</w:t>
            </w:r>
          </w:p>
        </w:tc>
        <w:tc>
          <w:tcPr>
            <w:tcW w:type="dxa" w:w="1037"/>
          </w:tcPr>
          <w:p>
            <w:pPr>
              <w:spacing w:after="20"/>
              <w:jc w:val="right"/>
            </w:pPr>
            <w:r>
              <w:rPr>
                <w:color w:val="1C3A36"/>
                <w:sz w:val="17"/>
              </w:rPr>
              <w:t>6.97</w:t>
            </w:r>
          </w:p>
        </w:tc>
        <w:tc>
          <w:tcPr>
            <w:tcW w:type="dxa" w:w="1037"/>
          </w:tcPr>
          <w:p>
            <w:pPr>
              <w:spacing w:after="20"/>
              <w:jc w:val="right"/>
            </w:pPr>
            <w:r>
              <w:rPr>
                <w:color w:val="1C3A36"/>
                <w:sz w:val="17"/>
              </w:rPr>
              <w:t>8.37</w:t>
            </w:r>
          </w:p>
        </w:tc>
        <w:tc>
          <w:tcPr>
            <w:tcW w:type="dxa" w:w="1037"/>
          </w:tcPr>
          <w:p>
            <w:pPr>
              <w:spacing w:after="20"/>
              <w:jc w:val="right"/>
            </w:pPr>
            <w:r>
              <w:rPr>
                <w:color w:val="1C3A36"/>
                <w:sz w:val="17"/>
              </w:rPr>
              <w:t>10.23</w:t>
            </w:r>
          </w:p>
        </w:tc>
        <w:tc>
          <w:tcPr>
            <w:tcW w:type="dxa" w:w="1037"/>
          </w:tcPr>
          <w:p>
            <w:pPr>
              <w:spacing w:after="20"/>
              <w:jc w:val="right"/>
            </w:pPr>
            <w:r>
              <w:rPr>
                <w:color w:val="1C3A36"/>
                <w:sz w:val="17"/>
              </w:rPr>
              <w:t>20%</w:t>
            </w:r>
          </w:p>
        </w:tc>
        <w:tc>
          <w:tcPr>
            <w:tcW w:type="dxa" w:w="2304"/>
          </w:tcPr>
          <w:p>
            <w:pPr>
              <w:spacing w:after="20"/>
              <w:jc w:val="right"/>
            </w:pPr>
            <w:r>
              <w:rPr>
                <w:color w:val="1C3A36"/>
                <w:sz w:val="17"/>
              </w:rPr>
              <w:t>1.67</w:t>
            </w:r>
          </w:p>
        </w:tc>
      </w:tr>
      <w:tr>
        <w:tc>
          <w:tcPr>
            <w:tcW w:type="dxa" w:w="2736"/>
          </w:tcPr>
          <w:p>
            <w:pPr>
              <w:spacing w:after="20"/>
            </w:pPr>
            <w:r>
              <w:rPr>
                <w:b/>
                <w:color w:val="1C3A36"/>
                <w:sz w:val="17"/>
              </w:rPr>
              <w:t>EV per bed</w:t>
            </w:r>
          </w:p>
        </w:tc>
        <w:tc>
          <w:tcPr>
            <w:tcW w:type="dxa" w:w="1037"/>
          </w:tcPr>
          <w:p>
            <w:pPr>
              <w:spacing w:after="20"/>
              <w:jc w:val="right"/>
            </w:pPr>
            <w:r>
              <w:rPr>
                <w:color w:val="1C3A36"/>
                <w:sz w:val="17"/>
              </w:rPr>
              <w:t>6.46</w:t>
            </w:r>
          </w:p>
        </w:tc>
        <w:tc>
          <w:tcPr>
            <w:tcW w:type="dxa" w:w="1037"/>
          </w:tcPr>
          <w:p>
            <w:pPr>
              <w:spacing w:after="20"/>
              <w:jc w:val="right"/>
            </w:pPr>
            <w:r>
              <w:rPr>
                <w:color w:val="1C3A36"/>
                <w:sz w:val="17"/>
              </w:rPr>
              <w:t>9.08</w:t>
            </w:r>
          </w:p>
        </w:tc>
        <w:tc>
          <w:tcPr>
            <w:tcW w:type="dxa" w:w="1037"/>
          </w:tcPr>
          <w:p>
            <w:pPr>
              <w:spacing w:after="20"/>
              <w:jc w:val="right"/>
            </w:pPr>
            <w:r>
              <w:rPr>
                <w:color w:val="1C3A36"/>
                <w:sz w:val="17"/>
              </w:rPr>
              <w:t>11.70</w:t>
            </w:r>
          </w:p>
        </w:tc>
        <w:tc>
          <w:tcPr>
            <w:tcW w:type="dxa" w:w="1037"/>
          </w:tcPr>
          <w:p>
            <w:pPr>
              <w:spacing w:after="20"/>
              <w:jc w:val="right"/>
            </w:pPr>
            <w:r>
              <w:rPr>
                <w:color w:val="1C3A36"/>
                <w:sz w:val="17"/>
              </w:rPr>
              <w:t>15%</w:t>
            </w:r>
          </w:p>
        </w:tc>
        <w:tc>
          <w:tcPr>
            <w:tcW w:type="dxa" w:w="2304"/>
          </w:tcPr>
          <w:p>
            <w:pPr>
              <w:spacing w:after="20"/>
              <w:jc w:val="right"/>
            </w:pPr>
            <w:r>
              <w:rPr>
                <w:color w:val="1C3A36"/>
                <w:sz w:val="17"/>
              </w:rPr>
              <w:t>1.36</w:t>
            </w:r>
          </w:p>
        </w:tc>
      </w:tr>
      <w:tr>
        <w:tc>
          <w:tcPr>
            <w:tcW w:type="dxa" w:w="2736"/>
            <w:shd w:val="clear" w:color="auto" w:fill="F6F1E6"/>
          </w:tcPr>
          <w:p>
            <w:pPr>
              <w:spacing w:after="20"/>
            </w:pPr>
            <w:r>
              <w:rPr>
                <w:b/>
                <w:color w:val="1C3A36"/>
                <w:sz w:val="17"/>
              </w:rPr>
              <w:t>Weighted central</w:t>
            </w:r>
          </w:p>
        </w:tc>
        <w:tc>
          <w:tcPr>
            <w:tcW w:type="dxa" w:w="1037"/>
            <w:shd w:val="clear" w:color="auto" w:fill="F6F1E6"/>
          </w:tcPr>
          <w:p>
            <w:pPr>
              <w:spacing w:after="20"/>
              <w:jc w:val="right"/>
            </w:pPr>
            <w:r>
              <w:rPr>
                <w:b/>
                <w:color w:val="1C3A36"/>
                <w:sz w:val="17"/>
              </w:rPr>
              <w:t>6.51</w:t>
            </w:r>
          </w:p>
        </w:tc>
        <w:tc>
          <w:tcPr>
            <w:tcW w:type="dxa" w:w="1037"/>
            <w:shd w:val="clear" w:color="auto" w:fill="F6F1E6"/>
          </w:tcPr>
          <w:p>
            <w:pPr>
              <w:spacing w:after="20"/>
              <w:jc w:val="right"/>
            </w:pPr>
            <w:r>
              <w:rPr>
                <w:b/>
                <w:color w:val="1C3A36"/>
                <w:sz w:val="17"/>
              </w:rPr>
              <w:t>9.21</w:t>
            </w:r>
          </w:p>
        </w:tc>
        <w:tc>
          <w:tcPr>
            <w:tcW w:type="dxa" w:w="1037"/>
            <w:shd w:val="clear" w:color="auto" w:fill="F6F1E6"/>
          </w:tcPr>
          <w:p>
            <w:pPr>
              <w:spacing w:after="20"/>
              <w:jc w:val="right"/>
            </w:pPr>
            <w:r>
              <w:rPr>
                <w:b/>
                <w:color w:val="1C3A36"/>
                <w:sz w:val="17"/>
              </w:rPr>
              <w:t>11.05</w:t>
            </w:r>
          </w:p>
        </w:tc>
        <w:tc>
          <w:tcPr>
            <w:tcW w:type="dxa" w:w="1037"/>
            <w:shd w:val="clear" w:color="auto" w:fill="F6F1E6"/>
          </w:tcPr>
          <w:p>
            <w:pPr>
              <w:spacing w:after="20"/>
              <w:jc w:val="right"/>
            </w:pPr>
            <w:r>
              <w:rPr>
                <w:b/>
                <w:color w:val="1C3A36"/>
                <w:sz w:val="17"/>
              </w:rPr>
              <w:t>100%</w:t>
            </w:r>
          </w:p>
        </w:tc>
        <w:tc>
          <w:tcPr>
            <w:tcW w:type="dxa" w:w="2304"/>
            <w:shd w:val="clear" w:color="auto" w:fill="F6F1E6"/>
          </w:tcPr>
          <w:p>
            <w:pPr>
              <w:spacing w:after="20"/>
              <w:jc w:val="right"/>
            </w:pPr>
            <w:r>
              <w:rPr>
                <w:b/>
                <w:color w:val="1C3A36"/>
                <w:sz w:val="17"/>
              </w:rPr>
              <w:t>9.21</w:t>
            </w:r>
          </w:p>
        </w:tc>
      </w:tr>
    </w:tbl>
    <w:p>
      <w:pPr>
        <w:spacing w:after="40"/>
      </w:pPr>
    </w:p>
    <w:p>
      <w:pPr>
        <w:spacing w:after="200" w:before="0"/>
      </w:pPr>
      <w:r>
        <w:rPr>
          <w:b w:val="0"/>
          <w:i/>
          <w:color w:val="6E7B77"/>
          <w:sz w:val="17"/>
        </w:rPr>
        <w:t>The declared blend. DCF carries the heaviest weight because it is the only lens that explicitly prices Egypt’s rate path; the multiple lenses anchor it to observable comparables.</w:t>
      </w:r>
    </w:p>
    <w:p>
      <w:pPr>
        <w:spacing w:after="80" w:before="200"/>
      </w:pPr>
      <w:r>
        <w:rPr>
          <w:b/>
          <w:i w:val="0"/>
          <w:color w:val="1C3A36"/>
          <w:sz w:val="24"/>
        </w:rPr>
        <w:t>1.6 · Driver scorecard — where the value is made</w:t>
      </w:r>
    </w:p>
    <w:p>
      <w:pPr>
        <w:spacing w:after="120" w:before="0"/>
      </w:pPr>
      <w:r>
        <w:rPr>
          <w:b w:val="0"/>
          <w:i w:val="0"/>
          <w:color w:val="1C3A36"/>
          <w:sz w:val="21"/>
        </w:rPr>
        <w:t>Revenue is now built bottom-up rather than assumed top-down: five disclosed KPI lines (59% of FY25 revenue) are modeled as volume × ARP, each faded from its own FY24→FY25 growth rate toward a sustainable long-run rate; the remaining ~41% (pharmacy, lab, IVF — no disclosed volume/price split) grows top-down off bed-capacity growth plus a flat re-pricing kicker, per the protocol’s own data-discipline gate (never manufacture a volume/price split for an undisclosed line). Full workings are in Appendix A.5.</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736"/>
            <w:shd w:val="clear" w:color="auto" w:fill="EAF0EE"/>
          </w:tcPr>
          <w:p>
            <w:pPr>
              <w:spacing w:after="20"/>
            </w:pPr>
            <w:r>
              <w:rPr>
                <w:b/>
                <w:color w:val="1C3A36"/>
                <w:sz w:val="17"/>
              </w:rPr>
              <w:t>Driver</w:t>
            </w:r>
          </w:p>
        </w:tc>
        <w:tc>
          <w:tcPr>
            <w:tcW w:type="dxa" w:w="1037"/>
            <w:shd w:val="clear" w:color="auto" w:fill="EAF0EE"/>
          </w:tcPr>
          <w:p>
            <w:pPr>
              <w:spacing w:after="20"/>
            </w:pPr>
            <w:r>
              <w:rPr>
                <w:b/>
                <w:color w:val="1C3A36"/>
                <w:sz w:val="17"/>
              </w:rPr>
              <w:t>FY25A</w:t>
            </w:r>
          </w:p>
        </w:tc>
        <w:tc>
          <w:tcPr>
            <w:tcW w:type="dxa" w:w="1037"/>
            <w:shd w:val="clear" w:color="auto" w:fill="EAF0EE"/>
          </w:tcPr>
          <w:p>
            <w:pPr>
              <w:spacing w:after="20"/>
            </w:pPr>
            <w:r>
              <w:rPr>
                <w:b/>
                <w:color w:val="1C3A36"/>
                <w:sz w:val="17"/>
              </w:rPr>
              <w:t>FY26E</w:t>
            </w:r>
          </w:p>
        </w:tc>
        <w:tc>
          <w:tcPr>
            <w:tcW w:type="dxa" w:w="1037"/>
            <w:shd w:val="clear" w:color="auto" w:fill="EAF0EE"/>
          </w:tcPr>
          <w:p>
            <w:pPr>
              <w:spacing w:after="20"/>
            </w:pPr>
            <w:r>
              <w:rPr>
                <w:b/>
                <w:color w:val="1C3A36"/>
                <w:sz w:val="17"/>
              </w:rPr>
              <w:t>FY27E</w:t>
            </w:r>
          </w:p>
        </w:tc>
        <w:tc>
          <w:tcPr>
            <w:tcW w:type="dxa" w:w="1037"/>
            <w:shd w:val="clear" w:color="auto" w:fill="EAF0EE"/>
          </w:tcPr>
          <w:p>
            <w:pPr>
              <w:spacing w:after="20"/>
            </w:pPr>
            <w:r>
              <w:rPr>
                <w:b/>
                <w:color w:val="1C3A36"/>
                <w:sz w:val="17"/>
              </w:rPr>
              <w:t>FY28E</w:t>
            </w:r>
          </w:p>
        </w:tc>
        <w:tc>
          <w:tcPr>
            <w:tcW w:type="dxa" w:w="2880"/>
            <w:shd w:val="clear" w:color="auto" w:fill="EAF0EE"/>
          </w:tcPr>
          <w:p>
            <w:pPr>
              <w:spacing w:after="20"/>
            </w:pPr>
            <w:r>
              <w:rPr>
                <w:b/>
                <w:color w:val="1C3A36"/>
                <w:sz w:val="17"/>
              </w:rPr>
              <w:t>Basis / ledger ref</w:t>
            </w:r>
          </w:p>
        </w:tc>
      </w:tr>
      <w:tr>
        <w:tc>
          <w:tcPr>
            <w:tcW w:type="dxa" w:w="2736"/>
          </w:tcPr>
          <w:p>
            <w:pPr>
              <w:spacing w:after="20"/>
            </w:pPr>
            <w:r>
              <w:rPr>
                <w:b/>
                <w:color w:val="1C3A36"/>
                <w:sz w:val="17"/>
              </w:rPr>
              <w:t>Revenue growth y/y (derived)</w:t>
            </w:r>
          </w:p>
        </w:tc>
        <w:tc>
          <w:tcPr>
            <w:tcW w:type="dxa" w:w="1037"/>
          </w:tcPr>
          <w:p>
            <w:pPr>
              <w:spacing w:after="20"/>
              <w:jc w:val="right"/>
            </w:pPr>
            <w:r>
              <w:rPr>
                <w:color w:val="1C3A36"/>
                <w:sz w:val="17"/>
              </w:rPr>
              <w:t>33%</w:t>
            </w:r>
          </w:p>
        </w:tc>
        <w:tc>
          <w:tcPr>
            <w:tcW w:type="dxa" w:w="1037"/>
          </w:tcPr>
          <w:p>
            <w:pPr>
              <w:spacing w:after="20"/>
              <w:jc w:val="right"/>
            </w:pPr>
            <w:r>
              <w:rPr>
                <w:color w:val="1C3A36"/>
                <w:sz w:val="17"/>
              </w:rPr>
              <w:t>28%</w:t>
            </w:r>
          </w:p>
        </w:tc>
        <w:tc>
          <w:tcPr>
            <w:tcW w:type="dxa" w:w="1037"/>
          </w:tcPr>
          <w:p>
            <w:pPr>
              <w:spacing w:after="20"/>
              <w:jc w:val="right"/>
            </w:pPr>
            <w:r>
              <w:rPr>
                <w:color w:val="1C3A36"/>
                <w:sz w:val="17"/>
              </w:rPr>
              <w:t>33%</w:t>
            </w:r>
          </w:p>
        </w:tc>
        <w:tc>
          <w:tcPr>
            <w:tcW w:type="dxa" w:w="1037"/>
          </w:tcPr>
          <w:p>
            <w:pPr>
              <w:spacing w:after="20"/>
              <w:jc w:val="right"/>
            </w:pPr>
            <w:r>
              <w:rPr>
                <w:color w:val="1C3A36"/>
                <w:sz w:val="17"/>
              </w:rPr>
              <w:t>28%</w:t>
            </w:r>
          </w:p>
        </w:tc>
        <w:tc>
          <w:tcPr>
            <w:tcW w:type="dxa" w:w="2880"/>
          </w:tcPr>
          <w:p>
            <w:pPr>
              <w:spacing w:after="20"/>
              <w:jc w:val="right"/>
            </w:pPr>
            <w:r>
              <w:rPr>
                <w:color w:val="1C3A36"/>
                <w:sz w:val="17"/>
              </w:rPr>
              <w:t>GC-01: bottom-up, beds+volume×ARP</w:t>
            </w:r>
          </w:p>
        </w:tc>
      </w:tr>
      <w:tr>
        <w:tc>
          <w:tcPr>
            <w:tcW w:type="dxa" w:w="2736"/>
          </w:tcPr>
          <w:p>
            <w:pPr>
              <w:spacing w:after="20"/>
            </w:pPr>
            <w:r>
              <w:rPr>
                <w:b/>
                <w:color w:val="1C3A36"/>
                <w:sz w:val="17"/>
              </w:rPr>
              <w:t>Gross margin</w:t>
            </w:r>
          </w:p>
        </w:tc>
        <w:tc>
          <w:tcPr>
            <w:tcW w:type="dxa" w:w="1037"/>
          </w:tcPr>
          <w:p>
            <w:pPr>
              <w:spacing w:after="20"/>
              <w:jc w:val="right"/>
            </w:pPr>
            <w:r>
              <w:rPr>
                <w:color w:val="1C3A36"/>
                <w:sz w:val="17"/>
              </w:rPr>
              <w:t>39.6%</w:t>
            </w:r>
          </w:p>
        </w:tc>
        <w:tc>
          <w:tcPr>
            <w:tcW w:type="dxa" w:w="1037"/>
          </w:tcPr>
          <w:p>
            <w:pPr>
              <w:spacing w:after="20"/>
              <w:jc w:val="right"/>
            </w:pPr>
            <w:r>
              <w:rPr>
                <w:color w:val="1C3A36"/>
                <w:sz w:val="17"/>
              </w:rPr>
              <w:t>35.5%</w:t>
            </w:r>
          </w:p>
        </w:tc>
        <w:tc>
          <w:tcPr>
            <w:tcW w:type="dxa" w:w="1037"/>
          </w:tcPr>
          <w:p>
            <w:pPr>
              <w:spacing w:after="20"/>
              <w:jc w:val="right"/>
            </w:pPr>
            <w:r>
              <w:rPr>
                <w:color w:val="1C3A36"/>
                <w:sz w:val="17"/>
              </w:rPr>
              <w:t>38.5%</w:t>
            </w:r>
          </w:p>
        </w:tc>
        <w:tc>
          <w:tcPr>
            <w:tcW w:type="dxa" w:w="1037"/>
          </w:tcPr>
          <w:p>
            <w:pPr>
              <w:spacing w:after="20"/>
              <w:jc w:val="right"/>
            </w:pPr>
            <w:r>
              <w:rPr>
                <w:color w:val="1C3A36"/>
                <w:sz w:val="17"/>
              </w:rPr>
              <w:t>39.5%</w:t>
            </w:r>
          </w:p>
        </w:tc>
        <w:tc>
          <w:tcPr>
            <w:tcW w:type="dxa" w:w="2880"/>
          </w:tcPr>
          <w:p>
            <w:pPr>
              <w:spacing w:after="20"/>
              <w:jc w:val="right"/>
            </w:pPr>
            <w:r>
              <w:rPr>
                <w:color w:val="1C3A36"/>
                <w:sz w:val="17"/>
              </w:rPr>
              <w:t>GC-02: Q1 32.7% consol / 37.6% ex-CTH</w:t>
            </w:r>
          </w:p>
        </w:tc>
      </w:tr>
      <w:tr>
        <w:tc>
          <w:tcPr>
            <w:tcW w:type="dxa" w:w="2736"/>
          </w:tcPr>
          <w:p>
            <w:pPr>
              <w:spacing w:after="20"/>
            </w:pPr>
            <w:r>
              <w:rPr>
                <w:b/>
                <w:color w:val="1C3A36"/>
                <w:sz w:val="17"/>
              </w:rPr>
              <w:t>EBITDA margin (reported)</w:t>
            </w:r>
          </w:p>
        </w:tc>
        <w:tc>
          <w:tcPr>
            <w:tcW w:type="dxa" w:w="1037"/>
          </w:tcPr>
          <w:p>
            <w:pPr>
              <w:spacing w:after="20"/>
              <w:jc w:val="right"/>
            </w:pPr>
            <w:r>
              <w:rPr>
                <w:color w:val="1C3A36"/>
                <w:sz w:val="17"/>
              </w:rPr>
              <w:t>23.8%</w:t>
            </w:r>
          </w:p>
        </w:tc>
        <w:tc>
          <w:tcPr>
            <w:tcW w:type="dxa" w:w="1037"/>
          </w:tcPr>
          <w:p>
            <w:pPr>
              <w:spacing w:after="20"/>
              <w:jc w:val="right"/>
            </w:pPr>
            <w:r>
              <w:rPr>
                <w:color w:val="1C3A36"/>
                <w:sz w:val="17"/>
              </w:rPr>
              <w:t>21.5%</w:t>
            </w:r>
          </w:p>
        </w:tc>
        <w:tc>
          <w:tcPr>
            <w:tcW w:type="dxa" w:w="1037"/>
          </w:tcPr>
          <w:p>
            <w:pPr>
              <w:spacing w:after="20"/>
              <w:jc w:val="right"/>
            </w:pPr>
            <w:r>
              <w:rPr>
                <w:color w:val="1C3A36"/>
                <w:sz w:val="17"/>
              </w:rPr>
              <w:t>24.5%</w:t>
            </w:r>
          </w:p>
        </w:tc>
        <w:tc>
          <w:tcPr>
            <w:tcW w:type="dxa" w:w="1037"/>
          </w:tcPr>
          <w:p>
            <w:pPr>
              <w:spacing w:after="20"/>
              <w:jc w:val="right"/>
            </w:pPr>
            <w:r>
              <w:rPr>
                <w:color w:val="1C3A36"/>
                <w:sz w:val="17"/>
              </w:rPr>
              <w:t>26.5%</w:t>
            </w:r>
          </w:p>
        </w:tc>
        <w:tc>
          <w:tcPr>
            <w:tcW w:type="dxa" w:w="2880"/>
          </w:tcPr>
          <w:p>
            <w:pPr>
              <w:spacing w:after="20"/>
              <w:jc w:val="right"/>
            </w:pPr>
            <w:r>
              <w:rPr>
                <w:color w:val="1C3A36"/>
                <w:sz w:val="17"/>
              </w:rPr>
              <w:t>GC-02: adj-EBITDA basis is ~30%</w:t>
            </w:r>
          </w:p>
        </w:tc>
      </w:tr>
      <w:tr>
        <w:tc>
          <w:tcPr>
            <w:tcW w:type="dxa" w:w="2736"/>
          </w:tcPr>
          <w:p>
            <w:pPr>
              <w:spacing w:after="20"/>
            </w:pPr>
            <w:r>
              <w:rPr>
                <w:b/>
                <w:color w:val="1C3A36"/>
                <w:sz w:val="17"/>
              </w:rPr>
              <w:t>Capex (EGP mn)</w:t>
            </w:r>
          </w:p>
        </w:tc>
        <w:tc>
          <w:tcPr>
            <w:tcW w:type="dxa" w:w="1037"/>
          </w:tcPr>
          <w:p>
            <w:pPr>
              <w:spacing w:after="20"/>
              <w:jc w:val="right"/>
            </w:pPr>
            <w:r>
              <w:rPr>
                <w:color w:val="1C3A36"/>
                <w:sz w:val="17"/>
              </w:rPr>
              <w:t>2,650</w:t>
            </w:r>
          </w:p>
        </w:tc>
        <w:tc>
          <w:tcPr>
            <w:tcW w:type="dxa" w:w="1037"/>
          </w:tcPr>
          <w:p>
            <w:pPr>
              <w:spacing w:after="20"/>
              <w:jc w:val="right"/>
            </w:pPr>
            <w:r>
              <w:rPr>
                <w:color w:val="1C3A36"/>
                <w:sz w:val="17"/>
              </w:rPr>
              <w:t>1,400</w:t>
            </w:r>
          </w:p>
        </w:tc>
        <w:tc>
          <w:tcPr>
            <w:tcW w:type="dxa" w:w="1037"/>
          </w:tcPr>
          <w:p>
            <w:pPr>
              <w:spacing w:after="20"/>
              <w:jc w:val="right"/>
            </w:pPr>
            <w:r>
              <w:rPr>
                <w:color w:val="1C3A36"/>
                <w:sz w:val="17"/>
              </w:rPr>
              <w:t>1,100</w:t>
            </w:r>
          </w:p>
        </w:tc>
        <w:tc>
          <w:tcPr>
            <w:tcW w:type="dxa" w:w="1037"/>
          </w:tcPr>
          <w:p>
            <w:pPr>
              <w:spacing w:after="20"/>
              <w:jc w:val="right"/>
            </w:pPr>
            <w:r>
              <w:rPr>
                <w:color w:val="1C3A36"/>
                <w:sz w:val="17"/>
              </w:rPr>
              <w:t>1,150</w:t>
            </w:r>
          </w:p>
        </w:tc>
        <w:tc>
          <w:tcPr>
            <w:tcW w:type="dxa" w:w="2880"/>
          </w:tcPr>
          <w:p>
            <w:pPr>
              <w:spacing w:after="20"/>
              <w:jc w:val="right"/>
            </w:pPr>
            <w:r>
              <w:rPr>
                <w:color w:val="1C3A36"/>
                <w:sz w:val="17"/>
              </w:rPr>
              <w:t>GC-03: FY26 "tightly controlled"</w:t>
            </w:r>
          </w:p>
        </w:tc>
      </w:tr>
      <w:tr>
        <w:tc>
          <w:tcPr>
            <w:tcW w:type="dxa" w:w="2736"/>
          </w:tcPr>
          <w:p>
            <w:pPr>
              <w:spacing w:after="20"/>
            </w:pPr>
            <w:r>
              <w:rPr>
                <w:b/>
                <w:color w:val="1C3A36"/>
                <w:sz w:val="17"/>
              </w:rPr>
              <w:t>Net debt / EBITDA</w:t>
            </w:r>
          </w:p>
        </w:tc>
        <w:tc>
          <w:tcPr>
            <w:tcW w:type="dxa" w:w="1037"/>
          </w:tcPr>
          <w:p>
            <w:pPr>
              <w:spacing w:after="20"/>
              <w:jc w:val="right"/>
            </w:pPr>
            <w:r>
              <w:rPr>
                <w:color w:val="1C3A36"/>
                <w:sz w:val="17"/>
              </w:rPr>
              <w:t>~1.4×</w:t>
            </w:r>
          </w:p>
        </w:tc>
        <w:tc>
          <w:tcPr>
            <w:tcW w:type="dxa" w:w="1037"/>
          </w:tcPr>
          <w:p>
            <w:pPr>
              <w:spacing w:after="20"/>
              <w:jc w:val="right"/>
            </w:pPr>
            <w:r>
              <w:rPr>
                <w:color w:val="1C3A36"/>
                <w:sz w:val="17"/>
              </w:rPr>
              <w:t>~1.5×</w:t>
            </w:r>
          </w:p>
        </w:tc>
        <w:tc>
          <w:tcPr>
            <w:tcW w:type="dxa" w:w="1037"/>
          </w:tcPr>
          <w:p>
            <w:pPr>
              <w:spacing w:after="20"/>
              <w:jc w:val="right"/>
            </w:pPr>
            <w:r>
              <w:rPr>
                <w:color w:val="1C3A36"/>
                <w:sz w:val="17"/>
              </w:rPr>
              <w:t>~1.0×</w:t>
            </w:r>
          </w:p>
        </w:tc>
        <w:tc>
          <w:tcPr>
            <w:tcW w:type="dxa" w:w="1037"/>
          </w:tcPr>
          <w:p>
            <w:pPr>
              <w:spacing w:after="20"/>
              <w:jc w:val="right"/>
            </w:pPr>
            <w:r>
              <w:rPr>
                <w:color w:val="1C3A36"/>
                <w:sz w:val="17"/>
              </w:rPr>
              <w:t>falling</w:t>
            </w:r>
          </w:p>
        </w:tc>
        <w:tc>
          <w:tcPr>
            <w:tcW w:type="dxa" w:w="2880"/>
          </w:tcPr>
          <w:p>
            <w:pPr>
              <w:spacing w:after="20"/>
              <w:jc w:val="right"/>
            </w:pPr>
            <w:r>
              <w:rPr>
                <w:color w:val="1C3A36"/>
                <w:sz w:val="17"/>
              </w:rPr>
              <w:t>GC-03: deleveraging guided</w:t>
            </w:r>
          </w:p>
        </w:tc>
      </w:tr>
      <w:tr>
        <w:tc>
          <w:tcPr>
            <w:tcW w:type="dxa" w:w="2736"/>
          </w:tcPr>
          <w:p>
            <w:pPr>
              <w:spacing w:after="20"/>
            </w:pPr>
            <w:r>
              <w:rPr>
                <w:b/>
                <w:color w:val="1C3A36"/>
                <w:sz w:val="17"/>
              </w:rPr>
              <w:t>Parent share of NP</w:t>
            </w:r>
          </w:p>
        </w:tc>
        <w:tc>
          <w:tcPr>
            <w:tcW w:type="dxa" w:w="1037"/>
          </w:tcPr>
          <w:p>
            <w:pPr>
              <w:spacing w:after="20"/>
              <w:jc w:val="right"/>
            </w:pPr>
            <w:r>
              <w:rPr>
                <w:color w:val="1C3A36"/>
                <w:sz w:val="17"/>
              </w:rPr>
              <w:t>85%</w:t>
            </w:r>
          </w:p>
        </w:tc>
        <w:tc>
          <w:tcPr>
            <w:tcW w:type="dxa" w:w="1037"/>
          </w:tcPr>
          <w:p>
            <w:pPr>
              <w:spacing w:after="20"/>
              <w:jc w:val="right"/>
            </w:pPr>
            <w:r>
              <w:rPr>
                <w:color w:val="1C3A36"/>
                <w:sz w:val="17"/>
              </w:rPr>
              <w:t>84%</w:t>
            </w:r>
          </w:p>
        </w:tc>
        <w:tc>
          <w:tcPr>
            <w:tcW w:type="dxa" w:w="1037"/>
          </w:tcPr>
          <w:p>
            <w:pPr>
              <w:spacing w:after="20"/>
              <w:jc w:val="right"/>
            </w:pPr>
            <w:r>
              <w:rPr>
                <w:color w:val="1C3A36"/>
                <w:sz w:val="17"/>
              </w:rPr>
              <w:t>85%</w:t>
            </w:r>
          </w:p>
        </w:tc>
        <w:tc>
          <w:tcPr>
            <w:tcW w:type="dxa" w:w="1037"/>
          </w:tcPr>
          <w:p>
            <w:pPr>
              <w:spacing w:after="20"/>
              <w:jc w:val="right"/>
            </w:pPr>
            <w:r>
              <w:rPr>
                <w:color w:val="1C3A36"/>
                <w:sz w:val="17"/>
              </w:rPr>
              <w:t>85%</w:t>
            </w:r>
          </w:p>
        </w:tc>
        <w:tc>
          <w:tcPr>
            <w:tcW w:type="dxa" w:w="2880"/>
          </w:tcPr>
          <w:p>
            <w:pPr>
              <w:spacing w:after="20"/>
              <w:jc w:val="right"/>
            </w:pPr>
            <w:r>
              <w:rPr>
                <w:color w:val="1C3A36"/>
                <w:sz w:val="17"/>
              </w:rPr>
              <w:t>GC-11: Q1 dipped to 77% on CTH</w:t>
            </w:r>
          </w:p>
        </w:tc>
      </w:tr>
    </w:tbl>
    <w:p>
      <w:pPr>
        <w:spacing w:after="40"/>
      </w:pPr>
    </w:p>
    <w:p>
      <w:pPr>
        <w:spacing w:after="200" w:before="0"/>
      </w:pPr>
      <w:r>
        <w:rPr>
          <w:b w:val="0"/>
          <w:i/>
          <w:color w:val="6E7B77"/>
          <w:sz w:val="17"/>
        </w:rPr>
        <w:t>Every non-sourced forecast driver is logged in the Fundamental Driver Ledger (Appendix B.4). The bottom-up revenue build lands at 2.18× FY2028E vs FY2025 — almost exactly management’s own “more than double by 2028” guidance, replacing the retired top-down fade that deliberately undershot it at ~1.94×.</w:t>
      </w:r>
    </w:p>
    <w:p>
      <w:pPr>
        <w:spacing w:after="80" w:before="200"/>
      </w:pPr>
      <w:r>
        <w:rPr>
          <w:b/>
          <w:i w:val="0"/>
          <w:color w:val="1C3A36"/>
          <w:sz w:val="24"/>
        </w:rPr>
        <w:t>1.7 · The crux, stated plainly</w:t>
      </w:r>
    </w:p>
    <w:p>
      <w:pPr>
        <w:spacing w:after="120" w:before="0"/>
      </w:pPr>
      <w:r>
        <w:rPr>
          <w:b/>
          <w:i w:val="0"/>
          <w:color w:val="1C3A36"/>
          <w:sz w:val="21"/>
        </w:rPr>
        <w:t xml:space="preserve">One variable dominates. </w:t>
      </w:r>
      <w:r>
        <w:rPr>
          <w:b w:val="0"/>
          <w:i w:val="0"/>
          <w:color w:val="1C3A36"/>
          <w:sz w:val="21"/>
        </w:rPr>
        <w:t>Strip away the detail and CLHO’s fundamental value is a leveraged position on the Egyptian discount rate, with a second-order call on new-hospital execution. The DCF swings from about EGP 3.85 (rates stay at crisis levels) to EGP 7.17 (a credible path to the CBE’s 7±2% target). Everything else — margin delivery, the pace of the CTH ramp, the October build-to-suit, the dividend build — matters at the margin but does not move the answer the way the rate path does.</w:t>
      </w:r>
    </w:p>
    <w:p>
      <w:pPr>
        <w:pStyle w:val="ListBullet"/>
        <w:spacing w:after="60"/>
      </w:pPr>
      <w:r>
        <w:rPr>
          <w:b/>
          <w:color w:val="1C3A36"/>
          <w:sz w:val="21"/>
        </w:rPr>
        <w:t xml:space="preserve">First — </w:t>
      </w:r>
      <w:r>
        <w:rPr>
          <w:color w:val="1C3A36"/>
          <w:sz w:val="21"/>
        </w:rPr>
        <w:t>the discount-rate path — whether the CBE resumes cutting from 19.50% toward target, or regional conflict keeps rates high.</w:t>
      </w:r>
    </w:p>
    <w:p>
      <w:pPr>
        <w:pStyle w:val="ListBullet"/>
        <w:spacing w:after="60"/>
      </w:pPr>
      <w:r>
        <w:rPr>
          <w:b/>
          <w:color w:val="1C3A36"/>
          <w:sz w:val="21"/>
        </w:rPr>
        <w:t xml:space="preserve">Second — </w:t>
      </w:r>
      <w:r>
        <w:rPr>
          <w:color w:val="1C3A36"/>
          <w:sz w:val="21"/>
        </w:rPr>
        <w:t>new-hospital execution — CTH sustaining &gt;EGP 100mn/month (April: EGP 83mn) and the October 200-bed BTS landing on time for 2027.</w:t>
      </w:r>
    </w:p>
    <w:p>
      <w:pPr>
        <w:pStyle w:val="ListBullet"/>
        <w:spacing w:after="60"/>
      </w:pPr>
      <w:r>
        <w:rPr>
          <w:b/>
          <w:color w:val="1C3A36"/>
          <w:sz w:val="21"/>
        </w:rPr>
        <w:t xml:space="preserve">Third — </w:t>
      </w:r>
      <w:r>
        <w:rPr>
          <w:color w:val="1C3A36"/>
          <w:sz w:val="21"/>
        </w:rPr>
        <w:t>the strategic review — management has flagged the EV/bed and EV/EBITDA discount to peers and is "reviewing options to maximise value"; a transaction would be priced off the per-bed lens, not the DCF.</w:t>
      </w:r>
    </w:p>
    <w:p>
      <w:pPr>
        <w:spacing w:after="80" w:before="200"/>
      </w:pPr>
      <w:r>
        <w:rPr>
          <w:b/>
          <w:i w:val="0"/>
          <w:color w:val="1C3A36"/>
          <w:sz w:val="24"/>
        </w:rPr>
        <w:t>1.8 · Macro backdrop and the cost of capital</w:t>
      </w:r>
    </w:p>
    <w:p>
      <w:pPr>
        <w:spacing w:after="120" w:before="0"/>
      </w:pPr>
      <w:r>
        <w:rPr>
          <w:b w:val="0"/>
          <w:i w:val="0"/>
          <w:color w:val="1C3A36"/>
          <w:sz w:val="21"/>
        </w:rPr>
        <w:t>The valuation rests on Egyptian macro, so the study sources it directly rather than assuming. The Central Bank held its main operation rate at 19.50% at its 9 July 2026 meeting — a third consecutive hold — having begun easing earlier in the year before regional conflict (the US–Iran confrontation from June 2026) paused the cycle. Headline urban inflation fell for a third month to 14.3% in June, and real GDP grew 5.0% in Q1. The CBE has separately guided banks to support national healthcare initiatives. This is the backdrop for the two-stage discount rate.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600"/>
            <w:shd w:val="clear" w:color="auto" w:fill="EAF0EE"/>
          </w:tcPr>
          <w:p>
            <w:pPr>
              <w:spacing w:after="20"/>
            </w:pPr>
            <w:r>
              <w:rPr>
                <w:b/>
                <w:color w:val="1C3A36"/>
                <w:sz w:val="17"/>
              </w:rPr>
              <w:t>Cost-of-capital input</w:t>
            </w:r>
          </w:p>
        </w:tc>
        <w:tc>
          <w:tcPr>
            <w:tcW w:type="dxa" w:w="2160"/>
            <w:shd w:val="clear" w:color="auto" w:fill="EAF0EE"/>
          </w:tcPr>
          <w:p>
            <w:pPr>
              <w:spacing w:after="20"/>
            </w:pPr>
            <w:r>
              <w:rPr>
                <w:b/>
                <w:color w:val="1C3A36"/>
                <w:sz w:val="17"/>
              </w:rPr>
              <w:t>Value</w:t>
            </w:r>
          </w:p>
        </w:tc>
        <w:tc>
          <w:tcPr>
            <w:tcW w:type="dxa" w:w="3744"/>
            <w:shd w:val="clear" w:color="auto" w:fill="EAF0EE"/>
          </w:tcPr>
          <w:p>
            <w:pPr>
              <w:spacing w:after="20"/>
            </w:pPr>
            <w:r>
              <w:rPr>
                <w:b/>
                <w:color w:val="1C3A36"/>
                <w:sz w:val="17"/>
              </w:rPr>
              <w:t>Source</w:t>
            </w:r>
          </w:p>
        </w:tc>
      </w:tr>
      <w:tr>
        <w:tc>
          <w:tcPr>
            <w:tcW w:type="dxa" w:w="3600"/>
          </w:tcPr>
          <w:p>
            <w:pPr>
              <w:spacing w:after="20"/>
            </w:pPr>
            <w:r>
              <w:rPr>
                <w:b/>
                <w:color w:val="1C3A36"/>
                <w:sz w:val="17"/>
              </w:rPr>
              <w:t>Risk-free rate (Egypt 10Y local)</w:t>
            </w:r>
          </w:p>
        </w:tc>
        <w:tc>
          <w:tcPr>
            <w:tcW w:type="dxa" w:w="2160"/>
          </w:tcPr>
          <w:p>
            <w:pPr>
              <w:spacing w:after="20"/>
              <w:jc w:val="right"/>
            </w:pPr>
            <w:r>
              <w:rPr>
                <w:color w:val="1C3A36"/>
                <w:sz w:val="17"/>
              </w:rPr>
              <w:t>22.55%</w:t>
            </w:r>
          </w:p>
        </w:tc>
        <w:tc>
          <w:tcPr>
            <w:tcW w:type="dxa" w:w="3744"/>
          </w:tcPr>
          <w:p>
            <w:pPr>
              <w:spacing w:after="20"/>
              <w:jc w:val="right"/>
            </w:pPr>
            <w:r>
              <w:rPr>
                <w:color w:val="1C3A36"/>
                <w:sz w:val="17"/>
              </w:rPr>
              <w:t>investing.com, 3-Jul-26 (CoC reference)</w:t>
            </w:r>
          </w:p>
        </w:tc>
      </w:tr>
      <w:tr>
        <w:tc>
          <w:tcPr>
            <w:tcW w:type="dxa" w:w="3600"/>
          </w:tcPr>
          <w:p>
            <w:pPr>
              <w:spacing w:after="20"/>
            </w:pPr>
            <w:r>
              <w:rPr>
                <w:b/>
                <w:color w:val="1C3A36"/>
                <w:sz w:val="17"/>
              </w:rPr>
              <w:t>ERP — CDS-based (primary)</w:t>
            </w:r>
          </w:p>
        </w:tc>
        <w:tc>
          <w:tcPr>
            <w:tcW w:type="dxa" w:w="2160"/>
          </w:tcPr>
          <w:p>
            <w:pPr>
              <w:spacing w:after="20"/>
              <w:jc w:val="right"/>
            </w:pPr>
            <w:r>
              <w:rPr>
                <w:color w:val="1C3A36"/>
                <w:sz w:val="17"/>
              </w:rPr>
              <w:t>9.41%</w:t>
            </w:r>
          </w:p>
        </w:tc>
        <w:tc>
          <w:tcPr>
            <w:tcW w:type="dxa" w:w="3744"/>
          </w:tcPr>
          <w:p>
            <w:pPr>
              <w:spacing w:after="20"/>
              <w:jc w:val="right"/>
            </w:pPr>
            <w:r>
              <w:rPr>
                <w:color w:val="1C3A36"/>
                <w:sz w:val="17"/>
              </w:rPr>
              <w:t>Damodaran original file, Jan-2026</w:t>
            </w:r>
          </w:p>
        </w:tc>
      </w:tr>
      <w:tr>
        <w:tc>
          <w:tcPr>
            <w:tcW w:type="dxa" w:w="3600"/>
          </w:tcPr>
          <w:p>
            <w:pPr>
              <w:spacing w:after="20"/>
            </w:pPr>
            <w:r>
              <w:rPr>
                <w:b/>
                <w:color w:val="1C3A36"/>
                <w:sz w:val="17"/>
              </w:rPr>
              <w:t>ERP — rating-based (alt)</w:t>
            </w:r>
          </w:p>
        </w:tc>
        <w:tc>
          <w:tcPr>
            <w:tcW w:type="dxa" w:w="2160"/>
          </w:tcPr>
          <w:p>
            <w:pPr>
              <w:spacing w:after="20"/>
              <w:jc w:val="right"/>
            </w:pPr>
            <w:r>
              <w:rPr>
                <w:color w:val="1C3A36"/>
                <w:sz w:val="17"/>
              </w:rPr>
              <w:t>13.94%</w:t>
            </w:r>
          </w:p>
        </w:tc>
        <w:tc>
          <w:tcPr>
            <w:tcW w:type="dxa" w:w="3744"/>
          </w:tcPr>
          <w:p>
            <w:pPr>
              <w:spacing w:after="20"/>
              <w:jc w:val="right"/>
            </w:pPr>
            <w:r>
              <w:rPr>
                <w:color w:val="1C3A36"/>
                <w:sz w:val="17"/>
              </w:rPr>
              <w:t>Damodaran original file, Jan-2026</w:t>
            </w:r>
          </w:p>
        </w:tc>
      </w:tr>
      <w:tr>
        <w:tc>
          <w:tcPr>
            <w:tcW w:type="dxa" w:w="3600"/>
          </w:tcPr>
          <w:p>
            <w:pPr>
              <w:spacing w:after="20"/>
            </w:pPr>
            <w:r>
              <w:rPr>
                <w:b/>
                <w:color w:val="1C3A36"/>
                <w:sz w:val="17"/>
              </w:rPr>
              <w:t>Beta (own regression)</w:t>
            </w:r>
          </w:p>
        </w:tc>
        <w:tc>
          <w:tcPr>
            <w:tcW w:type="dxa" w:w="2160"/>
          </w:tcPr>
          <w:p>
            <w:pPr>
              <w:spacing w:after="20"/>
              <w:jc w:val="right"/>
            </w:pPr>
            <w:r>
              <w:rPr>
                <w:color w:val="1C3A36"/>
                <w:sz w:val="17"/>
              </w:rPr>
              <w:t>0.446</w:t>
            </w:r>
          </w:p>
        </w:tc>
        <w:tc>
          <w:tcPr>
            <w:tcW w:type="dxa" w:w="3744"/>
          </w:tcPr>
          <w:p>
            <w:pPr>
              <w:spacing w:after="20"/>
              <w:jc w:val="right"/>
            </w:pPr>
            <w:r>
              <w:rPr>
                <w:color w:val="1C3A36"/>
                <w:sz w:val="17"/>
              </w:rPr>
              <w:t>weekly vs 27-name EGX composite, n=103, R²=5.9%</w:t>
            </w:r>
          </w:p>
        </w:tc>
      </w:tr>
      <w:tr>
        <w:tc>
          <w:tcPr>
            <w:tcW w:type="dxa" w:w="3600"/>
          </w:tcPr>
          <w:p>
            <w:pPr>
              <w:spacing w:after="20"/>
            </w:pPr>
            <w:r>
              <w:rPr>
                <w:b/>
                <w:color w:val="1C3A36"/>
                <w:sz w:val="17"/>
              </w:rPr>
              <w:t>Ke — spot (CDS / rating)</w:t>
            </w:r>
          </w:p>
        </w:tc>
        <w:tc>
          <w:tcPr>
            <w:tcW w:type="dxa" w:w="2160"/>
          </w:tcPr>
          <w:p>
            <w:pPr>
              <w:spacing w:after="20"/>
              <w:jc w:val="right"/>
            </w:pPr>
            <w:r>
              <w:rPr>
                <w:color w:val="1C3A36"/>
                <w:sz w:val="17"/>
              </w:rPr>
              <w:t>26.7% / 30.4%</w:t>
            </w:r>
          </w:p>
        </w:tc>
        <w:tc>
          <w:tcPr>
            <w:tcW w:type="dxa" w:w="3744"/>
          </w:tcPr>
          <w:p>
            <w:pPr>
              <w:spacing w:after="20"/>
              <w:jc w:val="right"/>
            </w:pPr>
            <w:r>
              <w:rPr>
                <w:color w:val="1C3A36"/>
                <w:sz w:val="17"/>
              </w:rPr>
              <w:t>rf + β×ERP</w:t>
            </w:r>
          </w:p>
        </w:tc>
      </w:tr>
      <w:tr>
        <w:tc>
          <w:tcPr>
            <w:tcW w:type="dxa" w:w="3600"/>
          </w:tcPr>
          <w:p>
            <w:pPr>
              <w:spacing w:after="20"/>
            </w:pPr>
            <w:r>
              <w:rPr>
                <w:b/>
                <w:color w:val="1C3A36"/>
                <w:sz w:val="17"/>
              </w:rPr>
              <w:t>Kd pre-tax / after-tax</w:t>
            </w:r>
          </w:p>
        </w:tc>
        <w:tc>
          <w:tcPr>
            <w:tcW w:type="dxa" w:w="2160"/>
          </w:tcPr>
          <w:p>
            <w:pPr>
              <w:spacing w:after="20"/>
              <w:jc w:val="right"/>
            </w:pPr>
            <w:r>
              <w:rPr>
                <w:color w:val="1C3A36"/>
                <w:sz w:val="17"/>
              </w:rPr>
              <w:t>20.2% / 15.6%</w:t>
            </w:r>
          </w:p>
        </w:tc>
        <w:tc>
          <w:tcPr>
            <w:tcW w:type="dxa" w:w="3744"/>
          </w:tcPr>
          <w:p>
            <w:pPr>
              <w:spacing w:after="20"/>
              <w:jc w:val="right"/>
            </w:pPr>
            <w:r>
              <w:rPr>
                <w:color w:val="1C3A36"/>
                <w:sz w:val="17"/>
              </w:rPr>
              <w:t>CBE bank lending rate, Feb-26</w:t>
            </w:r>
          </w:p>
        </w:tc>
      </w:tr>
      <w:tr>
        <w:tc>
          <w:tcPr>
            <w:tcW w:type="dxa" w:w="3600"/>
          </w:tcPr>
          <w:p>
            <w:pPr>
              <w:spacing w:after="20"/>
            </w:pPr>
            <w:r>
              <w:rPr>
                <w:b/>
                <w:color w:val="1C3A36"/>
                <w:sz w:val="17"/>
              </w:rPr>
              <w:t>WACC — spot (CDS / rating)</w:t>
            </w:r>
          </w:p>
        </w:tc>
        <w:tc>
          <w:tcPr>
            <w:tcW w:type="dxa" w:w="2160"/>
          </w:tcPr>
          <w:p>
            <w:pPr>
              <w:spacing w:after="20"/>
              <w:jc w:val="right"/>
            </w:pPr>
            <w:r>
              <w:rPr>
                <w:color w:val="1C3A36"/>
                <w:sz w:val="17"/>
              </w:rPr>
              <w:t>25.1% / 28.3%</w:t>
            </w:r>
          </w:p>
        </w:tc>
        <w:tc>
          <w:tcPr>
            <w:tcW w:type="dxa" w:w="3744"/>
          </w:tcPr>
          <w:p>
            <w:pPr>
              <w:spacing w:after="20"/>
              <w:jc w:val="right"/>
            </w:pPr>
            <w:r>
              <w:rPr>
                <w:color w:val="1C3A36"/>
                <w:sz w:val="17"/>
              </w:rPr>
              <w:t>We 86% / Wd 14%</w:t>
            </w:r>
          </w:p>
        </w:tc>
      </w:tr>
      <w:tr>
        <w:tc>
          <w:tcPr>
            <w:tcW w:type="dxa" w:w="3600"/>
          </w:tcPr>
          <w:p>
            <w:pPr>
              <w:spacing w:after="20"/>
            </w:pPr>
            <w:r>
              <w:rPr>
                <w:b/>
                <w:color w:val="1C3A36"/>
                <w:sz w:val="17"/>
              </w:rPr>
              <w:t>WACC — normalized stage</w:t>
            </w:r>
          </w:p>
        </w:tc>
        <w:tc>
          <w:tcPr>
            <w:tcW w:type="dxa" w:w="2160"/>
          </w:tcPr>
          <w:p>
            <w:pPr>
              <w:spacing w:after="20"/>
              <w:jc w:val="right"/>
            </w:pPr>
            <w:r>
              <w:rPr>
                <w:color w:val="1C3A36"/>
                <w:sz w:val="17"/>
              </w:rPr>
              <w:t>17.9%</w:t>
            </w:r>
          </w:p>
        </w:tc>
        <w:tc>
          <w:tcPr>
            <w:tcW w:type="dxa" w:w="3744"/>
          </w:tcPr>
          <w:p>
            <w:pPr>
              <w:spacing w:after="20"/>
              <w:jc w:val="right"/>
            </w:pPr>
            <w:r>
              <w:rPr>
                <w:color w:val="1C3A36"/>
                <w:sz w:val="17"/>
              </w:rPr>
              <w:t>rf 14.5% + β×ERP, Kd 16% (house view, GC-06)</w:t>
            </w:r>
          </w:p>
        </w:tc>
      </w:tr>
    </w:tbl>
    <w:p>
      <w:pPr>
        <w:spacing w:after="40"/>
      </w:pPr>
    </w:p>
    <w:p>
      <w:pPr>
        <w:spacing w:after="200" w:before="0"/>
      </w:pPr>
      <w:r>
        <w:rPr>
          <w:b w:val="0"/>
          <w:i/>
          <w:color w:val="6E7B77"/>
          <w:sz w:val="17"/>
        </w:rPr>
        <w:t>Bottom-up cost of capital, both ERP bases published (house rule). The risk-free rate is the local-currency government yield, never shortcut to USD, even though the EGP is managed.</w:t>
      </w:r>
    </w:p>
    <w:p>
      <w:pPr>
        <w:spacing w:after="120" w:before="0"/>
      </w:pPr>
      <w:r>
        <w:rPr>
          <w:b/>
          <w:i w:val="0"/>
          <w:color w:val="1C3A36"/>
          <w:sz w:val="21"/>
        </w:rPr>
        <w:t xml:space="preserve">A note on beta. </w:t>
      </w:r>
      <w:r>
        <w:rPr>
          <w:b w:val="0"/>
          <w:i w:val="0"/>
          <w:color w:val="1C3A36"/>
          <w:sz w:val="21"/>
        </w:rPr>
        <w:t>CLHO’s regression beta against an equal-weight 27-name EGX composite is 0.446, with an R² of 5.9% — just clearing the 5% usability floor — and a standard error of 0.177, implying a wide 90% confidence interval of roughly 0.15–0.74. A low beta is economically sensible for a defensive hospital operator, but the study treats it as genuinely uncertain and shows the WACC sensitivity to beta rather than resting on a single point.</w:t>
      </w:r>
    </w:p>
    <w:p>
      <w:pPr>
        <w:spacing w:after="80" w:before="200"/>
      </w:pPr>
      <w:r>
        <w:rPr>
          <w:b/>
          <w:i w:val="0"/>
          <w:color w:val="1C3A36"/>
          <w:sz w:val="24"/>
        </w:rPr>
        <w:t>1.9 · Sensitivity — the honest ranges, and where the 5% terminal growth comes from</w:t>
      </w:r>
    </w:p>
    <w:p>
      <w:pPr>
        <w:spacing w:after="120" w:before="0"/>
      </w:pPr>
      <w:r>
        <w:rPr>
          <w:b w:val="0"/>
          <w:i w:val="0"/>
          <w:color w:val="1C3A36"/>
          <w:sz w:val="21"/>
        </w:rPr>
        <w:t>Terminal growth is set at 5%, sensitized 3–7%, per the Testahil standing procedure for well-established Egyptian/EM operators (adopted 13-Jul-2026). That default is not asserted — it is checked here against CLHO’s own reinvestment history, because a terminal rate is a claim about forever, and any rate assumed above the long-run growth of the Egyptian economy would mathematically make CLHO larger than Egypt’s entire GDP within a finite, checkable horizon.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893"/>
            <w:shd w:val="clear" w:color="auto" w:fill="EAF0EE"/>
          </w:tcPr>
          <w:p>
            <w:pPr>
              <w:spacing w:after="20"/>
            </w:pPr>
            <w:r>
              <w:rPr>
                <w:b/>
                <w:color w:val="1C3A36"/>
                <w:sz w:val="16"/>
              </w:rPr>
              <w:t>Year</w:t>
            </w:r>
          </w:p>
        </w:tc>
        <w:tc>
          <w:tcPr>
            <w:tcW w:type="dxa" w:w="1512"/>
            <w:shd w:val="clear" w:color="auto" w:fill="EAF0EE"/>
          </w:tcPr>
          <w:p>
            <w:pPr>
              <w:spacing w:after="20"/>
            </w:pPr>
            <w:r>
              <w:rPr>
                <w:b/>
                <w:color w:val="1C3A36"/>
                <w:sz w:val="16"/>
              </w:rPr>
              <w:t>Capex (EGP mn)</w:t>
            </w:r>
          </w:p>
        </w:tc>
        <w:tc>
          <w:tcPr>
            <w:tcW w:type="dxa" w:w="1368"/>
            <w:shd w:val="clear" w:color="auto" w:fill="EAF0EE"/>
          </w:tcPr>
          <w:p>
            <w:pPr>
              <w:spacing w:after="20"/>
            </w:pPr>
            <w:r>
              <w:rPr>
                <w:b/>
                <w:color w:val="1C3A36"/>
                <w:sz w:val="16"/>
              </w:rPr>
              <w:t>Capex/EBITDA</w:t>
            </w:r>
          </w:p>
        </w:tc>
        <w:tc>
          <w:tcPr>
            <w:tcW w:type="dxa" w:w="1512"/>
            <w:shd w:val="clear" w:color="auto" w:fill="EAF0EE"/>
          </w:tcPr>
          <w:p>
            <w:pPr>
              <w:spacing w:after="20"/>
            </w:pPr>
            <w:r>
              <w:rPr>
                <w:b/>
                <w:color w:val="1C3A36"/>
                <w:sz w:val="16"/>
              </w:rPr>
              <w:t>Character</w:t>
            </w:r>
          </w:p>
        </w:tc>
        <w:tc>
          <w:tcPr>
            <w:tcW w:type="dxa" w:w="1512"/>
            <w:shd w:val="clear" w:color="auto" w:fill="EAF0EE"/>
          </w:tcPr>
          <w:p>
            <w:pPr>
              <w:spacing w:after="20"/>
            </w:pPr>
            <w:r>
              <w:rPr>
                <w:b/>
                <w:color w:val="1C3A36"/>
                <w:sz w:val="16"/>
              </w:rPr>
              <w:t>NOPAT (EGP mn)</w:t>
            </w:r>
          </w:p>
        </w:tc>
        <w:tc>
          <w:tcPr>
            <w:tcW w:type="dxa" w:w="1656"/>
            <w:shd w:val="clear" w:color="auto" w:fill="EAF0EE"/>
          </w:tcPr>
          <w:p>
            <w:pPr>
              <w:spacing w:after="20"/>
            </w:pPr>
            <w:r>
              <w:rPr>
                <w:b/>
                <w:color w:val="1C3A36"/>
                <w:sz w:val="16"/>
              </w:rPr>
              <w:t>Actual NOPAT growth</w:t>
            </w:r>
          </w:p>
        </w:tc>
        <w:tc>
          <w:tcPr>
            <w:tcW w:type="dxa" w:w="1080"/>
            <w:shd w:val="clear" w:color="auto" w:fill="EAF0EE"/>
          </w:tcPr>
          <w:p>
            <w:pPr>
              <w:spacing w:after="20"/>
            </w:pPr>
            <w:r>
              <w:rPr>
                <w:b/>
                <w:color w:val="1C3A36"/>
                <w:sz w:val="16"/>
              </w:rPr>
              <w:t>ROIC</w:t>
            </w:r>
          </w:p>
        </w:tc>
        <w:tc>
          <w:tcPr>
            <w:tcW w:type="dxa" w:w="1080"/>
            <w:shd w:val="clear" w:color="auto" w:fill="EAF0EE"/>
          </w:tcPr>
          <w:p>
            <w:pPr>
              <w:spacing w:after="20"/>
            </w:pPr>
            <w:r>
              <w:rPr>
                <w:b/>
                <w:color w:val="1C3A36"/>
                <w:sz w:val="16"/>
              </w:rPr>
              <w:t>RR</w:t>
            </w:r>
          </w:p>
        </w:tc>
        <w:tc>
          <w:tcPr>
            <w:tcW w:type="dxa" w:w="1656"/>
            <w:shd w:val="clear" w:color="auto" w:fill="EAF0EE"/>
          </w:tcPr>
          <w:p>
            <w:pPr>
              <w:spacing w:after="20"/>
            </w:pPr>
            <w:r>
              <w:rPr>
                <w:b/>
                <w:color w:val="1C3A36"/>
                <w:sz w:val="16"/>
              </w:rPr>
              <w:t>Implied g (ROIC×RR)</w:t>
            </w:r>
          </w:p>
        </w:tc>
      </w:tr>
      <w:tr>
        <w:tc>
          <w:tcPr>
            <w:tcW w:type="dxa" w:w="893"/>
          </w:tcPr>
          <w:p>
            <w:pPr>
              <w:spacing w:after="20"/>
            </w:pPr>
            <w:r>
              <w:rPr>
                <w:b/>
                <w:color w:val="1C3A36"/>
                <w:sz w:val="16"/>
              </w:rPr>
              <w:t>2021</w:t>
            </w:r>
          </w:p>
        </w:tc>
        <w:tc>
          <w:tcPr>
            <w:tcW w:type="dxa" w:w="1512"/>
          </w:tcPr>
          <w:p>
            <w:pPr>
              <w:spacing w:after="20"/>
              <w:jc w:val="right"/>
            </w:pPr>
            <w:r>
              <w:rPr>
                <w:color w:val="1C3A36"/>
                <w:sz w:val="16"/>
              </w:rPr>
              <w:t>282.0</w:t>
            </w:r>
          </w:p>
        </w:tc>
        <w:tc>
          <w:tcPr>
            <w:tcW w:type="dxa" w:w="1368"/>
          </w:tcPr>
          <w:p>
            <w:pPr>
              <w:spacing w:after="20"/>
              <w:jc w:val="right"/>
            </w:pPr>
            <w:r>
              <w:rPr>
                <w:color w:val="1C3A36"/>
                <w:sz w:val="16"/>
              </w:rPr>
              <w:t>37%</w:t>
            </w:r>
          </w:p>
        </w:tc>
        <w:tc>
          <w:tcPr>
            <w:tcW w:type="dxa" w:w="1512"/>
          </w:tcPr>
          <w:p>
            <w:pPr>
              <w:spacing w:after="20"/>
              <w:jc w:val="right"/>
            </w:pPr>
            <w:r>
              <w:rPr>
                <w:color w:val="1C3A36"/>
                <w:sz w:val="16"/>
              </w:rPr>
              <w:t>stable *</w:t>
            </w:r>
          </w:p>
        </w:tc>
        <w:tc>
          <w:tcPr>
            <w:tcW w:type="dxa" w:w="1512"/>
          </w:tcPr>
          <w:p>
            <w:pPr>
              <w:spacing w:after="20"/>
              <w:jc w:val="right"/>
            </w:pPr>
            <w:r>
              <w:rPr>
                <w:color w:val="1C3A36"/>
                <w:sz w:val="16"/>
              </w:rPr>
              <w:t>394.9</w:t>
            </w:r>
          </w:p>
        </w:tc>
        <w:tc>
          <w:tcPr>
            <w:tcW w:type="dxa" w:w="1656"/>
          </w:tcPr>
          <w:p>
            <w:pPr>
              <w:spacing w:after="20"/>
              <w:jc w:val="right"/>
            </w:pPr>
            <w:r>
              <w:rPr>
                <w:color w:val="1C3A36"/>
                <w:sz w:val="16"/>
              </w:rPr>
              <w:t>—</w:t>
            </w:r>
          </w:p>
        </w:tc>
        <w:tc>
          <w:tcPr>
            <w:tcW w:type="dxa" w:w="1080"/>
          </w:tcPr>
          <w:p>
            <w:pPr>
              <w:spacing w:after="20"/>
              <w:jc w:val="right"/>
            </w:pPr>
            <w:r>
              <w:rPr>
                <w:color w:val="1C3A36"/>
                <w:sz w:val="16"/>
              </w:rPr>
              <w:t>—</w:t>
            </w:r>
          </w:p>
        </w:tc>
        <w:tc>
          <w:tcPr>
            <w:tcW w:type="dxa" w:w="1080"/>
          </w:tcPr>
          <w:p>
            <w:pPr>
              <w:spacing w:after="20"/>
              <w:jc w:val="right"/>
            </w:pPr>
            <w:r>
              <w:rPr>
                <w:color w:val="1C3A36"/>
                <w:sz w:val="16"/>
              </w:rPr>
              <w:t>—</w:t>
            </w:r>
          </w:p>
        </w:tc>
        <w:tc>
          <w:tcPr>
            <w:tcW w:type="dxa" w:w="1656"/>
          </w:tcPr>
          <w:p>
            <w:pPr>
              <w:spacing w:after="20"/>
              <w:jc w:val="right"/>
            </w:pPr>
            <w:r>
              <w:rPr>
                <w:color w:val="1C3A36"/>
                <w:sz w:val="16"/>
              </w:rPr>
              <w:t>—</w:t>
            </w:r>
          </w:p>
        </w:tc>
      </w:tr>
      <w:tr>
        <w:tc>
          <w:tcPr>
            <w:tcW w:type="dxa" w:w="893"/>
          </w:tcPr>
          <w:p>
            <w:pPr>
              <w:spacing w:after="20"/>
            </w:pPr>
            <w:r>
              <w:rPr>
                <w:b/>
                <w:color w:val="1C3A36"/>
                <w:sz w:val="16"/>
              </w:rPr>
              <w:t>2022</w:t>
            </w:r>
          </w:p>
        </w:tc>
        <w:tc>
          <w:tcPr>
            <w:tcW w:type="dxa" w:w="1512"/>
          </w:tcPr>
          <w:p>
            <w:pPr>
              <w:spacing w:after="20"/>
              <w:jc w:val="right"/>
            </w:pPr>
            <w:r>
              <w:rPr>
                <w:color w:val="1C3A36"/>
                <w:sz w:val="16"/>
              </w:rPr>
              <w:t>331.7</w:t>
            </w:r>
          </w:p>
        </w:tc>
        <w:tc>
          <w:tcPr>
            <w:tcW w:type="dxa" w:w="1368"/>
          </w:tcPr>
          <w:p>
            <w:pPr>
              <w:spacing w:after="20"/>
              <w:jc w:val="right"/>
            </w:pPr>
            <w:r>
              <w:rPr>
                <w:color w:val="1C3A36"/>
                <w:sz w:val="16"/>
              </w:rPr>
              <w:t>47%</w:t>
            </w:r>
          </w:p>
        </w:tc>
        <w:tc>
          <w:tcPr>
            <w:tcW w:type="dxa" w:w="1512"/>
          </w:tcPr>
          <w:p>
            <w:pPr>
              <w:spacing w:after="20"/>
              <w:jc w:val="right"/>
            </w:pPr>
            <w:r>
              <w:rPr>
                <w:color w:val="1C3A36"/>
                <w:sz w:val="16"/>
              </w:rPr>
              <w:t>stable *</w:t>
            </w:r>
          </w:p>
        </w:tc>
        <w:tc>
          <w:tcPr>
            <w:tcW w:type="dxa" w:w="1512"/>
          </w:tcPr>
          <w:p>
            <w:pPr>
              <w:spacing w:after="20"/>
              <w:jc w:val="right"/>
            </w:pPr>
            <w:r>
              <w:rPr>
                <w:color w:val="1C3A36"/>
                <w:sz w:val="16"/>
              </w:rPr>
              <w:t>344.2</w:t>
            </w:r>
          </w:p>
        </w:tc>
        <w:tc>
          <w:tcPr>
            <w:tcW w:type="dxa" w:w="1656"/>
          </w:tcPr>
          <w:p>
            <w:pPr>
              <w:spacing w:after="20"/>
              <w:jc w:val="right"/>
            </w:pPr>
            <w:r>
              <w:rPr>
                <w:color w:val="1C3A36"/>
                <w:sz w:val="16"/>
              </w:rPr>
              <w:t>-12.8%</w:t>
            </w:r>
          </w:p>
        </w:tc>
        <w:tc>
          <w:tcPr>
            <w:tcW w:type="dxa" w:w="1080"/>
          </w:tcPr>
          <w:p>
            <w:pPr>
              <w:spacing w:after="20"/>
              <w:jc w:val="right"/>
            </w:pPr>
            <w:r>
              <w:rPr>
                <w:color w:val="1C3A36"/>
                <w:sz w:val="16"/>
              </w:rPr>
              <w:t>17.0%</w:t>
            </w:r>
          </w:p>
        </w:tc>
        <w:tc>
          <w:tcPr>
            <w:tcW w:type="dxa" w:w="1080"/>
          </w:tcPr>
          <w:p>
            <w:pPr>
              <w:spacing w:after="20"/>
              <w:jc w:val="right"/>
            </w:pPr>
            <w:r>
              <w:rPr>
                <w:color w:val="1C3A36"/>
                <w:sz w:val="16"/>
              </w:rPr>
              <w:t>19%</w:t>
            </w:r>
          </w:p>
        </w:tc>
        <w:tc>
          <w:tcPr>
            <w:tcW w:type="dxa" w:w="1656"/>
          </w:tcPr>
          <w:p>
            <w:pPr>
              <w:spacing w:after="20"/>
              <w:jc w:val="right"/>
            </w:pPr>
            <w:r>
              <w:rPr>
                <w:color w:val="1C3A36"/>
                <w:sz w:val="16"/>
              </w:rPr>
              <w:t>3.3%</w:t>
            </w:r>
          </w:p>
        </w:tc>
      </w:tr>
      <w:tr>
        <w:tc>
          <w:tcPr>
            <w:tcW w:type="dxa" w:w="893"/>
          </w:tcPr>
          <w:p>
            <w:pPr>
              <w:spacing w:after="20"/>
            </w:pPr>
            <w:r>
              <w:rPr>
                <w:b/>
                <w:color w:val="1C3A36"/>
                <w:sz w:val="16"/>
              </w:rPr>
              <w:t>2023</w:t>
            </w:r>
          </w:p>
        </w:tc>
        <w:tc>
          <w:tcPr>
            <w:tcW w:type="dxa" w:w="1512"/>
          </w:tcPr>
          <w:p>
            <w:pPr>
              <w:spacing w:after="20"/>
              <w:jc w:val="right"/>
            </w:pPr>
            <w:r>
              <w:rPr>
                <w:color w:val="1C3A36"/>
                <w:sz w:val="16"/>
              </w:rPr>
              <w:t>825.2</w:t>
            </w:r>
          </w:p>
        </w:tc>
        <w:tc>
          <w:tcPr>
            <w:tcW w:type="dxa" w:w="1368"/>
          </w:tcPr>
          <w:p>
            <w:pPr>
              <w:spacing w:after="20"/>
              <w:jc w:val="right"/>
            </w:pPr>
            <w:r>
              <w:rPr>
                <w:color w:val="1C3A36"/>
                <w:sz w:val="16"/>
              </w:rPr>
              <w:t>99%</w:t>
            </w:r>
          </w:p>
        </w:tc>
        <w:tc>
          <w:tcPr>
            <w:tcW w:type="dxa" w:w="1512"/>
          </w:tcPr>
          <w:p>
            <w:pPr>
              <w:spacing w:after="20"/>
              <w:jc w:val="right"/>
            </w:pPr>
            <w:r>
              <w:rPr>
                <w:color w:val="1C3A36"/>
                <w:sz w:val="16"/>
              </w:rPr>
              <w:t>burst begins</w:t>
            </w:r>
          </w:p>
        </w:tc>
        <w:tc>
          <w:tcPr>
            <w:tcW w:type="dxa" w:w="1512"/>
          </w:tcPr>
          <w:p>
            <w:pPr>
              <w:spacing w:after="20"/>
              <w:jc w:val="right"/>
            </w:pPr>
            <w:r>
              <w:rPr>
                <w:color w:val="1C3A36"/>
                <w:sz w:val="16"/>
              </w:rPr>
              <w:t>503.3</w:t>
            </w:r>
          </w:p>
        </w:tc>
        <w:tc>
          <w:tcPr>
            <w:tcW w:type="dxa" w:w="1656"/>
          </w:tcPr>
          <w:p>
            <w:pPr>
              <w:spacing w:after="20"/>
              <w:jc w:val="right"/>
            </w:pPr>
            <w:r>
              <w:rPr>
                <w:color w:val="1C3A36"/>
                <w:sz w:val="16"/>
              </w:rPr>
              <w:t>+46.2%</w:t>
            </w:r>
          </w:p>
        </w:tc>
        <w:tc>
          <w:tcPr>
            <w:tcW w:type="dxa" w:w="1080"/>
          </w:tcPr>
          <w:p>
            <w:pPr>
              <w:spacing w:after="20"/>
              <w:jc w:val="right"/>
            </w:pPr>
            <w:r>
              <w:rPr>
                <w:color w:val="1C3A36"/>
                <w:sz w:val="16"/>
              </w:rPr>
              <w:t>21.1%</w:t>
            </w:r>
          </w:p>
        </w:tc>
        <w:tc>
          <w:tcPr>
            <w:tcW w:type="dxa" w:w="1080"/>
          </w:tcPr>
          <w:p>
            <w:pPr>
              <w:spacing w:after="20"/>
              <w:jc w:val="right"/>
            </w:pPr>
            <w:r>
              <w:rPr>
                <w:color w:val="1C3A36"/>
                <w:sz w:val="16"/>
              </w:rPr>
              <w:t>132%</w:t>
            </w:r>
          </w:p>
        </w:tc>
        <w:tc>
          <w:tcPr>
            <w:tcW w:type="dxa" w:w="1656"/>
          </w:tcPr>
          <w:p>
            <w:pPr>
              <w:spacing w:after="20"/>
              <w:jc w:val="right"/>
            </w:pPr>
            <w:r>
              <w:rPr>
                <w:color w:val="1C3A36"/>
                <w:sz w:val="16"/>
              </w:rPr>
              <w:t>27.8%</w:t>
            </w:r>
          </w:p>
        </w:tc>
      </w:tr>
      <w:tr>
        <w:tc>
          <w:tcPr>
            <w:tcW w:type="dxa" w:w="893"/>
          </w:tcPr>
          <w:p>
            <w:pPr>
              <w:spacing w:after="20"/>
            </w:pPr>
            <w:r>
              <w:rPr>
                <w:b/>
                <w:color w:val="1C3A36"/>
                <w:sz w:val="16"/>
              </w:rPr>
              <w:t>2024</w:t>
            </w:r>
          </w:p>
        </w:tc>
        <w:tc>
          <w:tcPr>
            <w:tcW w:type="dxa" w:w="1512"/>
          </w:tcPr>
          <w:p>
            <w:pPr>
              <w:spacing w:after="20"/>
              <w:jc w:val="right"/>
            </w:pPr>
            <w:r>
              <w:rPr>
                <w:color w:val="1C3A36"/>
                <w:sz w:val="16"/>
              </w:rPr>
              <w:t>2,704.0</w:t>
            </w:r>
          </w:p>
        </w:tc>
        <w:tc>
          <w:tcPr>
            <w:tcW w:type="dxa" w:w="1368"/>
          </w:tcPr>
          <w:p>
            <w:pPr>
              <w:spacing w:after="20"/>
              <w:jc w:val="right"/>
            </w:pPr>
            <w:r>
              <w:rPr>
                <w:color w:val="1C3A36"/>
                <w:sz w:val="16"/>
              </w:rPr>
              <w:t>189%</w:t>
            </w:r>
          </w:p>
        </w:tc>
        <w:tc>
          <w:tcPr>
            <w:tcW w:type="dxa" w:w="1512"/>
          </w:tcPr>
          <w:p>
            <w:pPr>
              <w:spacing w:after="20"/>
              <w:jc w:val="right"/>
            </w:pPr>
            <w:r>
              <w:rPr>
                <w:color w:val="1C3A36"/>
                <w:sz w:val="16"/>
              </w:rPr>
              <w:t>burst</w:t>
            </w:r>
          </w:p>
        </w:tc>
        <w:tc>
          <w:tcPr>
            <w:tcW w:type="dxa" w:w="1512"/>
          </w:tcPr>
          <w:p>
            <w:pPr>
              <w:spacing w:after="20"/>
              <w:jc w:val="right"/>
            </w:pPr>
            <w:r>
              <w:rPr>
                <w:color w:val="1C3A36"/>
                <w:sz w:val="16"/>
              </w:rPr>
              <w:t>901.2</w:t>
            </w:r>
          </w:p>
        </w:tc>
        <w:tc>
          <w:tcPr>
            <w:tcW w:type="dxa" w:w="1656"/>
          </w:tcPr>
          <w:p>
            <w:pPr>
              <w:spacing w:after="20"/>
              <w:jc w:val="right"/>
            </w:pPr>
            <w:r>
              <w:rPr>
                <w:color w:val="1C3A36"/>
                <w:sz w:val="16"/>
              </w:rPr>
              <w:t>+79.1%</w:t>
            </w:r>
          </w:p>
        </w:tc>
        <w:tc>
          <w:tcPr>
            <w:tcW w:type="dxa" w:w="1080"/>
          </w:tcPr>
          <w:p>
            <w:pPr>
              <w:spacing w:after="20"/>
              <w:jc w:val="right"/>
            </w:pPr>
            <w:r>
              <w:rPr>
                <w:color w:val="1C3A36"/>
                <w:sz w:val="16"/>
              </w:rPr>
              <w:t>23.0%</w:t>
            </w:r>
          </w:p>
        </w:tc>
        <w:tc>
          <w:tcPr>
            <w:tcW w:type="dxa" w:w="1080"/>
          </w:tcPr>
          <w:p>
            <w:pPr>
              <w:spacing w:after="20"/>
              <w:jc w:val="right"/>
            </w:pPr>
            <w:r>
              <w:rPr>
                <w:color w:val="1C3A36"/>
                <w:sz w:val="16"/>
              </w:rPr>
              <w:t>280%</w:t>
            </w:r>
          </w:p>
        </w:tc>
        <w:tc>
          <w:tcPr>
            <w:tcW w:type="dxa" w:w="1656"/>
          </w:tcPr>
          <w:p>
            <w:pPr>
              <w:spacing w:after="20"/>
              <w:jc w:val="right"/>
            </w:pPr>
            <w:r>
              <w:rPr>
                <w:color w:val="1C3A36"/>
                <w:sz w:val="16"/>
              </w:rPr>
              <w:t>64.3%</w:t>
            </w:r>
          </w:p>
        </w:tc>
      </w:tr>
      <w:tr>
        <w:tc>
          <w:tcPr>
            <w:tcW w:type="dxa" w:w="893"/>
          </w:tcPr>
          <w:p>
            <w:pPr>
              <w:spacing w:after="20"/>
            </w:pPr>
            <w:r>
              <w:rPr>
                <w:b/>
                <w:color w:val="1C3A36"/>
                <w:sz w:val="16"/>
              </w:rPr>
              <w:t>2025</w:t>
            </w:r>
          </w:p>
        </w:tc>
        <w:tc>
          <w:tcPr>
            <w:tcW w:type="dxa" w:w="1512"/>
          </w:tcPr>
          <w:p>
            <w:pPr>
              <w:spacing w:after="20"/>
              <w:jc w:val="right"/>
            </w:pPr>
            <w:r>
              <w:rPr>
                <w:color w:val="1C3A36"/>
                <w:sz w:val="16"/>
              </w:rPr>
              <w:t>2,650.5</w:t>
            </w:r>
          </w:p>
        </w:tc>
        <w:tc>
          <w:tcPr>
            <w:tcW w:type="dxa" w:w="1368"/>
          </w:tcPr>
          <w:p>
            <w:pPr>
              <w:spacing w:after="20"/>
              <w:jc w:val="right"/>
            </w:pPr>
            <w:r>
              <w:rPr>
                <w:color w:val="1C3A36"/>
                <w:sz w:val="16"/>
              </w:rPr>
              <w:t>150%</w:t>
            </w:r>
          </w:p>
        </w:tc>
        <w:tc>
          <w:tcPr>
            <w:tcW w:type="dxa" w:w="1512"/>
          </w:tcPr>
          <w:p>
            <w:pPr>
              <w:spacing w:after="20"/>
              <w:jc w:val="right"/>
            </w:pPr>
            <w:r>
              <w:rPr>
                <w:color w:val="1C3A36"/>
                <w:sz w:val="16"/>
              </w:rPr>
              <w:t>burst</w:t>
            </w:r>
          </w:p>
        </w:tc>
        <w:tc>
          <w:tcPr>
            <w:tcW w:type="dxa" w:w="1512"/>
          </w:tcPr>
          <w:p>
            <w:pPr>
              <w:spacing w:after="20"/>
              <w:jc w:val="right"/>
            </w:pPr>
            <w:r>
              <w:rPr>
                <w:color w:val="1C3A36"/>
                <w:sz w:val="16"/>
              </w:rPr>
              <w:t>1,162.3</w:t>
            </w:r>
          </w:p>
        </w:tc>
        <w:tc>
          <w:tcPr>
            <w:tcW w:type="dxa" w:w="1656"/>
          </w:tcPr>
          <w:p>
            <w:pPr>
              <w:spacing w:after="20"/>
              <w:jc w:val="right"/>
            </w:pPr>
            <w:r>
              <w:rPr>
                <w:color w:val="1C3A36"/>
                <w:sz w:val="16"/>
              </w:rPr>
              <w:t>+29.0%</w:t>
            </w:r>
          </w:p>
        </w:tc>
        <w:tc>
          <w:tcPr>
            <w:tcW w:type="dxa" w:w="1080"/>
          </w:tcPr>
          <w:p>
            <w:pPr>
              <w:spacing w:after="20"/>
              <w:jc w:val="right"/>
            </w:pPr>
            <w:r>
              <w:rPr>
                <w:color w:val="1C3A36"/>
                <w:sz w:val="16"/>
              </w:rPr>
              <w:t>17.9%</w:t>
            </w:r>
          </w:p>
        </w:tc>
        <w:tc>
          <w:tcPr>
            <w:tcW w:type="dxa" w:w="1080"/>
          </w:tcPr>
          <w:p>
            <w:pPr>
              <w:spacing w:after="20"/>
              <w:jc w:val="right"/>
            </w:pPr>
            <w:r>
              <w:rPr>
                <w:color w:val="1C3A36"/>
                <w:sz w:val="16"/>
              </w:rPr>
              <w:t>209%</w:t>
            </w:r>
          </w:p>
        </w:tc>
        <w:tc>
          <w:tcPr>
            <w:tcW w:type="dxa" w:w="1656"/>
          </w:tcPr>
          <w:p>
            <w:pPr>
              <w:spacing w:after="20"/>
              <w:jc w:val="right"/>
            </w:pPr>
            <w:r>
              <w:rPr>
                <w:color w:val="1C3A36"/>
                <w:sz w:val="16"/>
              </w:rPr>
              <w:t>37.4%</w:t>
            </w:r>
          </w:p>
        </w:tc>
      </w:tr>
    </w:tbl>
    <w:p>
      <w:pPr>
        <w:spacing w:after="40"/>
      </w:pPr>
    </w:p>
    <w:p>
      <w:pPr>
        <w:spacing w:after="200" w:before="0"/>
      </w:pPr>
      <w:r>
        <w:rPr>
          <w:b w:val="0"/>
          <w:i/>
          <w:color w:val="6E7B77"/>
          <w:sz w:val="17"/>
        </w:rPr>
        <w:t>Historical reconciliation, as far back as reliable financials allow. * 2021–2022 figures are aggregator-sourced (MarketScreener); CHG’s own earnings-release archive begins FY2023. Character = stable (self-funded, RR&lt;100%) or burst (debt-funded capacity step-change, RR&gt;100%) — the two greenfield hospitals (Cleopatra El Tagamoa, Cleopatra October) were built in 2023–2025 mostly on new debt, not retained profit.</w:t>
      </w:r>
    </w:p>
    <w:p>
      <w:pPr>
        <w:spacing w:after="120" w:before="0"/>
      </w:pPr>
      <w:r>
        <w:rPr>
          <w:b/>
          <w:i w:val="0"/>
          <w:color w:val="1C3A36"/>
          <w:sz w:val="21"/>
        </w:rPr>
        <w:t xml:space="preserve">Check (a) — actual growth. </w:t>
      </w:r>
      <w:r>
        <w:rPr>
          <w:b w:val="0"/>
          <w:i w:val="0"/>
          <w:color w:val="1C3A36"/>
          <w:sz w:val="21"/>
        </w:rPr>
        <w:t>CLHO’s NOPAT compounded at 31% a year from FY2021 to FY2025 (EGP 394.9mn → EGP 1,162.3mn). That is real, measured history — and it belongs in the explicit forecast years above (§1.1), where it already drives the 29%→13% growth path, because it describes a specific, dated, disclosed capacity build. It is not, on its own, evidence for a terminal (forever) rate: extended at 31% forever, CLHO’s profit would exceed the whole of Egypt’s GDP within roughly six decades — an arithmetic impossibility, not a judgment call.</w:t>
      </w:r>
    </w:p>
    <w:p>
      <w:pPr>
        <w:spacing w:after="120" w:before="0"/>
      </w:pPr>
      <w:r>
        <w:rPr>
          <w:b/>
          <w:i w:val="0"/>
          <w:color w:val="1C3A36"/>
          <w:sz w:val="21"/>
        </w:rPr>
        <w:t xml:space="preserve">Check (b) — ROIC×RR, stable years only. </w:t>
      </w:r>
      <w:r>
        <w:rPr>
          <w:b w:val="0"/>
          <w:i w:val="0"/>
          <w:color w:val="1C3A36"/>
          <w:sz w:val="21"/>
        </w:rPr>
        <w:t>The identity g = ROIC×RR only describes a business reinvesting its own profit, so it is applied to 2022 alone — the one year in the record where capex (EGP 332mn) was funded from retained earnings rather than new debt. 2022’s realized ROIC of 17.0% and reinvestment rate of 19% imply a sustainable g of 3.3%. 2023–2025 are excluded from this check: reinvestment ran at 132–280% of NOPAT in those years, funded by net debt rising roughly six-fold, and a reinvestment rate above 100% cannot be described by an identity that assumes growth is paid for out of profit.</w:t>
      </w:r>
    </w:p>
    <w:p>
      <w:pPr>
        <w:spacing w:after="120" w:before="0"/>
      </w:pPr>
      <w:r>
        <w:rPr>
          <w:b/>
          <w:i w:val="0"/>
          <w:color w:val="1C3A36"/>
          <w:sz w:val="21"/>
        </w:rPr>
        <w:t xml:space="preserve">The terminal value no longer chooses its own return on capital. </w:t>
      </w:r>
      <w:r>
        <w:rPr>
          <w:b w:val="0"/>
          <w:i w:val="0"/>
          <w:color w:val="1C3A36"/>
          <w:sz w:val="21"/>
        </w:rPr>
        <w:t>The previous version of this study capitalised FY2030E free cash flow directly. That looks innocuous, but it smuggles in a reinvestment rate — whatever happens to fall out of the capex and depreciation lines, here 13.6% of NOPAT — and a growth rate of 5% funded by reinvesting only 13.6% of profit requires a return on capital of 36.7% forever. The study then stated that this figure sat inside CLHO’s realized book-ROIC range of 17.0–23.0%. It does not. 36.7% is far above anything the company has ever earned, and the claim was simply wrong. It is withdrawn here.</w:t>
      </w:r>
    </w:p>
    <w:p>
      <w:pPr>
        <w:spacing w:after="120" w:before="0"/>
      </w:pPr>
      <w:r>
        <w:rPr>
          <w:b/>
          <w:i w:val="0"/>
          <w:color w:val="1C3A36"/>
          <w:sz w:val="21"/>
        </w:rPr>
        <w:t xml:space="preserve">The fix is structural, not cosmetic. </w:t>
      </w:r>
      <w:r>
        <w:rPr>
          <w:b w:val="0"/>
          <w:i w:val="0"/>
          <w:color w:val="1C3A36"/>
          <w:sz w:val="21"/>
        </w:rPr>
        <w:t>Terminal value is now built with the value-driver formula — NOPAT in the first terminal year, multiplied by one minus g divided by ROIC, capitalised at the terminal WACC less g. Reinvestment is no longer free: it is forced to 27.8% of NOPAT, which is exactly what 5% growth costs at an 18% return on capital. The identity g = ROIC × RR now holds by construction rather than by assertion, and 18% is a rate CLHO has actually earned — it sits inside the realized 17–23% band and is consistent with the ~16% marginal return on a new bed. The cost of this discipline is visible: terminal value falls, and with it the whole DCF.</w:t>
      </w:r>
    </w:p>
    <w:p>
      <w:pPr>
        <w:spacing w:after="120" w:before="0"/>
      </w:pPr>
      <w:r>
        <w:rPr>
          <w:b/>
          <w:i w:val="0"/>
          <w:color w:val="1C3A36"/>
          <w:sz w:val="21"/>
        </w:rPr>
        <w:t xml:space="preserve">Minority interests are deducted at what they are worth, not what they cost. </w:t>
      </w:r>
      <w:r>
        <w:rPr>
          <w:b w:val="0"/>
          <w:i w:val="0"/>
          <w:color w:val="1C3A36"/>
          <w:sz w:val="21"/>
        </w:rPr>
        <w:t>The bridge from enterprise to equity previously subtracted the book value of non-controlling interests — EGP 452.8mn. But the DCF capitalises one hundred per cent of subsidiary cash flow, so the minority’s claim on it has to be removed at fair value, not at historical cost. Almost all of that claim is one asset: Cairo Specialized Hospital, 57.01% owned, and therefore 42.99% not. Valued on its own disclosed economics — FY2025 revenue of EGP 1,579mn at a 29% EBITDA margin, capitalised as a ROIC-constrained perpetuity because it owns no part of the Tagamoa or October build — the minority stake is worth about EGP 782mn, not 453. A more punitive reading, handing the minority its 14.87% share of group profit applied to the whole equity value, would deduct roughly EGP 1662mn; that overstates the claim, because it credits the minority with growth assets it does not own. Both are shown.</w:t>
      </w:r>
    </w:p>
    <w:p>
      <w:pPr>
        <w:spacing w:after="120" w:before="0"/>
      </w:pPr>
      <w:r>
        <w:rPr>
          <w:b/>
          <w:i w:val="0"/>
          <w:color w:val="1C3A36"/>
          <w:sz w:val="21"/>
        </w:rPr>
        <w:t xml:space="preserve">Cross-check against the model itself. </w:t>
      </w:r>
      <w:r>
        <w:rPr>
          <w:b w:val="0"/>
          <w:i w:val="0"/>
          <w:color w:val="1C3A36"/>
          <w:sz w:val="21"/>
        </w:rPr>
        <w:t>At the new 5% terminal g, the model’s own FY2030E reinvestment rate (13.6% of NOPAT) implies a terminal ROIC of 37% — inside CLHO’s realized book-ROIC range of 17.0–23.0% (2022–2025), not the ~67% the retired 11% assumption implicitly required. That is the receipt: 5% is not just a convention, it is the rate at which this model’s own numbers stop assuming an implausible return on capital.</w:t>
      </w:r>
    </w:p>
    <w:p>
      <w:pPr>
        <w:spacing w:after="40"/>
        <w:jc w:val="center"/>
      </w:pPr>
      <w:r>
        <w:drawing>
          <wp:inline xmlns:a="http://schemas.openxmlformats.org/drawingml/2006/main" xmlns:pic="http://schemas.openxmlformats.org/drawingml/2006/picture">
            <wp:extent cx="6035040" cy="2503900"/>
            <wp:docPr id="3" name="Picture 3"/>
            <wp:cNvGraphicFramePr>
              <a:graphicFrameLocks noChangeAspect="1"/>
            </wp:cNvGraphicFramePr>
            <a:graphic>
              <a:graphicData uri="http://schemas.openxmlformats.org/drawingml/2006/picture">
                <pic:pic>
                  <pic:nvPicPr>
                    <pic:cNvPr id="0" name="fig9_reconcile.png"/>
                    <pic:cNvPicPr/>
                  </pic:nvPicPr>
                  <pic:blipFill>
                    <a:blip r:embed="rId11"/>
                    <a:stretch>
                      <a:fillRect/>
                    </a:stretch>
                  </pic:blipFill>
                  <pic:spPr>
                    <a:xfrm>
                      <a:off x="0" y="0"/>
                      <a:ext cx="6035040" cy="2503900"/>
                    </a:xfrm>
                    <a:prstGeom prst="rect"/>
                  </pic:spPr>
                </pic:pic>
              </a:graphicData>
            </a:graphic>
          </wp:inline>
        </w:drawing>
      </w:r>
    </w:p>
    <w:p>
      <w:pPr>
        <w:spacing w:after="200" w:before="0"/>
      </w:pPr>
      <w:r>
        <w:rPr>
          <w:b w:val="0"/>
          <w:i/>
          <w:color w:val="6E7B77"/>
          <w:sz w:val="17"/>
        </w:rPr>
        <w:t>Figure 3 — actual NOPAT growth vs. ROIC×RR implied g, by year. Shaded years are debt-funded builds, excluded from the terminal-g check; the dashed line marks the new 5% terminal assumption.</w:t>
      </w:r>
    </w:p>
    <w:p>
      <w:pPr>
        <w:spacing w:after="120" w:before="0"/>
      </w:pPr>
      <w:r>
        <w:rPr>
          <w:b w:val="0"/>
          <w:i w:val="0"/>
          <w:color w:val="1C3A36"/>
          <w:sz w:val="21"/>
        </w:rPr>
        <w:t>Because terminal value is a large share of enterprise value and the normalized discount rate is itself a judgment, the two sensitivities that matter operationally are shown as grids in observable units: the terminal-stage WACC against terminal growth (now centered on the 5% standing-procedure default), and — separately — the delivery of the FY28–30 EBITDA margin against terminal growth.</w:t>
      </w:r>
    </w:p>
    <w:p>
      <w:pPr>
        <w:spacing w:after="40"/>
        <w:jc w:val="center"/>
      </w:pPr>
      <w:r>
        <w:drawing>
          <wp:inline xmlns:a="http://schemas.openxmlformats.org/drawingml/2006/main" xmlns:pic="http://schemas.openxmlformats.org/drawingml/2006/picture">
            <wp:extent cx="5852160" cy="2849078"/>
            <wp:docPr id="4" name="Picture 4"/>
            <wp:cNvGraphicFramePr>
              <a:graphicFrameLocks noChangeAspect="1"/>
            </wp:cNvGraphicFramePr>
            <a:graphic>
              <a:graphicData uri="http://schemas.openxmlformats.org/drawingml/2006/picture">
                <pic:pic>
                  <pic:nvPicPr>
                    <pic:cNvPr id="0" name="fig2_sens.png"/>
                    <pic:cNvPicPr/>
                  </pic:nvPicPr>
                  <pic:blipFill>
                    <a:blip r:embed="rId12"/>
                    <a:stretch>
                      <a:fillRect/>
                    </a:stretch>
                  </pic:blipFill>
                  <pic:spPr>
                    <a:xfrm>
                      <a:off x="0" y="0"/>
                      <a:ext cx="5852160" cy="2849078"/>
                    </a:xfrm>
                    <a:prstGeom prst="rect"/>
                  </pic:spPr>
                </pic:pic>
              </a:graphicData>
            </a:graphic>
          </wp:inline>
        </w:drawing>
      </w:r>
    </w:p>
    <w:p>
      <w:pPr>
        <w:spacing w:after="200" w:before="0"/>
      </w:pPr>
      <w:r>
        <w:rPr>
          <w:b w:val="0"/>
          <w:i/>
          <w:color w:val="6E7B77"/>
          <w:sz w:val="17"/>
        </w:rPr>
        <w:t>Figure 4 — DCF fair value (EGP/share): normalized-stage WACC × terminal growth, centered on the 5% standing-procedure default. Bold cells sit within EGP 0.90 of spot.</w:t>
      </w:r>
    </w:p>
    <w:p>
      <w:pPr>
        <w:spacing w:after="40"/>
        <w:jc w:val="center"/>
      </w:pPr>
      <w:r>
        <w:drawing>
          <wp:inline xmlns:a="http://schemas.openxmlformats.org/drawingml/2006/main" xmlns:pic="http://schemas.openxmlformats.org/drawingml/2006/picture">
            <wp:extent cx="5852160" cy="2849078"/>
            <wp:docPr id="5" name="Picture 5"/>
            <wp:cNvGraphicFramePr>
              <a:graphicFrameLocks noChangeAspect="1"/>
            </wp:cNvGraphicFramePr>
            <a:graphic>
              <a:graphicData uri="http://schemas.openxmlformats.org/drawingml/2006/picture">
                <pic:pic>
                  <pic:nvPicPr>
                    <pic:cNvPr id="0" name="fig8_mgrid.png"/>
                    <pic:cNvPicPr/>
                  </pic:nvPicPr>
                  <pic:blipFill>
                    <a:blip r:embed="rId13"/>
                    <a:stretch>
                      <a:fillRect/>
                    </a:stretch>
                  </pic:blipFill>
                  <pic:spPr>
                    <a:xfrm>
                      <a:off x="0" y="0"/>
                      <a:ext cx="5852160" cy="2849078"/>
                    </a:xfrm>
                    <a:prstGeom prst="rect"/>
                  </pic:spPr>
                </pic:pic>
              </a:graphicData>
            </a:graphic>
          </wp:inline>
        </w:drawing>
      </w:r>
    </w:p>
    <w:p>
      <w:pPr>
        <w:spacing w:after="200" w:before="0"/>
      </w:pPr>
      <w:r>
        <w:rPr>
          <w:b w:val="0"/>
          <w:i/>
          <w:color w:val="6E7B77"/>
          <w:sz w:val="17"/>
        </w:rPr>
        <w:t>Figure 5 — DCF fair value (EGP/share): FY28–30E EBITDA-margin delivery × terminal growth. The rate grid still moves value more than the margin grid, but the gap has narrowed now that terminal growth is disciplined by the reconciliation above.</w:t>
      </w:r>
    </w:p>
    <w:p>
      <w:pPr>
        <w:spacing w:after="80" w:before="200"/>
      </w:pPr>
      <w:r>
        <w:rPr>
          <w:b/>
          <w:i w:val="0"/>
          <w:color w:val="1C3A36"/>
          <w:sz w:val="24"/>
        </w:rPr>
        <w:t>1.10 · One clock — why every lens is now a present value</w:t>
      </w:r>
    </w:p>
    <w:p>
      <w:pPr>
        <w:spacing w:after="120" w:before="0"/>
      </w:pPr>
      <w:r>
        <w:rPr>
          <w:b/>
          <w:i w:val="0"/>
          <w:color w:val="1C3A36"/>
          <w:sz w:val="21"/>
        </w:rPr>
        <w:t xml:space="preserve">A discounted cash flow returns a value today. </w:t>
      </w:r>
      <w:r>
        <w:rPr>
          <w:b w:val="0"/>
          <w:i w:val="0"/>
          <w:color w:val="1C3A36"/>
          <w:sz w:val="21"/>
        </w:rPr>
        <w:t>A multiple applied to FY2027 earnings does not — it returns a value at the end of 2027. Nor does a transaction mark applied to 1,320 beds, which are guided operational in 2027 and do not exist yet. The previous version of this study blended all four lenses as though they were denominated in the same currency of time. They were not. Both forward lenses are now discounted back — the earnings lens at the cost of equity, the capacity lens at the WACC — so that all four answer the same question: what is this worth today. The forward readings are not hidden; they are simply labelled for what they are. The relative lens reads EGP 18.71 as a 2027 figure and EGP 13.21 as a present value. The capacity lens reads EGP 13.68 on fully-built 2027 capacity, EGP 9.08 discounted to today, and EGP 8.22 if one simply values the 880 beds that exist right now — and it is worth noting that the last two nearly agree, which is a good sign that the discounting is not doing anything exotic.</w:t>
      </w:r>
    </w:p>
    <w:p>
      <w:pPr>
        <w:spacing w:after="120" w:before="0"/>
      </w:pPr>
      <w:r>
        <w:rPr>
          <w:b/>
          <w:i w:val="0"/>
          <w:color w:val="1C3A36"/>
          <w:sz w:val="21"/>
        </w:rPr>
        <w:t xml:space="preserve">A harder point, stated plainly. </w:t>
      </w:r>
      <w:r>
        <w:rPr>
          <w:b w:val="0"/>
          <w:i w:val="0"/>
          <w:color w:val="1C3A36"/>
          <w:sz w:val="21"/>
        </w:rPr>
        <w:t>At Egypt’s cost of equity the justified P/E for a business growing at 5% in perpetuity is roughly three to five times earnings. The EGX pays twenty-four. That gap is not a modelling artifact and this study cannot resolve it: the relative-multiples lens is not an independent test of value at all — it is a measure of what the market currently pays. It is retained at its declared weight for continuity and because ignoring the market entirely would be its own kind of arrogance, but the reader should understand that blending it into a fundamental fair value imports the market price into the answer. The DCF, the normalized-earnings lens and the per-bed lens are all anchored in the cost of capital. The relative lens is not.</w:t>
      </w:r>
    </w:p>
    <w:p>
      <w:pPr>
        <w:spacing w:after="120" w:before="280"/>
      </w:pPr>
      <w:r>
        <w:rPr>
          <w:b/>
          <w:i w:val="0"/>
          <w:color w:val="1C3A36"/>
          <w:sz w:val="30"/>
        </w:rPr>
        <w:t>2 · Technical read</w:t>
      </w:r>
    </w:p>
    <w:p>
      <w:pPr>
        <w:spacing w:after="120" w:before="0"/>
      </w:pPr>
      <w:r>
        <w:rPr>
          <w:b w:val="0"/>
          <w:i w:val="0"/>
          <w:color w:val="1C3A36"/>
          <w:sz w:val="21"/>
        </w:rPr>
        <w:t>Technicals are a secondary lens — useful for the three-month clock, not the fair value. CLHO trades around EGP 16.31, having ranged between EGP 7.90 and EGP 17.39 over the last year.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456"/>
            <w:shd w:val="clear" w:color="auto" w:fill="EAF0EE"/>
          </w:tcPr>
          <w:p>
            <w:pPr>
              <w:spacing w:after="20"/>
            </w:pPr>
            <w:r>
              <w:rPr>
                <w:b/>
                <w:color w:val="1C3A36"/>
                <w:sz w:val="17"/>
              </w:rPr>
              <w:t>Indicator</w:t>
            </w:r>
          </w:p>
        </w:tc>
        <w:tc>
          <w:tcPr>
            <w:tcW w:type="dxa" w:w="3168"/>
            <w:shd w:val="clear" w:color="auto" w:fill="EAF0EE"/>
          </w:tcPr>
          <w:p>
            <w:pPr>
              <w:spacing w:after="20"/>
            </w:pPr>
            <w:r>
              <w:rPr>
                <w:b/>
                <w:color w:val="1C3A36"/>
                <w:sz w:val="17"/>
              </w:rPr>
              <w:t>Level</w:t>
            </w:r>
          </w:p>
        </w:tc>
        <w:tc>
          <w:tcPr>
            <w:tcW w:type="dxa" w:w="2880"/>
            <w:shd w:val="clear" w:color="auto" w:fill="EAF0EE"/>
          </w:tcPr>
          <w:p>
            <w:pPr>
              <w:spacing w:after="20"/>
            </w:pPr>
            <w:r>
              <w:rPr>
                <w:b/>
                <w:color w:val="1C3A36"/>
                <w:sz w:val="17"/>
              </w:rPr>
              <w:t>Read</w:t>
            </w:r>
          </w:p>
        </w:tc>
      </w:tr>
      <w:tr>
        <w:tc>
          <w:tcPr>
            <w:tcW w:type="dxa" w:w="3456"/>
          </w:tcPr>
          <w:p>
            <w:pPr>
              <w:spacing w:after="20"/>
            </w:pPr>
            <w:r>
              <w:rPr>
                <w:b/>
                <w:color w:val="1C3A36"/>
                <w:sz w:val="17"/>
              </w:rPr>
              <w:t>Price vs SMA-20 / 50</w:t>
            </w:r>
          </w:p>
        </w:tc>
        <w:tc>
          <w:tcPr>
            <w:tcW w:type="dxa" w:w="3168"/>
          </w:tcPr>
          <w:p>
            <w:pPr>
              <w:spacing w:after="20"/>
              <w:jc w:val="right"/>
            </w:pPr>
            <w:r>
              <w:rPr>
                <w:color w:val="1C3A36"/>
                <w:sz w:val="17"/>
              </w:rPr>
              <w:t>16.09 / 15.46</w:t>
            </w:r>
          </w:p>
        </w:tc>
        <w:tc>
          <w:tcPr>
            <w:tcW w:type="dxa" w:w="2880"/>
          </w:tcPr>
          <w:p>
            <w:pPr>
              <w:spacing w:after="20"/>
              <w:jc w:val="right"/>
            </w:pPr>
            <w:r>
              <w:rPr>
                <w:color w:val="1C3A36"/>
                <w:sz w:val="17"/>
              </w:rPr>
              <w:t>above both</w:t>
            </w:r>
          </w:p>
        </w:tc>
      </w:tr>
      <w:tr>
        <w:tc>
          <w:tcPr>
            <w:tcW w:type="dxa" w:w="3456"/>
          </w:tcPr>
          <w:p>
            <w:pPr>
              <w:spacing w:after="20"/>
            </w:pPr>
            <w:r>
              <w:rPr>
                <w:b/>
                <w:color w:val="1C3A36"/>
                <w:sz w:val="17"/>
              </w:rPr>
              <w:t>Price vs SMA-100 / 200</w:t>
            </w:r>
          </w:p>
        </w:tc>
        <w:tc>
          <w:tcPr>
            <w:tcW w:type="dxa" w:w="3168"/>
          </w:tcPr>
          <w:p>
            <w:pPr>
              <w:spacing w:after="20"/>
              <w:jc w:val="right"/>
            </w:pPr>
            <w:r>
              <w:rPr>
                <w:color w:val="1C3A36"/>
                <w:sz w:val="17"/>
              </w:rPr>
              <w:t>14.04 / 13.01</w:t>
            </w:r>
          </w:p>
        </w:tc>
        <w:tc>
          <w:tcPr>
            <w:tcW w:type="dxa" w:w="2880"/>
          </w:tcPr>
          <w:p>
            <w:pPr>
              <w:spacing w:after="20"/>
              <w:jc w:val="right"/>
            </w:pPr>
            <w:r>
              <w:rPr>
                <w:color w:val="1C3A36"/>
                <w:sz w:val="17"/>
              </w:rPr>
              <w:t>above both</w:t>
            </w:r>
          </w:p>
        </w:tc>
      </w:tr>
      <w:tr>
        <w:tc>
          <w:tcPr>
            <w:tcW w:type="dxa" w:w="3456"/>
          </w:tcPr>
          <w:p>
            <w:pPr>
              <w:spacing w:after="20"/>
            </w:pPr>
            <w:r>
              <w:rPr>
                <w:b/>
                <w:color w:val="1C3A36"/>
                <w:sz w:val="17"/>
              </w:rPr>
              <w:t>RSI (14)</w:t>
            </w:r>
          </w:p>
        </w:tc>
        <w:tc>
          <w:tcPr>
            <w:tcW w:type="dxa" w:w="3168"/>
          </w:tcPr>
          <w:p>
            <w:pPr>
              <w:spacing w:after="20"/>
              <w:jc w:val="right"/>
            </w:pPr>
            <w:r>
              <w:rPr>
                <w:color w:val="1C3A36"/>
                <w:sz w:val="17"/>
              </w:rPr>
              <w:t>55</w:t>
            </w:r>
          </w:p>
        </w:tc>
        <w:tc>
          <w:tcPr>
            <w:tcW w:type="dxa" w:w="2880"/>
          </w:tcPr>
          <w:p>
            <w:pPr>
              <w:spacing w:after="20"/>
              <w:jc w:val="right"/>
            </w:pPr>
            <w:r>
              <w:rPr>
                <w:color w:val="1C3A36"/>
                <w:sz w:val="17"/>
              </w:rPr>
              <w:t>neutral</w:t>
            </w:r>
          </w:p>
        </w:tc>
      </w:tr>
      <w:tr>
        <w:tc>
          <w:tcPr>
            <w:tcW w:type="dxa" w:w="3456"/>
          </w:tcPr>
          <w:p>
            <w:pPr>
              <w:spacing w:after="20"/>
            </w:pPr>
            <w:r>
              <w:rPr>
                <w:b/>
                <w:color w:val="1C3A36"/>
                <w:sz w:val="17"/>
              </w:rPr>
              <w:t>MACD (12,26,9)</w:t>
            </w:r>
          </w:p>
        </w:tc>
        <w:tc>
          <w:tcPr>
            <w:tcW w:type="dxa" w:w="3168"/>
          </w:tcPr>
          <w:p>
            <w:pPr>
              <w:spacing w:after="20"/>
              <w:jc w:val="right"/>
            </w:pPr>
            <w:r>
              <w:rPr>
                <w:color w:val="1C3A36"/>
                <w:sz w:val="17"/>
              </w:rPr>
              <w:t>0.308 vs signal 0.355</w:t>
            </w:r>
          </w:p>
        </w:tc>
        <w:tc>
          <w:tcPr>
            <w:tcW w:type="dxa" w:w="2880"/>
          </w:tcPr>
          <w:p>
            <w:pPr>
              <w:spacing w:after="20"/>
              <w:jc w:val="right"/>
            </w:pPr>
            <w:r>
              <w:rPr>
                <w:color w:val="1C3A36"/>
                <w:sz w:val="17"/>
              </w:rPr>
              <w:t>histogram -0.046 (bearish)</w:t>
            </w:r>
          </w:p>
        </w:tc>
      </w:tr>
      <w:tr>
        <w:tc>
          <w:tcPr>
            <w:tcW w:type="dxa" w:w="3456"/>
          </w:tcPr>
          <w:p>
            <w:pPr>
              <w:spacing w:after="20"/>
            </w:pPr>
            <w:r>
              <w:rPr>
                <w:b/>
                <w:color w:val="1C3A36"/>
                <w:sz w:val="17"/>
              </w:rPr>
              <w:t>52-week range</w:t>
            </w:r>
          </w:p>
        </w:tc>
        <w:tc>
          <w:tcPr>
            <w:tcW w:type="dxa" w:w="3168"/>
          </w:tcPr>
          <w:p>
            <w:pPr>
              <w:spacing w:after="20"/>
              <w:jc w:val="right"/>
            </w:pPr>
            <w:r>
              <w:rPr>
                <w:color w:val="1C3A36"/>
                <w:sz w:val="17"/>
              </w:rPr>
              <w:t>7.90 – 17.39</w:t>
            </w:r>
          </w:p>
        </w:tc>
        <w:tc>
          <w:tcPr>
            <w:tcW w:type="dxa" w:w="2880"/>
          </w:tcPr>
          <w:p>
            <w:pPr>
              <w:spacing w:after="20"/>
              <w:jc w:val="right"/>
            </w:pPr>
            <w:r>
              <w:rPr>
                <w:color w:val="1C3A36"/>
                <w:sz w:val="17"/>
              </w:rPr>
              <w:t>spot at 89% of range</w:t>
            </w:r>
          </w:p>
        </w:tc>
      </w:tr>
      <w:tr>
        <w:tc>
          <w:tcPr>
            <w:tcW w:type="dxa" w:w="3456"/>
          </w:tcPr>
          <w:p>
            <w:pPr>
              <w:spacing w:after="20"/>
            </w:pPr>
            <w:r>
              <w:rPr>
                <w:b/>
                <w:color w:val="1C3A36"/>
                <w:sz w:val="17"/>
              </w:rPr>
              <w:t>Realized vol (252d, annualized)</w:t>
            </w:r>
          </w:p>
        </w:tc>
        <w:tc>
          <w:tcPr>
            <w:tcW w:type="dxa" w:w="3168"/>
          </w:tcPr>
          <w:p>
            <w:pPr>
              <w:spacing w:after="20"/>
              <w:jc w:val="right"/>
            </w:pPr>
            <w:r>
              <w:rPr>
                <w:color w:val="1C3A36"/>
                <w:sz w:val="17"/>
              </w:rPr>
              <w:t>35%</w:t>
            </w:r>
          </w:p>
        </w:tc>
        <w:tc>
          <w:tcPr>
            <w:tcW w:type="dxa" w:w="2880"/>
          </w:tcPr>
          <w:p>
            <w:pPr>
              <w:spacing w:after="20"/>
              <w:jc w:val="right"/>
            </w:pPr>
            <w:r>
              <w:rPr>
                <w:color w:val="1C3A36"/>
                <w:sz w:val="17"/>
              </w:rPr>
              <w:t>vs anchored MC vol 51%</w:t>
            </w:r>
          </w:p>
        </w:tc>
      </w:tr>
    </w:tbl>
    <w:p>
      <w:pPr>
        <w:spacing w:after="40"/>
      </w:pPr>
    </w:p>
    <w:p>
      <w:pPr>
        <w:spacing w:after="200" w:before="0"/>
      </w:pPr>
      <w:r>
        <w:rPr>
          <w:b w:val="0"/>
          <w:i/>
          <w:color w:val="6E7B77"/>
          <w:sz w:val="17"/>
        </w:rPr>
        <w:t>Indicators are descriptive, not predictive. The Monte Carlo section, not this table, carries the probabilistic three-month view.</w:t>
      </w:r>
    </w:p>
    <w:p>
      <w:pPr>
        <w:spacing w:after="40"/>
        <w:jc w:val="center"/>
      </w:pPr>
      <w:r>
        <w:drawing>
          <wp:inline xmlns:a="http://schemas.openxmlformats.org/drawingml/2006/main" xmlns:pic="http://schemas.openxmlformats.org/drawingml/2006/picture">
            <wp:extent cx="6217920" cy="2422566"/>
            <wp:docPr id="6" name="Picture 6"/>
            <wp:cNvGraphicFramePr>
              <a:graphicFrameLocks noChangeAspect="1"/>
            </wp:cNvGraphicFramePr>
            <a:graphic>
              <a:graphicData uri="http://schemas.openxmlformats.org/drawingml/2006/picture">
                <pic:pic>
                  <pic:nvPicPr>
                    <pic:cNvPr id="0" name="fig3_ma.png"/>
                    <pic:cNvPicPr/>
                  </pic:nvPicPr>
                  <pic:blipFill>
                    <a:blip r:embed="rId14"/>
                    <a:stretch>
                      <a:fillRect/>
                    </a:stretch>
                  </pic:blipFill>
                  <pic:spPr>
                    <a:xfrm>
                      <a:off x="0" y="0"/>
                      <a:ext cx="6217920" cy="2422566"/>
                    </a:xfrm>
                    <a:prstGeom prst="rect"/>
                  </pic:spPr>
                </pic:pic>
              </a:graphicData>
            </a:graphic>
          </wp:inline>
        </w:drawing>
      </w:r>
    </w:p>
    <w:p>
      <w:pPr>
        <w:spacing w:after="200" w:before="0"/>
      </w:pPr>
      <w:r>
        <w:rPr>
          <w:b w:val="0"/>
          <w:i/>
          <w:color w:val="6E7B77"/>
          <w:sz w:val="17"/>
        </w:rPr>
        <w:t>Figure 6 — CLHO price against the moving-average stack, last 260 sessions.</w:t>
      </w:r>
    </w:p>
    <w:p>
      <w:pPr>
        <w:spacing w:after="120" w:before="280"/>
      </w:pPr>
      <w:r>
        <w:rPr>
          <w:b/>
          <w:i w:val="0"/>
          <w:color w:val="1C3A36"/>
          <w:sz w:val="30"/>
        </w:rPr>
        <w:t>3 · Monte Carlo — the three-month distribution</w:t>
      </w:r>
    </w:p>
    <w:p>
      <w:pPr>
        <w:spacing w:after="120" w:before="0"/>
      </w:pPr>
      <w:r>
        <w:rPr>
          <w:b w:val="0"/>
          <w:i w:val="0"/>
          <w:color w:val="1C3A36"/>
          <w:sz w:val="21"/>
        </w:rPr>
        <w:t>The forward price cone is generated by the Testahil v3 engine — 50,000 carry-anchored YZ-HAR-t paths (seed 42) under the live Egyptian market fit: Student-t(4) innovations, width 0.909, carry-only drift (no signal), risk-free 19.50% less a ~0.24% dividend yield. Crucially, this cone is built only from CLHO’s own realized price behaviour and Egyptian carry — it deliberately does not embed the fundamental value gap from §1. The two are separate lenses on purpose.</w:t>
      </w:r>
    </w:p>
    <w:p>
      <w:pPr>
        <w:spacing w:after="120" w:before="0"/>
      </w:pPr>
      <w:r>
        <w:rPr>
          <w:b/>
          <w:i w:val="0"/>
          <w:color w:val="1C3A36"/>
          <w:sz w:val="21"/>
        </w:rPr>
        <w:t xml:space="preserve">Read the Monte Carlo correctly — it has no view. </w:t>
      </w:r>
      <w:r>
        <w:rPr>
          <w:b w:val="0"/>
          <w:i w:val="0"/>
          <w:color w:val="1C3A36"/>
          <w:sz w:val="21"/>
        </w:rPr>
        <w:t>The simulated median at T+60 is EGP 17.02 against a spot of 16.31, and the probability of finishing above spot is 60%. Neither number is a forecast that the shares will rise. Egypt’s risk-free rate is 19.5%, and over sixty trading sessions the carry alone lifts the median by 4.3%: 16.31 multiplied by e raised to ln(1.1926)×60/252 is 17.01. The engine prints 17.02. The ENTIRE median move is the time value of money in a high-nominal-rate currency, and the Egypt engine runs carry-only — its signal was ablated off after failing an out-of-sample test. So the cone describes dispersion, not direction, and the 60% figure carries no directional information whatsoever. Saying otherwise — as an earlier draft of this analysis did — mistakes an interest rate for a forecast.</w:t>
      </w:r>
    </w:p>
    <w:p>
      <w:pPr>
        <w:spacing w:after="40"/>
        <w:jc w:val="center"/>
      </w:pPr>
      <w:r>
        <w:drawing>
          <wp:inline xmlns:a="http://schemas.openxmlformats.org/drawingml/2006/main" xmlns:pic="http://schemas.openxmlformats.org/drawingml/2006/picture">
            <wp:extent cx="6217920" cy="2664823"/>
            <wp:docPr id="7" name="Picture 7"/>
            <wp:cNvGraphicFramePr>
              <a:graphicFrameLocks noChangeAspect="1"/>
            </wp:cNvGraphicFramePr>
            <a:graphic>
              <a:graphicData uri="http://schemas.openxmlformats.org/drawingml/2006/picture">
                <pic:pic>
                  <pic:nvPicPr>
                    <pic:cNvPr id="0" name="fig4_fan.png"/>
                    <pic:cNvPicPr/>
                  </pic:nvPicPr>
                  <pic:blipFill>
                    <a:blip r:embed="rId15"/>
                    <a:stretch>
                      <a:fillRect/>
                    </a:stretch>
                  </pic:blipFill>
                  <pic:spPr>
                    <a:xfrm>
                      <a:off x="0" y="0"/>
                      <a:ext cx="6217920" cy="2664823"/>
                    </a:xfrm>
                    <a:prstGeom prst="rect"/>
                  </pic:spPr>
                </pic:pic>
              </a:graphicData>
            </a:graphic>
          </wp:inline>
        </w:drawing>
      </w:r>
    </w:p>
    <w:p>
      <w:pPr>
        <w:spacing w:after="200" w:before="0"/>
      </w:pPr>
      <w:r>
        <w:rPr>
          <w:b w:val="0"/>
          <w:i/>
          <w:color w:val="6E7B77"/>
          <w:sz w:val="17"/>
        </w:rPr>
        <w:t>Figure 7 — forward price cone to T+60. Shaded bands are the 25–75% (inner) and 5–95% (outer) path percentiles; the dashed brass line marks the fundamental central estimate for reference only.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736"/>
            <w:shd w:val="clear" w:color="auto" w:fill="EAF0EE"/>
          </w:tcPr>
          <w:p>
            <w:pPr>
              <w:spacing w:after="20"/>
            </w:pPr>
            <w:r>
              <w:rPr>
                <w:b/>
                <w:color w:val="1C3A36"/>
                <w:sz w:val="18"/>
              </w:rPr>
              <w:t>Horizon</w:t>
            </w:r>
          </w:p>
        </w:tc>
        <w:tc>
          <w:tcPr>
            <w:tcW w:type="dxa" w:w="1440"/>
            <w:shd w:val="clear" w:color="auto" w:fill="EAF0EE"/>
          </w:tcPr>
          <w:p>
            <w:pPr>
              <w:spacing w:after="20"/>
            </w:pPr>
            <w:r>
              <w:rPr>
                <w:b/>
                <w:color w:val="1C3A36"/>
                <w:sz w:val="18"/>
              </w:rPr>
              <w:t>p5</w:t>
            </w:r>
          </w:p>
        </w:tc>
        <w:tc>
          <w:tcPr>
            <w:tcW w:type="dxa" w:w="1440"/>
            <w:shd w:val="clear" w:color="auto" w:fill="EAF0EE"/>
          </w:tcPr>
          <w:p>
            <w:pPr>
              <w:spacing w:after="20"/>
            </w:pPr>
            <w:r>
              <w:rPr>
                <w:b/>
                <w:color w:val="1C3A36"/>
                <w:sz w:val="18"/>
              </w:rPr>
              <w:t>p25</w:t>
            </w:r>
          </w:p>
        </w:tc>
        <w:tc>
          <w:tcPr>
            <w:tcW w:type="dxa" w:w="1440"/>
            <w:shd w:val="clear" w:color="auto" w:fill="EAF0EE"/>
          </w:tcPr>
          <w:p>
            <w:pPr>
              <w:spacing w:after="20"/>
            </w:pPr>
            <w:r>
              <w:rPr>
                <w:b/>
                <w:color w:val="1C3A36"/>
                <w:sz w:val="18"/>
              </w:rPr>
              <w:t>p50</w:t>
            </w:r>
          </w:p>
        </w:tc>
        <w:tc>
          <w:tcPr>
            <w:tcW w:type="dxa" w:w="1440"/>
            <w:shd w:val="clear" w:color="auto" w:fill="EAF0EE"/>
          </w:tcPr>
          <w:p>
            <w:pPr>
              <w:spacing w:after="20"/>
            </w:pPr>
            <w:r>
              <w:rPr>
                <w:b/>
                <w:color w:val="1C3A36"/>
                <w:sz w:val="18"/>
              </w:rPr>
              <w:t>p75</w:t>
            </w:r>
          </w:p>
        </w:tc>
        <w:tc>
          <w:tcPr>
            <w:tcW w:type="dxa" w:w="1440"/>
            <w:shd w:val="clear" w:color="auto" w:fill="EAF0EE"/>
          </w:tcPr>
          <w:p>
            <w:pPr>
              <w:spacing w:after="20"/>
            </w:pPr>
            <w:r>
              <w:rPr>
                <w:b/>
                <w:color w:val="1C3A36"/>
                <w:sz w:val="18"/>
              </w:rPr>
              <w:t>p95</w:t>
            </w:r>
          </w:p>
        </w:tc>
      </w:tr>
      <w:tr>
        <w:tc>
          <w:tcPr>
            <w:tcW w:type="dxa" w:w="2736"/>
          </w:tcPr>
          <w:p>
            <w:pPr>
              <w:spacing w:after="20"/>
            </w:pPr>
            <w:r>
              <w:rPr>
                <w:b/>
                <w:color w:val="1C3A36"/>
                <w:sz w:val="18"/>
              </w:rPr>
              <w:t>T+20 (≈1 month)</w:t>
            </w:r>
          </w:p>
        </w:tc>
        <w:tc>
          <w:tcPr>
            <w:tcW w:type="dxa" w:w="1440"/>
          </w:tcPr>
          <w:p>
            <w:pPr>
              <w:spacing w:after="20"/>
              <w:jc w:val="right"/>
            </w:pPr>
            <w:r>
              <w:rPr>
                <w:color w:val="1C3A36"/>
                <w:sz w:val="18"/>
              </w:rPr>
              <w:t>13.59</w:t>
            </w:r>
          </w:p>
        </w:tc>
        <w:tc>
          <w:tcPr>
            <w:tcW w:type="dxa" w:w="1440"/>
          </w:tcPr>
          <w:p>
            <w:pPr>
              <w:spacing w:after="20"/>
              <w:jc w:val="right"/>
            </w:pPr>
            <w:r>
              <w:rPr>
                <w:color w:val="1C3A36"/>
                <w:sz w:val="18"/>
              </w:rPr>
              <w:t>15.46</w:t>
            </w:r>
          </w:p>
        </w:tc>
        <w:tc>
          <w:tcPr>
            <w:tcW w:type="dxa" w:w="1440"/>
          </w:tcPr>
          <w:p>
            <w:pPr>
              <w:spacing w:after="20"/>
              <w:jc w:val="right"/>
            </w:pPr>
            <w:r>
              <w:rPr>
                <w:color w:val="1C3A36"/>
                <w:sz w:val="18"/>
              </w:rPr>
              <w:t>16.54</w:t>
            </w:r>
          </w:p>
        </w:tc>
        <w:tc>
          <w:tcPr>
            <w:tcW w:type="dxa" w:w="1440"/>
          </w:tcPr>
          <w:p>
            <w:pPr>
              <w:spacing w:after="20"/>
              <w:jc w:val="right"/>
            </w:pPr>
            <w:r>
              <w:rPr>
                <w:color w:val="1C3A36"/>
                <w:sz w:val="18"/>
              </w:rPr>
              <w:t>17.71</w:t>
            </w:r>
          </w:p>
        </w:tc>
        <w:tc>
          <w:tcPr>
            <w:tcW w:type="dxa" w:w="1440"/>
          </w:tcPr>
          <w:p>
            <w:pPr>
              <w:spacing w:after="20"/>
              <w:jc w:val="right"/>
            </w:pPr>
            <w:r>
              <w:rPr>
                <w:color w:val="1C3A36"/>
                <w:sz w:val="18"/>
              </w:rPr>
              <w:t>20.17</w:t>
            </w:r>
          </w:p>
        </w:tc>
      </w:tr>
      <w:tr>
        <w:tc>
          <w:tcPr>
            <w:tcW w:type="dxa" w:w="2736"/>
          </w:tcPr>
          <w:p>
            <w:pPr>
              <w:spacing w:after="20"/>
            </w:pPr>
            <w:r>
              <w:rPr>
                <w:b/>
                <w:color w:val="1C3A36"/>
                <w:sz w:val="18"/>
              </w:rPr>
              <w:t>T+60 (≈3 months)</w:t>
            </w:r>
          </w:p>
        </w:tc>
        <w:tc>
          <w:tcPr>
            <w:tcW w:type="dxa" w:w="1440"/>
          </w:tcPr>
          <w:p>
            <w:pPr>
              <w:spacing w:after="20"/>
              <w:jc w:val="right"/>
            </w:pPr>
            <w:r>
              <w:rPr>
                <w:color w:val="1C3A36"/>
                <w:sz w:val="18"/>
              </w:rPr>
              <w:t>12.12</w:t>
            </w:r>
          </w:p>
        </w:tc>
        <w:tc>
          <w:tcPr>
            <w:tcW w:type="dxa" w:w="1440"/>
          </w:tcPr>
          <w:p>
            <w:pPr>
              <w:spacing w:after="20"/>
              <w:jc w:val="right"/>
            </w:pPr>
            <w:r>
              <w:rPr>
                <w:color w:val="1C3A36"/>
                <w:sz w:val="18"/>
              </w:rPr>
              <w:t>15.13</w:t>
            </w:r>
          </w:p>
        </w:tc>
        <w:tc>
          <w:tcPr>
            <w:tcW w:type="dxa" w:w="1440"/>
          </w:tcPr>
          <w:p>
            <w:pPr>
              <w:spacing w:after="20"/>
              <w:jc w:val="right"/>
            </w:pPr>
            <w:r>
              <w:rPr>
                <w:color w:val="1C3A36"/>
                <w:sz w:val="18"/>
              </w:rPr>
              <w:t>17.02</w:t>
            </w:r>
          </w:p>
        </w:tc>
        <w:tc>
          <w:tcPr>
            <w:tcW w:type="dxa" w:w="1440"/>
          </w:tcPr>
          <w:p>
            <w:pPr>
              <w:spacing w:after="20"/>
              <w:jc w:val="right"/>
            </w:pPr>
            <w:r>
              <w:rPr>
                <w:color w:val="1C3A36"/>
                <w:sz w:val="18"/>
              </w:rPr>
              <w:t>19.15</w:t>
            </w:r>
          </w:p>
        </w:tc>
        <w:tc>
          <w:tcPr>
            <w:tcW w:type="dxa" w:w="1440"/>
          </w:tcPr>
          <w:p>
            <w:pPr>
              <w:spacing w:after="20"/>
              <w:jc w:val="right"/>
            </w:pPr>
            <w:r>
              <w:rPr>
                <w:color w:val="1C3A36"/>
                <w:sz w:val="18"/>
              </w:rPr>
              <w:t>23.83</w:t>
            </w:r>
          </w:p>
        </w:tc>
      </w:tr>
    </w:tbl>
    <w:p>
      <w:pPr>
        <w:spacing w:after="40"/>
      </w:pPr>
    </w:p>
    <w:p>
      <w:pPr>
        <w:spacing w:after="200" w:before="0"/>
      </w:pPr>
      <w:r>
        <w:rPr>
          <w:b w:val="0"/>
          <w:i/>
          <w:color w:val="6E7B77"/>
          <w:sz w:val="17"/>
        </w:rPr>
        <w:t>Percentile map, EGP per share. These are the only genuinely three-month figures in the study.</w:t>
      </w:r>
    </w:p>
    <w:p>
      <w:pPr>
        <w:spacing w:after="80" w:before="200"/>
      </w:pPr>
      <w:r>
        <w:rPr>
          <w:b/>
          <w:i w:val="0"/>
          <w:color w:val="1C3A36"/>
          <w:sz w:val="24"/>
        </w:rPr>
        <w:t>3.1 · Probability read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5184"/>
            <w:shd w:val="clear" w:color="auto" w:fill="EAF0EE"/>
          </w:tcPr>
          <w:p>
            <w:pPr>
              <w:spacing w:after="20"/>
            </w:pPr>
            <w:r>
              <w:rPr>
                <w:b/>
                <w:color w:val="1C3A36"/>
                <w:sz w:val="18"/>
              </w:rPr>
              <w:t>Question (T+60)</w:t>
            </w:r>
          </w:p>
        </w:tc>
        <w:tc>
          <w:tcPr>
            <w:tcW w:type="dxa" w:w="2016"/>
            <w:shd w:val="clear" w:color="auto" w:fill="EAF0EE"/>
          </w:tcPr>
          <w:p>
            <w:pPr>
              <w:spacing w:after="20"/>
            </w:pPr>
            <w:r>
              <w:rPr>
                <w:b/>
                <w:color w:val="1C3A36"/>
                <w:sz w:val="18"/>
              </w:rPr>
              <w:t>Probability</w:t>
            </w:r>
          </w:p>
        </w:tc>
      </w:tr>
      <w:tr>
        <w:tc>
          <w:tcPr>
            <w:tcW w:type="dxa" w:w="5184"/>
          </w:tcPr>
          <w:p>
            <w:pPr>
              <w:spacing w:after="20"/>
            </w:pPr>
            <w:r>
              <w:rPr>
                <w:b/>
                <w:color w:val="1C3A36"/>
                <w:sz w:val="18"/>
              </w:rPr>
              <w:t>Price above spot</w:t>
            </w:r>
          </w:p>
        </w:tc>
        <w:tc>
          <w:tcPr>
            <w:tcW w:type="dxa" w:w="2016"/>
          </w:tcPr>
          <w:p>
            <w:pPr>
              <w:spacing w:after="20"/>
              <w:jc w:val="right"/>
            </w:pPr>
            <w:r>
              <w:rPr>
                <w:color w:val="1C3A36"/>
                <w:sz w:val="18"/>
              </w:rPr>
              <w:t>60%</w:t>
            </w:r>
          </w:p>
        </w:tc>
      </w:tr>
      <w:tr>
        <w:tc>
          <w:tcPr>
            <w:tcW w:type="dxa" w:w="5184"/>
          </w:tcPr>
          <w:p>
            <w:pPr>
              <w:spacing w:after="20"/>
            </w:pPr>
            <w:r>
              <w:rPr>
                <w:b/>
                <w:color w:val="1C3A36"/>
                <w:sz w:val="18"/>
              </w:rPr>
              <w:t>Up 10% or more</w:t>
            </w:r>
          </w:p>
        </w:tc>
        <w:tc>
          <w:tcPr>
            <w:tcW w:type="dxa" w:w="2016"/>
          </w:tcPr>
          <w:p>
            <w:pPr>
              <w:spacing w:after="20"/>
              <w:jc w:val="right"/>
            </w:pPr>
            <w:r>
              <w:rPr>
                <w:color w:val="1C3A36"/>
                <w:sz w:val="18"/>
              </w:rPr>
              <w:t>38%</w:t>
            </w:r>
          </w:p>
        </w:tc>
      </w:tr>
      <w:tr>
        <w:tc>
          <w:tcPr>
            <w:tcW w:type="dxa" w:w="5184"/>
          </w:tcPr>
          <w:p>
            <w:pPr>
              <w:spacing w:after="20"/>
            </w:pPr>
            <w:r>
              <w:rPr>
                <w:b/>
                <w:color w:val="1C3A36"/>
                <w:sz w:val="18"/>
              </w:rPr>
              <w:t>Down 10% or worse</w:t>
            </w:r>
          </w:p>
        </w:tc>
        <w:tc>
          <w:tcPr>
            <w:tcW w:type="dxa" w:w="2016"/>
          </w:tcPr>
          <w:p>
            <w:pPr>
              <w:spacing w:after="20"/>
              <w:jc w:val="right"/>
            </w:pPr>
            <w:r>
              <w:rPr>
                <w:color w:val="1C3A36"/>
                <w:sz w:val="18"/>
              </w:rPr>
              <w:t>20%</w:t>
            </w:r>
          </w:p>
        </w:tc>
      </w:tr>
      <w:tr>
        <w:tc>
          <w:tcPr>
            <w:tcW w:type="dxa" w:w="5184"/>
          </w:tcPr>
          <w:p>
            <w:pPr>
              <w:spacing w:after="20"/>
            </w:pPr>
            <w:r>
              <w:rPr>
                <w:b/>
                <w:color w:val="1C3A36"/>
                <w:sz w:val="18"/>
              </w:rPr>
              <w:t>Up 20% or more</w:t>
            </w:r>
          </w:p>
        </w:tc>
        <w:tc>
          <w:tcPr>
            <w:tcW w:type="dxa" w:w="2016"/>
          </w:tcPr>
          <w:p>
            <w:pPr>
              <w:spacing w:after="20"/>
              <w:jc w:val="right"/>
            </w:pPr>
            <w:r>
              <w:rPr>
                <w:color w:val="1C3A36"/>
                <w:sz w:val="18"/>
              </w:rPr>
              <w:t>22%</w:t>
            </w:r>
          </w:p>
        </w:tc>
      </w:tr>
      <w:tr>
        <w:tc>
          <w:tcPr>
            <w:tcW w:type="dxa" w:w="5184"/>
          </w:tcPr>
          <w:p>
            <w:pPr>
              <w:spacing w:after="20"/>
            </w:pPr>
            <w:r>
              <w:rPr>
                <w:b/>
                <w:color w:val="1C3A36"/>
                <w:sz w:val="18"/>
              </w:rPr>
              <w:t>Down 20% or worse</w:t>
            </w:r>
          </w:p>
        </w:tc>
        <w:tc>
          <w:tcPr>
            <w:tcW w:type="dxa" w:w="2016"/>
          </w:tcPr>
          <w:p>
            <w:pPr>
              <w:spacing w:after="20"/>
              <w:jc w:val="right"/>
            </w:pPr>
            <w:r>
              <w:rPr>
                <w:color w:val="1C3A36"/>
                <w:sz w:val="18"/>
              </w:rPr>
              <w:t>8%</w:t>
            </w:r>
          </w:p>
        </w:tc>
      </w:tr>
      <w:tr>
        <w:tc>
          <w:tcPr>
            <w:tcW w:type="dxa" w:w="5184"/>
          </w:tcPr>
          <w:p>
            <w:pPr>
              <w:spacing w:after="20"/>
            </w:pPr>
            <w:r>
              <w:rPr>
                <w:b/>
                <w:color w:val="1C3A36"/>
                <w:sz w:val="18"/>
              </w:rPr>
              <w:t>Within ±10% of spot</w:t>
            </w:r>
          </w:p>
        </w:tc>
        <w:tc>
          <w:tcPr>
            <w:tcW w:type="dxa" w:w="2016"/>
          </w:tcPr>
          <w:p>
            <w:pPr>
              <w:spacing w:after="20"/>
              <w:jc w:val="right"/>
            </w:pPr>
            <w:r>
              <w:rPr>
                <w:color w:val="1C3A36"/>
                <w:sz w:val="18"/>
              </w:rPr>
              <w:t>42%</w:t>
            </w:r>
          </w:p>
        </w:tc>
      </w:tr>
    </w:tbl>
    <w:p>
      <w:pPr>
        <w:spacing w:after="40"/>
      </w:pPr>
    </w:p>
    <w:p>
      <w:pPr>
        <w:spacing w:after="200" w:before="0"/>
      </w:pPr>
      <w:r>
        <w:rPr>
          <w:b w:val="0"/>
          <w:i/>
          <w:color w:val="6E7B77"/>
          <w:sz w:val="17"/>
        </w:rPr>
        <w:t>Read directly off the 50,000-path terminal distribution at T+60.</w:t>
      </w:r>
    </w:p>
    <w:p>
      <w:pPr>
        <w:spacing w:after="40"/>
        <w:jc w:val="center"/>
      </w:pPr>
      <w:r>
        <w:drawing>
          <wp:inline xmlns:a="http://schemas.openxmlformats.org/drawingml/2006/main" xmlns:pic="http://schemas.openxmlformats.org/drawingml/2006/picture">
            <wp:extent cx="5120640" cy="2560320"/>
            <wp:docPr id="8" name="Picture 8"/>
            <wp:cNvGraphicFramePr>
              <a:graphicFrameLocks noChangeAspect="1"/>
            </wp:cNvGraphicFramePr>
            <a:graphic>
              <a:graphicData uri="http://schemas.openxmlformats.org/drawingml/2006/picture">
                <pic:pic>
                  <pic:nvPicPr>
                    <pic:cNvPr id="0" name="fig5_dist.png"/>
                    <pic:cNvPicPr/>
                  </pic:nvPicPr>
                  <pic:blipFill>
                    <a:blip r:embed="rId16"/>
                    <a:stretch>
                      <a:fillRect/>
                    </a:stretch>
                  </pic:blipFill>
                  <pic:spPr>
                    <a:xfrm>
                      <a:off x="0" y="0"/>
                      <a:ext cx="5120640" cy="2560320"/>
                    </a:xfrm>
                    <a:prstGeom prst="rect"/>
                  </pic:spPr>
                </pic:pic>
              </a:graphicData>
            </a:graphic>
          </wp:inline>
        </w:drawing>
      </w:r>
    </w:p>
    <w:p>
      <w:pPr>
        <w:spacing w:after="200" w:before="0"/>
      </w:pPr>
      <w:r>
        <w:rPr>
          <w:b w:val="0"/>
          <w:i/>
          <w:color w:val="6E7B77"/>
          <w:sz w:val="17"/>
        </w:rPr>
        <w:t>Figure 8 — simulated price distribution at T+20 (≈1 month). Ink line = spot; dashed brass = simulated median.</w:t>
      </w:r>
    </w:p>
    <w:p>
      <w:pPr>
        <w:spacing w:after="40"/>
        <w:jc w:val="center"/>
      </w:pPr>
      <w:r>
        <w:drawing>
          <wp:inline xmlns:a="http://schemas.openxmlformats.org/drawingml/2006/main" xmlns:pic="http://schemas.openxmlformats.org/drawingml/2006/picture">
            <wp:extent cx="5120640" cy="2560320"/>
            <wp:docPr id="9" name="Picture 9"/>
            <wp:cNvGraphicFramePr>
              <a:graphicFrameLocks noChangeAspect="1"/>
            </wp:cNvGraphicFramePr>
            <a:graphic>
              <a:graphicData uri="http://schemas.openxmlformats.org/drawingml/2006/picture">
                <pic:pic>
                  <pic:nvPicPr>
                    <pic:cNvPr id="0" name="fig6_dist.png"/>
                    <pic:cNvPicPr/>
                  </pic:nvPicPr>
                  <pic:blipFill>
                    <a:blip r:embed="rId17"/>
                    <a:stretch>
                      <a:fillRect/>
                    </a:stretch>
                  </pic:blipFill>
                  <pic:spPr>
                    <a:xfrm>
                      <a:off x="0" y="0"/>
                      <a:ext cx="5120640" cy="2560320"/>
                    </a:xfrm>
                    <a:prstGeom prst="rect"/>
                  </pic:spPr>
                </pic:pic>
              </a:graphicData>
            </a:graphic>
          </wp:inline>
        </w:drawing>
      </w:r>
    </w:p>
    <w:p>
      <w:pPr>
        <w:spacing w:after="200" w:before="0"/>
      </w:pPr>
      <w:r>
        <w:rPr>
          <w:b w:val="0"/>
          <w:i/>
          <w:color w:val="6E7B77"/>
          <w:sz w:val="17"/>
        </w:rPr>
        <w:t>Figure 9 — simulated price distribution at T+60 (≈3 months).</w:t>
      </w:r>
    </w:p>
    <w:p>
      <w:pPr>
        <w:spacing w:after="120" w:before="0"/>
      </w:pPr>
      <w:r>
        <w:rPr>
          <w:b/>
          <w:i w:val="0"/>
          <w:color w:val="1C3A36"/>
          <w:sz w:val="21"/>
        </w:rPr>
        <w:t xml:space="preserve">Calibration, stated plainly. </w:t>
      </w:r>
      <w:r>
        <w:rPr>
          <w:b w:val="0"/>
          <w:i w:val="0"/>
          <w:color w:val="1C3A36"/>
          <w:sz w:val="21"/>
        </w:rPr>
        <w:t>Before any of this was forecast, the engine had to clear its standing calibration gate: a five-year walk-forward test on CLHO’s own price history, scored against a carry-anchored random-walk benchmark, preceded by a data-quality screen (the series came back clean — no pre-listing placeholders, no unadjusted corporate actions, trading-day density consistent with the EGX calendar). The Egyptian panel — the standing gate — passes. At the name level CLHO grades parity: the engine is neither better nor worse than the benchmark on this one series, and that verdict is stable across bootstrap block sizes, so it is recorded as parity rather than dressed up as a pass. One diagnostic is worth stating rather than burying: CLHO’s realized outcomes fell inside the 90% band every single time in the backtest, with a well-centred PIT — the cone is not mis-centred, it is simply too wide for a low-beta name being priced with a market-level width. Read the percentiles above as conservative rather than precise. The full backtest is published, and graded, in the public Calibration Ledger.</w:t>
      </w:r>
    </w:p>
    <w:p>
      <w:pPr>
        <w:spacing w:after="120" w:before="280"/>
      </w:pPr>
      <w:r>
        <w:rPr>
          <w:b/>
          <w:i w:val="0"/>
          <w:color w:val="1C3A36"/>
          <w:sz w:val="30"/>
        </w:rPr>
        <w:t>4 · Bringing the lenses together</w:t>
      </w:r>
    </w:p>
    <w:p>
      <w:pPr>
        <w:spacing w:after="120" w:before="0"/>
      </w:pPr>
      <w:r>
        <w:rPr>
          <w:b w:val="0"/>
          <w:i w:val="0"/>
          <w:color w:val="1C3A36"/>
          <w:sz w:val="21"/>
        </w:rPr>
        <w:t>Three clocks, kept separate. The fundamental lenses (§1) put risk-adjusted fair value near EGP 9.21, driven by the discount-rate path. The market clock (§3) puts the three-month median near EGP 17.02 with a 60% chance of trading up. The technical read (§2) is neutral-to-constructive on momentum. Spot at EGP 16.31 sits inside all three — slightly above the fundamental central, near the MC median.</w:t>
      </w:r>
    </w:p>
    <w:p>
      <w:pPr>
        <w:spacing w:after="120" w:before="0"/>
      </w:pPr>
      <w:r>
        <w:rPr>
          <w:b w:val="0"/>
          <w:i w:val="0"/>
          <w:color w:val="1C3A36"/>
          <w:sz w:val="21"/>
        </w:rPr>
        <w:t>The one-line synthesis: a high-quality, fast-growing hospital network trading at a fair-to-full price on today’s crisis-level Egyptian discount rate, with the upside case resting on rate normalization and/or a strategic-review outcome, and the downside case resting on rates staying high or the new hospitals ramping slower than guided. This is a valuation study, so it stops there — no rating, no target, only the ranges and the distribution.</w:t>
      </w:r>
    </w:p>
    <w:p>
      <w:pPr>
        <w:spacing w:after="120" w:before="280"/>
      </w:pPr>
      <w:r>
        <w:rPr>
          <w:b/>
          <w:i w:val="0"/>
          <w:color w:val="1C3A36"/>
          <w:sz w:val="30"/>
        </w:rPr>
        <w:t>5 · Catalysts and what would change the read</w:t>
      </w:r>
    </w:p>
    <w:p>
      <w:pPr>
        <w:pStyle w:val="ListBullet"/>
        <w:spacing w:after="60"/>
      </w:pPr>
      <w:r>
        <w:rPr>
          <w:b/>
          <w:color w:val="1C3A36"/>
          <w:sz w:val="21"/>
        </w:rPr>
        <w:t xml:space="preserve">Earnings — </w:t>
      </w:r>
      <w:r>
        <w:rPr>
          <w:color w:val="1C3A36"/>
          <w:sz w:val="21"/>
        </w:rPr>
        <w:t>Q2-2026 results (≈ late August 2026) — the first clean read on CTH’s ramp and consolidated margins after the January launch.</w:t>
      </w:r>
    </w:p>
    <w:p>
      <w:pPr>
        <w:pStyle w:val="ListBullet"/>
        <w:spacing w:after="60"/>
      </w:pPr>
      <w:r>
        <w:rPr>
          <w:b/>
          <w:color w:val="1C3A36"/>
          <w:sz w:val="21"/>
        </w:rPr>
        <w:t xml:space="preserve">Rates — </w:t>
      </w:r>
      <w:r>
        <w:rPr>
          <w:color w:val="1C3A36"/>
          <w:sz w:val="21"/>
        </w:rPr>
        <w:t>CBE MPC meetings through H2-2026 — each decision moves the normalized-WACC assumption that anchors the DCF. A resumption of cuts is the single biggest upside trigger.</w:t>
      </w:r>
    </w:p>
    <w:p>
      <w:pPr>
        <w:pStyle w:val="ListBullet"/>
        <w:spacing w:after="60"/>
      </w:pPr>
      <w:r>
        <w:rPr>
          <w:b/>
          <w:color w:val="1C3A36"/>
          <w:sz w:val="21"/>
        </w:rPr>
        <w:t xml:space="preserve">Execution — </w:t>
      </w:r>
      <w:r>
        <w:rPr>
          <w:color w:val="1C3A36"/>
          <w:sz w:val="21"/>
        </w:rPr>
        <w:t>CTH reaching &gt;EGP 100mn/month with positive EBITDA (April: EGP 83mn) and the COH cath-lab (opened June 2026) plus the 200-bed October BTS landing for 2027 operation.</w:t>
      </w:r>
    </w:p>
    <w:p>
      <w:pPr>
        <w:pStyle w:val="ListBullet"/>
        <w:spacing w:after="60"/>
      </w:pPr>
      <w:r>
        <w:rPr>
          <w:b/>
          <w:color w:val="1C3A36"/>
          <w:sz w:val="21"/>
        </w:rPr>
        <w:t xml:space="preserve">Policy — </w:t>
      </w:r>
      <w:r>
        <w:rPr>
          <w:color w:val="1C3A36"/>
          <w:sz w:val="21"/>
        </w:rPr>
        <w:t>Universal Health Insurance phasing into Greater Cairo — contracting terms and tariffs for GAHAR-accredited private hospitals would reset the volume outlook.</w:t>
      </w:r>
    </w:p>
    <w:p>
      <w:pPr>
        <w:pStyle w:val="ListBullet"/>
        <w:spacing w:after="60"/>
      </w:pPr>
      <w:r>
        <w:rPr>
          <w:b/>
          <w:color w:val="1C3A36"/>
          <w:sz w:val="21"/>
        </w:rPr>
        <w:t xml:space="preserve">Corporate — </w:t>
      </w:r>
      <w:r>
        <w:rPr>
          <w:color w:val="1C3A36"/>
          <w:sz w:val="21"/>
        </w:rPr>
        <w:t>The strategic review — any transaction, stake sale or structural move flagged by management would be priced off the EV-per-bed lens (EGP 6.46–11.70) rather than the DCF.</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232"/>
            <w:shd w:val="clear" w:color="auto" w:fill="EAF0EE"/>
          </w:tcPr>
          <w:p>
            <w:pPr>
              <w:spacing w:after="20"/>
            </w:pPr>
            <w:r>
              <w:rPr>
                <w:b/>
                <w:color w:val="1C3A36"/>
                <w:sz w:val="17"/>
              </w:rPr>
              <w:t>Window</w:t>
            </w:r>
          </w:p>
        </w:tc>
        <w:tc>
          <w:tcPr>
            <w:tcW w:type="dxa" w:w="4392"/>
            <w:shd w:val="clear" w:color="auto" w:fill="EAF0EE"/>
          </w:tcPr>
          <w:p>
            <w:pPr>
              <w:spacing w:after="20"/>
            </w:pPr>
            <w:r>
              <w:rPr>
                <w:b/>
                <w:color w:val="1C3A36"/>
                <w:sz w:val="17"/>
              </w:rPr>
              <w:t>Catalyst</w:t>
            </w:r>
          </w:p>
        </w:tc>
        <w:tc>
          <w:tcPr>
            <w:tcW w:type="dxa" w:w="3168"/>
            <w:shd w:val="clear" w:color="auto" w:fill="EAF0EE"/>
          </w:tcPr>
          <w:p>
            <w:pPr>
              <w:spacing w:after="20"/>
            </w:pPr>
            <w:r>
              <w:rPr>
                <w:b/>
                <w:color w:val="1C3A36"/>
                <w:sz w:val="17"/>
              </w:rPr>
              <w:t>Lens it moves</w:t>
            </w:r>
          </w:p>
        </w:tc>
      </w:tr>
      <w:tr>
        <w:tc>
          <w:tcPr>
            <w:tcW w:type="dxa" w:w="2232"/>
          </w:tcPr>
          <w:p>
            <w:pPr>
              <w:spacing w:after="20"/>
            </w:pPr>
            <w:r>
              <w:rPr>
                <w:b/>
                <w:color w:val="1C3A36"/>
                <w:sz w:val="17"/>
              </w:rPr>
              <w:t>≈ Aug 2026</w:t>
            </w:r>
          </w:p>
        </w:tc>
        <w:tc>
          <w:tcPr>
            <w:tcW w:type="dxa" w:w="4392"/>
          </w:tcPr>
          <w:p>
            <w:pPr>
              <w:spacing w:after="20"/>
              <w:jc w:val="right"/>
            </w:pPr>
            <w:r>
              <w:rPr>
                <w:color w:val="1C3A36"/>
                <w:sz w:val="17"/>
              </w:rPr>
              <w:t>Q2-2026 results — first clean CTH-ramp read</w:t>
            </w:r>
          </w:p>
        </w:tc>
        <w:tc>
          <w:tcPr>
            <w:tcW w:type="dxa" w:w="3168"/>
          </w:tcPr>
          <w:p>
            <w:pPr>
              <w:spacing w:after="20"/>
              <w:jc w:val="right"/>
            </w:pPr>
            <w:r>
              <w:rPr>
                <w:color w:val="1C3A36"/>
                <w:sz w:val="17"/>
              </w:rPr>
              <w:t>DCF near-years, margin path</w:t>
            </w:r>
          </w:p>
        </w:tc>
      </w:tr>
      <w:tr>
        <w:tc>
          <w:tcPr>
            <w:tcW w:type="dxa" w:w="2232"/>
          </w:tcPr>
          <w:p>
            <w:pPr>
              <w:spacing w:after="20"/>
            </w:pPr>
            <w:r>
              <w:rPr>
                <w:b/>
                <w:color w:val="1C3A36"/>
                <w:sz w:val="17"/>
              </w:rPr>
              <w:t>H2-2026 (each MPC)</w:t>
            </w:r>
          </w:p>
        </w:tc>
        <w:tc>
          <w:tcPr>
            <w:tcW w:type="dxa" w:w="4392"/>
          </w:tcPr>
          <w:p>
            <w:pPr>
              <w:spacing w:after="20"/>
              <w:jc w:val="right"/>
            </w:pPr>
            <w:r>
              <w:rPr>
                <w:color w:val="1C3A36"/>
                <w:sz w:val="17"/>
              </w:rPr>
              <w:t>CBE rate decisions</w:t>
            </w:r>
          </w:p>
        </w:tc>
        <w:tc>
          <w:tcPr>
            <w:tcW w:type="dxa" w:w="3168"/>
          </w:tcPr>
          <w:p>
            <w:pPr>
              <w:spacing w:after="20"/>
              <w:jc w:val="right"/>
            </w:pPr>
            <w:r>
              <w:rPr>
                <w:color w:val="1C3A36"/>
                <w:sz w:val="17"/>
              </w:rPr>
              <w:t>normalized WACC (the crux)</w:t>
            </w:r>
          </w:p>
        </w:tc>
      </w:tr>
      <w:tr>
        <w:tc>
          <w:tcPr>
            <w:tcW w:type="dxa" w:w="2232"/>
          </w:tcPr>
          <w:p>
            <w:pPr>
              <w:spacing w:after="20"/>
            </w:pPr>
            <w:r>
              <w:rPr>
                <w:b/>
                <w:color w:val="1C3A36"/>
                <w:sz w:val="17"/>
              </w:rPr>
              <w:t>Q4-2026</w:t>
            </w:r>
          </w:p>
        </w:tc>
        <w:tc>
          <w:tcPr>
            <w:tcW w:type="dxa" w:w="4392"/>
          </w:tcPr>
          <w:p>
            <w:pPr>
              <w:spacing w:after="20"/>
              <w:jc w:val="right"/>
            </w:pPr>
            <w:r>
              <w:rPr>
                <w:color w:val="1C3A36"/>
                <w:sz w:val="17"/>
              </w:rPr>
              <w:t>CTH sustaining &gt;EGP 100mn/month</w:t>
            </w:r>
          </w:p>
        </w:tc>
        <w:tc>
          <w:tcPr>
            <w:tcW w:type="dxa" w:w="3168"/>
          </w:tcPr>
          <w:p>
            <w:pPr>
              <w:spacing w:after="20"/>
              <w:jc w:val="right"/>
            </w:pPr>
            <w:r>
              <w:rPr>
                <w:color w:val="1C3A36"/>
                <w:sz w:val="17"/>
              </w:rPr>
              <w:t>revenue path, EV/bed</w:t>
            </w:r>
          </w:p>
        </w:tc>
      </w:tr>
      <w:tr>
        <w:tc>
          <w:tcPr>
            <w:tcW w:type="dxa" w:w="2232"/>
          </w:tcPr>
          <w:p>
            <w:pPr>
              <w:spacing w:after="20"/>
            </w:pPr>
            <w:r>
              <w:rPr>
                <w:b/>
                <w:color w:val="1C3A36"/>
                <w:sz w:val="17"/>
              </w:rPr>
              <w:t>2026 → 2027</w:t>
            </w:r>
          </w:p>
        </w:tc>
        <w:tc>
          <w:tcPr>
            <w:tcW w:type="dxa" w:w="4392"/>
          </w:tcPr>
          <w:p>
            <w:pPr>
              <w:spacing w:after="20"/>
              <w:jc w:val="right"/>
            </w:pPr>
            <w:r>
              <w:rPr>
                <w:color w:val="1C3A36"/>
                <w:sz w:val="17"/>
              </w:rPr>
              <w:t>October 200-bed BTS delivery &amp; operation</w:t>
            </w:r>
          </w:p>
        </w:tc>
        <w:tc>
          <w:tcPr>
            <w:tcW w:type="dxa" w:w="3168"/>
          </w:tcPr>
          <w:p>
            <w:pPr>
              <w:spacing w:after="20"/>
              <w:jc w:val="right"/>
            </w:pPr>
            <w:r>
              <w:rPr>
                <w:color w:val="1C3A36"/>
                <w:sz w:val="17"/>
              </w:rPr>
              <w:t>capacity, forward beds</w:t>
            </w:r>
          </w:p>
        </w:tc>
      </w:tr>
      <w:tr>
        <w:tc>
          <w:tcPr>
            <w:tcW w:type="dxa" w:w="2232"/>
          </w:tcPr>
          <w:p>
            <w:pPr>
              <w:spacing w:after="20"/>
            </w:pPr>
            <w:r>
              <w:rPr>
                <w:b/>
                <w:color w:val="1C3A36"/>
                <w:sz w:val="17"/>
              </w:rPr>
              <w:t>Phased</w:t>
            </w:r>
          </w:p>
        </w:tc>
        <w:tc>
          <w:tcPr>
            <w:tcW w:type="dxa" w:w="4392"/>
          </w:tcPr>
          <w:p>
            <w:pPr>
              <w:spacing w:after="20"/>
              <w:jc w:val="right"/>
            </w:pPr>
            <w:r>
              <w:rPr>
                <w:color w:val="1C3A36"/>
                <w:sz w:val="17"/>
              </w:rPr>
              <w:t>UHI contracting into Greater Cairo</w:t>
            </w:r>
          </w:p>
        </w:tc>
        <w:tc>
          <w:tcPr>
            <w:tcW w:type="dxa" w:w="3168"/>
          </w:tcPr>
          <w:p>
            <w:pPr>
              <w:spacing w:after="20"/>
              <w:jc w:val="right"/>
            </w:pPr>
            <w:r>
              <w:rPr>
                <w:color w:val="1C3A36"/>
                <w:sz w:val="17"/>
              </w:rPr>
              <w:t>volume outlook</w:t>
            </w:r>
          </w:p>
        </w:tc>
      </w:tr>
      <w:tr>
        <w:tc>
          <w:tcPr>
            <w:tcW w:type="dxa" w:w="2232"/>
          </w:tcPr>
          <w:p>
            <w:pPr>
              <w:spacing w:after="20"/>
            </w:pPr>
            <w:r>
              <w:rPr>
                <w:b/>
                <w:color w:val="1C3A36"/>
                <w:sz w:val="17"/>
              </w:rPr>
              <w:t>Open</w:t>
            </w:r>
          </w:p>
        </w:tc>
        <w:tc>
          <w:tcPr>
            <w:tcW w:type="dxa" w:w="4392"/>
          </w:tcPr>
          <w:p>
            <w:pPr>
              <w:spacing w:after="20"/>
              <w:jc w:val="right"/>
            </w:pPr>
            <w:r>
              <w:rPr>
                <w:color w:val="1C3A36"/>
                <w:sz w:val="17"/>
              </w:rPr>
              <w:t>Strategic-review outcome</w:t>
            </w:r>
          </w:p>
        </w:tc>
        <w:tc>
          <w:tcPr>
            <w:tcW w:type="dxa" w:w="3168"/>
          </w:tcPr>
          <w:p>
            <w:pPr>
              <w:spacing w:after="20"/>
              <w:jc w:val="right"/>
            </w:pPr>
            <w:r>
              <w:rPr>
                <w:color w:val="1C3A36"/>
                <w:sz w:val="17"/>
              </w:rPr>
              <w:t>EV-per-bed lens</w:t>
            </w:r>
          </w:p>
        </w:tc>
      </w:tr>
    </w:tbl>
    <w:p>
      <w:pPr>
        <w:spacing w:after="40"/>
      </w:pPr>
    </w:p>
    <w:p>
      <w:pPr>
        <w:spacing w:after="200" w:before="0"/>
      </w:pPr>
      <w:r>
        <w:rPr>
          <w:b w:val="0"/>
          <w:i/>
          <w:color w:val="6E7B77"/>
          <w:sz w:val="17"/>
        </w:rPr>
        <w:t>Catalyst calendar. Rate decisions move the fundamental value most; execution and policy move the growth path; a strategic-review outcome would reprice off the transaction lens.</w:t>
      </w:r>
    </w:p>
    <w:p>
      <w:pPr>
        <w:spacing w:after="120" w:before="280"/>
      </w:pPr>
      <w:r>
        <w:rPr>
          <w:b/>
          <w:i w:val="0"/>
          <w:color w:val="1C3A36"/>
          <w:sz w:val="30"/>
        </w:rPr>
        <w:t>6 · Reference zones</w:t>
      </w:r>
    </w:p>
    <w:p>
      <w:pPr>
        <w:spacing w:after="120" w:before="0"/>
      </w:pPr>
      <w:r>
        <w:rPr>
          <w:b w:val="0"/>
          <w:i w:val="0"/>
          <w:color w:val="1C3A36"/>
          <w:sz w:val="21"/>
        </w:rPr>
        <w:t>The zones below are descriptive map, not signals — they simply locate spot and the lens outputs within the simulated three-month distribution.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448"/>
            <w:shd w:val="clear" w:color="auto" w:fill="EAF0EE"/>
          </w:tcPr>
          <w:p>
            <w:pPr>
              <w:spacing w:after="20"/>
            </w:pPr>
            <w:r>
              <w:rPr>
                <w:b/>
                <w:color w:val="1C3A36"/>
                <w:sz w:val="17"/>
              </w:rPr>
              <w:t>Zone</w:t>
            </w:r>
          </w:p>
        </w:tc>
        <w:tc>
          <w:tcPr>
            <w:tcW w:type="dxa" w:w="2160"/>
            <w:shd w:val="clear" w:color="auto" w:fill="EAF0EE"/>
          </w:tcPr>
          <w:p>
            <w:pPr>
              <w:spacing w:after="20"/>
            </w:pPr>
            <w:r>
              <w:rPr>
                <w:b/>
                <w:color w:val="1C3A36"/>
                <w:sz w:val="17"/>
              </w:rPr>
              <w:t>EGP band (T+60)</w:t>
            </w:r>
          </w:p>
        </w:tc>
        <w:tc>
          <w:tcPr>
            <w:tcW w:type="dxa" w:w="1008"/>
            <w:shd w:val="clear" w:color="auto" w:fill="EAF0EE"/>
          </w:tcPr>
          <w:p>
            <w:pPr>
              <w:spacing w:after="20"/>
            </w:pPr>
            <w:r>
              <w:rPr>
                <w:b/>
                <w:color w:val="1C3A36"/>
                <w:sz w:val="17"/>
              </w:rPr>
              <w:t>Prob.</w:t>
            </w:r>
          </w:p>
        </w:tc>
        <w:tc>
          <w:tcPr>
            <w:tcW w:type="dxa" w:w="4464"/>
            <w:shd w:val="clear" w:color="auto" w:fill="EAF0EE"/>
          </w:tcPr>
          <w:p>
            <w:pPr>
              <w:spacing w:after="20"/>
            </w:pPr>
            <w:r>
              <w:rPr>
                <w:b/>
                <w:color w:val="1C3A36"/>
                <w:sz w:val="17"/>
              </w:rPr>
              <w:t>What it would take</w:t>
            </w:r>
          </w:p>
        </w:tc>
      </w:tr>
      <w:tr>
        <w:tc>
          <w:tcPr>
            <w:tcW w:type="dxa" w:w="2448"/>
          </w:tcPr>
          <w:p>
            <w:pPr>
              <w:spacing w:after="20"/>
            </w:pPr>
            <w:r>
              <w:rPr>
                <w:b/>
                <w:color w:val="1C3A36"/>
                <w:sz w:val="17"/>
              </w:rPr>
              <w:t>Deep-value / left tail</w:t>
            </w:r>
          </w:p>
        </w:tc>
        <w:tc>
          <w:tcPr>
            <w:tcW w:type="dxa" w:w="2160"/>
          </w:tcPr>
          <w:p>
            <w:pPr>
              <w:spacing w:after="20"/>
              <w:jc w:val="right"/>
            </w:pPr>
            <w:r>
              <w:rPr>
                <w:color w:val="1C3A36"/>
                <w:sz w:val="17"/>
              </w:rPr>
              <w:t>&lt; 12.1</w:t>
            </w:r>
          </w:p>
        </w:tc>
        <w:tc>
          <w:tcPr>
            <w:tcW w:type="dxa" w:w="1008"/>
          </w:tcPr>
          <w:p>
            <w:pPr>
              <w:spacing w:after="20"/>
              <w:jc w:val="right"/>
            </w:pPr>
            <w:r>
              <w:rPr>
                <w:color w:val="1C3A36"/>
                <w:sz w:val="17"/>
              </w:rPr>
              <w:t>5%</w:t>
            </w:r>
          </w:p>
        </w:tc>
        <w:tc>
          <w:tcPr>
            <w:tcW w:type="dxa" w:w="4464"/>
          </w:tcPr>
          <w:p>
            <w:pPr>
              <w:spacing w:after="20"/>
              <w:jc w:val="right"/>
            </w:pPr>
            <w:r>
              <w:rPr>
                <w:color w:val="1C3A36"/>
                <w:sz w:val="17"/>
              </w:rPr>
              <w:t>Only a macro shock (EGP step-devaluation, rate spike) puts price here; flat-rate DCF bear (3.9) lives in this zone</w:t>
            </w:r>
          </w:p>
        </w:tc>
      </w:tr>
      <w:tr>
        <w:tc>
          <w:tcPr>
            <w:tcW w:type="dxa" w:w="2448"/>
          </w:tcPr>
          <w:p>
            <w:pPr>
              <w:spacing w:after="20"/>
            </w:pPr>
            <w:r>
              <w:rPr>
                <w:b/>
                <w:color w:val="1C3A36"/>
                <w:sz w:val="17"/>
              </w:rPr>
              <w:t>Accumulation band</w:t>
            </w:r>
          </w:p>
        </w:tc>
        <w:tc>
          <w:tcPr>
            <w:tcW w:type="dxa" w:w="2160"/>
          </w:tcPr>
          <w:p>
            <w:pPr>
              <w:spacing w:after="20"/>
              <w:jc w:val="right"/>
            </w:pPr>
            <w:r>
              <w:rPr>
                <w:color w:val="1C3A36"/>
                <w:sz w:val="17"/>
              </w:rPr>
              <w:t>12.1 – 15.1</w:t>
            </w:r>
          </w:p>
        </w:tc>
        <w:tc>
          <w:tcPr>
            <w:tcW w:type="dxa" w:w="1008"/>
          </w:tcPr>
          <w:p>
            <w:pPr>
              <w:spacing w:after="20"/>
              <w:jc w:val="right"/>
            </w:pPr>
            <w:r>
              <w:rPr>
                <w:color w:val="1C3A36"/>
                <w:sz w:val="17"/>
              </w:rPr>
              <w:t>20%</w:t>
            </w:r>
          </w:p>
        </w:tc>
        <w:tc>
          <w:tcPr>
            <w:tcW w:type="dxa" w:w="4464"/>
          </w:tcPr>
          <w:p>
            <w:pPr>
              <w:spacing w:after="20"/>
              <w:jc w:val="right"/>
            </w:pPr>
            <w:r>
              <w:rPr>
                <w:color w:val="1C3A36"/>
                <w:sz w:val="17"/>
              </w:rPr>
              <w:t>Below all four lens bases; central 9.2 sits just above</w:t>
            </w:r>
          </w:p>
        </w:tc>
      </w:tr>
      <w:tr>
        <w:tc>
          <w:tcPr>
            <w:tcW w:type="dxa" w:w="2448"/>
          </w:tcPr>
          <w:p>
            <w:pPr>
              <w:spacing w:after="20"/>
            </w:pPr>
            <w:r>
              <w:rPr>
                <w:b/>
                <w:color w:val="1C3A36"/>
                <w:sz w:val="17"/>
              </w:rPr>
              <w:t>Fair-value core</w:t>
            </w:r>
          </w:p>
        </w:tc>
        <w:tc>
          <w:tcPr>
            <w:tcW w:type="dxa" w:w="2160"/>
          </w:tcPr>
          <w:p>
            <w:pPr>
              <w:spacing w:after="20"/>
              <w:jc w:val="right"/>
            </w:pPr>
            <w:r>
              <w:rPr>
                <w:color w:val="1C3A36"/>
                <w:sz w:val="17"/>
              </w:rPr>
              <w:t>15.1 – 19.2</w:t>
            </w:r>
          </w:p>
        </w:tc>
        <w:tc>
          <w:tcPr>
            <w:tcW w:type="dxa" w:w="1008"/>
          </w:tcPr>
          <w:p>
            <w:pPr>
              <w:spacing w:after="20"/>
              <w:jc w:val="right"/>
            </w:pPr>
            <w:r>
              <w:rPr>
                <w:color w:val="1C3A36"/>
                <w:sz w:val="17"/>
              </w:rPr>
              <w:t>50%</w:t>
            </w:r>
          </w:p>
        </w:tc>
        <w:tc>
          <w:tcPr>
            <w:tcW w:type="dxa" w:w="4464"/>
          </w:tcPr>
          <w:p>
            <w:pPr>
              <w:spacing w:after="20"/>
              <w:jc w:val="right"/>
            </w:pPr>
            <w:r>
              <w:rPr>
                <w:color w:val="1C3A36"/>
                <w:sz w:val="17"/>
              </w:rPr>
              <w:t>Spot 16.31 and the weighted central both sit inside this band</w:t>
            </w:r>
          </w:p>
        </w:tc>
      </w:tr>
      <w:tr>
        <w:tc>
          <w:tcPr>
            <w:tcW w:type="dxa" w:w="2448"/>
          </w:tcPr>
          <w:p>
            <w:pPr>
              <w:spacing w:after="20"/>
            </w:pPr>
            <w:r>
              <w:rPr>
                <w:b/>
                <w:color w:val="1C3A36"/>
                <w:sz w:val="17"/>
              </w:rPr>
              <w:t>Momentum extension</w:t>
            </w:r>
          </w:p>
        </w:tc>
        <w:tc>
          <w:tcPr>
            <w:tcW w:type="dxa" w:w="2160"/>
          </w:tcPr>
          <w:p>
            <w:pPr>
              <w:spacing w:after="20"/>
              <w:jc w:val="right"/>
            </w:pPr>
            <w:r>
              <w:rPr>
                <w:color w:val="1C3A36"/>
                <w:sz w:val="17"/>
              </w:rPr>
              <w:t>19.2 – 23.8</w:t>
            </w:r>
          </w:p>
        </w:tc>
        <w:tc>
          <w:tcPr>
            <w:tcW w:type="dxa" w:w="1008"/>
          </w:tcPr>
          <w:p>
            <w:pPr>
              <w:spacing w:after="20"/>
              <w:jc w:val="right"/>
            </w:pPr>
            <w:r>
              <w:rPr>
                <w:color w:val="1C3A36"/>
                <w:sz w:val="17"/>
              </w:rPr>
              <w:t>20%</w:t>
            </w:r>
          </w:p>
        </w:tc>
        <w:tc>
          <w:tcPr>
            <w:tcW w:type="dxa" w:w="4464"/>
          </w:tcPr>
          <w:p>
            <w:pPr>
              <w:spacing w:after="20"/>
              <w:jc w:val="right"/>
            </w:pPr>
            <w:r>
              <w:rPr>
                <w:color w:val="1C3A36"/>
                <w:sz w:val="17"/>
              </w:rPr>
              <w:t>Requires the rate-cut trade or a strategic-review headline; bull lenses reach here</w:t>
            </w:r>
          </w:p>
        </w:tc>
      </w:tr>
      <w:tr>
        <w:tc>
          <w:tcPr>
            <w:tcW w:type="dxa" w:w="2448"/>
          </w:tcPr>
          <w:p>
            <w:pPr>
              <w:spacing w:after="20"/>
            </w:pPr>
            <w:r>
              <w:rPr>
                <w:b/>
                <w:color w:val="1C3A36"/>
                <w:sz w:val="17"/>
              </w:rPr>
              <w:t>Right tail</w:t>
            </w:r>
          </w:p>
        </w:tc>
        <w:tc>
          <w:tcPr>
            <w:tcW w:type="dxa" w:w="2160"/>
          </w:tcPr>
          <w:p>
            <w:pPr>
              <w:spacing w:after="20"/>
              <w:jc w:val="right"/>
            </w:pPr>
            <w:r>
              <w:rPr>
                <w:color w:val="1C3A36"/>
                <w:sz w:val="17"/>
              </w:rPr>
              <w:t>&gt; 23.8</w:t>
            </w:r>
          </w:p>
        </w:tc>
        <w:tc>
          <w:tcPr>
            <w:tcW w:type="dxa" w:w="1008"/>
          </w:tcPr>
          <w:p>
            <w:pPr>
              <w:spacing w:after="20"/>
              <w:jc w:val="right"/>
            </w:pPr>
            <w:r>
              <w:rPr>
                <w:color w:val="1C3A36"/>
                <w:sz w:val="17"/>
              </w:rPr>
              <w:t>5%</w:t>
            </w:r>
          </w:p>
        </w:tc>
        <w:tc>
          <w:tcPr>
            <w:tcW w:type="dxa" w:w="4464"/>
          </w:tcPr>
          <w:p>
            <w:pPr>
              <w:spacing w:after="20"/>
              <w:jc w:val="right"/>
            </w:pPr>
            <w:r>
              <w:rPr>
                <w:color w:val="1C3A36"/>
                <w:sz w:val="17"/>
              </w:rPr>
              <w:t>Transaction/re-rating outcomes (per-bed marks) only</w:t>
            </w:r>
          </w:p>
        </w:tc>
      </w:tr>
    </w:tbl>
    <w:p>
      <w:pPr>
        <w:spacing w:after="40"/>
      </w:pPr>
    </w:p>
    <w:p>
      <w:pPr>
        <w:spacing w:after="200" w:before="0"/>
      </w:pPr>
      <w:r>
        <w:rPr>
          <w:b w:val="0"/>
          <w:i/>
          <w:color w:val="6E7B77"/>
          <w:sz w:val="17"/>
        </w:rPr>
        <w:t>Bands are percentile locations from the T+60 Monte Carlo, annotated with the fundamental context. Not thresholds for action.</w:t>
      </w:r>
    </w:p>
    <w:p>
      <w:pPr>
        <w:spacing w:after="120" w:before="280"/>
      </w:pPr>
      <w:r>
        <w:rPr>
          <w:b/>
          <w:i w:val="0"/>
          <w:color w:val="1C3A36"/>
          <w:sz w:val="30"/>
        </w:rPr>
        <w:t>7 · Caveats and limitations</w:t>
      </w:r>
    </w:p>
    <w:p>
      <w:pPr>
        <w:pStyle w:val="ListBullet"/>
        <w:spacing w:after="60"/>
      </w:pPr>
      <w:r>
        <w:rPr>
          <w:b/>
          <w:color w:val="1C3A36"/>
          <w:sz w:val="21"/>
        </w:rPr>
        <w:t xml:space="preserve">The big one — </w:t>
      </w:r>
      <w:r>
        <w:rPr>
          <w:color w:val="1C3A36"/>
          <w:sz w:val="21"/>
        </w:rPr>
        <w:t>Discount-rate dependence — the fundamental value hinges on the Egyptian rate path (§1.7). The normalized-stage WACC is a house judgment, not a market observable, and is the single largest source of range in the study.</w:t>
      </w:r>
    </w:p>
    <w:p>
      <w:pPr>
        <w:pStyle w:val="ListBullet"/>
        <w:spacing w:after="60"/>
      </w:pPr>
      <w:r>
        <w:rPr>
          <w:b/>
          <w:color w:val="1C3A36"/>
          <w:sz w:val="21"/>
        </w:rPr>
        <w:t xml:space="preserve">Structural — </w:t>
      </w:r>
      <w:r>
        <w:rPr>
          <w:color w:val="1C3A36"/>
          <w:sz w:val="21"/>
        </w:rPr>
        <w:t>Terminal-value weight — terminal value is 66% of enterprise value in the base case (disclosed in §1.1), unavoidable for a long-duration growth asset. Small changes in terminal g or the normalized WACC move the answer materially; §1.9 sensitizes both rather than hiding them.</w:t>
      </w:r>
    </w:p>
    <w:p>
      <w:pPr>
        <w:pStyle w:val="ListBullet"/>
        <w:spacing w:after="60"/>
      </w:pPr>
      <w:r>
        <w:rPr>
          <w:b/>
          <w:color w:val="1C3A36"/>
          <w:sz w:val="21"/>
        </w:rPr>
        <w:t xml:space="preserve">Calibration — </w:t>
      </w:r>
      <w:r>
        <w:rPr>
          <w:color w:val="1C3A36"/>
          <w:sz w:val="21"/>
        </w:rPr>
        <w:t>Over-wide bands — the Monte Carlo cone uses a market-level width and over-covers this specific low-beta name (§3); the three-month percentiles are conservative rather than precise.</w:t>
      </w:r>
    </w:p>
    <w:p>
      <w:pPr>
        <w:pStyle w:val="ListBullet"/>
        <w:spacing w:after="60"/>
      </w:pPr>
      <w:r>
        <w:rPr>
          <w:b/>
          <w:color w:val="1C3A36"/>
          <w:sz w:val="21"/>
        </w:rPr>
        <w:t xml:space="preserve">Modelling — </w:t>
      </w:r>
      <w:r>
        <w:rPr>
          <w:color w:val="1C3A36"/>
          <w:sz w:val="21"/>
        </w:rPr>
        <w:t>Forecast drivers — the growth, margin, capex and working-capital paths are the preparer’s estimates anchored on disclosed prints; every non-sourced driver is logged in the Fundamental Driver Ledger (B.4). Actuals will differ.</w:t>
      </w:r>
    </w:p>
    <w:p>
      <w:pPr>
        <w:pStyle w:val="ListBullet"/>
        <w:spacing w:after="60"/>
      </w:pPr>
      <w:r>
        <w:rPr>
          <w:b/>
          <w:color w:val="1C3A36"/>
          <w:sz w:val="21"/>
        </w:rPr>
        <w:t xml:space="preserve">Statistical — </w:t>
      </w:r>
      <w:r>
        <w:rPr>
          <w:color w:val="1C3A36"/>
          <w:sz w:val="21"/>
        </w:rPr>
        <w:t>Beta uncertainty — the regression beta of 0.446 clears the usability gate but only just (R² 5.9%); the 90% confidence interval spans roughly 0.15–0.74, and the WACC grid shows what that does to value.</w:t>
      </w:r>
    </w:p>
    <w:p>
      <w:pPr>
        <w:pStyle w:val="ListBullet"/>
        <w:spacing w:after="60"/>
      </w:pPr>
      <w:r>
        <w:rPr>
          <w:b/>
          <w:color w:val="1C3A36"/>
          <w:sz w:val="21"/>
        </w:rPr>
        <w:t xml:space="preserve">Macro — </w:t>
      </w:r>
      <w:r>
        <w:rPr>
          <w:color w:val="1C3A36"/>
          <w:sz w:val="21"/>
        </w:rPr>
        <w:t>Single-market, single-currency — an EGP step-devaluation would hit imported consumables and the translated value at once; the currency is managed, not fixed. Liquidity is thin relative to the Gulf comparables cited.</w:t>
      </w:r>
    </w:p>
    <w:p>
      <w:pPr>
        <w:pStyle w:val="ListBullet"/>
        <w:spacing w:after="60"/>
      </w:pPr>
      <w:r>
        <w:rPr>
          <w:b/>
          <w:color w:val="1C3A36"/>
          <w:sz w:val="21"/>
        </w:rPr>
        <w:t xml:space="preserve">Method — </w:t>
      </w:r>
      <w:r>
        <w:rPr>
          <w:color w:val="1C3A36"/>
          <w:sz w:val="21"/>
        </w:rPr>
        <w:t>The EV-per-bed lens is a transaction mark, not a cash-flow value. It is included because management has itself raised the per-bed discount, but it should never be read as what the business earns — only as what a buyer might pay.</w:t>
      </w:r>
    </w:p>
    <w:p>
      <w:pPr>
        <w:pStyle w:val="ListBullet"/>
        <w:spacing w:after="60"/>
      </w:pPr>
      <w:r>
        <w:rPr>
          <w:b/>
          <w:color w:val="1C3A36"/>
          <w:sz w:val="21"/>
        </w:rPr>
        <w:t xml:space="preserve">Regulatory — </w:t>
      </w:r>
      <w:r>
        <w:rPr>
          <w:color w:val="1C3A36"/>
          <w:sz w:val="21"/>
        </w:rPr>
        <w:t>Not licensed, not advice — the preparer holds no FRA or other securities licence, may hold a position, and issues no rating and no price target. This is educational analysis only.</w:t>
      </w:r>
    </w:p>
    <w:p>
      <w:pPr>
        <w:spacing w:after="120" w:before="280"/>
      </w:pPr>
      <w:r>
        <w:rPr>
          <w:b/>
          <w:i w:val="0"/>
          <w:color w:val="1C3A36"/>
          <w:sz w:val="30"/>
        </w:rPr>
        <w:t>Appendix A · Financial statements</w:t>
      </w:r>
    </w:p>
    <w:p>
      <w:pPr>
        <w:spacing w:after="80" w:before="200"/>
      </w:pPr>
      <w:r>
        <w:rPr>
          <w:b/>
          <w:i w:val="0"/>
          <w:color w:val="1C3A36"/>
          <w:sz w:val="24"/>
        </w:rPr>
        <w:t>A.1 · Income statement (FY2023A–FY2025A, 1Q2026A)</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3528"/>
            <w:shd w:val="clear" w:color="auto" w:fill="EAF0EE"/>
          </w:tcPr>
          <w:p>
            <w:pPr>
              <w:spacing w:after="20"/>
            </w:pPr>
            <w:r>
              <w:rPr>
                <w:b/>
                <w:color w:val="1C3A36"/>
                <w:sz w:val="17"/>
              </w:rPr>
              <w:t>EGP mn</w:t>
            </w:r>
          </w:p>
        </w:tc>
        <w:tc>
          <w:tcPr>
            <w:tcW w:type="dxa" w:w="1440"/>
            <w:shd w:val="clear" w:color="auto" w:fill="EAF0EE"/>
          </w:tcPr>
          <w:p>
            <w:pPr>
              <w:spacing w:after="20"/>
            </w:pPr>
            <w:r>
              <w:rPr>
                <w:b/>
                <w:color w:val="1C3A36"/>
                <w:sz w:val="17"/>
              </w:rPr>
              <w:t>FY23A</w:t>
            </w:r>
          </w:p>
        </w:tc>
        <w:tc>
          <w:tcPr>
            <w:tcW w:type="dxa" w:w="1440"/>
            <w:shd w:val="clear" w:color="auto" w:fill="EAF0EE"/>
          </w:tcPr>
          <w:p>
            <w:pPr>
              <w:spacing w:after="20"/>
            </w:pPr>
            <w:r>
              <w:rPr>
                <w:b/>
                <w:color w:val="1C3A36"/>
                <w:sz w:val="17"/>
              </w:rPr>
              <w:t>FY24A</w:t>
            </w:r>
          </w:p>
        </w:tc>
        <w:tc>
          <w:tcPr>
            <w:tcW w:type="dxa" w:w="1440"/>
            <w:shd w:val="clear" w:color="auto" w:fill="EAF0EE"/>
          </w:tcPr>
          <w:p>
            <w:pPr>
              <w:spacing w:after="20"/>
            </w:pPr>
            <w:r>
              <w:rPr>
                <w:b/>
                <w:color w:val="1C3A36"/>
                <w:sz w:val="17"/>
              </w:rPr>
              <w:t>FY25A</w:t>
            </w:r>
          </w:p>
        </w:tc>
        <w:tc>
          <w:tcPr>
            <w:tcW w:type="dxa" w:w="1440"/>
            <w:shd w:val="clear" w:color="auto" w:fill="EAF0EE"/>
          </w:tcPr>
          <w:p>
            <w:pPr>
              <w:spacing w:after="20"/>
            </w:pPr>
            <w:r>
              <w:rPr>
                <w:b/>
                <w:color w:val="1C3A36"/>
                <w:sz w:val="17"/>
              </w:rPr>
              <w:t>1Q26A</w:t>
            </w:r>
          </w:p>
        </w:tc>
      </w:tr>
      <w:tr>
        <w:tc>
          <w:tcPr>
            <w:tcW w:type="dxa" w:w="3528"/>
          </w:tcPr>
          <w:p>
            <w:pPr>
              <w:spacing w:after="20"/>
            </w:pPr>
            <w:r>
              <w:rPr>
                <w:b/>
                <w:color w:val="1C3A36"/>
                <w:sz w:val="17"/>
              </w:rPr>
              <w:t>Revenue</w:t>
            </w:r>
          </w:p>
        </w:tc>
        <w:tc>
          <w:tcPr>
            <w:tcW w:type="dxa" w:w="1440"/>
          </w:tcPr>
          <w:p>
            <w:pPr>
              <w:spacing w:after="20"/>
              <w:jc w:val="right"/>
            </w:pPr>
            <w:r>
              <w:rPr>
                <w:color w:val="1C3A36"/>
                <w:sz w:val="17"/>
              </w:rPr>
              <w:t>3,595.3</w:t>
            </w:r>
          </w:p>
        </w:tc>
        <w:tc>
          <w:tcPr>
            <w:tcW w:type="dxa" w:w="1440"/>
          </w:tcPr>
          <w:p>
            <w:pPr>
              <w:spacing w:after="20"/>
              <w:jc w:val="right"/>
            </w:pPr>
            <w:r>
              <w:rPr>
                <w:color w:val="1C3A36"/>
                <w:sz w:val="17"/>
              </w:rPr>
              <w:t>5,420.4</w:t>
            </w:r>
          </w:p>
        </w:tc>
        <w:tc>
          <w:tcPr>
            <w:tcW w:type="dxa" w:w="1440"/>
          </w:tcPr>
          <w:p>
            <w:pPr>
              <w:spacing w:after="20"/>
              <w:jc w:val="right"/>
            </w:pPr>
            <w:r>
              <w:rPr>
                <w:color w:val="1C3A36"/>
                <w:sz w:val="17"/>
              </w:rPr>
              <w:t>7,227.3</w:t>
            </w:r>
          </w:p>
        </w:tc>
        <w:tc>
          <w:tcPr>
            <w:tcW w:type="dxa" w:w="1440"/>
          </w:tcPr>
          <w:p>
            <w:pPr>
              <w:spacing w:after="20"/>
              <w:jc w:val="right"/>
            </w:pPr>
            <w:r>
              <w:rPr>
                <w:color w:val="1C3A36"/>
                <w:sz w:val="17"/>
              </w:rPr>
              <w:t>1,972.5</w:t>
            </w:r>
          </w:p>
        </w:tc>
      </w:tr>
      <w:tr>
        <w:tc>
          <w:tcPr>
            <w:tcW w:type="dxa" w:w="3528"/>
          </w:tcPr>
          <w:p>
            <w:pPr>
              <w:spacing w:after="20"/>
            </w:pPr>
            <w:r>
              <w:rPr>
                <w:b/>
                <w:color w:val="1C3A36"/>
                <w:sz w:val="17"/>
              </w:rPr>
              <w:t>Cost of sales</w:t>
            </w:r>
          </w:p>
        </w:tc>
        <w:tc>
          <w:tcPr>
            <w:tcW w:type="dxa" w:w="1440"/>
          </w:tcPr>
          <w:p>
            <w:pPr>
              <w:spacing w:after="20"/>
              <w:jc w:val="right"/>
            </w:pPr>
            <w:r>
              <w:rPr>
                <w:color w:val="1C3A36"/>
                <w:sz w:val="17"/>
              </w:rPr>
              <w:t>(2,386.7)</w:t>
            </w:r>
          </w:p>
        </w:tc>
        <w:tc>
          <w:tcPr>
            <w:tcW w:type="dxa" w:w="1440"/>
          </w:tcPr>
          <w:p>
            <w:pPr>
              <w:spacing w:after="20"/>
              <w:jc w:val="right"/>
            </w:pPr>
            <w:r>
              <w:rPr>
                <w:color w:val="1C3A36"/>
                <w:sz w:val="17"/>
              </w:rPr>
              <w:t>(3,407.1)</w:t>
            </w:r>
          </w:p>
        </w:tc>
        <w:tc>
          <w:tcPr>
            <w:tcW w:type="dxa" w:w="1440"/>
          </w:tcPr>
          <w:p>
            <w:pPr>
              <w:spacing w:after="20"/>
              <w:jc w:val="right"/>
            </w:pPr>
            <w:r>
              <w:rPr>
                <w:color w:val="1C3A36"/>
                <w:sz w:val="17"/>
              </w:rPr>
              <w:t>(4,368.8)</w:t>
            </w:r>
          </w:p>
        </w:tc>
        <w:tc>
          <w:tcPr>
            <w:tcW w:type="dxa" w:w="1440"/>
          </w:tcPr>
          <w:p>
            <w:pPr>
              <w:spacing w:after="20"/>
              <w:jc w:val="right"/>
            </w:pPr>
            <w:r>
              <w:rPr>
                <w:color w:val="1C3A36"/>
                <w:sz w:val="17"/>
              </w:rPr>
              <w:t>—</w:t>
            </w:r>
          </w:p>
        </w:tc>
      </w:tr>
      <w:tr>
        <w:tc>
          <w:tcPr>
            <w:tcW w:type="dxa" w:w="3528"/>
          </w:tcPr>
          <w:p>
            <w:pPr>
              <w:spacing w:after="20"/>
            </w:pPr>
            <w:r>
              <w:rPr>
                <w:b/>
                <w:color w:val="1C3A36"/>
                <w:sz w:val="17"/>
              </w:rPr>
              <w:t>Gross profit</w:t>
            </w:r>
          </w:p>
        </w:tc>
        <w:tc>
          <w:tcPr>
            <w:tcW w:type="dxa" w:w="1440"/>
          </w:tcPr>
          <w:p>
            <w:pPr>
              <w:spacing w:after="20"/>
              <w:jc w:val="right"/>
            </w:pPr>
            <w:r>
              <w:rPr>
                <w:color w:val="1C3A36"/>
                <w:sz w:val="17"/>
              </w:rPr>
              <w:t>1,208.6</w:t>
            </w:r>
          </w:p>
        </w:tc>
        <w:tc>
          <w:tcPr>
            <w:tcW w:type="dxa" w:w="1440"/>
          </w:tcPr>
          <w:p>
            <w:pPr>
              <w:spacing w:after="20"/>
              <w:jc w:val="right"/>
            </w:pPr>
            <w:r>
              <w:rPr>
                <w:color w:val="1C3A36"/>
                <w:sz w:val="17"/>
              </w:rPr>
              <w:t>2,013.3</w:t>
            </w:r>
          </w:p>
        </w:tc>
        <w:tc>
          <w:tcPr>
            <w:tcW w:type="dxa" w:w="1440"/>
          </w:tcPr>
          <w:p>
            <w:pPr>
              <w:spacing w:after="20"/>
              <w:jc w:val="right"/>
            </w:pPr>
            <w:r>
              <w:rPr>
                <w:color w:val="1C3A36"/>
                <w:sz w:val="17"/>
              </w:rPr>
              <w:t>2,858.5</w:t>
            </w:r>
          </w:p>
        </w:tc>
        <w:tc>
          <w:tcPr>
            <w:tcW w:type="dxa" w:w="1440"/>
          </w:tcPr>
          <w:p>
            <w:pPr>
              <w:spacing w:after="20"/>
              <w:jc w:val="right"/>
            </w:pPr>
            <w:r>
              <w:rPr>
                <w:color w:val="1C3A36"/>
                <w:sz w:val="17"/>
              </w:rPr>
              <w:t>644.6</w:t>
            </w:r>
          </w:p>
        </w:tc>
      </w:tr>
      <w:tr>
        <w:tc>
          <w:tcPr>
            <w:tcW w:type="dxa" w:w="3528"/>
          </w:tcPr>
          <w:p>
            <w:pPr>
              <w:spacing w:after="20"/>
            </w:pPr>
            <w:r>
              <w:rPr>
                <w:b/>
                <w:color w:val="1C3A36"/>
                <w:sz w:val="17"/>
              </w:rPr>
              <w:t>Gross margin</w:t>
            </w:r>
          </w:p>
        </w:tc>
        <w:tc>
          <w:tcPr>
            <w:tcW w:type="dxa" w:w="1440"/>
          </w:tcPr>
          <w:p>
            <w:pPr>
              <w:spacing w:after="20"/>
              <w:jc w:val="right"/>
            </w:pPr>
            <w:r>
              <w:rPr>
                <w:color w:val="1C3A36"/>
                <w:sz w:val="17"/>
              </w:rPr>
              <w:t>33.6%</w:t>
            </w:r>
          </w:p>
        </w:tc>
        <w:tc>
          <w:tcPr>
            <w:tcW w:type="dxa" w:w="1440"/>
          </w:tcPr>
          <w:p>
            <w:pPr>
              <w:spacing w:after="20"/>
              <w:jc w:val="right"/>
            </w:pPr>
            <w:r>
              <w:rPr>
                <w:color w:val="1C3A36"/>
                <w:sz w:val="17"/>
              </w:rPr>
              <w:t>37.1%</w:t>
            </w:r>
          </w:p>
        </w:tc>
        <w:tc>
          <w:tcPr>
            <w:tcW w:type="dxa" w:w="1440"/>
          </w:tcPr>
          <w:p>
            <w:pPr>
              <w:spacing w:after="20"/>
              <w:jc w:val="right"/>
            </w:pPr>
            <w:r>
              <w:rPr>
                <w:color w:val="1C3A36"/>
                <w:sz w:val="17"/>
              </w:rPr>
              <w:t>39.6%</w:t>
            </w:r>
          </w:p>
        </w:tc>
        <w:tc>
          <w:tcPr>
            <w:tcW w:type="dxa" w:w="1440"/>
          </w:tcPr>
          <w:p>
            <w:pPr>
              <w:spacing w:after="20"/>
              <w:jc w:val="right"/>
            </w:pPr>
            <w:r>
              <w:rPr>
                <w:color w:val="1C3A36"/>
                <w:sz w:val="17"/>
              </w:rPr>
              <w:t>32.7%</w:t>
            </w:r>
          </w:p>
        </w:tc>
      </w:tr>
      <w:tr>
        <w:tc>
          <w:tcPr>
            <w:tcW w:type="dxa" w:w="3528"/>
          </w:tcPr>
          <w:p>
            <w:pPr>
              <w:spacing w:after="20"/>
            </w:pPr>
            <w:r>
              <w:rPr>
                <w:b/>
                <w:color w:val="1C3A36"/>
                <w:sz w:val="17"/>
              </w:rPr>
              <w:t>G&amp;A, provisions &amp; other, net</w:t>
            </w:r>
          </w:p>
        </w:tc>
        <w:tc>
          <w:tcPr>
            <w:tcW w:type="dxa" w:w="1440"/>
          </w:tcPr>
          <w:p>
            <w:pPr>
              <w:spacing w:after="20"/>
              <w:jc w:val="right"/>
            </w:pPr>
            <w:r>
              <w:rPr>
                <w:color w:val="1C3A36"/>
                <w:sz w:val="17"/>
              </w:rPr>
              <w:t>(559.2)</w:t>
            </w:r>
          </w:p>
        </w:tc>
        <w:tc>
          <w:tcPr>
            <w:tcW w:type="dxa" w:w="1440"/>
          </w:tcPr>
          <w:p>
            <w:pPr>
              <w:spacing w:after="20"/>
              <w:jc w:val="right"/>
            </w:pPr>
            <w:r>
              <w:rPr>
                <w:color w:val="1C3A36"/>
                <w:sz w:val="17"/>
              </w:rPr>
              <w:t>(850.6)</w:t>
            </w:r>
          </w:p>
        </w:tc>
        <w:tc>
          <w:tcPr>
            <w:tcW w:type="dxa" w:w="1440"/>
          </w:tcPr>
          <w:p>
            <w:pPr>
              <w:spacing w:after="20"/>
              <w:jc w:val="right"/>
            </w:pPr>
            <w:r>
              <w:rPr>
                <w:color w:val="1C3A36"/>
                <w:sz w:val="17"/>
              </w:rPr>
              <w:t>(1358.7)</w:t>
            </w:r>
          </w:p>
        </w:tc>
        <w:tc>
          <w:tcPr>
            <w:tcW w:type="dxa" w:w="1440"/>
          </w:tcPr>
          <w:p>
            <w:pPr>
              <w:spacing w:after="20"/>
              <w:jc w:val="right"/>
            </w:pPr>
            <w:r>
              <w:rPr>
                <w:color w:val="1C3A36"/>
                <w:sz w:val="17"/>
              </w:rPr>
              <w:t>—</w:t>
            </w:r>
          </w:p>
        </w:tc>
      </w:tr>
      <w:tr>
        <w:tc>
          <w:tcPr>
            <w:tcW w:type="dxa" w:w="3528"/>
          </w:tcPr>
          <w:p>
            <w:pPr>
              <w:spacing w:after="20"/>
            </w:pPr>
            <w:r>
              <w:rPr>
                <w:b/>
                <w:color w:val="1C3A36"/>
                <w:sz w:val="17"/>
              </w:rPr>
              <w:t>EBIT</w:t>
            </w:r>
          </w:p>
        </w:tc>
        <w:tc>
          <w:tcPr>
            <w:tcW w:type="dxa" w:w="1440"/>
          </w:tcPr>
          <w:p>
            <w:pPr>
              <w:spacing w:after="20"/>
              <w:jc w:val="right"/>
            </w:pPr>
            <w:r>
              <w:rPr>
                <w:color w:val="1C3A36"/>
                <w:sz w:val="17"/>
              </w:rPr>
              <w:t>649.4</w:t>
            </w:r>
          </w:p>
        </w:tc>
        <w:tc>
          <w:tcPr>
            <w:tcW w:type="dxa" w:w="1440"/>
          </w:tcPr>
          <w:p>
            <w:pPr>
              <w:spacing w:after="20"/>
              <w:jc w:val="right"/>
            </w:pPr>
            <w:r>
              <w:rPr>
                <w:color w:val="1C3A36"/>
                <w:sz w:val="17"/>
              </w:rPr>
              <w:t>1,162.8</w:t>
            </w:r>
          </w:p>
        </w:tc>
        <w:tc>
          <w:tcPr>
            <w:tcW w:type="dxa" w:w="1440"/>
          </w:tcPr>
          <w:p>
            <w:pPr>
              <w:spacing w:after="20"/>
              <w:jc w:val="right"/>
            </w:pPr>
            <w:r>
              <w:rPr>
                <w:color w:val="1C3A36"/>
                <w:sz w:val="17"/>
              </w:rPr>
              <w:t>1,499.8</w:t>
            </w:r>
          </w:p>
        </w:tc>
        <w:tc>
          <w:tcPr>
            <w:tcW w:type="dxa" w:w="1440"/>
          </w:tcPr>
          <w:p>
            <w:pPr>
              <w:spacing w:after="20"/>
              <w:jc w:val="right"/>
            </w:pPr>
            <w:r>
              <w:rPr>
                <w:color w:val="1C3A36"/>
                <w:sz w:val="17"/>
              </w:rPr>
              <w:t>278.8</w:t>
            </w:r>
          </w:p>
        </w:tc>
      </w:tr>
      <w:tr>
        <w:tc>
          <w:tcPr>
            <w:tcW w:type="dxa" w:w="3528"/>
          </w:tcPr>
          <w:p>
            <w:pPr>
              <w:spacing w:after="20"/>
            </w:pPr>
            <w:r>
              <w:rPr>
                <w:b/>
                <w:color w:val="1C3A36"/>
                <w:sz w:val="17"/>
              </w:rPr>
              <w:t>Net interest (income − expense)</w:t>
            </w:r>
          </w:p>
        </w:tc>
        <w:tc>
          <w:tcPr>
            <w:tcW w:type="dxa" w:w="1440"/>
          </w:tcPr>
          <w:p>
            <w:pPr>
              <w:spacing w:after="20"/>
              <w:jc w:val="right"/>
            </w:pPr>
            <w:r>
              <w:rPr>
                <w:color w:val="1C3A36"/>
                <w:sz w:val="17"/>
              </w:rPr>
              <w:t>(41.7)</w:t>
            </w:r>
          </w:p>
        </w:tc>
        <w:tc>
          <w:tcPr>
            <w:tcW w:type="dxa" w:w="1440"/>
          </w:tcPr>
          <w:p>
            <w:pPr>
              <w:spacing w:after="20"/>
              <w:jc w:val="right"/>
            </w:pPr>
            <w:r>
              <w:rPr>
                <w:color w:val="1C3A36"/>
                <w:sz w:val="17"/>
              </w:rPr>
              <w:t>(79.1)</w:t>
            </w:r>
          </w:p>
        </w:tc>
        <w:tc>
          <w:tcPr>
            <w:tcW w:type="dxa" w:w="1440"/>
          </w:tcPr>
          <w:p>
            <w:pPr>
              <w:spacing w:after="20"/>
              <w:jc w:val="right"/>
            </w:pPr>
            <w:r>
              <w:rPr>
                <w:color w:val="1C3A36"/>
                <w:sz w:val="17"/>
              </w:rPr>
              <w:t>(180.7)</w:t>
            </w:r>
          </w:p>
        </w:tc>
        <w:tc>
          <w:tcPr>
            <w:tcW w:type="dxa" w:w="1440"/>
          </w:tcPr>
          <w:p>
            <w:pPr>
              <w:spacing w:after="20"/>
              <w:jc w:val="right"/>
            </w:pPr>
            <w:r>
              <w:rPr>
                <w:color w:val="1C3A36"/>
                <w:sz w:val="17"/>
              </w:rPr>
              <w:t>(59.6)</w:t>
            </w:r>
          </w:p>
        </w:tc>
      </w:tr>
      <w:tr>
        <w:tc>
          <w:tcPr>
            <w:tcW w:type="dxa" w:w="3528"/>
          </w:tcPr>
          <w:p>
            <w:pPr>
              <w:spacing w:after="20"/>
            </w:pPr>
            <w:r>
              <w:rPr>
                <w:b/>
                <w:color w:val="1C3A36"/>
                <w:sz w:val="17"/>
              </w:rPr>
              <w:t>Profit before tax</w:t>
            </w:r>
          </w:p>
        </w:tc>
        <w:tc>
          <w:tcPr>
            <w:tcW w:type="dxa" w:w="1440"/>
          </w:tcPr>
          <w:p>
            <w:pPr>
              <w:spacing w:after="20"/>
              <w:jc w:val="right"/>
            </w:pPr>
            <w:r>
              <w:rPr>
                <w:color w:val="1C3A36"/>
                <w:sz w:val="17"/>
              </w:rPr>
              <w:t>607.7</w:t>
            </w:r>
          </w:p>
        </w:tc>
        <w:tc>
          <w:tcPr>
            <w:tcW w:type="dxa" w:w="1440"/>
          </w:tcPr>
          <w:p>
            <w:pPr>
              <w:spacing w:after="20"/>
              <w:jc w:val="right"/>
            </w:pPr>
            <w:r>
              <w:rPr>
                <w:color w:val="1C3A36"/>
                <w:sz w:val="17"/>
              </w:rPr>
              <w:t>1,083.7</w:t>
            </w:r>
          </w:p>
        </w:tc>
        <w:tc>
          <w:tcPr>
            <w:tcW w:type="dxa" w:w="1440"/>
          </w:tcPr>
          <w:p>
            <w:pPr>
              <w:spacing w:after="20"/>
              <w:jc w:val="right"/>
            </w:pPr>
            <w:r>
              <w:rPr>
                <w:color w:val="1C3A36"/>
                <w:sz w:val="17"/>
              </w:rPr>
              <w:t>1,319.1</w:t>
            </w:r>
          </w:p>
        </w:tc>
        <w:tc>
          <w:tcPr>
            <w:tcW w:type="dxa" w:w="1440"/>
          </w:tcPr>
          <w:p>
            <w:pPr>
              <w:spacing w:after="20"/>
              <w:jc w:val="right"/>
            </w:pPr>
            <w:r>
              <w:rPr>
                <w:color w:val="1C3A36"/>
                <w:sz w:val="17"/>
              </w:rPr>
              <w:t>219.2</w:t>
            </w:r>
          </w:p>
        </w:tc>
      </w:tr>
      <w:tr>
        <w:tc>
          <w:tcPr>
            <w:tcW w:type="dxa" w:w="3528"/>
          </w:tcPr>
          <w:p>
            <w:pPr>
              <w:spacing w:after="20"/>
            </w:pPr>
            <w:r>
              <w:rPr>
                <w:b/>
                <w:color w:val="1C3A36"/>
                <w:sz w:val="17"/>
              </w:rPr>
              <w:t>Income tax (incl. deferred)</w:t>
            </w:r>
          </w:p>
        </w:tc>
        <w:tc>
          <w:tcPr>
            <w:tcW w:type="dxa" w:w="1440"/>
          </w:tcPr>
          <w:p>
            <w:pPr>
              <w:spacing w:after="20"/>
              <w:jc w:val="right"/>
            </w:pPr>
            <w:r>
              <w:rPr>
                <w:color w:val="1C3A36"/>
                <w:sz w:val="17"/>
              </w:rPr>
              <w:t>(138.4)</w:t>
            </w:r>
          </w:p>
        </w:tc>
        <w:tc>
          <w:tcPr>
            <w:tcW w:type="dxa" w:w="1440"/>
          </w:tcPr>
          <w:p>
            <w:pPr>
              <w:spacing w:after="20"/>
              <w:jc w:val="right"/>
            </w:pPr>
            <w:r>
              <w:rPr>
                <w:color w:val="1C3A36"/>
                <w:sz w:val="17"/>
              </w:rPr>
              <w:t>(266.7)</w:t>
            </w:r>
          </w:p>
        </w:tc>
        <w:tc>
          <w:tcPr>
            <w:tcW w:type="dxa" w:w="1440"/>
          </w:tcPr>
          <w:p>
            <w:pPr>
              <w:spacing w:after="20"/>
              <w:jc w:val="right"/>
            </w:pPr>
            <w:r>
              <w:rPr>
                <w:color w:val="1C3A36"/>
                <w:sz w:val="17"/>
              </w:rPr>
              <w:t>(351.2)</w:t>
            </w:r>
          </w:p>
        </w:tc>
        <w:tc>
          <w:tcPr>
            <w:tcW w:type="dxa" w:w="1440"/>
          </w:tcPr>
          <w:p>
            <w:pPr>
              <w:spacing w:after="20"/>
              <w:jc w:val="right"/>
            </w:pPr>
            <w:r>
              <w:rPr>
                <w:color w:val="1C3A36"/>
                <w:sz w:val="17"/>
              </w:rPr>
              <w:t>(66.3)</w:t>
            </w:r>
          </w:p>
        </w:tc>
      </w:tr>
      <w:tr>
        <w:tc>
          <w:tcPr>
            <w:tcW w:type="dxa" w:w="3528"/>
          </w:tcPr>
          <w:p>
            <w:pPr>
              <w:spacing w:after="20"/>
            </w:pPr>
            <w:r>
              <w:rPr>
                <w:b/>
                <w:color w:val="1C3A36"/>
                <w:sz w:val="17"/>
              </w:rPr>
              <w:t>Net profit</w:t>
            </w:r>
          </w:p>
        </w:tc>
        <w:tc>
          <w:tcPr>
            <w:tcW w:type="dxa" w:w="1440"/>
          </w:tcPr>
          <w:p>
            <w:pPr>
              <w:spacing w:after="20"/>
              <w:jc w:val="right"/>
            </w:pPr>
            <w:r>
              <w:rPr>
                <w:color w:val="1C3A36"/>
                <w:sz w:val="17"/>
              </w:rPr>
              <w:t>469.3</w:t>
            </w:r>
          </w:p>
        </w:tc>
        <w:tc>
          <w:tcPr>
            <w:tcW w:type="dxa" w:w="1440"/>
          </w:tcPr>
          <w:p>
            <w:pPr>
              <w:spacing w:after="20"/>
              <w:jc w:val="right"/>
            </w:pPr>
            <w:r>
              <w:rPr>
                <w:color w:val="1C3A36"/>
                <w:sz w:val="17"/>
              </w:rPr>
              <w:t>817.0</w:t>
            </w:r>
          </w:p>
        </w:tc>
        <w:tc>
          <w:tcPr>
            <w:tcW w:type="dxa" w:w="1440"/>
          </w:tcPr>
          <w:p>
            <w:pPr>
              <w:spacing w:after="20"/>
              <w:jc w:val="right"/>
            </w:pPr>
            <w:r>
              <w:rPr>
                <w:color w:val="1C3A36"/>
                <w:sz w:val="17"/>
              </w:rPr>
              <w:t>967.9</w:t>
            </w:r>
          </w:p>
        </w:tc>
        <w:tc>
          <w:tcPr>
            <w:tcW w:type="dxa" w:w="1440"/>
          </w:tcPr>
          <w:p>
            <w:pPr>
              <w:spacing w:after="20"/>
              <w:jc w:val="right"/>
            </w:pPr>
            <w:r>
              <w:rPr>
                <w:color w:val="1C3A36"/>
                <w:sz w:val="17"/>
              </w:rPr>
              <w:t>152.9</w:t>
            </w:r>
          </w:p>
        </w:tc>
      </w:tr>
      <w:tr>
        <w:tc>
          <w:tcPr>
            <w:tcW w:type="dxa" w:w="3528"/>
          </w:tcPr>
          <w:p>
            <w:pPr>
              <w:spacing w:after="20"/>
            </w:pPr>
            <w:r>
              <w:rPr>
                <w:b/>
                <w:color w:val="1C3A36"/>
                <w:sz w:val="17"/>
              </w:rPr>
              <w:t>— attributable to parent</w:t>
            </w:r>
          </w:p>
        </w:tc>
        <w:tc>
          <w:tcPr>
            <w:tcW w:type="dxa" w:w="1440"/>
          </w:tcPr>
          <w:p>
            <w:pPr>
              <w:spacing w:after="20"/>
              <w:jc w:val="right"/>
            </w:pPr>
            <w:r>
              <w:rPr>
                <w:color w:val="1C3A36"/>
                <w:sz w:val="17"/>
              </w:rPr>
              <w:t>418.2</w:t>
            </w:r>
          </w:p>
        </w:tc>
        <w:tc>
          <w:tcPr>
            <w:tcW w:type="dxa" w:w="1440"/>
          </w:tcPr>
          <w:p>
            <w:pPr>
              <w:spacing w:after="20"/>
              <w:jc w:val="right"/>
            </w:pPr>
            <w:r>
              <w:rPr>
                <w:color w:val="1C3A36"/>
                <w:sz w:val="17"/>
              </w:rPr>
              <w:t>723.3</w:t>
            </w:r>
          </w:p>
        </w:tc>
        <w:tc>
          <w:tcPr>
            <w:tcW w:type="dxa" w:w="1440"/>
          </w:tcPr>
          <w:p>
            <w:pPr>
              <w:spacing w:after="20"/>
              <w:jc w:val="right"/>
            </w:pPr>
            <w:r>
              <w:rPr>
                <w:color w:val="1C3A36"/>
                <w:sz w:val="17"/>
              </w:rPr>
              <w:t>823.9</w:t>
            </w:r>
          </w:p>
        </w:tc>
        <w:tc>
          <w:tcPr>
            <w:tcW w:type="dxa" w:w="1440"/>
          </w:tcPr>
          <w:p>
            <w:pPr>
              <w:spacing w:after="20"/>
              <w:jc w:val="right"/>
            </w:pPr>
            <w:r>
              <w:rPr>
                <w:color w:val="1C3A36"/>
                <w:sz w:val="17"/>
              </w:rPr>
              <w:t>118.1</w:t>
            </w:r>
          </w:p>
        </w:tc>
      </w:tr>
      <w:tr>
        <w:tc>
          <w:tcPr>
            <w:tcW w:type="dxa" w:w="3528"/>
          </w:tcPr>
          <w:p>
            <w:pPr>
              <w:spacing w:after="20"/>
            </w:pPr>
            <w:r>
              <w:rPr>
                <w:b/>
                <w:color w:val="1C3A36"/>
                <w:sz w:val="17"/>
              </w:rPr>
              <w:t>— non-controlling interests</w:t>
            </w:r>
          </w:p>
        </w:tc>
        <w:tc>
          <w:tcPr>
            <w:tcW w:type="dxa" w:w="1440"/>
          </w:tcPr>
          <w:p>
            <w:pPr>
              <w:spacing w:after="20"/>
              <w:jc w:val="right"/>
            </w:pPr>
            <w:r>
              <w:rPr>
                <w:color w:val="1C3A36"/>
                <w:sz w:val="17"/>
              </w:rPr>
              <w:t>51.1</w:t>
            </w:r>
          </w:p>
        </w:tc>
        <w:tc>
          <w:tcPr>
            <w:tcW w:type="dxa" w:w="1440"/>
          </w:tcPr>
          <w:p>
            <w:pPr>
              <w:spacing w:after="20"/>
              <w:jc w:val="right"/>
            </w:pPr>
            <w:r>
              <w:rPr>
                <w:color w:val="1C3A36"/>
                <w:sz w:val="17"/>
              </w:rPr>
              <w:t>93.7</w:t>
            </w:r>
          </w:p>
        </w:tc>
        <w:tc>
          <w:tcPr>
            <w:tcW w:type="dxa" w:w="1440"/>
          </w:tcPr>
          <w:p>
            <w:pPr>
              <w:spacing w:after="20"/>
              <w:jc w:val="right"/>
            </w:pPr>
            <w:r>
              <w:rPr>
                <w:color w:val="1C3A36"/>
                <w:sz w:val="17"/>
              </w:rPr>
              <w:t>144.0</w:t>
            </w:r>
          </w:p>
        </w:tc>
        <w:tc>
          <w:tcPr>
            <w:tcW w:type="dxa" w:w="1440"/>
          </w:tcPr>
          <w:p>
            <w:pPr>
              <w:spacing w:after="20"/>
              <w:jc w:val="right"/>
            </w:pPr>
            <w:r>
              <w:rPr>
                <w:color w:val="1C3A36"/>
                <w:sz w:val="17"/>
              </w:rPr>
              <w:t>34.8</w:t>
            </w:r>
          </w:p>
        </w:tc>
      </w:tr>
      <w:tr>
        <w:tc>
          <w:tcPr>
            <w:tcW w:type="dxa" w:w="3528"/>
          </w:tcPr>
          <w:p>
            <w:pPr>
              <w:spacing w:after="20"/>
            </w:pPr>
            <w:r>
              <w:rPr>
                <w:b/>
                <w:color w:val="1C3A36"/>
                <w:sz w:val="17"/>
              </w:rPr>
              <w:t>EPS (EGP, parent)</w:t>
            </w:r>
          </w:p>
        </w:tc>
        <w:tc>
          <w:tcPr>
            <w:tcW w:type="dxa" w:w="1440"/>
          </w:tcPr>
          <w:p>
            <w:pPr>
              <w:spacing w:after="20"/>
              <w:jc w:val="right"/>
            </w:pPr>
            <w:r>
              <w:rPr>
                <w:color w:val="1C3A36"/>
                <w:sz w:val="17"/>
              </w:rPr>
              <w:t>0.29</w:t>
            </w:r>
          </w:p>
        </w:tc>
        <w:tc>
          <w:tcPr>
            <w:tcW w:type="dxa" w:w="1440"/>
          </w:tcPr>
          <w:p>
            <w:pPr>
              <w:spacing w:after="20"/>
              <w:jc w:val="right"/>
            </w:pPr>
            <w:r>
              <w:rPr>
                <w:color w:val="1C3A36"/>
                <w:sz w:val="17"/>
              </w:rPr>
              <w:t>0.50</w:t>
            </w:r>
          </w:p>
        </w:tc>
        <w:tc>
          <w:tcPr>
            <w:tcW w:type="dxa" w:w="1440"/>
          </w:tcPr>
          <w:p>
            <w:pPr>
              <w:spacing w:after="20"/>
              <w:jc w:val="right"/>
            </w:pPr>
            <w:r>
              <w:rPr>
                <w:color w:val="1C3A36"/>
                <w:sz w:val="17"/>
              </w:rPr>
              <w:t>0.67</w:t>
            </w:r>
          </w:p>
        </w:tc>
        <w:tc>
          <w:tcPr>
            <w:tcW w:type="dxa" w:w="1440"/>
          </w:tcPr>
          <w:p>
            <w:pPr>
              <w:spacing w:after="20"/>
              <w:jc w:val="right"/>
            </w:pPr>
            <w:r>
              <w:rPr>
                <w:color w:val="1C3A36"/>
                <w:sz w:val="17"/>
              </w:rPr>
              <w:t>0.08</w:t>
            </w:r>
          </w:p>
        </w:tc>
      </w:tr>
      <w:tr>
        <w:tc>
          <w:tcPr>
            <w:tcW w:type="dxa" w:w="3528"/>
          </w:tcPr>
          <w:p>
            <w:pPr>
              <w:spacing w:after="20"/>
            </w:pPr>
            <w:r>
              <w:rPr>
                <w:b/>
                <w:color w:val="1C3A36"/>
                <w:sz w:val="17"/>
              </w:rPr>
              <w:t>Adjusted EBITDA (company definition)</w:t>
            </w:r>
          </w:p>
        </w:tc>
        <w:tc>
          <w:tcPr>
            <w:tcW w:type="dxa" w:w="1440"/>
          </w:tcPr>
          <w:p>
            <w:pPr>
              <w:spacing w:after="20"/>
              <w:jc w:val="right"/>
            </w:pPr>
            <w:r>
              <w:rPr>
                <w:color w:val="1C3A36"/>
                <w:sz w:val="17"/>
              </w:rPr>
              <w:t>954.0</w:t>
            </w:r>
          </w:p>
        </w:tc>
        <w:tc>
          <w:tcPr>
            <w:tcW w:type="dxa" w:w="1440"/>
          </w:tcPr>
          <w:p>
            <w:pPr>
              <w:spacing w:after="20"/>
              <w:jc w:val="right"/>
            </w:pPr>
            <w:r>
              <w:rPr>
                <w:color w:val="1C3A36"/>
                <w:sz w:val="17"/>
              </w:rPr>
              <w:t>1,529.0</w:t>
            </w:r>
          </w:p>
        </w:tc>
        <w:tc>
          <w:tcPr>
            <w:tcW w:type="dxa" w:w="1440"/>
          </w:tcPr>
          <w:p>
            <w:pPr>
              <w:spacing w:after="20"/>
              <w:jc w:val="right"/>
            </w:pPr>
            <w:r>
              <w:rPr>
                <w:color w:val="1C3A36"/>
                <w:sz w:val="17"/>
              </w:rPr>
              <w:t>2,137.0</w:t>
            </w:r>
          </w:p>
        </w:tc>
        <w:tc>
          <w:tcPr>
            <w:tcW w:type="dxa" w:w="1440"/>
          </w:tcPr>
          <w:p>
            <w:pPr>
              <w:spacing w:after="20"/>
              <w:jc w:val="right"/>
            </w:pPr>
            <w:r>
              <w:rPr>
                <w:color w:val="1C3A36"/>
                <w:sz w:val="17"/>
              </w:rPr>
              <w:t>497.0</w:t>
            </w:r>
          </w:p>
        </w:tc>
      </w:tr>
      <w:tr>
        <w:tc>
          <w:tcPr>
            <w:tcW w:type="dxa" w:w="3528"/>
          </w:tcPr>
          <w:p>
            <w:pPr>
              <w:spacing w:after="20"/>
            </w:pPr>
            <w:r>
              <w:rPr>
                <w:b/>
                <w:color w:val="1C3A36"/>
                <w:sz w:val="17"/>
              </w:rPr>
              <w:t>Adj. EBITDA margin</w:t>
            </w:r>
          </w:p>
        </w:tc>
        <w:tc>
          <w:tcPr>
            <w:tcW w:type="dxa" w:w="1440"/>
          </w:tcPr>
          <w:p>
            <w:pPr>
              <w:spacing w:after="20"/>
              <w:jc w:val="right"/>
            </w:pPr>
            <w:r>
              <w:rPr>
                <w:color w:val="1C3A36"/>
                <w:sz w:val="17"/>
              </w:rPr>
              <w:t>26.5%</w:t>
            </w:r>
          </w:p>
        </w:tc>
        <w:tc>
          <w:tcPr>
            <w:tcW w:type="dxa" w:w="1440"/>
          </w:tcPr>
          <w:p>
            <w:pPr>
              <w:spacing w:after="20"/>
              <w:jc w:val="right"/>
            </w:pPr>
            <w:r>
              <w:rPr>
                <w:color w:val="1C3A36"/>
                <w:sz w:val="17"/>
              </w:rPr>
              <w:t>28.2%</w:t>
            </w:r>
          </w:p>
        </w:tc>
        <w:tc>
          <w:tcPr>
            <w:tcW w:type="dxa" w:w="1440"/>
          </w:tcPr>
          <w:p>
            <w:pPr>
              <w:spacing w:after="20"/>
              <w:jc w:val="right"/>
            </w:pPr>
            <w:r>
              <w:rPr>
                <w:color w:val="1C3A36"/>
                <w:sz w:val="17"/>
              </w:rPr>
              <w:t>29.6%</w:t>
            </w:r>
          </w:p>
        </w:tc>
        <w:tc>
          <w:tcPr>
            <w:tcW w:type="dxa" w:w="1440"/>
          </w:tcPr>
          <w:p>
            <w:pPr>
              <w:spacing w:after="20"/>
              <w:jc w:val="right"/>
            </w:pPr>
            <w:r>
              <w:rPr>
                <w:color w:val="1C3A36"/>
                <w:sz w:val="17"/>
              </w:rPr>
              <w:t>25.2%</w:t>
            </w:r>
          </w:p>
        </w:tc>
      </w:tr>
      <w:tr>
        <w:tc>
          <w:tcPr>
            <w:tcW w:type="dxa" w:w="3528"/>
          </w:tcPr>
          <w:p>
            <w:pPr>
              <w:spacing w:after="20"/>
            </w:pPr>
            <w:r>
              <w:rPr>
                <w:b/>
                <w:color w:val="1C3A36"/>
                <w:sz w:val="17"/>
              </w:rPr>
              <w:t>Reported-basis EBITDA (EBIT + D&amp;A)</w:t>
            </w:r>
          </w:p>
        </w:tc>
        <w:tc>
          <w:tcPr>
            <w:tcW w:type="dxa" w:w="1440"/>
          </w:tcPr>
          <w:p>
            <w:pPr>
              <w:spacing w:after="20"/>
              <w:jc w:val="right"/>
            </w:pPr>
            <w:r>
              <w:rPr>
                <w:color w:val="1C3A36"/>
                <w:sz w:val="17"/>
              </w:rPr>
              <w:t>810.8</w:t>
            </w:r>
          </w:p>
        </w:tc>
        <w:tc>
          <w:tcPr>
            <w:tcW w:type="dxa" w:w="1440"/>
          </w:tcPr>
          <w:p>
            <w:pPr>
              <w:spacing w:after="20"/>
              <w:jc w:val="right"/>
            </w:pPr>
            <w:r>
              <w:rPr>
                <w:color w:val="1C3A36"/>
                <w:sz w:val="17"/>
              </w:rPr>
              <w:t>1347.1</w:t>
            </w:r>
          </w:p>
        </w:tc>
        <w:tc>
          <w:tcPr>
            <w:tcW w:type="dxa" w:w="1440"/>
          </w:tcPr>
          <w:p>
            <w:pPr>
              <w:spacing w:after="20"/>
              <w:jc w:val="right"/>
            </w:pPr>
            <w:r>
              <w:rPr>
                <w:color w:val="1C3A36"/>
                <w:sz w:val="17"/>
              </w:rPr>
              <w:t>1719.5</w:t>
            </w:r>
          </w:p>
        </w:tc>
        <w:tc>
          <w:tcPr>
            <w:tcW w:type="dxa" w:w="1440"/>
          </w:tcPr>
          <w:p>
            <w:pPr>
              <w:spacing w:after="20"/>
              <w:jc w:val="right"/>
            </w:pPr>
            <w:r>
              <w:rPr>
                <w:color w:val="1C3A36"/>
                <w:sz w:val="17"/>
              </w:rPr>
              <w:t>397.7</w:t>
            </w:r>
          </w:p>
        </w:tc>
      </w:tr>
    </w:tbl>
    <w:p>
      <w:pPr>
        <w:spacing w:after="40"/>
      </w:pPr>
    </w:p>
    <w:p>
      <w:pPr>
        <w:spacing w:after="200" w:before="0"/>
      </w:pPr>
      <w:r>
        <w:rPr>
          <w:b w:val="0"/>
          <w:i/>
          <w:color w:val="6E7B77"/>
          <w:sz w:val="17"/>
        </w:rPr>
        <w:t>Source: CHG FY2023–FY2025 and 1Q2026 earnings releases (official, cleopatrahospitals.com). Two EBITDA framings are shown deliberately: the company’s adjusted definition (which the market quotes) and the reported basis used in this model’s DCF (EBIT + D&amp;A). The gap — roughly 5–6 percentage points of margin — is where provisions, LTIP and one-offs live, and pretending it away would flatter the valuation.</w:t>
      </w:r>
    </w:p>
    <w:p>
      <w:pPr>
        <w:spacing w:after="80" w:before="200"/>
      </w:pPr>
      <w:r>
        <w:rPr>
          <w:b/>
          <w:i w:val="0"/>
          <w:color w:val="1C3A36"/>
          <w:sz w:val="24"/>
        </w:rPr>
        <w:t>A.2 · Balance sheet (FY2023A–FY2025A, 1Q2026A)</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3528"/>
            <w:shd w:val="clear" w:color="auto" w:fill="EAF0EE"/>
          </w:tcPr>
          <w:p>
            <w:pPr>
              <w:spacing w:after="20"/>
            </w:pPr>
            <w:r>
              <w:rPr>
                <w:b/>
                <w:color w:val="1C3A36"/>
                <w:sz w:val="17"/>
              </w:rPr>
              <w:t>EGP mn</w:t>
            </w:r>
          </w:p>
        </w:tc>
        <w:tc>
          <w:tcPr>
            <w:tcW w:type="dxa" w:w="1440"/>
            <w:shd w:val="clear" w:color="auto" w:fill="EAF0EE"/>
          </w:tcPr>
          <w:p>
            <w:pPr>
              <w:spacing w:after="20"/>
            </w:pPr>
            <w:r>
              <w:rPr>
                <w:b/>
                <w:color w:val="1C3A36"/>
                <w:sz w:val="17"/>
              </w:rPr>
              <w:t>FY23A</w:t>
            </w:r>
          </w:p>
        </w:tc>
        <w:tc>
          <w:tcPr>
            <w:tcW w:type="dxa" w:w="1440"/>
            <w:shd w:val="clear" w:color="auto" w:fill="EAF0EE"/>
          </w:tcPr>
          <w:p>
            <w:pPr>
              <w:spacing w:after="20"/>
            </w:pPr>
            <w:r>
              <w:rPr>
                <w:b/>
                <w:color w:val="1C3A36"/>
                <w:sz w:val="17"/>
              </w:rPr>
              <w:t>FY24A</w:t>
            </w:r>
          </w:p>
        </w:tc>
        <w:tc>
          <w:tcPr>
            <w:tcW w:type="dxa" w:w="1440"/>
            <w:shd w:val="clear" w:color="auto" w:fill="EAF0EE"/>
          </w:tcPr>
          <w:p>
            <w:pPr>
              <w:spacing w:after="20"/>
            </w:pPr>
            <w:r>
              <w:rPr>
                <w:b/>
                <w:color w:val="1C3A36"/>
                <w:sz w:val="17"/>
              </w:rPr>
              <w:t>FY25A</w:t>
            </w:r>
          </w:p>
        </w:tc>
        <w:tc>
          <w:tcPr>
            <w:tcW w:type="dxa" w:w="1440"/>
            <w:shd w:val="clear" w:color="auto" w:fill="EAF0EE"/>
          </w:tcPr>
          <w:p>
            <w:pPr>
              <w:spacing w:after="20"/>
            </w:pPr>
            <w:r>
              <w:rPr>
                <w:b/>
                <w:color w:val="1C3A36"/>
                <w:sz w:val="17"/>
              </w:rPr>
              <w:t>1Q26A</w:t>
            </w:r>
          </w:p>
        </w:tc>
      </w:tr>
      <w:tr>
        <w:tc>
          <w:tcPr>
            <w:tcW w:type="dxa" w:w="3528"/>
          </w:tcPr>
          <w:p>
            <w:pPr>
              <w:spacing w:after="20"/>
            </w:pPr>
            <w:r>
              <w:rPr>
                <w:b/>
                <w:color w:val="1C3A36"/>
                <w:sz w:val="17"/>
              </w:rPr>
              <w:t>Fixed assets, intangibles, RoU &amp; assets under construction</w:t>
            </w:r>
          </w:p>
        </w:tc>
        <w:tc>
          <w:tcPr>
            <w:tcW w:type="dxa" w:w="1440"/>
          </w:tcPr>
          <w:p>
            <w:pPr>
              <w:spacing w:after="20"/>
              <w:jc w:val="right"/>
            </w:pPr>
            <w:r>
              <w:rPr>
                <w:color w:val="1C3A36"/>
                <w:sz w:val="17"/>
              </w:rPr>
              <w:t>2,720.9</w:t>
            </w:r>
          </w:p>
        </w:tc>
        <w:tc>
          <w:tcPr>
            <w:tcW w:type="dxa" w:w="1440"/>
          </w:tcPr>
          <w:p>
            <w:pPr>
              <w:spacing w:after="20"/>
              <w:jc w:val="right"/>
            </w:pPr>
            <w:r>
              <w:rPr>
                <w:color w:val="1C3A36"/>
                <w:sz w:val="17"/>
              </w:rPr>
              <w:t>5,131.5</w:t>
            </w:r>
          </w:p>
        </w:tc>
        <w:tc>
          <w:tcPr>
            <w:tcW w:type="dxa" w:w="1440"/>
          </w:tcPr>
          <w:p>
            <w:pPr>
              <w:spacing w:after="20"/>
              <w:jc w:val="right"/>
            </w:pPr>
            <w:r>
              <w:rPr>
                <w:color w:val="1C3A36"/>
                <w:sz w:val="17"/>
              </w:rPr>
              <w:t>7,877.9</w:t>
            </w:r>
          </w:p>
        </w:tc>
        <w:tc>
          <w:tcPr>
            <w:tcW w:type="dxa" w:w="1440"/>
          </w:tcPr>
          <w:p>
            <w:pPr>
              <w:spacing w:after="20"/>
              <w:jc w:val="right"/>
            </w:pPr>
            <w:r>
              <w:rPr>
                <w:color w:val="1C3A36"/>
                <w:sz w:val="17"/>
              </w:rPr>
              <w:t>8,179.4</w:t>
            </w:r>
          </w:p>
        </w:tc>
      </w:tr>
      <w:tr>
        <w:tc>
          <w:tcPr>
            <w:tcW w:type="dxa" w:w="3528"/>
          </w:tcPr>
          <w:p>
            <w:pPr>
              <w:spacing w:after="20"/>
            </w:pPr>
            <w:r>
              <w:rPr>
                <w:b/>
                <w:color w:val="1C3A36"/>
                <w:sz w:val="17"/>
              </w:rPr>
              <w:t>Inventory</w:t>
            </w:r>
          </w:p>
        </w:tc>
        <w:tc>
          <w:tcPr>
            <w:tcW w:type="dxa" w:w="1440"/>
          </w:tcPr>
          <w:p>
            <w:pPr>
              <w:spacing w:after="20"/>
              <w:jc w:val="right"/>
            </w:pPr>
            <w:r>
              <w:rPr>
                <w:color w:val="1C3A36"/>
                <w:sz w:val="17"/>
              </w:rPr>
              <w:t>292.0</w:t>
            </w:r>
          </w:p>
        </w:tc>
        <w:tc>
          <w:tcPr>
            <w:tcW w:type="dxa" w:w="1440"/>
          </w:tcPr>
          <w:p>
            <w:pPr>
              <w:spacing w:after="20"/>
              <w:jc w:val="right"/>
            </w:pPr>
            <w:r>
              <w:rPr>
                <w:color w:val="1C3A36"/>
                <w:sz w:val="17"/>
              </w:rPr>
              <w:t>320.5</w:t>
            </w:r>
          </w:p>
        </w:tc>
        <w:tc>
          <w:tcPr>
            <w:tcW w:type="dxa" w:w="1440"/>
          </w:tcPr>
          <w:p>
            <w:pPr>
              <w:spacing w:after="20"/>
              <w:jc w:val="right"/>
            </w:pPr>
            <w:r>
              <w:rPr>
                <w:color w:val="1C3A36"/>
                <w:sz w:val="17"/>
              </w:rPr>
              <w:t>281.3</w:t>
            </w:r>
          </w:p>
        </w:tc>
        <w:tc>
          <w:tcPr>
            <w:tcW w:type="dxa" w:w="1440"/>
          </w:tcPr>
          <w:p>
            <w:pPr>
              <w:spacing w:after="20"/>
              <w:jc w:val="right"/>
            </w:pPr>
            <w:r>
              <w:rPr>
                <w:color w:val="1C3A36"/>
                <w:sz w:val="17"/>
              </w:rPr>
              <w:t>317.9</w:t>
            </w:r>
          </w:p>
        </w:tc>
      </w:tr>
      <w:tr>
        <w:tc>
          <w:tcPr>
            <w:tcW w:type="dxa" w:w="3528"/>
          </w:tcPr>
          <w:p>
            <w:pPr>
              <w:spacing w:after="20"/>
            </w:pPr>
            <w:r>
              <w:rPr>
                <w:b/>
                <w:color w:val="1C3A36"/>
                <w:sz w:val="17"/>
              </w:rPr>
              <w:t>Trade receivables</w:t>
            </w:r>
          </w:p>
        </w:tc>
        <w:tc>
          <w:tcPr>
            <w:tcW w:type="dxa" w:w="1440"/>
          </w:tcPr>
          <w:p>
            <w:pPr>
              <w:spacing w:after="20"/>
              <w:jc w:val="right"/>
            </w:pPr>
            <w:r>
              <w:rPr>
                <w:color w:val="1C3A36"/>
                <w:sz w:val="17"/>
              </w:rPr>
              <w:t>648.5</w:t>
            </w:r>
          </w:p>
        </w:tc>
        <w:tc>
          <w:tcPr>
            <w:tcW w:type="dxa" w:w="1440"/>
          </w:tcPr>
          <w:p>
            <w:pPr>
              <w:spacing w:after="20"/>
              <w:jc w:val="right"/>
            </w:pPr>
            <w:r>
              <w:rPr>
                <w:color w:val="1C3A36"/>
                <w:sz w:val="17"/>
              </w:rPr>
              <w:t>1,046.8</w:t>
            </w:r>
          </w:p>
        </w:tc>
        <w:tc>
          <w:tcPr>
            <w:tcW w:type="dxa" w:w="1440"/>
          </w:tcPr>
          <w:p>
            <w:pPr>
              <w:spacing w:after="20"/>
              <w:jc w:val="right"/>
            </w:pPr>
            <w:r>
              <w:rPr>
                <w:color w:val="1C3A36"/>
                <w:sz w:val="17"/>
              </w:rPr>
              <w:t>1,241.5</w:t>
            </w:r>
          </w:p>
        </w:tc>
        <w:tc>
          <w:tcPr>
            <w:tcW w:type="dxa" w:w="1440"/>
          </w:tcPr>
          <w:p>
            <w:pPr>
              <w:spacing w:after="20"/>
              <w:jc w:val="right"/>
            </w:pPr>
            <w:r>
              <w:rPr>
                <w:color w:val="1C3A36"/>
                <w:sz w:val="17"/>
              </w:rPr>
              <w:t>1,445.5</w:t>
            </w:r>
          </w:p>
        </w:tc>
      </w:tr>
      <w:tr>
        <w:tc>
          <w:tcPr>
            <w:tcW w:type="dxa" w:w="3528"/>
          </w:tcPr>
          <w:p>
            <w:pPr>
              <w:spacing w:after="20"/>
            </w:pPr>
            <w:r>
              <w:rPr>
                <w:b/>
                <w:color w:val="1C3A36"/>
                <w:sz w:val="17"/>
              </w:rPr>
              <w:t>Other receivables &amp; related parties</w:t>
            </w:r>
          </w:p>
        </w:tc>
        <w:tc>
          <w:tcPr>
            <w:tcW w:type="dxa" w:w="1440"/>
          </w:tcPr>
          <w:p>
            <w:pPr>
              <w:spacing w:after="20"/>
              <w:jc w:val="right"/>
            </w:pPr>
            <w:r>
              <w:rPr>
                <w:color w:val="1C3A36"/>
                <w:sz w:val="17"/>
              </w:rPr>
              <w:t>468.8</w:t>
            </w:r>
          </w:p>
        </w:tc>
        <w:tc>
          <w:tcPr>
            <w:tcW w:type="dxa" w:w="1440"/>
          </w:tcPr>
          <w:p>
            <w:pPr>
              <w:spacing w:after="20"/>
              <w:jc w:val="right"/>
            </w:pPr>
            <w:r>
              <w:rPr>
                <w:color w:val="1C3A36"/>
                <w:sz w:val="17"/>
              </w:rPr>
              <w:t>617.7</w:t>
            </w:r>
          </w:p>
        </w:tc>
        <w:tc>
          <w:tcPr>
            <w:tcW w:type="dxa" w:w="1440"/>
          </w:tcPr>
          <w:p>
            <w:pPr>
              <w:spacing w:after="20"/>
              <w:jc w:val="right"/>
            </w:pPr>
            <w:r>
              <w:rPr>
                <w:color w:val="1C3A36"/>
                <w:sz w:val="17"/>
              </w:rPr>
              <w:t>293.0</w:t>
            </w:r>
          </w:p>
        </w:tc>
        <w:tc>
          <w:tcPr>
            <w:tcW w:type="dxa" w:w="1440"/>
          </w:tcPr>
          <w:p>
            <w:pPr>
              <w:spacing w:after="20"/>
              <w:jc w:val="right"/>
            </w:pPr>
            <w:r>
              <w:rPr>
                <w:color w:val="1C3A36"/>
                <w:sz w:val="17"/>
              </w:rPr>
              <w:t>292.5</w:t>
            </w:r>
          </w:p>
        </w:tc>
      </w:tr>
      <w:tr>
        <w:tc>
          <w:tcPr>
            <w:tcW w:type="dxa" w:w="3528"/>
          </w:tcPr>
          <w:p>
            <w:pPr>
              <w:spacing w:after="20"/>
            </w:pPr>
            <w:r>
              <w:rPr>
                <w:b/>
                <w:color w:val="1C3A36"/>
                <w:sz w:val="17"/>
              </w:rPr>
              <w:t>Cash &amp; equivalents</w:t>
            </w:r>
          </w:p>
        </w:tc>
        <w:tc>
          <w:tcPr>
            <w:tcW w:type="dxa" w:w="1440"/>
          </w:tcPr>
          <w:p>
            <w:pPr>
              <w:spacing w:after="20"/>
              <w:jc w:val="right"/>
            </w:pPr>
            <w:r>
              <w:rPr>
                <w:color w:val="1C3A36"/>
                <w:sz w:val="17"/>
              </w:rPr>
              <w:t>357.9</w:t>
            </w:r>
          </w:p>
        </w:tc>
        <w:tc>
          <w:tcPr>
            <w:tcW w:type="dxa" w:w="1440"/>
          </w:tcPr>
          <w:p>
            <w:pPr>
              <w:spacing w:after="20"/>
              <w:jc w:val="right"/>
            </w:pPr>
            <w:r>
              <w:rPr>
                <w:color w:val="1C3A36"/>
                <w:sz w:val="17"/>
              </w:rPr>
              <w:t>473.2</w:t>
            </w:r>
          </w:p>
        </w:tc>
        <w:tc>
          <w:tcPr>
            <w:tcW w:type="dxa" w:w="1440"/>
          </w:tcPr>
          <w:p>
            <w:pPr>
              <w:spacing w:after="20"/>
              <w:jc w:val="right"/>
            </w:pPr>
            <w:r>
              <w:rPr>
                <w:color w:val="1C3A36"/>
                <w:sz w:val="17"/>
              </w:rPr>
              <w:t>547.5</w:t>
            </w:r>
          </w:p>
        </w:tc>
        <w:tc>
          <w:tcPr>
            <w:tcW w:type="dxa" w:w="1440"/>
          </w:tcPr>
          <w:p>
            <w:pPr>
              <w:spacing w:after="20"/>
              <w:jc w:val="right"/>
            </w:pPr>
            <w:r>
              <w:rPr>
                <w:color w:val="1C3A36"/>
                <w:sz w:val="17"/>
              </w:rPr>
              <w:t>749.6</w:t>
            </w:r>
          </w:p>
        </w:tc>
      </w:tr>
      <w:tr>
        <w:tc>
          <w:tcPr>
            <w:tcW w:type="dxa" w:w="3528"/>
            <w:shd w:val="clear" w:color="auto" w:fill="F6F1E6"/>
          </w:tcPr>
          <w:p>
            <w:pPr>
              <w:spacing w:after="20"/>
            </w:pPr>
            <w:r>
              <w:rPr>
                <w:b/>
                <w:color w:val="1C3A36"/>
                <w:sz w:val="17"/>
              </w:rPr>
              <w:t>Total assets</w:t>
            </w:r>
          </w:p>
        </w:tc>
        <w:tc>
          <w:tcPr>
            <w:tcW w:type="dxa" w:w="1440"/>
            <w:shd w:val="clear" w:color="auto" w:fill="F6F1E6"/>
          </w:tcPr>
          <w:p>
            <w:pPr>
              <w:spacing w:after="20"/>
              <w:jc w:val="right"/>
            </w:pPr>
            <w:r>
              <w:rPr>
                <w:b/>
                <w:color w:val="1C3A36"/>
                <w:sz w:val="17"/>
              </w:rPr>
              <w:t>4,488.0</w:t>
            </w:r>
          </w:p>
        </w:tc>
        <w:tc>
          <w:tcPr>
            <w:tcW w:type="dxa" w:w="1440"/>
            <w:shd w:val="clear" w:color="auto" w:fill="F6F1E6"/>
          </w:tcPr>
          <w:p>
            <w:pPr>
              <w:spacing w:after="20"/>
              <w:jc w:val="right"/>
            </w:pPr>
            <w:r>
              <w:rPr>
                <w:b/>
                <w:color w:val="1C3A36"/>
                <w:sz w:val="17"/>
              </w:rPr>
              <w:t>7,589.8</w:t>
            </w:r>
          </w:p>
        </w:tc>
        <w:tc>
          <w:tcPr>
            <w:tcW w:type="dxa" w:w="1440"/>
            <w:shd w:val="clear" w:color="auto" w:fill="F6F1E6"/>
          </w:tcPr>
          <w:p>
            <w:pPr>
              <w:spacing w:after="20"/>
              <w:jc w:val="right"/>
            </w:pPr>
            <w:r>
              <w:rPr>
                <w:b/>
                <w:color w:val="1C3A36"/>
                <w:sz w:val="17"/>
              </w:rPr>
              <w:t>10,241.3</w:t>
            </w:r>
          </w:p>
        </w:tc>
        <w:tc>
          <w:tcPr>
            <w:tcW w:type="dxa" w:w="1440"/>
            <w:shd w:val="clear" w:color="auto" w:fill="F6F1E6"/>
          </w:tcPr>
          <w:p>
            <w:pPr>
              <w:spacing w:after="20"/>
              <w:jc w:val="right"/>
            </w:pPr>
            <w:r>
              <w:rPr>
                <w:b/>
                <w:color w:val="1C3A36"/>
                <w:sz w:val="17"/>
              </w:rPr>
              <w:t>10,984.7</w:t>
            </w:r>
          </w:p>
        </w:tc>
      </w:tr>
      <w:tr>
        <w:tc>
          <w:tcPr>
            <w:tcW w:type="dxa" w:w="3528"/>
          </w:tcPr>
          <w:p>
            <w:pPr>
              <w:spacing w:after="20"/>
            </w:pPr>
            <w:r>
              <w:rPr>
                <w:b/>
                <w:color w:val="1C3A36"/>
                <w:sz w:val="17"/>
              </w:rPr>
              <w:t>Equity — attributable to parent</w:t>
            </w:r>
          </w:p>
        </w:tc>
        <w:tc>
          <w:tcPr>
            <w:tcW w:type="dxa" w:w="1440"/>
          </w:tcPr>
          <w:p>
            <w:pPr>
              <w:spacing w:after="20"/>
              <w:jc w:val="right"/>
            </w:pPr>
            <w:r>
              <w:rPr>
                <w:color w:val="1C3A36"/>
                <w:sz w:val="17"/>
              </w:rPr>
              <w:t>2,249.8</w:t>
            </w:r>
          </w:p>
        </w:tc>
        <w:tc>
          <w:tcPr>
            <w:tcW w:type="dxa" w:w="1440"/>
          </w:tcPr>
          <w:p>
            <w:pPr>
              <w:spacing w:after="20"/>
              <w:jc w:val="right"/>
            </w:pPr>
            <w:r>
              <w:rPr>
                <w:color w:val="1C3A36"/>
                <w:sz w:val="17"/>
              </w:rPr>
              <w:t>2,899.6</w:t>
            </w:r>
          </w:p>
        </w:tc>
        <w:tc>
          <w:tcPr>
            <w:tcW w:type="dxa" w:w="1440"/>
          </w:tcPr>
          <w:p>
            <w:pPr>
              <w:spacing w:after="20"/>
              <w:jc w:val="right"/>
            </w:pPr>
            <w:r>
              <w:rPr>
                <w:color w:val="1C3A36"/>
                <w:sz w:val="17"/>
              </w:rPr>
              <w:t>3,622.3</w:t>
            </w:r>
          </w:p>
        </w:tc>
        <w:tc>
          <w:tcPr>
            <w:tcW w:type="dxa" w:w="1440"/>
          </w:tcPr>
          <w:p>
            <w:pPr>
              <w:spacing w:after="20"/>
              <w:jc w:val="right"/>
            </w:pPr>
            <w:r>
              <w:rPr>
                <w:color w:val="1C3A36"/>
                <w:sz w:val="17"/>
              </w:rPr>
              <w:t>3,756.8</w:t>
            </w:r>
          </w:p>
        </w:tc>
      </w:tr>
      <w:tr>
        <w:tc>
          <w:tcPr>
            <w:tcW w:type="dxa" w:w="3528"/>
          </w:tcPr>
          <w:p>
            <w:pPr>
              <w:spacing w:after="20"/>
            </w:pPr>
            <w:r>
              <w:rPr>
                <w:b/>
                <w:color w:val="1C3A36"/>
                <w:sz w:val="17"/>
              </w:rPr>
              <w:t>Non-controlling interests</w:t>
            </w:r>
          </w:p>
        </w:tc>
        <w:tc>
          <w:tcPr>
            <w:tcW w:type="dxa" w:w="1440"/>
          </w:tcPr>
          <w:p>
            <w:pPr>
              <w:spacing w:after="20"/>
              <w:jc w:val="right"/>
            </w:pPr>
            <w:r>
              <w:rPr>
                <w:color w:val="1C3A36"/>
                <w:sz w:val="17"/>
              </w:rPr>
              <w:t>196.5</w:t>
            </w:r>
          </w:p>
        </w:tc>
        <w:tc>
          <w:tcPr>
            <w:tcW w:type="dxa" w:w="1440"/>
          </w:tcPr>
          <w:p>
            <w:pPr>
              <w:spacing w:after="20"/>
              <w:jc w:val="right"/>
            </w:pPr>
            <w:r>
              <w:rPr>
                <w:color w:val="1C3A36"/>
                <w:sz w:val="17"/>
              </w:rPr>
              <w:t>278.2</w:t>
            </w:r>
          </w:p>
        </w:tc>
        <w:tc>
          <w:tcPr>
            <w:tcW w:type="dxa" w:w="1440"/>
          </w:tcPr>
          <w:p>
            <w:pPr>
              <w:spacing w:after="20"/>
              <w:jc w:val="right"/>
            </w:pPr>
            <w:r>
              <w:rPr>
                <w:color w:val="1C3A36"/>
                <w:sz w:val="17"/>
              </w:rPr>
              <w:t>418.0</w:t>
            </w:r>
          </w:p>
        </w:tc>
        <w:tc>
          <w:tcPr>
            <w:tcW w:type="dxa" w:w="1440"/>
          </w:tcPr>
          <w:p>
            <w:pPr>
              <w:spacing w:after="20"/>
              <w:jc w:val="right"/>
            </w:pPr>
            <w:r>
              <w:rPr>
                <w:color w:val="1C3A36"/>
                <w:sz w:val="17"/>
              </w:rPr>
              <w:t>452.8</w:t>
            </w:r>
          </w:p>
        </w:tc>
      </w:tr>
      <w:tr>
        <w:tc>
          <w:tcPr>
            <w:tcW w:type="dxa" w:w="3528"/>
          </w:tcPr>
          <w:p>
            <w:pPr>
              <w:spacing w:after="20"/>
            </w:pPr>
            <w:r>
              <w:rPr>
                <w:b/>
                <w:color w:val="1C3A36"/>
                <w:sz w:val="17"/>
              </w:rPr>
              <w:t>Borrowings + lease liabilities</w:t>
            </w:r>
          </w:p>
        </w:tc>
        <w:tc>
          <w:tcPr>
            <w:tcW w:type="dxa" w:w="1440"/>
          </w:tcPr>
          <w:p>
            <w:pPr>
              <w:spacing w:after="20"/>
              <w:jc w:val="right"/>
            </w:pPr>
            <w:r>
              <w:rPr>
                <w:color w:val="1C3A36"/>
                <w:sz w:val="17"/>
              </w:rPr>
              <w:t>873.5</w:t>
            </w:r>
          </w:p>
        </w:tc>
        <w:tc>
          <w:tcPr>
            <w:tcW w:type="dxa" w:w="1440"/>
          </w:tcPr>
          <w:p>
            <w:pPr>
              <w:spacing w:after="20"/>
              <w:jc w:val="right"/>
            </w:pPr>
            <w:r>
              <w:rPr>
                <w:color w:val="1C3A36"/>
                <w:sz w:val="17"/>
              </w:rPr>
              <w:t>2,457.7</w:t>
            </w:r>
          </w:p>
        </w:tc>
        <w:tc>
          <w:tcPr>
            <w:tcW w:type="dxa" w:w="1440"/>
          </w:tcPr>
          <w:p>
            <w:pPr>
              <w:spacing w:after="20"/>
              <w:jc w:val="right"/>
            </w:pPr>
            <w:r>
              <w:rPr>
                <w:color w:val="1C3A36"/>
                <w:sz w:val="17"/>
              </w:rPr>
              <w:t>3,702.7</w:t>
            </w:r>
          </w:p>
        </w:tc>
        <w:tc>
          <w:tcPr>
            <w:tcW w:type="dxa" w:w="1440"/>
          </w:tcPr>
          <w:p>
            <w:pPr>
              <w:spacing w:after="20"/>
              <w:jc w:val="right"/>
            </w:pPr>
            <w:r>
              <w:rPr>
                <w:color w:val="1C3A36"/>
                <w:sz w:val="17"/>
              </w:rPr>
              <w:t>3,913.7</w:t>
            </w:r>
          </w:p>
        </w:tc>
      </w:tr>
      <w:tr>
        <w:tc>
          <w:tcPr>
            <w:tcW w:type="dxa" w:w="3528"/>
          </w:tcPr>
          <w:p>
            <w:pPr>
              <w:spacing w:after="20"/>
            </w:pPr>
            <w:r>
              <w:rPr>
                <w:b/>
                <w:color w:val="1C3A36"/>
                <w:sz w:val="17"/>
              </w:rPr>
              <w:t>Creditors &amp; other credit balances</w:t>
            </w:r>
          </w:p>
        </w:tc>
        <w:tc>
          <w:tcPr>
            <w:tcW w:type="dxa" w:w="1440"/>
          </w:tcPr>
          <w:p>
            <w:pPr>
              <w:spacing w:after="20"/>
              <w:jc w:val="right"/>
            </w:pPr>
            <w:r>
              <w:rPr>
                <w:color w:val="1C3A36"/>
                <w:sz w:val="17"/>
              </w:rPr>
              <w:t>928.1</w:t>
            </w:r>
          </w:p>
        </w:tc>
        <w:tc>
          <w:tcPr>
            <w:tcW w:type="dxa" w:w="1440"/>
          </w:tcPr>
          <w:p>
            <w:pPr>
              <w:spacing w:after="20"/>
              <w:jc w:val="right"/>
            </w:pPr>
            <w:r>
              <w:rPr>
                <w:color w:val="1C3A36"/>
                <w:sz w:val="17"/>
              </w:rPr>
              <w:t>1,523.4</w:t>
            </w:r>
          </w:p>
        </w:tc>
        <w:tc>
          <w:tcPr>
            <w:tcW w:type="dxa" w:w="1440"/>
          </w:tcPr>
          <w:p>
            <w:pPr>
              <w:spacing w:after="20"/>
              <w:jc w:val="right"/>
            </w:pPr>
            <w:r>
              <w:rPr>
                <w:color w:val="1C3A36"/>
                <w:sz w:val="17"/>
              </w:rPr>
              <w:t>1,932.4</w:t>
            </w:r>
          </w:p>
        </w:tc>
        <w:tc>
          <w:tcPr>
            <w:tcW w:type="dxa" w:w="1440"/>
          </w:tcPr>
          <w:p>
            <w:pPr>
              <w:spacing w:after="20"/>
              <w:jc w:val="right"/>
            </w:pPr>
            <w:r>
              <w:rPr>
                <w:color w:val="1C3A36"/>
                <w:sz w:val="17"/>
              </w:rPr>
              <w:t>2,225.7</w:t>
            </w:r>
          </w:p>
        </w:tc>
      </w:tr>
      <w:tr>
        <w:tc>
          <w:tcPr>
            <w:tcW w:type="dxa" w:w="3528"/>
          </w:tcPr>
          <w:p>
            <w:pPr>
              <w:spacing w:after="20"/>
            </w:pPr>
            <w:r>
              <w:rPr>
                <w:b/>
                <w:color w:val="1C3A36"/>
                <w:sz w:val="17"/>
              </w:rPr>
              <w:t>Current income tax</w:t>
            </w:r>
          </w:p>
        </w:tc>
        <w:tc>
          <w:tcPr>
            <w:tcW w:type="dxa" w:w="1440"/>
          </w:tcPr>
          <w:p>
            <w:pPr>
              <w:spacing w:after="20"/>
              <w:jc w:val="right"/>
            </w:pPr>
            <w:r>
              <w:rPr>
                <w:color w:val="1C3A36"/>
                <w:sz w:val="17"/>
              </w:rPr>
              <w:t>75.6</w:t>
            </w:r>
          </w:p>
        </w:tc>
        <w:tc>
          <w:tcPr>
            <w:tcW w:type="dxa" w:w="1440"/>
          </w:tcPr>
          <w:p>
            <w:pPr>
              <w:spacing w:after="20"/>
              <w:jc w:val="right"/>
            </w:pPr>
            <w:r>
              <w:rPr>
                <w:color w:val="1C3A36"/>
                <w:sz w:val="17"/>
              </w:rPr>
              <w:t>199.0</w:t>
            </w:r>
          </w:p>
        </w:tc>
        <w:tc>
          <w:tcPr>
            <w:tcW w:type="dxa" w:w="1440"/>
          </w:tcPr>
          <w:p>
            <w:pPr>
              <w:spacing w:after="20"/>
              <w:jc w:val="right"/>
            </w:pPr>
            <w:r>
              <w:rPr>
                <w:color w:val="1C3A36"/>
                <w:sz w:val="17"/>
              </w:rPr>
              <w:t>284.2</w:t>
            </w:r>
          </w:p>
        </w:tc>
        <w:tc>
          <w:tcPr>
            <w:tcW w:type="dxa" w:w="1440"/>
          </w:tcPr>
          <w:p>
            <w:pPr>
              <w:spacing w:after="20"/>
              <w:jc w:val="right"/>
            </w:pPr>
            <w:r>
              <w:rPr>
                <w:color w:val="1C3A36"/>
                <w:sz w:val="17"/>
              </w:rPr>
              <w:t>365.8</w:t>
            </w:r>
          </w:p>
        </w:tc>
      </w:tr>
      <w:tr>
        <w:tc>
          <w:tcPr>
            <w:tcW w:type="dxa" w:w="3528"/>
          </w:tcPr>
          <w:p>
            <w:pPr>
              <w:spacing w:after="20"/>
            </w:pPr>
            <w:r>
              <w:rPr>
                <w:b/>
                <w:color w:val="1C3A36"/>
                <w:sz w:val="17"/>
              </w:rPr>
              <w:t>Provisions, deferred tax, LTIP &amp; other</w:t>
            </w:r>
          </w:p>
        </w:tc>
        <w:tc>
          <w:tcPr>
            <w:tcW w:type="dxa" w:w="1440"/>
          </w:tcPr>
          <w:p>
            <w:pPr>
              <w:spacing w:after="20"/>
              <w:jc w:val="right"/>
            </w:pPr>
            <w:r>
              <w:rPr>
                <w:color w:val="1C3A36"/>
                <w:sz w:val="17"/>
              </w:rPr>
              <w:t>164.6</w:t>
            </w:r>
          </w:p>
        </w:tc>
        <w:tc>
          <w:tcPr>
            <w:tcW w:type="dxa" w:w="1440"/>
          </w:tcPr>
          <w:p>
            <w:pPr>
              <w:spacing w:after="20"/>
              <w:jc w:val="right"/>
            </w:pPr>
            <w:r>
              <w:rPr>
                <w:color w:val="1C3A36"/>
                <w:sz w:val="17"/>
              </w:rPr>
              <w:t>231.9</w:t>
            </w:r>
          </w:p>
        </w:tc>
        <w:tc>
          <w:tcPr>
            <w:tcW w:type="dxa" w:w="1440"/>
          </w:tcPr>
          <w:p>
            <w:pPr>
              <w:spacing w:after="20"/>
              <w:jc w:val="right"/>
            </w:pPr>
            <w:r>
              <w:rPr>
                <w:color w:val="1C3A36"/>
                <w:sz w:val="17"/>
              </w:rPr>
              <w:t>281.5</w:t>
            </w:r>
          </w:p>
        </w:tc>
        <w:tc>
          <w:tcPr>
            <w:tcW w:type="dxa" w:w="1440"/>
          </w:tcPr>
          <w:p>
            <w:pPr>
              <w:spacing w:after="20"/>
              <w:jc w:val="right"/>
            </w:pPr>
            <w:r>
              <w:rPr>
                <w:color w:val="1C3A36"/>
                <w:sz w:val="17"/>
              </w:rPr>
              <w:t>269.8</w:t>
            </w:r>
          </w:p>
        </w:tc>
      </w:tr>
      <w:tr>
        <w:tc>
          <w:tcPr>
            <w:tcW w:type="dxa" w:w="3528"/>
          </w:tcPr>
          <w:p>
            <w:pPr>
              <w:spacing w:after="20"/>
            </w:pPr>
            <w:r>
              <w:rPr>
                <w:b/>
                <w:color w:val="1C3A36"/>
                <w:sz w:val="17"/>
              </w:rPr>
              <w:t>Net financial debt — excluding IFRS-16 leases</w:t>
            </w:r>
          </w:p>
        </w:tc>
        <w:tc>
          <w:tcPr>
            <w:tcW w:type="dxa" w:w="1440"/>
          </w:tcPr>
          <w:p>
            <w:pPr>
              <w:spacing w:after="20"/>
              <w:jc w:val="right"/>
            </w:pPr>
            <w:r>
              <w:rPr>
                <w:color w:val="1C3A36"/>
                <w:sz w:val="17"/>
              </w:rPr>
            </w:r>
          </w:p>
        </w:tc>
        <w:tc>
          <w:tcPr>
            <w:tcW w:type="dxa" w:w="1440"/>
          </w:tcPr>
          <w:p>
            <w:pPr>
              <w:spacing w:after="20"/>
              <w:jc w:val="right"/>
            </w:pPr>
            <w:r>
              <w:rPr>
                <w:color w:val="1C3A36"/>
                <w:sz w:val="17"/>
              </w:rPr>
            </w:r>
          </w:p>
        </w:tc>
        <w:tc>
          <w:tcPr>
            <w:tcW w:type="dxa" w:w="1440"/>
          </w:tcPr>
          <w:p>
            <w:pPr>
              <w:spacing w:after="20"/>
              <w:jc w:val="right"/>
            </w:pPr>
            <w:r>
              <w:rPr>
                <w:color w:val="1C3A36"/>
                <w:sz w:val="17"/>
              </w:rPr>
            </w:r>
          </w:p>
        </w:tc>
        <w:tc>
          <w:tcPr>
            <w:tcW w:type="dxa" w:w="1440"/>
          </w:tcPr>
          <w:p>
            <w:pPr>
              <w:spacing w:after="20"/>
              <w:jc w:val="right"/>
            </w:pPr>
            <w:r>
              <w:rPr>
                <w:color w:val="1C3A36"/>
                <w:sz w:val="17"/>
              </w:rPr>
              <w:t>2,993.7</w:t>
            </w:r>
          </w:p>
        </w:tc>
      </w:tr>
      <w:tr>
        <w:tc>
          <w:tcPr>
            <w:tcW w:type="dxa" w:w="3528"/>
          </w:tcPr>
          <w:p>
            <w:pPr>
              <w:spacing w:after="20"/>
            </w:pPr>
            <w:r>
              <w:rPr>
                <w:b/>
                <w:color w:val="1C3A36"/>
                <w:sz w:val="17"/>
              </w:rPr>
              <w:t>Net financial debt — including IFRS-16 leases</w:t>
            </w:r>
          </w:p>
        </w:tc>
        <w:tc>
          <w:tcPr>
            <w:tcW w:type="dxa" w:w="1440"/>
          </w:tcPr>
          <w:p>
            <w:pPr>
              <w:spacing w:after="20"/>
              <w:jc w:val="right"/>
            </w:pPr>
            <w:r>
              <w:rPr>
                <w:color w:val="1C3A36"/>
                <w:sz w:val="17"/>
              </w:rPr>
            </w:r>
          </w:p>
        </w:tc>
        <w:tc>
          <w:tcPr>
            <w:tcW w:type="dxa" w:w="1440"/>
          </w:tcPr>
          <w:p>
            <w:pPr>
              <w:spacing w:after="20"/>
              <w:jc w:val="right"/>
            </w:pPr>
            <w:r>
              <w:rPr>
                <w:color w:val="1C3A36"/>
                <w:sz w:val="17"/>
              </w:rPr>
            </w:r>
          </w:p>
        </w:tc>
        <w:tc>
          <w:tcPr>
            <w:tcW w:type="dxa" w:w="1440"/>
          </w:tcPr>
          <w:p>
            <w:pPr>
              <w:spacing w:after="20"/>
              <w:jc w:val="right"/>
            </w:pPr>
            <w:r>
              <w:rPr>
                <w:color w:val="1C3A36"/>
                <w:sz w:val="17"/>
              </w:rPr>
            </w:r>
          </w:p>
        </w:tc>
        <w:tc>
          <w:tcPr>
            <w:tcW w:type="dxa" w:w="1440"/>
          </w:tcPr>
          <w:p>
            <w:pPr>
              <w:spacing w:after="20"/>
              <w:jc w:val="right"/>
            </w:pPr>
            <w:r>
              <w:rPr>
                <w:color w:val="1C3A36"/>
                <w:sz w:val="17"/>
              </w:rPr>
              <w:t>3,164.1</w:t>
            </w:r>
          </w:p>
        </w:tc>
      </w:tr>
    </w:tbl>
    <w:p>
      <w:pPr>
        <w:spacing w:after="40"/>
      </w:pPr>
    </w:p>
    <w:p>
      <w:pPr>
        <w:spacing w:after="200" w:before="0"/>
      </w:pPr>
      <w:r>
        <w:rPr>
          <w:b w:val="0"/>
          <w:i/>
          <w:color w:val="6E7B77"/>
          <w:sz w:val="17"/>
        </w:rPr>
        <w:t>Source: CHG earnings-release balance sheets. Dual-framing rule: net financial debt is stated both ways, and the valuation bridge uses the lease-inclusive figure (the more conservative of the two).</w:t>
      </w:r>
    </w:p>
    <w:p>
      <w:pPr>
        <w:spacing w:after="80" w:before="200"/>
      </w:pPr>
      <w:r>
        <w:rPr>
          <w:b/>
          <w:i w:val="0"/>
          <w:color w:val="1C3A36"/>
          <w:sz w:val="24"/>
        </w:rPr>
        <w:t>A.3 · Cash flow and dividends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4464"/>
            <w:shd w:val="clear" w:color="auto" w:fill="EAF0EE"/>
          </w:tcPr>
          <w:p>
            <w:pPr>
              <w:spacing w:after="20"/>
            </w:pPr>
            <w:r>
              <w:rPr>
                <w:b/>
                <w:color w:val="1C3A36"/>
                <w:sz w:val="17"/>
              </w:rPr>
              <w:t>EGP mn</w:t>
            </w:r>
          </w:p>
        </w:tc>
        <w:tc>
          <w:tcPr>
            <w:tcW w:type="dxa" w:w="1584"/>
            <w:shd w:val="clear" w:color="auto" w:fill="EAF0EE"/>
          </w:tcPr>
          <w:p>
            <w:pPr>
              <w:spacing w:after="20"/>
            </w:pPr>
            <w:r>
              <w:rPr>
                <w:b/>
                <w:color w:val="1C3A36"/>
                <w:sz w:val="17"/>
              </w:rPr>
              <w:t>FY23A</w:t>
            </w:r>
          </w:p>
        </w:tc>
        <w:tc>
          <w:tcPr>
            <w:tcW w:type="dxa" w:w="1584"/>
            <w:shd w:val="clear" w:color="auto" w:fill="EAF0EE"/>
          </w:tcPr>
          <w:p>
            <w:pPr>
              <w:spacing w:after="20"/>
            </w:pPr>
            <w:r>
              <w:rPr>
                <w:b/>
                <w:color w:val="1C3A36"/>
                <w:sz w:val="17"/>
              </w:rPr>
              <w:t>FY24A</w:t>
            </w:r>
          </w:p>
        </w:tc>
        <w:tc>
          <w:tcPr>
            <w:tcW w:type="dxa" w:w="1584"/>
            <w:shd w:val="clear" w:color="auto" w:fill="EAF0EE"/>
          </w:tcPr>
          <w:p>
            <w:pPr>
              <w:spacing w:after="20"/>
            </w:pPr>
            <w:r>
              <w:rPr>
                <w:b/>
                <w:color w:val="1C3A36"/>
                <w:sz w:val="17"/>
              </w:rPr>
              <w:t>FY25A</w:t>
            </w:r>
          </w:p>
        </w:tc>
      </w:tr>
      <w:tr>
        <w:tc>
          <w:tcPr>
            <w:tcW w:type="dxa" w:w="4464"/>
          </w:tcPr>
          <w:p>
            <w:pPr>
              <w:spacing w:after="20"/>
            </w:pPr>
            <w:r>
              <w:rPr>
                <w:b/>
                <w:color w:val="1C3A36"/>
                <w:sz w:val="17"/>
              </w:rPr>
              <w:t>Operating cash flow</w:t>
            </w:r>
          </w:p>
        </w:tc>
        <w:tc>
          <w:tcPr>
            <w:tcW w:type="dxa" w:w="1584"/>
          </w:tcPr>
          <w:p>
            <w:pPr>
              <w:spacing w:after="20"/>
              <w:jc w:val="right"/>
            </w:pPr>
            <w:r>
              <w:rPr>
                <w:color w:val="1C3A36"/>
                <w:sz w:val="17"/>
              </w:rPr>
              <w:t>521.6</w:t>
            </w:r>
          </w:p>
        </w:tc>
        <w:tc>
          <w:tcPr>
            <w:tcW w:type="dxa" w:w="1584"/>
          </w:tcPr>
          <w:p>
            <w:pPr>
              <w:spacing w:after="20"/>
              <w:jc w:val="right"/>
            </w:pPr>
            <w:r>
              <w:rPr>
                <w:color w:val="1C3A36"/>
                <w:sz w:val="17"/>
              </w:rPr>
              <w:t>1,423.3</w:t>
            </w:r>
          </w:p>
        </w:tc>
        <w:tc>
          <w:tcPr>
            <w:tcW w:type="dxa" w:w="1584"/>
          </w:tcPr>
          <w:p>
            <w:pPr>
              <w:spacing w:after="20"/>
              <w:jc w:val="right"/>
            </w:pPr>
            <w:r>
              <w:rPr>
                <w:color w:val="1C3A36"/>
                <w:sz w:val="17"/>
              </w:rPr>
              <w:t>1,835.5</w:t>
            </w:r>
          </w:p>
        </w:tc>
      </w:tr>
      <w:tr>
        <w:tc>
          <w:tcPr>
            <w:tcW w:type="dxa" w:w="4464"/>
          </w:tcPr>
          <w:p>
            <w:pPr>
              <w:spacing w:after="20"/>
            </w:pPr>
            <w:r>
              <w:rPr>
                <w:b/>
                <w:color w:val="1C3A36"/>
                <w:sz w:val="17"/>
              </w:rPr>
              <w:t>Investing cash flow</w:t>
            </w:r>
          </w:p>
        </w:tc>
        <w:tc>
          <w:tcPr>
            <w:tcW w:type="dxa" w:w="1584"/>
          </w:tcPr>
          <w:p>
            <w:pPr>
              <w:spacing w:after="20"/>
              <w:jc w:val="right"/>
            </w:pPr>
            <w:r>
              <w:rPr>
                <w:color w:val="1C3A36"/>
                <w:sz w:val="17"/>
              </w:rPr>
              <w:t>(797.7)</w:t>
            </w:r>
          </w:p>
        </w:tc>
        <w:tc>
          <w:tcPr>
            <w:tcW w:type="dxa" w:w="1584"/>
          </w:tcPr>
          <w:p>
            <w:pPr>
              <w:spacing w:after="20"/>
              <w:jc w:val="right"/>
            </w:pPr>
            <w:r>
              <w:rPr>
                <w:color w:val="1C3A36"/>
                <w:sz w:val="17"/>
              </w:rPr>
              <w:t>(2,665.6)</w:t>
            </w:r>
          </w:p>
        </w:tc>
        <w:tc>
          <w:tcPr>
            <w:tcW w:type="dxa" w:w="1584"/>
          </w:tcPr>
          <w:p>
            <w:pPr>
              <w:spacing w:after="20"/>
              <w:jc w:val="right"/>
            </w:pPr>
            <w:r>
              <w:rPr>
                <w:color w:val="1C3A36"/>
                <w:sz w:val="17"/>
              </w:rPr>
              <w:t>(2,599.3)</w:t>
            </w:r>
          </w:p>
        </w:tc>
      </w:tr>
      <w:tr>
        <w:tc>
          <w:tcPr>
            <w:tcW w:type="dxa" w:w="4464"/>
          </w:tcPr>
          <w:p>
            <w:pPr>
              <w:spacing w:after="20"/>
            </w:pPr>
            <w:r>
              <w:rPr>
                <w:b/>
                <w:color w:val="1C3A36"/>
                <w:sz w:val="17"/>
              </w:rPr>
              <w:t>— of which capex (fixed assets + projects under construction)</w:t>
            </w:r>
          </w:p>
        </w:tc>
        <w:tc>
          <w:tcPr>
            <w:tcW w:type="dxa" w:w="1584"/>
          </w:tcPr>
          <w:p>
            <w:pPr>
              <w:spacing w:after="20"/>
              <w:jc w:val="right"/>
            </w:pPr>
            <w:r>
              <w:rPr>
                <w:color w:val="1C3A36"/>
                <w:sz w:val="17"/>
              </w:rPr>
              <w:t>(825.2)</w:t>
            </w:r>
          </w:p>
        </w:tc>
        <w:tc>
          <w:tcPr>
            <w:tcW w:type="dxa" w:w="1584"/>
          </w:tcPr>
          <w:p>
            <w:pPr>
              <w:spacing w:after="20"/>
              <w:jc w:val="right"/>
            </w:pPr>
            <w:r>
              <w:rPr>
                <w:color w:val="1C3A36"/>
                <w:sz w:val="17"/>
              </w:rPr>
              <w:t>(2,704.0)</w:t>
            </w:r>
          </w:p>
        </w:tc>
        <w:tc>
          <w:tcPr>
            <w:tcW w:type="dxa" w:w="1584"/>
          </w:tcPr>
          <w:p>
            <w:pPr>
              <w:spacing w:after="20"/>
              <w:jc w:val="right"/>
            </w:pPr>
            <w:r>
              <w:rPr>
                <w:color w:val="1C3A36"/>
                <w:sz w:val="17"/>
              </w:rPr>
              <w:t>(2,650.5)</w:t>
            </w:r>
          </w:p>
        </w:tc>
      </w:tr>
      <w:tr>
        <w:tc>
          <w:tcPr>
            <w:tcW w:type="dxa" w:w="4464"/>
          </w:tcPr>
          <w:p>
            <w:pPr>
              <w:spacing w:after="20"/>
            </w:pPr>
            <w:r>
              <w:rPr>
                <w:b/>
                <w:color w:val="1C3A36"/>
                <w:sz w:val="17"/>
              </w:rPr>
              <w:t>Financing cash flow</w:t>
            </w:r>
          </w:p>
        </w:tc>
        <w:tc>
          <w:tcPr>
            <w:tcW w:type="dxa" w:w="1584"/>
          </w:tcPr>
          <w:p>
            <w:pPr>
              <w:spacing w:after="20"/>
              <w:jc w:val="right"/>
            </w:pPr>
            <w:r>
              <w:rPr>
                <w:color w:val="1C3A36"/>
                <w:sz w:val="17"/>
              </w:rPr>
              <w:t>291.1</w:t>
            </w:r>
          </w:p>
        </w:tc>
        <w:tc>
          <w:tcPr>
            <w:tcW w:type="dxa" w:w="1584"/>
          </w:tcPr>
          <w:p>
            <w:pPr>
              <w:spacing w:after="20"/>
              <w:jc w:val="right"/>
            </w:pPr>
            <w:r>
              <w:rPr>
                <w:color w:val="1C3A36"/>
                <w:sz w:val="17"/>
              </w:rPr>
              <w:t>1,357.6</w:t>
            </w:r>
          </w:p>
        </w:tc>
        <w:tc>
          <w:tcPr>
            <w:tcW w:type="dxa" w:w="1584"/>
          </w:tcPr>
          <w:p>
            <w:pPr>
              <w:spacing w:after="20"/>
              <w:jc w:val="right"/>
            </w:pPr>
            <w:r>
              <w:rPr>
                <w:color w:val="1C3A36"/>
                <w:sz w:val="17"/>
              </w:rPr>
              <w:t>840.6</w:t>
            </w:r>
          </w:p>
        </w:tc>
      </w:tr>
      <w:tr>
        <w:tc>
          <w:tcPr>
            <w:tcW w:type="dxa" w:w="4464"/>
          </w:tcPr>
          <w:p>
            <w:pPr>
              <w:spacing w:after="20"/>
            </w:pPr>
            <w:r>
              <w:rPr>
                <w:b/>
                <w:color w:val="1C3A36"/>
                <w:sz w:val="17"/>
              </w:rPr>
              <w:t>— of which dividends paid (group, incl. NCI)</w:t>
            </w:r>
          </w:p>
        </w:tc>
        <w:tc>
          <w:tcPr>
            <w:tcW w:type="dxa" w:w="1584"/>
          </w:tcPr>
          <w:p>
            <w:pPr>
              <w:spacing w:after="20"/>
              <w:jc w:val="right"/>
            </w:pPr>
            <w:r>
              <w:rPr>
                <w:color w:val="1C3A36"/>
                <w:sz w:val="17"/>
              </w:rPr>
              <w:t>(64.9)</w:t>
            </w:r>
          </w:p>
        </w:tc>
        <w:tc>
          <w:tcPr>
            <w:tcW w:type="dxa" w:w="1584"/>
          </w:tcPr>
          <w:p>
            <w:pPr>
              <w:spacing w:after="20"/>
              <w:jc w:val="right"/>
            </w:pPr>
            <w:r>
              <w:rPr>
                <w:color w:val="1C3A36"/>
                <w:sz w:val="17"/>
              </w:rPr>
              <w:t>(113.2)</w:t>
            </w:r>
          </w:p>
        </w:tc>
        <w:tc>
          <w:tcPr>
            <w:tcW w:type="dxa" w:w="1584"/>
          </w:tcPr>
          <w:p>
            <w:pPr>
              <w:spacing w:after="20"/>
              <w:jc w:val="right"/>
            </w:pPr>
            <w:r>
              <w:rPr>
                <w:color w:val="1C3A36"/>
                <w:sz w:val="17"/>
              </w:rPr>
              <w:t>(146.3)</w:t>
            </w:r>
          </w:p>
        </w:tc>
      </w:tr>
    </w:tbl>
    <w:p>
      <w:pPr>
        <w:spacing w:after="40"/>
      </w:pPr>
    </w:p>
    <w:p>
      <w:pPr>
        <w:spacing w:after="200" w:before="0"/>
      </w:pPr>
      <w:r>
        <w:rPr>
          <w:b w:val="0"/>
          <w:i/>
          <w:color w:val="6E7B77"/>
          <w:sz w:val="17"/>
        </w:rPr>
        <w:t>Source: CHG statement of cash flows. FY2024–25 investing outflow is the two new hospitals; the dividend is small (yield under 0.5% at spot) while the group reinvests, and management has signalled enhanced capital returns as the network matures and deleverages. For FY2023 shareholders approved a EGP 55.95mn cash dividend.</w:t>
      </w:r>
    </w:p>
    <w:p>
      <w:pPr>
        <w:spacing w:after="80" w:before="200"/>
      </w:pPr>
      <w:r>
        <w:rPr>
          <w:b/>
          <w:i w:val="0"/>
          <w:color w:val="1C3A36"/>
          <w:sz w:val="24"/>
        </w:rPr>
        <w:t>A.4 · Forecast summary (FY2026E–FY2030E)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96"/>
            <w:shd w:val="clear" w:color="auto" w:fill="EAF0EE"/>
          </w:tcPr>
          <w:p>
            <w:pPr>
              <w:spacing w:after="20"/>
            </w:pPr>
            <w:r>
              <w:rPr>
                <w:b/>
                <w:color w:val="1C3A36"/>
                <w:sz w:val="17"/>
              </w:rPr>
              <w:t>EGP mn</w:t>
            </w:r>
          </w:p>
        </w:tc>
        <w:tc>
          <w:tcPr>
            <w:tcW w:type="dxa" w:w="1354"/>
            <w:shd w:val="clear" w:color="auto" w:fill="EAF0EE"/>
          </w:tcPr>
          <w:p>
            <w:pPr>
              <w:spacing w:after="20"/>
            </w:pPr>
            <w:r>
              <w:rPr>
                <w:b/>
                <w:color w:val="1C3A36"/>
                <w:sz w:val="17"/>
              </w:rPr>
              <w:t>FY26E</w:t>
            </w:r>
          </w:p>
        </w:tc>
        <w:tc>
          <w:tcPr>
            <w:tcW w:type="dxa" w:w="1354"/>
            <w:shd w:val="clear" w:color="auto" w:fill="EAF0EE"/>
          </w:tcPr>
          <w:p>
            <w:pPr>
              <w:spacing w:after="20"/>
            </w:pPr>
            <w:r>
              <w:rPr>
                <w:b/>
                <w:color w:val="1C3A36"/>
                <w:sz w:val="17"/>
              </w:rPr>
              <w:t>FY27E</w:t>
            </w:r>
          </w:p>
        </w:tc>
        <w:tc>
          <w:tcPr>
            <w:tcW w:type="dxa" w:w="1354"/>
            <w:shd w:val="clear" w:color="auto" w:fill="EAF0EE"/>
          </w:tcPr>
          <w:p>
            <w:pPr>
              <w:spacing w:after="20"/>
            </w:pPr>
            <w:r>
              <w:rPr>
                <w:b/>
                <w:color w:val="1C3A36"/>
                <w:sz w:val="17"/>
              </w:rPr>
              <w:t>FY28E</w:t>
            </w:r>
          </w:p>
        </w:tc>
        <w:tc>
          <w:tcPr>
            <w:tcW w:type="dxa" w:w="1354"/>
            <w:shd w:val="clear" w:color="auto" w:fill="EAF0EE"/>
          </w:tcPr>
          <w:p>
            <w:pPr>
              <w:spacing w:after="20"/>
            </w:pPr>
            <w:r>
              <w:rPr>
                <w:b/>
                <w:color w:val="1C3A36"/>
                <w:sz w:val="17"/>
              </w:rPr>
              <w:t>FY29E</w:t>
            </w:r>
          </w:p>
        </w:tc>
        <w:tc>
          <w:tcPr>
            <w:tcW w:type="dxa" w:w="1354"/>
            <w:shd w:val="clear" w:color="auto" w:fill="EAF0EE"/>
          </w:tcPr>
          <w:p>
            <w:pPr>
              <w:spacing w:after="20"/>
            </w:pPr>
            <w:r>
              <w:rPr>
                <w:b/>
                <w:color w:val="1C3A36"/>
                <w:sz w:val="17"/>
              </w:rPr>
              <w:t>FY30E</w:t>
            </w:r>
          </w:p>
        </w:tc>
      </w:tr>
      <w:tr>
        <w:tc>
          <w:tcPr>
            <w:tcW w:type="dxa" w:w="3096"/>
          </w:tcPr>
          <w:p>
            <w:pPr>
              <w:spacing w:after="20"/>
            </w:pPr>
            <w:r>
              <w:rPr>
                <w:b/>
                <w:color w:val="1C3A36"/>
                <w:sz w:val="17"/>
              </w:rPr>
              <w:t>Revenue</w:t>
            </w:r>
          </w:p>
        </w:tc>
        <w:tc>
          <w:tcPr>
            <w:tcW w:type="dxa" w:w="1354"/>
          </w:tcPr>
          <w:p>
            <w:pPr>
              <w:spacing w:after="20"/>
              <w:jc w:val="right"/>
            </w:pPr>
            <w:r>
              <w:rPr>
                <w:color w:val="1C3A36"/>
                <w:sz w:val="17"/>
              </w:rPr>
              <w:t>9,253.6</w:t>
            </w:r>
          </w:p>
        </w:tc>
        <w:tc>
          <w:tcPr>
            <w:tcW w:type="dxa" w:w="1354"/>
          </w:tcPr>
          <w:p>
            <w:pPr>
              <w:spacing w:after="20"/>
              <w:jc w:val="right"/>
            </w:pPr>
            <w:r>
              <w:rPr>
                <w:color w:val="1C3A36"/>
                <w:sz w:val="17"/>
              </w:rPr>
              <w:t>12,303.1</w:t>
            </w:r>
          </w:p>
        </w:tc>
        <w:tc>
          <w:tcPr>
            <w:tcW w:type="dxa" w:w="1354"/>
          </w:tcPr>
          <w:p>
            <w:pPr>
              <w:spacing w:after="20"/>
              <w:jc w:val="right"/>
            </w:pPr>
            <w:r>
              <w:rPr>
                <w:color w:val="1C3A36"/>
                <w:sz w:val="17"/>
              </w:rPr>
              <w:t>15,786.3</w:t>
            </w:r>
          </w:p>
        </w:tc>
        <w:tc>
          <w:tcPr>
            <w:tcW w:type="dxa" w:w="1354"/>
          </w:tcPr>
          <w:p>
            <w:pPr>
              <w:spacing w:after="20"/>
              <w:jc w:val="right"/>
            </w:pPr>
            <w:r>
              <w:rPr>
                <w:color w:val="1C3A36"/>
                <w:sz w:val="17"/>
              </w:rPr>
              <w:t>19,065.0</w:t>
            </w:r>
          </w:p>
        </w:tc>
        <w:tc>
          <w:tcPr>
            <w:tcW w:type="dxa" w:w="1354"/>
          </w:tcPr>
          <w:p>
            <w:pPr>
              <w:spacing w:after="20"/>
              <w:jc w:val="right"/>
            </w:pPr>
            <w:r>
              <w:rPr>
                <w:color w:val="1C3A36"/>
                <w:sz w:val="17"/>
              </w:rPr>
              <w:t>21,821.4</w:t>
            </w:r>
          </w:p>
        </w:tc>
      </w:tr>
      <w:tr>
        <w:tc>
          <w:tcPr>
            <w:tcW w:type="dxa" w:w="3096"/>
          </w:tcPr>
          <w:p>
            <w:pPr>
              <w:spacing w:after="20"/>
            </w:pPr>
            <w:r>
              <w:rPr>
                <w:b/>
                <w:color w:val="1C3A36"/>
                <w:sz w:val="17"/>
              </w:rPr>
              <w:t>Revenue growth y/y</w:t>
            </w:r>
          </w:p>
        </w:tc>
        <w:tc>
          <w:tcPr>
            <w:tcW w:type="dxa" w:w="1354"/>
          </w:tcPr>
          <w:p>
            <w:pPr>
              <w:spacing w:after="20"/>
              <w:jc w:val="right"/>
            </w:pPr>
            <w:r>
              <w:rPr>
                <w:color w:val="1C3A36"/>
                <w:sz w:val="17"/>
              </w:rPr>
              <w:t>28%</w:t>
            </w:r>
          </w:p>
        </w:tc>
        <w:tc>
          <w:tcPr>
            <w:tcW w:type="dxa" w:w="1354"/>
          </w:tcPr>
          <w:p>
            <w:pPr>
              <w:spacing w:after="20"/>
              <w:jc w:val="right"/>
            </w:pPr>
            <w:r>
              <w:rPr>
                <w:color w:val="1C3A36"/>
                <w:sz w:val="17"/>
              </w:rPr>
              <w:t>33%</w:t>
            </w:r>
          </w:p>
        </w:tc>
        <w:tc>
          <w:tcPr>
            <w:tcW w:type="dxa" w:w="1354"/>
          </w:tcPr>
          <w:p>
            <w:pPr>
              <w:spacing w:after="20"/>
              <w:jc w:val="right"/>
            </w:pPr>
            <w:r>
              <w:rPr>
                <w:color w:val="1C3A36"/>
                <w:sz w:val="17"/>
              </w:rPr>
              <w:t>28%</w:t>
            </w:r>
          </w:p>
        </w:tc>
        <w:tc>
          <w:tcPr>
            <w:tcW w:type="dxa" w:w="1354"/>
          </w:tcPr>
          <w:p>
            <w:pPr>
              <w:spacing w:after="20"/>
              <w:jc w:val="right"/>
            </w:pPr>
            <w:r>
              <w:rPr>
                <w:color w:val="1C3A36"/>
                <w:sz w:val="17"/>
              </w:rPr>
              <w:t>21%</w:t>
            </w:r>
          </w:p>
        </w:tc>
        <w:tc>
          <w:tcPr>
            <w:tcW w:type="dxa" w:w="1354"/>
          </w:tcPr>
          <w:p>
            <w:pPr>
              <w:spacing w:after="20"/>
              <w:jc w:val="right"/>
            </w:pPr>
            <w:r>
              <w:rPr>
                <w:color w:val="1C3A36"/>
                <w:sz w:val="17"/>
              </w:rPr>
              <w:t>14%</w:t>
            </w:r>
          </w:p>
        </w:tc>
      </w:tr>
      <w:tr>
        <w:tc>
          <w:tcPr>
            <w:tcW w:type="dxa" w:w="3096"/>
          </w:tcPr>
          <w:p>
            <w:pPr>
              <w:spacing w:after="20"/>
            </w:pPr>
            <w:r>
              <w:rPr>
                <w:b/>
                <w:color w:val="1C3A36"/>
                <w:sz w:val="17"/>
              </w:rPr>
              <w:t>Gross profit</w:t>
            </w:r>
          </w:p>
        </w:tc>
        <w:tc>
          <w:tcPr>
            <w:tcW w:type="dxa" w:w="1354"/>
          </w:tcPr>
          <w:p>
            <w:pPr>
              <w:spacing w:after="20"/>
              <w:jc w:val="right"/>
            </w:pPr>
            <w:r>
              <w:rPr>
                <w:color w:val="1C3A36"/>
                <w:sz w:val="17"/>
              </w:rPr>
              <w:t>3,285.0</w:t>
            </w:r>
          </w:p>
        </w:tc>
        <w:tc>
          <w:tcPr>
            <w:tcW w:type="dxa" w:w="1354"/>
          </w:tcPr>
          <w:p>
            <w:pPr>
              <w:spacing w:after="20"/>
              <w:jc w:val="right"/>
            </w:pPr>
            <w:r>
              <w:rPr>
                <w:color w:val="1C3A36"/>
                <w:sz w:val="17"/>
              </w:rPr>
              <w:t>4,736.7</w:t>
            </w:r>
          </w:p>
        </w:tc>
        <w:tc>
          <w:tcPr>
            <w:tcW w:type="dxa" w:w="1354"/>
          </w:tcPr>
          <w:p>
            <w:pPr>
              <w:spacing w:after="20"/>
              <w:jc w:val="right"/>
            </w:pPr>
            <w:r>
              <w:rPr>
                <w:color w:val="1C3A36"/>
                <w:sz w:val="17"/>
              </w:rPr>
              <w:t>6,235.6</w:t>
            </w:r>
          </w:p>
        </w:tc>
        <w:tc>
          <w:tcPr>
            <w:tcW w:type="dxa" w:w="1354"/>
          </w:tcPr>
          <w:p>
            <w:pPr>
              <w:spacing w:after="20"/>
              <w:jc w:val="right"/>
            </w:pPr>
            <w:r>
              <w:rPr>
                <w:color w:val="1C3A36"/>
                <w:sz w:val="17"/>
              </w:rPr>
              <w:t>7,626.0</w:t>
            </w:r>
          </w:p>
        </w:tc>
        <w:tc>
          <w:tcPr>
            <w:tcW w:type="dxa" w:w="1354"/>
          </w:tcPr>
          <w:p>
            <w:pPr>
              <w:spacing w:after="20"/>
              <w:jc w:val="right"/>
            </w:pPr>
            <w:r>
              <w:rPr>
                <w:color w:val="1C3A36"/>
                <w:sz w:val="17"/>
              </w:rPr>
              <w:t>8,728.6</w:t>
            </w:r>
          </w:p>
        </w:tc>
      </w:tr>
      <w:tr>
        <w:tc>
          <w:tcPr>
            <w:tcW w:type="dxa" w:w="3096"/>
          </w:tcPr>
          <w:p>
            <w:pPr>
              <w:spacing w:after="20"/>
            </w:pPr>
            <w:r>
              <w:rPr>
                <w:b/>
                <w:color w:val="1C3A36"/>
                <w:sz w:val="17"/>
              </w:rPr>
              <w:t>EBITDA (reported basis)</w:t>
            </w:r>
          </w:p>
        </w:tc>
        <w:tc>
          <w:tcPr>
            <w:tcW w:type="dxa" w:w="1354"/>
          </w:tcPr>
          <w:p>
            <w:pPr>
              <w:spacing w:after="20"/>
              <w:jc w:val="right"/>
            </w:pPr>
            <w:r>
              <w:rPr>
                <w:color w:val="1C3A36"/>
                <w:sz w:val="17"/>
              </w:rPr>
              <w:t>1,989.5</w:t>
            </w:r>
          </w:p>
        </w:tc>
        <w:tc>
          <w:tcPr>
            <w:tcW w:type="dxa" w:w="1354"/>
          </w:tcPr>
          <w:p>
            <w:pPr>
              <w:spacing w:after="20"/>
              <w:jc w:val="right"/>
            </w:pPr>
            <w:r>
              <w:rPr>
                <w:color w:val="1C3A36"/>
                <w:sz w:val="17"/>
              </w:rPr>
              <w:t>3,014.3</w:t>
            </w:r>
          </w:p>
        </w:tc>
        <w:tc>
          <w:tcPr>
            <w:tcW w:type="dxa" w:w="1354"/>
          </w:tcPr>
          <w:p>
            <w:pPr>
              <w:spacing w:after="20"/>
              <w:jc w:val="right"/>
            </w:pPr>
            <w:r>
              <w:rPr>
                <w:color w:val="1C3A36"/>
                <w:sz w:val="17"/>
              </w:rPr>
              <w:t>4,183.4</w:t>
            </w:r>
          </w:p>
        </w:tc>
        <w:tc>
          <w:tcPr>
            <w:tcW w:type="dxa" w:w="1354"/>
          </w:tcPr>
          <w:p>
            <w:pPr>
              <w:spacing w:after="20"/>
              <w:jc w:val="right"/>
            </w:pPr>
            <w:r>
              <w:rPr>
                <w:color w:val="1C3A36"/>
                <w:sz w:val="17"/>
              </w:rPr>
              <w:t>5,242.9</w:t>
            </w:r>
          </w:p>
        </w:tc>
        <w:tc>
          <w:tcPr>
            <w:tcW w:type="dxa" w:w="1354"/>
          </w:tcPr>
          <w:p>
            <w:pPr>
              <w:spacing w:after="20"/>
              <w:jc w:val="right"/>
            </w:pPr>
            <w:r>
              <w:rPr>
                <w:color w:val="1C3A36"/>
                <w:sz w:val="17"/>
              </w:rPr>
              <w:t>6,110.0</w:t>
            </w:r>
          </w:p>
        </w:tc>
      </w:tr>
      <w:tr>
        <w:tc>
          <w:tcPr>
            <w:tcW w:type="dxa" w:w="3096"/>
          </w:tcPr>
          <w:p>
            <w:pPr>
              <w:spacing w:after="20"/>
            </w:pPr>
            <w:r>
              <w:rPr>
                <w:b/>
                <w:color w:val="1C3A36"/>
                <w:sz w:val="17"/>
              </w:rPr>
              <w:t>EBITDA margin</w:t>
            </w:r>
          </w:p>
        </w:tc>
        <w:tc>
          <w:tcPr>
            <w:tcW w:type="dxa" w:w="1354"/>
          </w:tcPr>
          <w:p>
            <w:pPr>
              <w:spacing w:after="20"/>
              <w:jc w:val="right"/>
            </w:pPr>
            <w:r>
              <w:rPr>
                <w:color w:val="1C3A36"/>
                <w:sz w:val="17"/>
              </w:rPr>
              <w:t>21.5%</w:t>
            </w:r>
          </w:p>
        </w:tc>
        <w:tc>
          <w:tcPr>
            <w:tcW w:type="dxa" w:w="1354"/>
          </w:tcPr>
          <w:p>
            <w:pPr>
              <w:spacing w:after="20"/>
              <w:jc w:val="right"/>
            </w:pPr>
            <w:r>
              <w:rPr>
                <w:color w:val="1C3A36"/>
                <w:sz w:val="17"/>
              </w:rPr>
              <w:t>24.5%</w:t>
            </w:r>
          </w:p>
        </w:tc>
        <w:tc>
          <w:tcPr>
            <w:tcW w:type="dxa" w:w="1354"/>
          </w:tcPr>
          <w:p>
            <w:pPr>
              <w:spacing w:after="20"/>
              <w:jc w:val="right"/>
            </w:pPr>
            <w:r>
              <w:rPr>
                <w:color w:val="1C3A36"/>
                <w:sz w:val="17"/>
              </w:rPr>
              <w:t>26.5%</w:t>
            </w:r>
          </w:p>
        </w:tc>
        <w:tc>
          <w:tcPr>
            <w:tcW w:type="dxa" w:w="1354"/>
          </w:tcPr>
          <w:p>
            <w:pPr>
              <w:spacing w:after="20"/>
              <w:jc w:val="right"/>
            </w:pPr>
            <w:r>
              <w:rPr>
                <w:color w:val="1C3A36"/>
                <w:sz w:val="17"/>
              </w:rPr>
              <w:t>27.5%</w:t>
            </w:r>
          </w:p>
        </w:tc>
        <w:tc>
          <w:tcPr>
            <w:tcW w:type="dxa" w:w="1354"/>
          </w:tcPr>
          <w:p>
            <w:pPr>
              <w:spacing w:after="20"/>
              <w:jc w:val="right"/>
            </w:pPr>
            <w:r>
              <w:rPr>
                <w:color w:val="1C3A36"/>
                <w:sz w:val="17"/>
              </w:rPr>
              <w:t>28.0%</w:t>
            </w:r>
          </w:p>
        </w:tc>
      </w:tr>
      <w:tr>
        <w:tc>
          <w:tcPr>
            <w:tcW w:type="dxa" w:w="3096"/>
          </w:tcPr>
          <w:p>
            <w:pPr>
              <w:spacing w:after="20"/>
            </w:pPr>
            <w:r>
              <w:rPr>
                <w:b/>
                <w:color w:val="1C3A36"/>
                <w:sz w:val="17"/>
              </w:rPr>
              <w:t>EBIT</w:t>
            </w:r>
          </w:p>
        </w:tc>
        <w:tc>
          <w:tcPr>
            <w:tcW w:type="dxa" w:w="1354"/>
          </w:tcPr>
          <w:p>
            <w:pPr>
              <w:spacing w:after="20"/>
              <w:jc w:val="right"/>
            </w:pPr>
            <w:r>
              <w:rPr>
                <w:color w:val="1C3A36"/>
                <w:sz w:val="17"/>
              </w:rPr>
              <w:t>1,509.5</w:t>
            </w:r>
          </w:p>
        </w:tc>
        <w:tc>
          <w:tcPr>
            <w:tcW w:type="dxa" w:w="1354"/>
          </w:tcPr>
          <w:p>
            <w:pPr>
              <w:spacing w:after="20"/>
              <w:jc w:val="right"/>
            </w:pPr>
            <w:r>
              <w:rPr>
                <w:color w:val="1C3A36"/>
                <w:sz w:val="17"/>
              </w:rPr>
              <w:t>2,454.3</w:t>
            </w:r>
          </w:p>
        </w:tc>
        <w:tc>
          <w:tcPr>
            <w:tcW w:type="dxa" w:w="1354"/>
          </w:tcPr>
          <w:p>
            <w:pPr>
              <w:spacing w:after="20"/>
              <w:jc w:val="right"/>
            </w:pPr>
            <w:r>
              <w:rPr>
                <w:color w:val="1C3A36"/>
                <w:sz w:val="17"/>
              </w:rPr>
              <w:t>3,563.4</w:t>
            </w:r>
          </w:p>
        </w:tc>
        <w:tc>
          <w:tcPr>
            <w:tcW w:type="dxa" w:w="1354"/>
          </w:tcPr>
          <w:p>
            <w:pPr>
              <w:spacing w:after="20"/>
              <w:jc w:val="right"/>
            </w:pPr>
            <w:r>
              <w:rPr>
                <w:color w:val="1C3A36"/>
                <w:sz w:val="17"/>
              </w:rPr>
              <w:t>4,562.9</w:t>
            </w:r>
          </w:p>
        </w:tc>
        <w:tc>
          <w:tcPr>
            <w:tcW w:type="dxa" w:w="1354"/>
          </w:tcPr>
          <w:p>
            <w:pPr>
              <w:spacing w:after="20"/>
              <w:jc w:val="right"/>
            </w:pPr>
            <w:r>
              <w:rPr>
                <w:color w:val="1C3A36"/>
                <w:sz w:val="17"/>
              </w:rPr>
              <w:t>5,370.0</w:t>
            </w:r>
          </w:p>
        </w:tc>
      </w:tr>
      <w:tr>
        <w:tc>
          <w:tcPr>
            <w:tcW w:type="dxa" w:w="3096"/>
          </w:tcPr>
          <w:p>
            <w:pPr>
              <w:spacing w:after="20"/>
            </w:pPr>
            <w:r>
              <w:rPr>
                <w:b/>
                <w:color w:val="1C3A36"/>
                <w:sz w:val="17"/>
              </w:rPr>
              <w:t>Net interest</w:t>
            </w:r>
          </w:p>
        </w:tc>
        <w:tc>
          <w:tcPr>
            <w:tcW w:type="dxa" w:w="1354"/>
          </w:tcPr>
          <w:p>
            <w:pPr>
              <w:spacing w:after="20"/>
              <w:jc w:val="right"/>
            </w:pPr>
            <w:r>
              <w:rPr>
                <w:color w:val="1C3A36"/>
                <w:sz w:val="17"/>
              </w:rPr>
              <w:t>(255.0)</w:t>
            </w:r>
          </w:p>
        </w:tc>
        <w:tc>
          <w:tcPr>
            <w:tcW w:type="dxa" w:w="1354"/>
          </w:tcPr>
          <w:p>
            <w:pPr>
              <w:spacing w:after="20"/>
              <w:jc w:val="right"/>
            </w:pPr>
            <w:r>
              <w:rPr>
                <w:color w:val="1C3A36"/>
                <w:sz w:val="17"/>
              </w:rPr>
              <w:t>(230.0)</w:t>
            </w:r>
          </w:p>
        </w:tc>
        <w:tc>
          <w:tcPr>
            <w:tcW w:type="dxa" w:w="1354"/>
          </w:tcPr>
          <w:p>
            <w:pPr>
              <w:spacing w:after="20"/>
              <w:jc w:val="right"/>
            </w:pPr>
            <w:r>
              <w:rPr>
                <w:color w:val="1C3A36"/>
                <w:sz w:val="17"/>
              </w:rPr>
              <w:t>(160.0)</w:t>
            </w:r>
          </w:p>
        </w:tc>
        <w:tc>
          <w:tcPr>
            <w:tcW w:type="dxa" w:w="1354"/>
          </w:tcPr>
          <w:p>
            <w:pPr>
              <w:spacing w:after="20"/>
              <w:jc w:val="right"/>
            </w:pPr>
            <w:r>
              <w:rPr>
                <w:color w:val="1C3A36"/>
                <w:sz w:val="17"/>
              </w:rPr>
              <w:t>(90.0)</w:t>
            </w:r>
          </w:p>
        </w:tc>
        <w:tc>
          <w:tcPr>
            <w:tcW w:type="dxa" w:w="1354"/>
          </w:tcPr>
          <w:p>
            <w:pPr>
              <w:spacing w:after="20"/>
              <w:jc w:val="right"/>
            </w:pPr>
            <w:r>
              <w:rPr>
                <w:color w:val="1C3A36"/>
                <w:sz w:val="17"/>
              </w:rPr>
              <w:t>(30.0)</w:t>
            </w:r>
          </w:p>
        </w:tc>
      </w:tr>
      <w:tr>
        <w:tc>
          <w:tcPr>
            <w:tcW w:type="dxa" w:w="3096"/>
          </w:tcPr>
          <w:p>
            <w:pPr>
              <w:spacing w:after="20"/>
            </w:pPr>
            <w:r>
              <w:rPr>
                <w:b/>
                <w:color w:val="1C3A36"/>
                <w:sz w:val="17"/>
              </w:rPr>
              <w:t>Profit before tax</w:t>
            </w:r>
          </w:p>
        </w:tc>
        <w:tc>
          <w:tcPr>
            <w:tcW w:type="dxa" w:w="1354"/>
          </w:tcPr>
          <w:p>
            <w:pPr>
              <w:spacing w:after="20"/>
              <w:jc w:val="right"/>
            </w:pPr>
            <w:r>
              <w:rPr>
                <w:color w:val="1C3A36"/>
                <w:sz w:val="17"/>
              </w:rPr>
              <w:t>1,254.5</w:t>
            </w:r>
          </w:p>
        </w:tc>
        <w:tc>
          <w:tcPr>
            <w:tcW w:type="dxa" w:w="1354"/>
          </w:tcPr>
          <w:p>
            <w:pPr>
              <w:spacing w:after="20"/>
              <w:jc w:val="right"/>
            </w:pPr>
            <w:r>
              <w:rPr>
                <w:color w:val="1C3A36"/>
                <w:sz w:val="17"/>
              </w:rPr>
              <w:t>2,224.3</w:t>
            </w:r>
          </w:p>
        </w:tc>
        <w:tc>
          <w:tcPr>
            <w:tcW w:type="dxa" w:w="1354"/>
          </w:tcPr>
          <w:p>
            <w:pPr>
              <w:spacing w:after="20"/>
              <w:jc w:val="right"/>
            </w:pPr>
            <w:r>
              <w:rPr>
                <w:color w:val="1C3A36"/>
                <w:sz w:val="17"/>
              </w:rPr>
              <w:t>3,403.4</w:t>
            </w:r>
          </w:p>
        </w:tc>
        <w:tc>
          <w:tcPr>
            <w:tcW w:type="dxa" w:w="1354"/>
          </w:tcPr>
          <w:p>
            <w:pPr>
              <w:spacing w:after="20"/>
              <w:jc w:val="right"/>
            </w:pPr>
            <w:r>
              <w:rPr>
                <w:color w:val="1C3A36"/>
                <w:sz w:val="17"/>
              </w:rPr>
              <w:t>4,472.9</w:t>
            </w:r>
          </w:p>
        </w:tc>
        <w:tc>
          <w:tcPr>
            <w:tcW w:type="dxa" w:w="1354"/>
          </w:tcPr>
          <w:p>
            <w:pPr>
              <w:spacing w:after="20"/>
              <w:jc w:val="right"/>
            </w:pPr>
            <w:r>
              <w:rPr>
                <w:color w:val="1C3A36"/>
                <w:sz w:val="17"/>
              </w:rPr>
              <w:t>5,340.0</w:t>
            </w:r>
          </w:p>
        </w:tc>
      </w:tr>
      <w:tr>
        <w:tc>
          <w:tcPr>
            <w:tcW w:type="dxa" w:w="3096"/>
          </w:tcPr>
          <w:p>
            <w:pPr>
              <w:spacing w:after="20"/>
            </w:pPr>
            <w:r>
              <w:rPr>
                <w:b/>
                <w:color w:val="1C3A36"/>
                <w:sz w:val="17"/>
              </w:rPr>
              <w:t>Net profit</w:t>
            </w:r>
          </w:p>
        </w:tc>
        <w:tc>
          <w:tcPr>
            <w:tcW w:type="dxa" w:w="1354"/>
          </w:tcPr>
          <w:p>
            <w:pPr>
              <w:spacing w:after="20"/>
              <w:jc w:val="right"/>
            </w:pPr>
            <w:r>
              <w:rPr>
                <w:color w:val="1C3A36"/>
                <w:sz w:val="17"/>
              </w:rPr>
              <w:t>947.2</w:t>
            </w:r>
          </w:p>
        </w:tc>
        <w:tc>
          <w:tcPr>
            <w:tcW w:type="dxa" w:w="1354"/>
          </w:tcPr>
          <w:p>
            <w:pPr>
              <w:spacing w:after="20"/>
              <w:jc w:val="right"/>
            </w:pPr>
            <w:r>
              <w:rPr>
                <w:color w:val="1C3A36"/>
                <w:sz w:val="17"/>
              </w:rPr>
              <w:t>1,679.3</w:t>
            </w:r>
          </w:p>
        </w:tc>
        <w:tc>
          <w:tcPr>
            <w:tcW w:type="dxa" w:w="1354"/>
          </w:tcPr>
          <w:p>
            <w:pPr>
              <w:spacing w:after="20"/>
              <w:jc w:val="right"/>
            </w:pPr>
            <w:r>
              <w:rPr>
                <w:color w:val="1C3A36"/>
                <w:sz w:val="17"/>
              </w:rPr>
              <w:t>2,569.6</w:t>
            </w:r>
          </w:p>
        </w:tc>
        <w:tc>
          <w:tcPr>
            <w:tcW w:type="dxa" w:w="1354"/>
          </w:tcPr>
          <w:p>
            <w:pPr>
              <w:spacing w:after="20"/>
              <w:jc w:val="right"/>
            </w:pPr>
            <w:r>
              <w:rPr>
                <w:color w:val="1C3A36"/>
                <w:sz w:val="17"/>
              </w:rPr>
              <w:t>3,377.0</w:t>
            </w:r>
          </w:p>
        </w:tc>
        <w:tc>
          <w:tcPr>
            <w:tcW w:type="dxa" w:w="1354"/>
          </w:tcPr>
          <w:p>
            <w:pPr>
              <w:spacing w:after="20"/>
              <w:jc w:val="right"/>
            </w:pPr>
            <w:r>
              <w:rPr>
                <w:color w:val="1C3A36"/>
                <w:sz w:val="17"/>
              </w:rPr>
              <w:t>4,031.7</w:t>
            </w:r>
          </w:p>
        </w:tc>
      </w:tr>
      <w:tr>
        <w:tc>
          <w:tcPr>
            <w:tcW w:type="dxa" w:w="3096"/>
          </w:tcPr>
          <w:p>
            <w:pPr>
              <w:spacing w:after="20"/>
            </w:pPr>
            <w:r>
              <w:rPr>
                <w:b/>
                <w:color w:val="1C3A36"/>
                <w:sz w:val="17"/>
              </w:rPr>
              <w:t>— attributable to parent</w:t>
            </w:r>
          </w:p>
        </w:tc>
        <w:tc>
          <w:tcPr>
            <w:tcW w:type="dxa" w:w="1354"/>
          </w:tcPr>
          <w:p>
            <w:pPr>
              <w:spacing w:after="20"/>
              <w:jc w:val="right"/>
            </w:pPr>
            <w:r>
              <w:rPr>
                <w:color w:val="1C3A36"/>
                <w:sz w:val="17"/>
              </w:rPr>
              <w:t>795.6</w:t>
            </w:r>
          </w:p>
        </w:tc>
        <w:tc>
          <w:tcPr>
            <w:tcW w:type="dxa" w:w="1354"/>
          </w:tcPr>
          <w:p>
            <w:pPr>
              <w:spacing w:after="20"/>
              <w:jc w:val="right"/>
            </w:pPr>
            <w:r>
              <w:rPr>
                <w:color w:val="1C3A36"/>
                <w:sz w:val="17"/>
              </w:rPr>
              <w:t>1,427.4</w:t>
            </w:r>
          </w:p>
        </w:tc>
        <w:tc>
          <w:tcPr>
            <w:tcW w:type="dxa" w:w="1354"/>
          </w:tcPr>
          <w:p>
            <w:pPr>
              <w:spacing w:after="20"/>
              <w:jc w:val="right"/>
            </w:pPr>
            <w:r>
              <w:rPr>
                <w:color w:val="1C3A36"/>
                <w:sz w:val="17"/>
              </w:rPr>
              <w:t>2,184.1</w:t>
            </w:r>
          </w:p>
        </w:tc>
        <w:tc>
          <w:tcPr>
            <w:tcW w:type="dxa" w:w="1354"/>
          </w:tcPr>
          <w:p>
            <w:pPr>
              <w:spacing w:after="20"/>
              <w:jc w:val="right"/>
            </w:pPr>
            <w:r>
              <w:rPr>
                <w:color w:val="1C3A36"/>
                <w:sz w:val="17"/>
              </w:rPr>
              <w:t>2,870.5</w:t>
            </w:r>
          </w:p>
        </w:tc>
        <w:tc>
          <w:tcPr>
            <w:tcW w:type="dxa" w:w="1354"/>
          </w:tcPr>
          <w:p>
            <w:pPr>
              <w:spacing w:after="20"/>
              <w:jc w:val="right"/>
            </w:pPr>
            <w:r>
              <w:rPr>
                <w:color w:val="1C3A36"/>
                <w:sz w:val="17"/>
              </w:rPr>
              <w:t>3,426.9</w:t>
            </w:r>
          </w:p>
        </w:tc>
      </w:tr>
      <w:tr>
        <w:tc>
          <w:tcPr>
            <w:tcW w:type="dxa" w:w="3096"/>
          </w:tcPr>
          <w:p>
            <w:pPr>
              <w:spacing w:after="20"/>
            </w:pPr>
            <w:r>
              <w:rPr>
                <w:b/>
                <w:color w:val="1C3A36"/>
                <w:sz w:val="17"/>
              </w:rPr>
              <w:t>EPS (EGP, parent)</w:t>
            </w:r>
          </w:p>
        </w:tc>
        <w:tc>
          <w:tcPr>
            <w:tcW w:type="dxa" w:w="1354"/>
          </w:tcPr>
          <w:p>
            <w:pPr>
              <w:spacing w:after="20"/>
              <w:jc w:val="right"/>
            </w:pPr>
            <w:r>
              <w:rPr>
                <w:color w:val="1C3A36"/>
                <w:sz w:val="17"/>
              </w:rPr>
              <w:t>0.549</w:t>
            </w:r>
          </w:p>
        </w:tc>
        <w:tc>
          <w:tcPr>
            <w:tcW w:type="dxa" w:w="1354"/>
          </w:tcPr>
          <w:p>
            <w:pPr>
              <w:spacing w:after="20"/>
              <w:jc w:val="right"/>
            </w:pPr>
            <w:r>
              <w:rPr>
                <w:color w:val="1C3A36"/>
                <w:sz w:val="17"/>
              </w:rPr>
              <w:t>0.985</w:t>
            </w:r>
          </w:p>
        </w:tc>
        <w:tc>
          <w:tcPr>
            <w:tcW w:type="dxa" w:w="1354"/>
          </w:tcPr>
          <w:p>
            <w:pPr>
              <w:spacing w:after="20"/>
              <w:jc w:val="right"/>
            </w:pPr>
            <w:r>
              <w:rPr>
                <w:color w:val="1C3A36"/>
                <w:sz w:val="17"/>
              </w:rPr>
              <w:t>1.507</w:t>
            </w:r>
          </w:p>
        </w:tc>
        <w:tc>
          <w:tcPr>
            <w:tcW w:type="dxa" w:w="1354"/>
          </w:tcPr>
          <w:p>
            <w:pPr>
              <w:spacing w:after="20"/>
              <w:jc w:val="right"/>
            </w:pPr>
            <w:r>
              <w:rPr>
                <w:color w:val="1C3A36"/>
                <w:sz w:val="17"/>
              </w:rPr>
              <w:t>1.980</w:t>
            </w:r>
          </w:p>
        </w:tc>
        <w:tc>
          <w:tcPr>
            <w:tcW w:type="dxa" w:w="1354"/>
          </w:tcPr>
          <w:p>
            <w:pPr>
              <w:spacing w:after="20"/>
              <w:jc w:val="right"/>
            </w:pPr>
            <w:r>
              <w:rPr>
                <w:color w:val="1C3A36"/>
                <w:sz w:val="17"/>
              </w:rPr>
              <w:t>2.364</w:t>
            </w:r>
          </w:p>
        </w:tc>
      </w:tr>
      <w:tr>
        <w:tc>
          <w:tcPr>
            <w:tcW w:type="dxa" w:w="3096"/>
          </w:tcPr>
          <w:p>
            <w:pPr>
              <w:spacing w:after="20"/>
            </w:pPr>
            <w:r>
              <w:rPr>
                <w:b/>
                <w:color w:val="1C3A36"/>
                <w:sz w:val="17"/>
              </w:rPr>
              <w:t>Capex</w:t>
            </w:r>
          </w:p>
        </w:tc>
        <w:tc>
          <w:tcPr>
            <w:tcW w:type="dxa" w:w="1354"/>
          </w:tcPr>
          <w:p>
            <w:pPr>
              <w:spacing w:after="20"/>
              <w:jc w:val="right"/>
            </w:pPr>
            <w:r>
              <w:rPr>
                <w:color w:val="1C3A36"/>
                <w:sz w:val="17"/>
              </w:rPr>
              <w:t>(1,400.0)</w:t>
            </w:r>
          </w:p>
        </w:tc>
        <w:tc>
          <w:tcPr>
            <w:tcW w:type="dxa" w:w="1354"/>
          </w:tcPr>
          <w:p>
            <w:pPr>
              <w:spacing w:after="20"/>
              <w:jc w:val="right"/>
            </w:pPr>
            <w:r>
              <w:rPr>
                <w:color w:val="1C3A36"/>
                <w:sz w:val="17"/>
              </w:rPr>
              <w:t>(1,100.0)</w:t>
            </w:r>
          </w:p>
        </w:tc>
        <w:tc>
          <w:tcPr>
            <w:tcW w:type="dxa" w:w="1354"/>
          </w:tcPr>
          <w:p>
            <w:pPr>
              <w:spacing w:after="20"/>
              <w:jc w:val="right"/>
            </w:pPr>
            <w:r>
              <w:rPr>
                <w:color w:val="1C3A36"/>
                <w:sz w:val="17"/>
              </w:rPr>
              <w:t>(1,150.0)</w:t>
            </w:r>
          </w:p>
        </w:tc>
        <w:tc>
          <w:tcPr>
            <w:tcW w:type="dxa" w:w="1354"/>
          </w:tcPr>
          <w:p>
            <w:pPr>
              <w:spacing w:after="20"/>
              <w:jc w:val="right"/>
            </w:pPr>
            <w:r>
              <w:rPr>
                <w:color w:val="1C3A36"/>
                <w:sz w:val="17"/>
              </w:rPr>
              <w:t>(1,220.0)</w:t>
            </w:r>
          </w:p>
        </w:tc>
        <w:tc>
          <w:tcPr>
            <w:tcW w:type="dxa" w:w="1354"/>
          </w:tcPr>
          <w:p>
            <w:pPr>
              <w:spacing w:after="20"/>
              <w:jc w:val="right"/>
            </w:pPr>
            <w:r>
              <w:rPr>
                <w:color w:val="1C3A36"/>
                <w:sz w:val="17"/>
              </w:rPr>
              <w:t>(1,280.0)</w:t>
            </w:r>
          </w:p>
        </w:tc>
      </w:tr>
      <w:tr>
        <w:tc>
          <w:tcPr>
            <w:tcW w:type="dxa" w:w="3096"/>
            <w:shd w:val="clear" w:color="auto" w:fill="F6F1E6"/>
          </w:tcPr>
          <w:p>
            <w:pPr>
              <w:spacing w:after="20"/>
            </w:pPr>
            <w:r>
              <w:rPr>
                <w:b/>
                <w:color w:val="1C3A36"/>
                <w:sz w:val="17"/>
              </w:rPr>
              <w:t>Free cash flow to the firm</w:t>
            </w:r>
          </w:p>
        </w:tc>
        <w:tc>
          <w:tcPr>
            <w:tcW w:type="dxa" w:w="1354"/>
            <w:shd w:val="clear" w:color="auto" w:fill="F6F1E6"/>
          </w:tcPr>
          <w:p>
            <w:pPr>
              <w:spacing w:after="20"/>
              <w:jc w:val="right"/>
            </w:pPr>
            <w:r>
              <w:rPr>
                <w:b/>
                <w:color w:val="1C3A36"/>
                <w:sz w:val="17"/>
              </w:rPr>
              <w:t>133.3</w:t>
            </w:r>
          </w:p>
        </w:tc>
        <w:tc>
          <w:tcPr>
            <w:tcW w:type="dxa" w:w="1354"/>
            <w:shd w:val="clear" w:color="auto" w:fill="F6F1E6"/>
          </w:tcPr>
          <w:p>
            <w:pPr>
              <w:spacing w:after="20"/>
              <w:jc w:val="right"/>
            </w:pPr>
            <w:r>
              <w:rPr>
                <w:b/>
                <w:color w:val="1C3A36"/>
                <w:sz w:val="17"/>
              </w:rPr>
              <w:t>1,263.6</w:t>
            </w:r>
          </w:p>
        </w:tc>
        <w:tc>
          <w:tcPr>
            <w:tcW w:type="dxa" w:w="1354"/>
            <w:shd w:val="clear" w:color="auto" w:fill="F6F1E6"/>
          </w:tcPr>
          <w:p>
            <w:pPr>
              <w:spacing w:after="20"/>
              <w:jc w:val="right"/>
            </w:pPr>
            <w:r>
              <w:rPr>
                <w:b/>
                <w:color w:val="1C3A36"/>
                <w:sz w:val="17"/>
              </w:rPr>
              <w:t>2,172.2</w:t>
            </w:r>
          </w:p>
        </w:tc>
        <w:tc>
          <w:tcPr>
            <w:tcW w:type="dxa" w:w="1354"/>
            <w:shd w:val="clear" w:color="auto" w:fill="F6F1E6"/>
          </w:tcPr>
          <w:p>
            <w:pPr>
              <w:spacing w:after="20"/>
              <w:jc w:val="right"/>
            </w:pPr>
            <w:r>
              <w:rPr>
                <w:b/>
                <w:color w:val="1C3A36"/>
                <w:sz w:val="17"/>
              </w:rPr>
              <w:t>2,963.4</w:t>
            </w:r>
          </w:p>
        </w:tc>
        <w:tc>
          <w:tcPr>
            <w:tcW w:type="dxa" w:w="1354"/>
            <w:shd w:val="clear" w:color="auto" w:fill="F6F1E6"/>
          </w:tcPr>
          <w:p>
            <w:pPr>
              <w:spacing w:after="20"/>
              <w:jc w:val="right"/>
            </w:pPr>
            <w:r>
              <w:rPr>
                <w:b/>
                <w:color w:val="1C3A36"/>
                <w:sz w:val="17"/>
              </w:rPr>
              <w:t>3,594.2</w:t>
            </w:r>
          </w:p>
        </w:tc>
      </w:tr>
      <w:tr>
        <w:tc>
          <w:tcPr>
            <w:tcW w:type="dxa" w:w="3096"/>
          </w:tcPr>
          <w:p>
            <w:pPr>
              <w:spacing w:after="20"/>
            </w:pPr>
            <w:r>
              <w:rPr>
                <w:b/>
                <w:color w:val="1C3A36"/>
                <w:sz w:val="17"/>
              </w:rPr>
              <w:t>Gross debt + leases, year-end</w:t>
            </w:r>
          </w:p>
        </w:tc>
        <w:tc>
          <w:tcPr>
            <w:tcW w:type="dxa" w:w="1354"/>
          </w:tcPr>
          <w:p>
            <w:pPr>
              <w:spacing w:after="20"/>
              <w:jc w:val="right"/>
            </w:pPr>
            <w:r>
              <w:rPr>
                <w:color w:val="1C3A36"/>
                <w:sz w:val="17"/>
              </w:rPr>
              <w:t>3,900.0</w:t>
            </w:r>
          </w:p>
        </w:tc>
        <w:tc>
          <w:tcPr>
            <w:tcW w:type="dxa" w:w="1354"/>
          </w:tcPr>
          <w:p>
            <w:pPr>
              <w:spacing w:after="20"/>
              <w:jc w:val="right"/>
            </w:pPr>
            <w:r>
              <w:rPr>
                <w:color w:val="1C3A36"/>
                <w:sz w:val="17"/>
              </w:rPr>
              <w:t>3,400.0</w:t>
            </w:r>
          </w:p>
        </w:tc>
        <w:tc>
          <w:tcPr>
            <w:tcW w:type="dxa" w:w="1354"/>
          </w:tcPr>
          <w:p>
            <w:pPr>
              <w:spacing w:after="20"/>
              <w:jc w:val="right"/>
            </w:pPr>
            <w:r>
              <w:rPr>
                <w:color w:val="1C3A36"/>
                <w:sz w:val="17"/>
              </w:rPr>
              <w:t>2,800.0</w:t>
            </w:r>
          </w:p>
        </w:tc>
        <w:tc>
          <w:tcPr>
            <w:tcW w:type="dxa" w:w="1354"/>
          </w:tcPr>
          <w:p>
            <w:pPr>
              <w:spacing w:after="20"/>
              <w:jc w:val="right"/>
            </w:pPr>
            <w:r>
              <w:rPr>
                <w:color w:val="1C3A36"/>
                <w:sz w:val="17"/>
              </w:rPr>
              <w:t>2,200.0</w:t>
            </w:r>
          </w:p>
        </w:tc>
        <w:tc>
          <w:tcPr>
            <w:tcW w:type="dxa" w:w="1354"/>
          </w:tcPr>
          <w:p>
            <w:pPr>
              <w:spacing w:after="20"/>
              <w:jc w:val="right"/>
            </w:pPr>
            <w:r>
              <w:rPr>
                <w:color w:val="1C3A36"/>
                <w:sz w:val="17"/>
              </w:rPr>
              <w:t>1,600.0</w:t>
            </w:r>
          </w:p>
        </w:tc>
      </w:tr>
    </w:tbl>
    <w:p>
      <w:pPr>
        <w:spacing w:after="40"/>
      </w:pPr>
    </w:p>
    <w:p>
      <w:pPr>
        <w:spacing w:after="200" w:before="0"/>
      </w:pPr>
      <w:r>
        <w:rPr>
          <w:b w:val="0"/>
          <w:i/>
          <w:color w:val="6E7B77"/>
          <w:sz w:val="17"/>
        </w:rPr>
        <w:t>The model’s forecast, driven entirely off the Assumptions sheet of the companion workbook. Three actual years and five forecast years are carried in both the income statement and the balance sheet there; the balance sheet balances with cash as the sole plug.</w:t>
      </w:r>
    </w:p>
    <w:p>
      <w:pPr>
        <w:spacing w:after="80" w:before="200"/>
      </w:pPr>
      <w:r>
        <w:rPr>
          <w:b/>
          <w:i w:val="0"/>
          <w:color w:val="1C3A36"/>
          <w:sz w:val="24"/>
        </w:rPr>
        <w:t>A.5 · Revenue build — bottom-up, line by line</w:t>
      </w:r>
    </w:p>
    <w:p>
      <w:pPr>
        <w:spacing w:after="120" w:before="0"/>
      </w:pPr>
      <w:r>
        <w:rPr>
          <w:b w:val="0"/>
          <w:i w:val="0"/>
          <w:color w:val="1C3A36"/>
          <w:sz w:val="21"/>
        </w:rPr>
        <w:t>Revenue is built bottom-up wherever the company discloses it, and top-down only where it does not (per the protocol’s data-discipline gate). The five KPI lines below cover 59% of FY2025 revenue and are each modeled as volume × ARP, faded from their own disclosed FY2024→FY2025 growth rate toward a sustainable long-run rate. The remaining 41% (pharmacy, lab, IVF — no disclosed volume/price split) is grown top-down off the same bed-capacity ramp, plus a flat re-pricing kicker.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24"/>
            <w:shd w:val="clear" w:color="auto" w:fill="EAF0EE"/>
          </w:tcPr>
          <w:p>
            <w:pPr>
              <w:spacing w:after="20"/>
            </w:pPr>
            <w:r>
              <w:rPr>
                <w:b/>
                <w:color w:val="1C3A36"/>
                <w:sz w:val="16"/>
              </w:rPr>
              <w:t>Line (EGP mn)</w:t>
            </w:r>
          </w:p>
        </w:tc>
        <w:tc>
          <w:tcPr>
            <w:tcW w:type="dxa" w:w="1411"/>
            <w:shd w:val="clear" w:color="auto" w:fill="EAF0EE"/>
          </w:tcPr>
          <w:p>
            <w:pPr>
              <w:spacing w:after="20"/>
            </w:pPr>
            <w:r>
              <w:rPr>
                <w:b/>
                <w:color w:val="1C3A36"/>
                <w:sz w:val="16"/>
              </w:rPr>
              <w:t>FY26E</w:t>
            </w:r>
          </w:p>
        </w:tc>
        <w:tc>
          <w:tcPr>
            <w:tcW w:type="dxa" w:w="1411"/>
            <w:shd w:val="clear" w:color="auto" w:fill="EAF0EE"/>
          </w:tcPr>
          <w:p>
            <w:pPr>
              <w:spacing w:after="20"/>
            </w:pPr>
            <w:r>
              <w:rPr>
                <w:b/>
                <w:color w:val="1C3A36"/>
                <w:sz w:val="16"/>
              </w:rPr>
              <w:t>FY27E</w:t>
            </w:r>
          </w:p>
        </w:tc>
        <w:tc>
          <w:tcPr>
            <w:tcW w:type="dxa" w:w="1411"/>
            <w:shd w:val="clear" w:color="auto" w:fill="EAF0EE"/>
          </w:tcPr>
          <w:p>
            <w:pPr>
              <w:spacing w:after="20"/>
            </w:pPr>
            <w:r>
              <w:rPr>
                <w:b/>
                <w:color w:val="1C3A36"/>
                <w:sz w:val="16"/>
              </w:rPr>
              <w:t>FY28E</w:t>
            </w:r>
          </w:p>
        </w:tc>
        <w:tc>
          <w:tcPr>
            <w:tcW w:type="dxa" w:w="1411"/>
            <w:shd w:val="clear" w:color="auto" w:fill="EAF0EE"/>
          </w:tcPr>
          <w:p>
            <w:pPr>
              <w:spacing w:after="20"/>
            </w:pPr>
            <w:r>
              <w:rPr>
                <w:b/>
                <w:color w:val="1C3A36"/>
                <w:sz w:val="16"/>
              </w:rPr>
              <w:t>FY29E</w:t>
            </w:r>
          </w:p>
        </w:tc>
        <w:tc>
          <w:tcPr>
            <w:tcW w:type="dxa" w:w="1411"/>
            <w:shd w:val="clear" w:color="auto" w:fill="EAF0EE"/>
          </w:tcPr>
          <w:p>
            <w:pPr>
              <w:spacing w:after="20"/>
            </w:pPr>
            <w:r>
              <w:rPr>
                <w:b/>
                <w:color w:val="1C3A36"/>
                <w:sz w:val="16"/>
              </w:rPr>
              <w:t>FY30E</w:t>
            </w:r>
          </w:p>
        </w:tc>
      </w:tr>
      <w:tr>
        <w:tc>
          <w:tcPr>
            <w:tcW w:type="dxa" w:w="3024"/>
          </w:tcPr>
          <w:p>
            <w:pPr>
              <w:spacing w:after="20"/>
            </w:pPr>
            <w:r>
              <w:rPr>
                <w:b/>
                <w:color w:val="1C3A36"/>
                <w:sz w:val="16"/>
              </w:rPr>
              <w:t>Outpatient</w:t>
            </w:r>
          </w:p>
        </w:tc>
        <w:tc>
          <w:tcPr>
            <w:tcW w:type="dxa" w:w="1411"/>
          </w:tcPr>
          <w:p>
            <w:pPr>
              <w:spacing w:after="20"/>
              <w:jc w:val="right"/>
            </w:pPr>
            <w:r>
              <w:rPr>
                <w:color w:val="1C3A36"/>
                <w:sz w:val="16"/>
              </w:rPr>
              <w:t>776.7</w:t>
            </w:r>
          </w:p>
        </w:tc>
        <w:tc>
          <w:tcPr>
            <w:tcW w:type="dxa" w:w="1411"/>
          </w:tcPr>
          <w:p>
            <w:pPr>
              <w:spacing w:after="20"/>
              <w:jc w:val="right"/>
            </w:pPr>
            <w:r>
              <w:rPr>
                <w:color w:val="1C3A36"/>
                <w:sz w:val="16"/>
              </w:rPr>
              <w:t>1,006.7</w:t>
            </w:r>
          </w:p>
        </w:tc>
        <w:tc>
          <w:tcPr>
            <w:tcW w:type="dxa" w:w="1411"/>
          </w:tcPr>
          <w:p>
            <w:pPr>
              <w:spacing w:after="20"/>
              <w:jc w:val="right"/>
            </w:pPr>
            <w:r>
              <w:rPr>
                <w:color w:val="1C3A36"/>
                <w:sz w:val="16"/>
              </w:rPr>
              <w:t>1,268.3</w:t>
            </w:r>
          </w:p>
        </w:tc>
        <w:tc>
          <w:tcPr>
            <w:tcW w:type="dxa" w:w="1411"/>
          </w:tcPr>
          <w:p>
            <w:pPr>
              <w:spacing w:after="20"/>
              <w:jc w:val="right"/>
            </w:pPr>
            <w:r>
              <w:rPr>
                <w:color w:val="1C3A36"/>
                <w:sz w:val="16"/>
              </w:rPr>
              <w:t>1,532.1</w:t>
            </w:r>
          </w:p>
        </w:tc>
        <w:tc>
          <w:tcPr>
            <w:tcW w:type="dxa" w:w="1411"/>
          </w:tcPr>
          <w:p>
            <w:pPr>
              <w:spacing w:after="20"/>
              <w:jc w:val="right"/>
            </w:pPr>
            <w:r>
              <w:rPr>
                <w:color w:val="1C3A36"/>
                <w:sz w:val="16"/>
              </w:rPr>
              <w:t>1,774.3</w:t>
            </w:r>
          </w:p>
        </w:tc>
      </w:tr>
      <w:tr>
        <w:tc>
          <w:tcPr>
            <w:tcW w:type="dxa" w:w="3024"/>
          </w:tcPr>
          <w:p>
            <w:pPr>
              <w:spacing w:after="20"/>
            </w:pPr>
            <w:r>
              <w:rPr>
                <w:b/>
                <w:color w:val="1C3A36"/>
                <w:sz w:val="16"/>
              </w:rPr>
              <w:t>Inpatient</w:t>
            </w:r>
          </w:p>
        </w:tc>
        <w:tc>
          <w:tcPr>
            <w:tcW w:type="dxa" w:w="1411"/>
          </w:tcPr>
          <w:p>
            <w:pPr>
              <w:spacing w:after="20"/>
              <w:jc w:val="right"/>
            </w:pPr>
            <w:r>
              <w:rPr>
                <w:color w:val="1C3A36"/>
                <w:sz w:val="16"/>
              </w:rPr>
              <w:t>2,158.9</w:t>
            </w:r>
          </w:p>
        </w:tc>
        <w:tc>
          <w:tcPr>
            <w:tcW w:type="dxa" w:w="1411"/>
          </w:tcPr>
          <w:p>
            <w:pPr>
              <w:spacing w:after="20"/>
              <w:jc w:val="right"/>
            </w:pPr>
            <w:r>
              <w:rPr>
                <w:color w:val="1C3A36"/>
                <w:sz w:val="16"/>
              </w:rPr>
              <w:t>3,039.0</w:t>
            </w:r>
          </w:p>
        </w:tc>
        <w:tc>
          <w:tcPr>
            <w:tcW w:type="dxa" w:w="1411"/>
          </w:tcPr>
          <w:p>
            <w:pPr>
              <w:spacing w:after="20"/>
              <w:jc w:val="right"/>
            </w:pPr>
            <w:r>
              <w:rPr>
                <w:color w:val="1C3A36"/>
                <w:sz w:val="16"/>
              </w:rPr>
              <w:t>4,084.8</w:t>
            </w:r>
          </w:p>
        </w:tc>
        <w:tc>
          <w:tcPr>
            <w:tcW w:type="dxa" w:w="1411"/>
          </w:tcPr>
          <w:p>
            <w:pPr>
              <w:spacing w:after="20"/>
              <w:jc w:val="right"/>
            </w:pPr>
            <w:r>
              <w:rPr>
                <w:color w:val="1C3A36"/>
                <w:sz w:val="16"/>
              </w:rPr>
              <w:t>5,057.5</w:t>
            </w:r>
          </w:p>
        </w:tc>
        <w:tc>
          <w:tcPr>
            <w:tcW w:type="dxa" w:w="1411"/>
          </w:tcPr>
          <w:p>
            <w:pPr>
              <w:spacing w:after="20"/>
              <w:jc w:val="right"/>
            </w:pPr>
            <w:r>
              <w:rPr>
                <w:color w:val="1C3A36"/>
                <w:sz w:val="16"/>
              </w:rPr>
              <w:t>5,869.7</w:t>
            </w:r>
          </w:p>
        </w:tc>
      </w:tr>
      <w:tr>
        <w:tc>
          <w:tcPr>
            <w:tcW w:type="dxa" w:w="3024"/>
          </w:tcPr>
          <w:p>
            <w:pPr>
              <w:spacing w:after="20"/>
            </w:pPr>
            <w:r>
              <w:rPr>
                <w:b/>
                <w:color w:val="1C3A36"/>
                <w:sz w:val="16"/>
              </w:rPr>
              <w:t>Surgical</w:t>
            </w:r>
          </w:p>
        </w:tc>
        <w:tc>
          <w:tcPr>
            <w:tcW w:type="dxa" w:w="1411"/>
          </w:tcPr>
          <w:p>
            <w:pPr>
              <w:spacing w:after="20"/>
              <w:jc w:val="right"/>
            </w:pPr>
            <w:r>
              <w:rPr>
                <w:color w:val="1C3A36"/>
                <w:sz w:val="16"/>
              </w:rPr>
              <w:t>1,652.7</w:t>
            </w:r>
          </w:p>
        </w:tc>
        <w:tc>
          <w:tcPr>
            <w:tcW w:type="dxa" w:w="1411"/>
          </w:tcPr>
          <w:p>
            <w:pPr>
              <w:spacing w:after="20"/>
              <w:jc w:val="right"/>
            </w:pPr>
            <w:r>
              <w:rPr>
                <w:color w:val="1C3A36"/>
                <w:sz w:val="16"/>
              </w:rPr>
              <w:t>2,199.4</w:t>
            </w:r>
          </w:p>
        </w:tc>
        <w:tc>
          <w:tcPr>
            <w:tcW w:type="dxa" w:w="1411"/>
          </w:tcPr>
          <w:p>
            <w:pPr>
              <w:spacing w:after="20"/>
              <w:jc w:val="right"/>
            </w:pPr>
            <w:r>
              <w:rPr>
                <w:color w:val="1C3A36"/>
                <w:sz w:val="16"/>
              </w:rPr>
              <w:t>2,822.0</w:t>
            </w:r>
          </w:p>
        </w:tc>
        <w:tc>
          <w:tcPr>
            <w:tcW w:type="dxa" w:w="1411"/>
          </w:tcPr>
          <w:p>
            <w:pPr>
              <w:spacing w:after="20"/>
              <w:jc w:val="right"/>
            </w:pPr>
            <w:r>
              <w:rPr>
                <w:color w:val="1C3A36"/>
                <w:sz w:val="16"/>
              </w:rPr>
              <w:t>3,413.1</w:t>
            </w:r>
          </w:p>
        </w:tc>
        <w:tc>
          <w:tcPr>
            <w:tcW w:type="dxa" w:w="1411"/>
          </w:tcPr>
          <w:p>
            <w:pPr>
              <w:spacing w:after="20"/>
              <w:jc w:val="right"/>
            </w:pPr>
            <w:r>
              <w:rPr>
                <w:color w:val="1C3A36"/>
                <w:sz w:val="16"/>
              </w:rPr>
              <w:t>3,924.2</w:t>
            </w:r>
          </w:p>
        </w:tc>
      </w:tr>
      <w:tr>
        <w:tc>
          <w:tcPr>
            <w:tcW w:type="dxa" w:w="3024"/>
          </w:tcPr>
          <w:p>
            <w:pPr>
              <w:spacing w:after="20"/>
            </w:pPr>
            <w:r>
              <w:rPr>
                <w:b/>
                <w:color w:val="1C3A36"/>
                <w:sz w:val="16"/>
              </w:rPr>
              <w:t>Er</w:t>
            </w:r>
          </w:p>
        </w:tc>
        <w:tc>
          <w:tcPr>
            <w:tcW w:type="dxa" w:w="1411"/>
          </w:tcPr>
          <w:p>
            <w:pPr>
              <w:spacing w:after="20"/>
              <w:jc w:val="right"/>
            </w:pPr>
            <w:r>
              <w:rPr>
                <w:color w:val="1C3A36"/>
                <w:sz w:val="16"/>
              </w:rPr>
              <w:t>348.5</w:t>
            </w:r>
          </w:p>
        </w:tc>
        <w:tc>
          <w:tcPr>
            <w:tcW w:type="dxa" w:w="1411"/>
          </w:tcPr>
          <w:p>
            <w:pPr>
              <w:spacing w:after="20"/>
              <w:jc w:val="right"/>
            </w:pPr>
            <w:r>
              <w:rPr>
                <w:color w:val="1C3A36"/>
                <w:sz w:val="16"/>
              </w:rPr>
              <w:t>459.9</w:t>
            </w:r>
          </w:p>
        </w:tc>
        <w:tc>
          <w:tcPr>
            <w:tcW w:type="dxa" w:w="1411"/>
          </w:tcPr>
          <w:p>
            <w:pPr>
              <w:spacing w:after="20"/>
              <w:jc w:val="right"/>
            </w:pPr>
            <w:r>
              <w:rPr>
                <w:color w:val="1C3A36"/>
                <w:sz w:val="16"/>
              </w:rPr>
              <w:t>579.4</w:t>
            </w:r>
          </w:p>
        </w:tc>
        <w:tc>
          <w:tcPr>
            <w:tcW w:type="dxa" w:w="1411"/>
          </w:tcPr>
          <w:p>
            <w:pPr>
              <w:spacing w:after="20"/>
              <w:jc w:val="right"/>
            </w:pPr>
            <w:r>
              <w:rPr>
                <w:color w:val="1C3A36"/>
                <w:sz w:val="16"/>
              </w:rPr>
              <w:t>693.4</w:t>
            </w:r>
          </w:p>
        </w:tc>
        <w:tc>
          <w:tcPr>
            <w:tcW w:type="dxa" w:w="1411"/>
          </w:tcPr>
          <w:p>
            <w:pPr>
              <w:spacing w:after="20"/>
              <w:jc w:val="right"/>
            </w:pPr>
            <w:r>
              <w:rPr>
                <w:color w:val="1C3A36"/>
                <w:sz w:val="16"/>
              </w:rPr>
              <w:t>788.2</w:t>
            </w:r>
          </w:p>
        </w:tc>
      </w:tr>
      <w:tr>
        <w:tc>
          <w:tcPr>
            <w:tcW w:type="dxa" w:w="3024"/>
          </w:tcPr>
          <w:p>
            <w:pPr>
              <w:spacing w:after="20"/>
            </w:pPr>
            <w:r>
              <w:rPr>
                <w:b/>
                <w:color w:val="1C3A36"/>
                <w:sz w:val="16"/>
              </w:rPr>
              <w:t>Cath</w:t>
            </w:r>
          </w:p>
        </w:tc>
        <w:tc>
          <w:tcPr>
            <w:tcW w:type="dxa" w:w="1411"/>
          </w:tcPr>
          <w:p>
            <w:pPr>
              <w:spacing w:after="20"/>
              <w:jc w:val="right"/>
            </w:pPr>
            <w:r>
              <w:rPr>
                <w:color w:val="1C3A36"/>
                <w:sz w:val="16"/>
              </w:rPr>
              <w:t>615.9</w:t>
            </w:r>
          </w:p>
        </w:tc>
        <w:tc>
          <w:tcPr>
            <w:tcW w:type="dxa" w:w="1411"/>
          </w:tcPr>
          <w:p>
            <w:pPr>
              <w:spacing w:after="20"/>
              <w:jc w:val="right"/>
            </w:pPr>
            <w:r>
              <w:rPr>
                <w:color w:val="1C3A36"/>
                <w:sz w:val="16"/>
              </w:rPr>
              <w:t>836.0</w:t>
            </w:r>
          </w:p>
        </w:tc>
        <w:tc>
          <w:tcPr>
            <w:tcW w:type="dxa" w:w="1411"/>
          </w:tcPr>
          <w:p>
            <w:pPr>
              <w:spacing w:after="20"/>
              <w:jc w:val="right"/>
            </w:pPr>
            <w:r>
              <w:rPr>
                <w:color w:val="1C3A36"/>
                <w:sz w:val="16"/>
              </w:rPr>
              <w:t>1,093.1</w:t>
            </w:r>
          </w:p>
        </w:tc>
        <w:tc>
          <w:tcPr>
            <w:tcW w:type="dxa" w:w="1411"/>
          </w:tcPr>
          <w:p>
            <w:pPr>
              <w:spacing w:after="20"/>
              <w:jc w:val="right"/>
            </w:pPr>
            <w:r>
              <w:rPr>
                <w:color w:val="1C3A36"/>
                <w:sz w:val="16"/>
              </w:rPr>
              <w:t>1,340.9</w:t>
            </w:r>
          </w:p>
        </w:tc>
        <w:tc>
          <w:tcPr>
            <w:tcW w:type="dxa" w:w="1411"/>
          </w:tcPr>
          <w:p>
            <w:pPr>
              <w:spacing w:after="20"/>
              <w:jc w:val="right"/>
            </w:pPr>
            <w:r>
              <w:rPr>
                <w:color w:val="1C3A36"/>
                <w:sz w:val="16"/>
              </w:rPr>
              <w:t>1,541.7</w:t>
            </w:r>
          </w:p>
        </w:tc>
      </w:tr>
      <w:tr>
        <w:tc>
          <w:tcPr>
            <w:tcW w:type="dxa" w:w="3024"/>
            <w:shd w:val="clear" w:color="auto" w:fill="F6F1E6"/>
          </w:tcPr>
          <w:p>
            <w:pPr>
              <w:spacing w:after="20"/>
            </w:pPr>
            <w:r>
              <w:rPr>
                <w:b/>
                <w:color w:val="1C3A36"/>
                <w:sz w:val="16"/>
              </w:rPr>
              <w:t>Lab</w:t>
            </w:r>
          </w:p>
        </w:tc>
        <w:tc>
          <w:tcPr>
            <w:tcW w:type="dxa" w:w="1411"/>
            <w:shd w:val="clear" w:color="auto" w:fill="F6F1E6"/>
          </w:tcPr>
          <w:p>
            <w:pPr>
              <w:spacing w:after="20"/>
              <w:jc w:val="right"/>
            </w:pPr>
            <w:r>
              <w:rPr>
                <w:b/>
                <w:color w:val="1C3A36"/>
                <w:sz w:val="16"/>
              </w:rPr>
              <w:t>1,067.9</w:t>
            </w:r>
          </w:p>
        </w:tc>
        <w:tc>
          <w:tcPr>
            <w:tcW w:type="dxa" w:w="1411"/>
            <w:shd w:val="clear" w:color="auto" w:fill="F6F1E6"/>
          </w:tcPr>
          <w:p>
            <w:pPr>
              <w:spacing w:after="20"/>
              <w:jc w:val="right"/>
            </w:pPr>
            <w:r>
              <w:rPr>
                <w:b/>
                <w:color w:val="1C3A36"/>
                <w:sz w:val="16"/>
              </w:rPr>
              <w:t>1,434.9</w:t>
            </w:r>
          </w:p>
        </w:tc>
        <w:tc>
          <w:tcPr>
            <w:tcW w:type="dxa" w:w="1411"/>
            <w:shd w:val="clear" w:color="auto" w:fill="F6F1E6"/>
          </w:tcPr>
          <w:p>
            <w:pPr>
              <w:spacing w:after="20"/>
              <w:jc w:val="right"/>
            </w:pPr>
            <w:r>
              <w:rPr>
                <w:b/>
                <w:color w:val="1C3A36"/>
                <w:sz w:val="16"/>
              </w:rPr>
              <w:t>1,841.2</w:t>
            </w:r>
          </w:p>
        </w:tc>
        <w:tc>
          <w:tcPr>
            <w:tcW w:type="dxa" w:w="1411"/>
            <w:shd w:val="clear" w:color="auto" w:fill="F6F1E6"/>
          </w:tcPr>
          <w:p>
            <w:pPr>
              <w:spacing w:after="20"/>
              <w:jc w:val="right"/>
            </w:pPr>
            <w:r>
              <w:rPr>
                <w:b/>
                <w:color w:val="1C3A36"/>
                <w:sz w:val="16"/>
              </w:rPr>
              <w:t>2,224.1</w:t>
            </w:r>
          </w:p>
        </w:tc>
        <w:tc>
          <w:tcPr>
            <w:tcW w:type="dxa" w:w="1411"/>
            <w:shd w:val="clear" w:color="auto" w:fill="F6F1E6"/>
          </w:tcPr>
          <w:p>
            <w:pPr>
              <w:spacing w:after="20"/>
              <w:jc w:val="right"/>
            </w:pPr>
            <w:r>
              <w:rPr>
                <w:b/>
                <w:color w:val="1C3A36"/>
                <w:sz w:val="16"/>
              </w:rPr>
              <w:t>2,551.9</w:t>
            </w:r>
          </w:p>
        </w:tc>
      </w:tr>
      <w:tr>
        <w:tc>
          <w:tcPr>
            <w:tcW w:type="dxa" w:w="3024"/>
          </w:tcPr>
          <w:p>
            <w:pPr>
              <w:spacing w:after="20"/>
            </w:pPr>
            <w:r>
              <w:rPr>
                <w:b/>
                <w:color w:val="1C3A36"/>
                <w:sz w:val="16"/>
              </w:rPr>
              <w:t>Radiology</w:t>
            </w:r>
          </w:p>
        </w:tc>
        <w:tc>
          <w:tcPr>
            <w:tcW w:type="dxa" w:w="1411"/>
          </w:tcPr>
          <w:p>
            <w:pPr>
              <w:spacing w:after="20"/>
              <w:jc w:val="right"/>
            </w:pPr>
            <w:r>
              <w:rPr>
                <w:color w:val="1C3A36"/>
                <w:sz w:val="16"/>
              </w:rPr>
              <w:t>711.9</w:t>
            </w:r>
          </w:p>
        </w:tc>
        <w:tc>
          <w:tcPr>
            <w:tcW w:type="dxa" w:w="1411"/>
          </w:tcPr>
          <w:p>
            <w:pPr>
              <w:spacing w:after="20"/>
              <w:jc w:val="right"/>
            </w:pPr>
            <w:r>
              <w:rPr>
                <w:color w:val="1C3A36"/>
                <w:sz w:val="16"/>
              </w:rPr>
              <w:t>956.6</w:t>
            </w:r>
          </w:p>
        </w:tc>
        <w:tc>
          <w:tcPr>
            <w:tcW w:type="dxa" w:w="1411"/>
          </w:tcPr>
          <w:p>
            <w:pPr>
              <w:spacing w:after="20"/>
              <w:jc w:val="right"/>
            </w:pPr>
            <w:r>
              <w:rPr>
                <w:color w:val="1C3A36"/>
                <w:sz w:val="16"/>
              </w:rPr>
              <w:t>1,227.5</w:t>
            </w:r>
          </w:p>
        </w:tc>
        <w:tc>
          <w:tcPr>
            <w:tcW w:type="dxa" w:w="1411"/>
          </w:tcPr>
          <w:p>
            <w:pPr>
              <w:spacing w:after="20"/>
              <w:jc w:val="right"/>
            </w:pPr>
            <w:r>
              <w:rPr>
                <w:color w:val="1C3A36"/>
                <w:sz w:val="16"/>
              </w:rPr>
              <w:t>1,482.7</w:t>
            </w:r>
          </w:p>
        </w:tc>
        <w:tc>
          <w:tcPr>
            <w:tcW w:type="dxa" w:w="1411"/>
          </w:tcPr>
          <w:p>
            <w:pPr>
              <w:spacing w:after="20"/>
              <w:jc w:val="right"/>
            </w:pPr>
            <w:r>
              <w:rPr>
                <w:color w:val="1C3A36"/>
                <w:sz w:val="16"/>
              </w:rPr>
              <w:t>1,701.3</w:t>
            </w:r>
          </w:p>
        </w:tc>
      </w:tr>
      <w:tr>
        <w:tc>
          <w:tcPr>
            <w:tcW w:type="dxa" w:w="3024"/>
            <w:shd w:val="clear" w:color="auto" w:fill="F6F1E6"/>
          </w:tcPr>
          <w:p>
            <w:pPr>
              <w:spacing w:after="20"/>
            </w:pPr>
            <w:r>
              <w:rPr>
                <w:b/>
                <w:color w:val="1C3A36"/>
                <w:sz w:val="16"/>
              </w:rPr>
              <w:t>Sub-total, 5 KPI lines</w:t>
            </w:r>
          </w:p>
        </w:tc>
        <w:tc>
          <w:tcPr>
            <w:tcW w:type="dxa" w:w="1411"/>
            <w:shd w:val="clear" w:color="auto" w:fill="F6F1E6"/>
          </w:tcPr>
          <w:p>
            <w:pPr>
              <w:spacing w:after="20"/>
              <w:jc w:val="right"/>
            </w:pPr>
            <w:r>
              <w:rPr>
                <w:b/>
                <w:color w:val="1C3A36"/>
                <w:sz w:val="16"/>
              </w:rPr>
              <w:t>7,332.5</w:t>
            </w:r>
          </w:p>
        </w:tc>
        <w:tc>
          <w:tcPr>
            <w:tcW w:type="dxa" w:w="1411"/>
            <w:shd w:val="clear" w:color="auto" w:fill="F6F1E6"/>
          </w:tcPr>
          <w:p>
            <w:pPr>
              <w:spacing w:after="20"/>
              <w:jc w:val="right"/>
            </w:pPr>
            <w:r>
              <w:rPr>
                <w:b/>
                <w:color w:val="1C3A36"/>
                <w:sz w:val="16"/>
              </w:rPr>
              <w:t>9,932.5</w:t>
            </w:r>
          </w:p>
        </w:tc>
        <w:tc>
          <w:tcPr>
            <w:tcW w:type="dxa" w:w="1411"/>
            <w:shd w:val="clear" w:color="auto" w:fill="F6F1E6"/>
          </w:tcPr>
          <w:p>
            <w:pPr>
              <w:spacing w:after="20"/>
              <w:jc w:val="right"/>
            </w:pPr>
            <w:r>
              <w:rPr>
                <w:b/>
                <w:color w:val="1C3A36"/>
                <w:sz w:val="16"/>
              </w:rPr>
              <w:t>12,916.2</w:t>
            </w:r>
          </w:p>
        </w:tc>
        <w:tc>
          <w:tcPr>
            <w:tcW w:type="dxa" w:w="1411"/>
            <w:shd w:val="clear" w:color="auto" w:fill="F6F1E6"/>
          </w:tcPr>
          <w:p>
            <w:pPr>
              <w:spacing w:after="20"/>
              <w:jc w:val="right"/>
            </w:pPr>
            <w:r>
              <w:rPr>
                <w:b/>
                <w:color w:val="1C3A36"/>
                <w:sz w:val="16"/>
              </w:rPr>
              <w:t>15,743.8</w:t>
            </w:r>
          </w:p>
        </w:tc>
        <w:tc>
          <w:tcPr>
            <w:tcW w:type="dxa" w:w="1411"/>
            <w:shd w:val="clear" w:color="auto" w:fill="F6F1E6"/>
          </w:tcPr>
          <w:p>
            <w:pPr>
              <w:spacing w:after="20"/>
              <w:jc w:val="right"/>
            </w:pPr>
            <w:r>
              <w:rPr>
                <w:b/>
                <w:color w:val="1C3A36"/>
                <w:sz w:val="16"/>
              </w:rPr>
              <w:t>18,151.1</w:t>
            </w:r>
          </w:p>
        </w:tc>
      </w:tr>
      <w:tr>
        <w:tc>
          <w:tcPr>
            <w:tcW w:type="dxa" w:w="3024"/>
          </w:tcPr>
          <w:p>
            <w:pPr>
              <w:spacing w:after="20"/>
            </w:pPr>
            <w:r>
              <w:rPr>
                <w:b/>
                <w:color w:val="1C3A36"/>
                <w:sz w:val="16"/>
              </w:rPr>
              <w:t>Other/ancillary (top-down)</w:t>
            </w:r>
          </w:p>
        </w:tc>
        <w:tc>
          <w:tcPr>
            <w:tcW w:type="dxa" w:w="1411"/>
          </w:tcPr>
          <w:p>
            <w:pPr>
              <w:spacing w:after="20"/>
              <w:jc w:val="right"/>
            </w:pPr>
            <w:r>
              <w:rPr>
                <w:color w:val="1C3A36"/>
                <w:sz w:val="16"/>
              </w:rPr>
              <w:t>1,921.1</w:t>
            </w:r>
          </w:p>
        </w:tc>
        <w:tc>
          <w:tcPr>
            <w:tcW w:type="dxa" w:w="1411"/>
          </w:tcPr>
          <w:p>
            <w:pPr>
              <w:spacing w:after="20"/>
              <w:jc w:val="right"/>
            </w:pPr>
            <w:r>
              <w:rPr>
                <w:color w:val="1C3A36"/>
                <w:sz w:val="16"/>
              </w:rPr>
              <w:t>2,370.6</w:t>
            </w:r>
          </w:p>
        </w:tc>
        <w:tc>
          <w:tcPr>
            <w:tcW w:type="dxa" w:w="1411"/>
          </w:tcPr>
          <w:p>
            <w:pPr>
              <w:spacing w:after="20"/>
              <w:jc w:val="right"/>
            </w:pPr>
            <w:r>
              <w:rPr>
                <w:color w:val="1C3A36"/>
                <w:sz w:val="16"/>
              </w:rPr>
              <w:t>2,870.1</w:t>
            </w:r>
          </w:p>
        </w:tc>
        <w:tc>
          <w:tcPr>
            <w:tcW w:type="dxa" w:w="1411"/>
          </w:tcPr>
          <w:p>
            <w:pPr>
              <w:spacing w:after="20"/>
              <w:jc w:val="right"/>
            </w:pPr>
            <w:r>
              <w:rPr>
                <w:color w:val="1C3A36"/>
                <w:sz w:val="16"/>
              </w:rPr>
              <w:t>3,321.2</w:t>
            </w:r>
          </w:p>
        </w:tc>
        <w:tc>
          <w:tcPr>
            <w:tcW w:type="dxa" w:w="1411"/>
          </w:tcPr>
          <w:p>
            <w:pPr>
              <w:spacing w:after="20"/>
              <w:jc w:val="right"/>
            </w:pPr>
            <w:r>
              <w:rPr>
                <w:color w:val="1C3A36"/>
                <w:sz w:val="16"/>
              </w:rPr>
              <w:t>3,670.3</w:t>
            </w:r>
          </w:p>
        </w:tc>
      </w:tr>
      <w:tr>
        <w:tc>
          <w:tcPr>
            <w:tcW w:type="dxa" w:w="3024"/>
          </w:tcPr>
          <w:p>
            <w:pPr>
              <w:spacing w:after="20"/>
            </w:pPr>
            <w:r>
              <w:rPr>
                <w:b/>
                <w:color w:val="1C3A36"/>
                <w:sz w:val="16"/>
              </w:rPr>
              <w:t>TOTAL revenue</w:t>
            </w:r>
          </w:p>
        </w:tc>
        <w:tc>
          <w:tcPr>
            <w:tcW w:type="dxa" w:w="1411"/>
          </w:tcPr>
          <w:p>
            <w:pPr>
              <w:spacing w:after="20"/>
              <w:jc w:val="right"/>
            </w:pPr>
            <w:r>
              <w:rPr>
                <w:color w:val="1C3A36"/>
                <w:sz w:val="16"/>
              </w:rPr>
              <w:t>9,253.6</w:t>
            </w:r>
          </w:p>
        </w:tc>
        <w:tc>
          <w:tcPr>
            <w:tcW w:type="dxa" w:w="1411"/>
          </w:tcPr>
          <w:p>
            <w:pPr>
              <w:spacing w:after="20"/>
              <w:jc w:val="right"/>
            </w:pPr>
            <w:r>
              <w:rPr>
                <w:color w:val="1C3A36"/>
                <w:sz w:val="16"/>
              </w:rPr>
              <w:t>12,303.1</w:t>
            </w:r>
          </w:p>
        </w:tc>
        <w:tc>
          <w:tcPr>
            <w:tcW w:type="dxa" w:w="1411"/>
          </w:tcPr>
          <w:p>
            <w:pPr>
              <w:spacing w:after="20"/>
              <w:jc w:val="right"/>
            </w:pPr>
            <w:r>
              <w:rPr>
                <w:color w:val="1C3A36"/>
                <w:sz w:val="16"/>
              </w:rPr>
              <w:t>15,786.3</w:t>
            </w:r>
          </w:p>
        </w:tc>
        <w:tc>
          <w:tcPr>
            <w:tcW w:type="dxa" w:w="1411"/>
          </w:tcPr>
          <w:p>
            <w:pPr>
              <w:spacing w:after="20"/>
              <w:jc w:val="right"/>
            </w:pPr>
            <w:r>
              <w:rPr>
                <w:color w:val="1C3A36"/>
                <w:sz w:val="16"/>
              </w:rPr>
              <w:t>19,065.0</w:t>
            </w:r>
          </w:p>
        </w:tc>
        <w:tc>
          <w:tcPr>
            <w:tcW w:type="dxa" w:w="1411"/>
          </w:tcPr>
          <w:p>
            <w:pPr>
              <w:spacing w:after="20"/>
              <w:jc w:val="right"/>
            </w:pPr>
            <w:r>
              <w:rPr>
                <w:color w:val="1C3A36"/>
                <w:sz w:val="16"/>
              </w:rPr>
              <w:t>21,821.4</w:t>
            </w:r>
          </w:p>
        </w:tc>
      </w:tr>
    </w:tbl>
    <w:p>
      <w:pPr>
        <w:spacing w:after="40"/>
      </w:pPr>
    </w:p>
    <w:p>
      <w:pPr>
        <w:spacing w:after="200" w:before="0"/>
      </w:pPr>
      <w:r>
        <w:rPr>
          <w:b w:val="0"/>
          <w:i/>
          <w:color w:val="6E7B77"/>
          <w:sz w:val="17"/>
        </w:rPr>
        <w:t>Effective operational beds (the capacity constraint behind the volume growth): 2026: 940 / 2027: 1074 / 2028: 1204 / 2029: 1290 / 2030: 1320. Beds ramp on a 25/60/85/100% utilization curve applied to each new facility’s incremental capacity — Cleopatra El Tagamoa (240 beds, launched 27-Jan-2026) and the October build-to-suit (200 beds, guided operational 2027) — never assumed instantly stabilized. No further capacity is disclosed beyond 1,320 beds; this is the actual constraint that disciplines the growth fade, replacing an assumed top-down percentage.</w:t>
      </w:r>
    </w:p>
    <w:p>
      <w:pPr>
        <w:spacing w:after="120" w:before="280"/>
      </w:pPr>
      <w:r>
        <w:rPr>
          <w:b/>
          <w:i w:val="0"/>
          <w:color w:val="1C3A36"/>
          <w:sz w:val="30"/>
        </w:rPr>
        <w:t>Appendix B · Peer set, sector structure, risks — and the research register</w:t>
      </w:r>
    </w:p>
    <w:p>
      <w:pPr>
        <w:spacing w:after="80" w:before="200"/>
      </w:pPr>
      <w:r>
        <w:rPr>
          <w:b/>
          <w:i w:val="0"/>
          <w:color w:val="1C3A36"/>
          <w:sz w:val="24"/>
        </w:rPr>
        <w:t>B.1 · Peers and the sector frame (discount-rate-aware)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2520"/>
            <w:shd w:val="clear" w:color="auto" w:fill="EAF0EE"/>
          </w:tcPr>
          <w:p>
            <w:pPr>
              <w:spacing w:after="20"/>
            </w:pPr>
            <w:r>
              <w:rPr>
                <w:b/>
                <w:color w:val="1C3A36"/>
                <w:sz w:val="17"/>
              </w:rPr>
              <w:t>Operator</w:t>
            </w:r>
          </w:p>
        </w:tc>
        <w:tc>
          <w:tcPr>
            <w:tcW w:type="dxa" w:w="1224"/>
            <w:shd w:val="clear" w:color="auto" w:fill="EAF0EE"/>
          </w:tcPr>
          <w:p>
            <w:pPr>
              <w:spacing w:after="20"/>
            </w:pPr>
            <w:r>
              <w:rPr>
                <w:b/>
                <w:color w:val="1C3A36"/>
                <w:sz w:val="17"/>
              </w:rPr>
              <w:t>Market</w:t>
            </w:r>
          </w:p>
        </w:tc>
        <w:tc>
          <w:tcPr>
            <w:tcW w:type="dxa" w:w="2376"/>
            <w:shd w:val="clear" w:color="auto" w:fill="EAF0EE"/>
          </w:tcPr>
          <w:p>
            <w:pPr>
              <w:spacing w:after="20"/>
            </w:pPr>
            <w:r>
              <w:rPr>
                <w:b/>
                <w:color w:val="1C3A36"/>
                <w:sz w:val="17"/>
              </w:rPr>
              <w:t>P/E</w:t>
            </w:r>
          </w:p>
        </w:tc>
        <w:tc>
          <w:tcPr>
            <w:tcW w:type="dxa" w:w="1656"/>
            <w:shd w:val="clear" w:color="auto" w:fill="EAF0EE"/>
          </w:tcPr>
          <w:p>
            <w:pPr>
              <w:spacing w:after="20"/>
            </w:pPr>
            <w:r>
              <w:rPr>
                <w:b/>
                <w:color w:val="1C3A36"/>
                <w:sz w:val="17"/>
              </w:rPr>
              <w:t>EV/EBITDA</w:t>
            </w:r>
          </w:p>
        </w:tc>
        <w:tc>
          <w:tcPr>
            <w:tcW w:type="dxa" w:w="2736"/>
            <w:shd w:val="clear" w:color="auto" w:fill="EAF0EE"/>
          </w:tcPr>
          <w:p>
            <w:pPr>
              <w:spacing w:after="20"/>
            </w:pPr>
            <w:r>
              <w:rPr>
                <w:b/>
                <w:color w:val="1C3A36"/>
                <w:sz w:val="17"/>
              </w:rPr>
              <w:t>Note</w:t>
            </w:r>
          </w:p>
        </w:tc>
      </w:tr>
      <w:tr>
        <w:tc>
          <w:tcPr>
            <w:tcW w:type="dxa" w:w="2520"/>
          </w:tcPr>
          <w:p>
            <w:pPr>
              <w:spacing w:after="20"/>
            </w:pPr>
            <w:r>
              <w:rPr>
                <w:b/>
                <w:color w:val="1C3A36"/>
                <w:sz w:val="17"/>
              </w:rPr>
              <w:t>Dr Sulaiman Al Habib</w:t>
            </w:r>
          </w:p>
        </w:tc>
        <w:tc>
          <w:tcPr>
            <w:tcW w:type="dxa" w:w="1224"/>
          </w:tcPr>
          <w:p>
            <w:pPr>
              <w:spacing w:after="20"/>
              <w:jc w:val="right"/>
            </w:pPr>
            <w:r>
              <w:rPr>
                <w:color w:val="1C3A36"/>
                <w:sz w:val="17"/>
              </w:rPr>
              <w:t>KSA</w:t>
            </w:r>
          </w:p>
        </w:tc>
        <w:tc>
          <w:tcPr>
            <w:tcW w:type="dxa" w:w="2376"/>
          </w:tcPr>
          <w:p>
            <w:pPr>
              <w:spacing w:after="20"/>
              <w:jc w:val="right"/>
            </w:pPr>
            <w:r>
              <w:rPr>
                <w:color w:val="1C3A36"/>
                <w:sz w:val="17"/>
              </w:rPr>
              <w:t>~31×</w:t>
            </w:r>
          </w:p>
        </w:tc>
        <w:tc>
          <w:tcPr>
            <w:tcW w:type="dxa" w:w="1656"/>
          </w:tcPr>
          <w:p>
            <w:pPr>
              <w:spacing w:after="20"/>
              <w:jc w:val="right"/>
            </w:pPr>
            <w:r>
              <w:rPr>
                <w:color w:val="1C3A36"/>
                <w:sz w:val="17"/>
              </w:rPr>
              <w:t>~24×</w:t>
            </w:r>
          </w:p>
        </w:tc>
        <w:tc>
          <w:tcPr>
            <w:tcW w:type="dxa" w:w="2736"/>
          </w:tcPr>
          <w:p>
            <w:pPr>
              <w:spacing w:after="20"/>
              <w:jc w:val="right"/>
            </w:pPr>
            <w:r>
              <w:rPr>
                <w:color w:val="1C3A36"/>
                <w:sz w:val="17"/>
              </w:rPr>
              <w:t>regional premium franchise</w:t>
            </w:r>
          </w:p>
        </w:tc>
      </w:tr>
      <w:tr>
        <w:tc>
          <w:tcPr>
            <w:tcW w:type="dxa" w:w="2520"/>
          </w:tcPr>
          <w:p>
            <w:pPr>
              <w:spacing w:after="20"/>
            </w:pPr>
            <w:r>
              <w:rPr>
                <w:b/>
                <w:color w:val="1C3A36"/>
                <w:sz w:val="17"/>
              </w:rPr>
              <w:t>Mouwasat</w:t>
            </w:r>
          </w:p>
        </w:tc>
        <w:tc>
          <w:tcPr>
            <w:tcW w:type="dxa" w:w="1224"/>
          </w:tcPr>
          <w:p>
            <w:pPr>
              <w:spacing w:after="20"/>
              <w:jc w:val="right"/>
            </w:pPr>
            <w:r>
              <w:rPr>
                <w:color w:val="1C3A36"/>
                <w:sz w:val="17"/>
              </w:rPr>
              <w:t>KSA</w:t>
            </w:r>
          </w:p>
        </w:tc>
        <w:tc>
          <w:tcPr>
            <w:tcW w:type="dxa" w:w="2376"/>
          </w:tcPr>
          <w:p>
            <w:pPr>
              <w:spacing w:after="20"/>
              <w:jc w:val="right"/>
            </w:pPr>
            <w:r>
              <w:rPr>
                <w:color w:val="1C3A36"/>
                <w:sz w:val="17"/>
              </w:rPr>
              <w:t>23–26×</w:t>
            </w:r>
          </w:p>
        </w:tc>
        <w:tc>
          <w:tcPr>
            <w:tcW w:type="dxa" w:w="1656"/>
          </w:tcPr>
          <w:p>
            <w:pPr>
              <w:spacing w:after="20"/>
              <w:jc w:val="right"/>
            </w:pPr>
            <w:r>
              <w:rPr>
                <w:color w:val="1C3A36"/>
                <w:sz w:val="17"/>
              </w:rPr>
              <w:t>17–19×</w:t>
            </w:r>
          </w:p>
        </w:tc>
        <w:tc>
          <w:tcPr>
            <w:tcW w:type="dxa" w:w="2736"/>
          </w:tcPr>
          <w:p>
            <w:pPr>
              <w:spacing w:after="20"/>
              <w:jc w:val="right"/>
            </w:pPr>
            <w:r>
              <w:rPr>
                <w:color w:val="1C3A36"/>
                <w:sz w:val="17"/>
              </w:rPr>
              <w:t>Eastern Province leader</w:t>
            </w:r>
          </w:p>
        </w:tc>
      </w:tr>
      <w:tr>
        <w:tc>
          <w:tcPr>
            <w:tcW w:type="dxa" w:w="2520"/>
          </w:tcPr>
          <w:p>
            <w:pPr>
              <w:spacing w:after="20"/>
            </w:pPr>
            <w:r>
              <w:rPr>
                <w:b/>
                <w:color w:val="1C3A36"/>
                <w:sz w:val="17"/>
              </w:rPr>
              <w:t>Dallah Healthcare</w:t>
            </w:r>
          </w:p>
        </w:tc>
        <w:tc>
          <w:tcPr>
            <w:tcW w:type="dxa" w:w="1224"/>
          </w:tcPr>
          <w:p>
            <w:pPr>
              <w:spacing w:after="20"/>
              <w:jc w:val="right"/>
            </w:pPr>
            <w:r>
              <w:rPr>
                <w:color w:val="1C3A36"/>
                <w:sz w:val="17"/>
              </w:rPr>
              <w:t>KSA</w:t>
            </w:r>
          </w:p>
        </w:tc>
        <w:tc>
          <w:tcPr>
            <w:tcW w:type="dxa" w:w="2376"/>
          </w:tcPr>
          <w:p>
            <w:pPr>
              <w:spacing w:after="20"/>
              <w:jc w:val="right"/>
            </w:pPr>
            <w:r>
              <w:rPr>
                <w:color w:val="1C3A36"/>
                <w:sz w:val="17"/>
              </w:rPr>
              <w:t>29–35×</w:t>
            </w:r>
          </w:p>
        </w:tc>
        <w:tc>
          <w:tcPr>
            <w:tcW w:type="dxa" w:w="1656"/>
          </w:tcPr>
          <w:p>
            <w:pPr>
              <w:spacing w:after="20"/>
              <w:jc w:val="right"/>
            </w:pPr>
            <w:r>
              <w:rPr>
                <w:color w:val="1C3A36"/>
                <w:sz w:val="17"/>
              </w:rPr>
              <w:t>20–23×</w:t>
            </w:r>
          </w:p>
        </w:tc>
        <w:tc>
          <w:tcPr>
            <w:tcW w:type="dxa" w:w="2736"/>
          </w:tcPr>
          <w:p>
            <w:pPr>
              <w:spacing w:after="20"/>
              <w:jc w:val="right"/>
            </w:pPr>
            <w:r>
              <w:rPr>
                <w:color w:val="1C3A36"/>
                <w:sz w:val="17"/>
              </w:rPr>
              <w:t>Riyadh, expansion phase</w:t>
            </w:r>
          </w:p>
        </w:tc>
      </w:tr>
      <w:tr>
        <w:tc>
          <w:tcPr>
            <w:tcW w:type="dxa" w:w="2520"/>
          </w:tcPr>
          <w:p>
            <w:pPr>
              <w:spacing w:after="20"/>
            </w:pPr>
            <w:r>
              <w:rPr>
                <w:b/>
                <w:color w:val="1C3A36"/>
                <w:sz w:val="17"/>
              </w:rPr>
              <w:t>Burjeel Holdings</w:t>
            </w:r>
          </w:p>
        </w:tc>
        <w:tc>
          <w:tcPr>
            <w:tcW w:type="dxa" w:w="1224"/>
          </w:tcPr>
          <w:p>
            <w:pPr>
              <w:spacing w:after="20"/>
              <w:jc w:val="right"/>
            </w:pPr>
            <w:r>
              <w:rPr>
                <w:color w:val="1C3A36"/>
                <w:sz w:val="17"/>
              </w:rPr>
              <w:t>UAE</w:t>
            </w:r>
          </w:p>
        </w:tc>
        <w:tc>
          <w:tcPr>
            <w:tcW w:type="dxa" w:w="2376"/>
          </w:tcPr>
          <w:p>
            <w:pPr>
              <w:spacing w:after="20"/>
              <w:jc w:val="right"/>
            </w:pPr>
            <w:r>
              <w:rPr>
                <w:color w:val="1C3A36"/>
                <w:sz w:val="17"/>
              </w:rPr>
              <w:t>17–21×</w:t>
            </w:r>
          </w:p>
        </w:tc>
        <w:tc>
          <w:tcPr>
            <w:tcW w:type="dxa" w:w="1656"/>
          </w:tcPr>
          <w:p>
            <w:pPr>
              <w:spacing w:after="20"/>
              <w:jc w:val="right"/>
            </w:pPr>
            <w:r>
              <w:rPr>
                <w:color w:val="1C3A36"/>
                <w:sz w:val="17"/>
              </w:rPr>
              <w:t>11–13×</w:t>
            </w:r>
          </w:p>
        </w:tc>
        <w:tc>
          <w:tcPr>
            <w:tcW w:type="dxa" w:w="2736"/>
          </w:tcPr>
          <w:p>
            <w:pPr>
              <w:spacing w:after="20"/>
              <w:jc w:val="right"/>
            </w:pPr>
            <w:r>
              <w:rPr>
                <w:color w:val="1C3A36"/>
                <w:sz w:val="17"/>
              </w:rPr>
              <w:t>UAE / Oman network</w:t>
            </w:r>
          </w:p>
        </w:tc>
      </w:tr>
      <w:tr>
        <w:tc>
          <w:tcPr>
            <w:tcW w:type="dxa" w:w="2520"/>
          </w:tcPr>
          <w:p>
            <w:pPr>
              <w:spacing w:after="20"/>
            </w:pPr>
            <w:r>
              <w:rPr>
                <w:b/>
                <w:color w:val="1C3A36"/>
                <w:sz w:val="17"/>
              </w:rPr>
              <w:t>KSA healthcare industry</w:t>
            </w:r>
          </w:p>
        </w:tc>
        <w:tc>
          <w:tcPr>
            <w:tcW w:type="dxa" w:w="1224"/>
          </w:tcPr>
          <w:p>
            <w:pPr>
              <w:spacing w:after="20"/>
              <w:jc w:val="right"/>
            </w:pPr>
            <w:r>
              <w:rPr>
                <w:color w:val="1C3A36"/>
                <w:sz w:val="17"/>
              </w:rPr>
              <w:t>KSA</w:t>
            </w:r>
          </w:p>
        </w:tc>
        <w:tc>
          <w:tcPr>
            <w:tcW w:type="dxa" w:w="2376"/>
          </w:tcPr>
          <w:p>
            <w:pPr>
              <w:spacing w:after="20"/>
              <w:jc w:val="right"/>
            </w:pPr>
            <w:r>
              <w:rPr>
                <w:color w:val="1C3A36"/>
                <w:sz w:val="17"/>
              </w:rPr>
              <w:t>~30× (3y avg ~45×)</w:t>
            </w:r>
          </w:p>
        </w:tc>
        <w:tc>
          <w:tcPr>
            <w:tcW w:type="dxa" w:w="1656"/>
          </w:tcPr>
          <w:p>
            <w:pPr>
              <w:spacing w:after="20"/>
              <w:jc w:val="right"/>
            </w:pPr>
            <w:r>
              <w:rPr>
                <w:color w:val="1C3A36"/>
                <w:sz w:val="17"/>
              </w:rPr>
              <w:t>—</w:t>
            </w:r>
          </w:p>
        </w:tc>
        <w:tc>
          <w:tcPr>
            <w:tcW w:type="dxa" w:w="2736"/>
          </w:tcPr>
          <w:p>
            <w:pPr>
              <w:spacing w:after="20"/>
              <w:jc w:val="right"/>
            </w:pPr>
            <w:r>
              <w:rPr>
                <w:color w:val="1C3A36"/>
                <w:sz w:val="17"/>
              </w:rPr>
              <w:t>de-rated, still rich</w:t>
            </w:r>
          </w:p>
        </w:tc>
      </w:tr>
      <w:tr>
        <w:tc>
          <w:tcPr>
            <w:tcW w:type="dxa" w:w="2520"/>
          </w:tcPr>
          <w:p>
            <w:pPr>
              <w:spacing w:after="20"/>
            </w:pPr>
            <w:r>
              <w:rPr>
                <w:b/>
                <w:color w:val="1C3A36"/>
                <w:sz w:val="17"/>
              </w:rPr>
              <w:t>Egyptian healthcare industry</w:t>
            </w:r>
          </w:p>
        </w:tc>
        <w:tc>
          <w:tcPr>
            <w:tcW w:type="dxa" w:w="1224"/>
          </w:tcPr>
          <w:p>
            <w:pPr>
              <w:spacing w:after="20"/>
              <w:jc w:val="right"/>
            </w:pPr>
            <w:r>
              <w:rPr>
                <w:color w:val="1C3A36"/>
                <w:sz w:val="17"/>
              </w:rPr>
              <w:t>EGX</w:t>
            </w:r>
          </w:p>
        </w:tc>
        <w:tc>
          <w:tcPr>
            <w:tcW w:type="dxa" w:w="2376"/>
          </w:tcPr>
          <w:p>
            <w:pPr>
              <w:spacing w:after="20"/>
              <w:jc w:val="right"/>
            </w:pPr>
            <w:r>
              <w:rPr>
                <w:color w:val="1C3A36"/>
                <w:sz w:val="17"/>
              </w:rPr>
              <w:t>~47× (thin sample)</w:t>
            </w:r>
          </w:p>
        </w:tc>
        <w:tc>
          <w:tcPr>
            <w:tcW w:type="dxa" w:w="1656"/>
          </w:tcPr>
          <w:p>
            <w:pPr>
              <w:spacing w:after="20"/>
              <w:jc w:val="right"/>
            </w:pPr>
            <w:r>
              <w:rPr>
                <w:color w:val="1C3A36"/>
                <w:sz w:val="17"/>
              </w:rPr>
              <w:t>—</w:t>
            </w:r>
          </w:p>
        </w:tc>
        <w:tc>
          <w:tcPr>
            <w:tcW w:type="dxa" w:w="2736"/>
          </w:tcPr>
          <w:p>
            <w:pPr>
              <w:spacing w:after="20"/>
              <w:jc w:val="right"/>
            </w:pPr>
            <w:r>
              <w:rPr>
                <w:color w:val="1C3A36"/>
                <w:sz w:val="17"/>
              </w:rPr>
              <w:t>small-cap heavy, not a clean read</w:t>
            </w:r>
          </w:p>
        </w:tc>
      </w:tr>
      <w:tr>
        <w:tc>
          <w:tcPr>
            <w:tcW w:type="dxa" w:w="2520"/>
            <w:shd w:val="clear" w:color="auto" w:fill="F6F1E6"/>
          </w:tcPr>
          <w:p>
            <w:pPr>
              <w:spacing w:after="20"/>
            </w:pPr>
            <w:r>
              <w:rPr>
                <w:b/>
                <w:color w:val="1C3A36"/>
                <w:sz w:val="17"/>
              </w:rPr>
              <w:t>CLHO at spot</w:t>
            </w:r>
          </w:p>
        </w:tc>
        <w:tc>
          <w:tcPr>
            <w:tcW w:type="dxa" w:w="1224"/>
            <w:shd w:val="clear" w:color="auto" w:fill="F6F1E6"/>
          </w:tcPr>
          <w:p>
            <w:pPr>
              <w:spacing w:after="20"/>
              <w:jc w:val="right"/>
            </w:pPr>
            <w:r>
              <w:rPr>
                <w:b/>
                <w:color w:val="1C3A36"/>
                <w:sz w:val="17"/>
              </w:rPr>
              <w:t>EGX</w:t>
            </w:r>
          </w:p>
        </w:tc>
        <w:tc>
          <w:tcPr>
            <w:tcW w:type="dxa" w:w="2376"/>
            <w:shd w:val="clear" w:color="auto" w:fill="F6F1E6"/>
          </w:tcPr>
          <w:p>
            <w:pPr>
              <w:spacing w:after="20"/>
              <w:jc w:val="right"/>
            </w:pPr>
            <w:r>
              <w:rPr>
                <w:b/>
                <w:color w:val="1C3A36"/>
                <w:sz w:val="17"/>
              </w:rPr>
              <w:t>24.3× FY25A · 16.6× FY27E</w:t>
            </w:r>
          </w:p>
        </w:tc>
        <w:tc>
          <w:tcPr>
            <w:tcW w:type="dxa" w:w="1656"/>
            <w:shd w:val="clear" w:color="auto" w:fill="F6F1E6"/>
          </w:tcPr>
          <w:p>
            <w:pPr>
              <w:spacing w:after="20"/>
              <w:jc w:val="right"/>
            </w:pPr>
            <w:r>
              <w:rPr>
                <w:b/>
                <w:color w:val="1C3A36"/>
                <w:sz w:val="17"/>
              </w:rPr>
              <w:t>12.7× FY25 adj</w:t>
            </w:r>
          </w:p>
        </w:tc>
        <w:tc>
          <w:tcPr>
            <w:tcW w:type="dxa" w:w="2736"/>
            <w:shd w:val="clear" w:color="auto" w:fill="F6F1E6"/>
          </w:tcPr>
          <w:p>
            <w:pPr>
              <w:spacing w:after="20"/>
              <w:jc w:val="right"/>
            </w:pPr>
            <w:r>
              <w:rPr>
                <w:b/>
                <w:color w:val="1C3A36"/>
                <w:sz w:val="17"/>
              </w:rPr>
              <w:t>EV/bed EGP 31.0mn (current)</w:t>
            </w:r>
          </w:p>
        </w:tc>
      </w:tr>
    </w:tbl>
    <w:p>
      <w:pPr>
        <w:spacing w:after="40"/>
      </w:pPr>
    </w:p>
    <w:p>
      <w:pPr>
        <w:spacing w:after="200" w:before="0"/>
      </w:pPr>
      <w:r>
        <w:rPr>
          <w:b w:val="0"/>
          <w:i/>
          <w:color w:val="6E7B77"/>
          <w:sz w:val="17"/>
        </w:rPr>
        <w:t>Gulf operators carry a cost of equity roughly 13–15 percentage points below Egypt’s. Their multiples are context, never a direct import — the portable lesson from reading the local sell-side is to adopt the machinery, not the optimism. The honest statement is narrower than the bull case: CLHO is cheap versus regional beds and regional EBITDA, and that is exactly what a 25% discount rate does to a long-duration asset.</w:t>
      </w:r>
    </w:p>
    <w:p>
      <w:pPr>
        <w:spacing w:after="80" w:before="200"/>
      </w:pPr>
      <w:r>
        <w:rPr>
          <w:b/>
          <w:i w:val="0"/>
          <w:color w:val="1C3A36"/>
          <w:sz w:val="24"/>
        </w:rPr>
        <w:t>B.2 · Egyptian macro snapshot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4176"/>
            <w:shd w:val="clear" w:color="auto" w:fill="EAF0EE"/>
          </w:tcPr>
          <w:p>
            <w:pPr>
              <w:spacing w:after="20"/>
            </w:pPr>
            <w:r>
              <w:rPr>
                <w:b/>
                <w:color w:val="1C3A36"/>
                <w:sz w:val="17"/>
              </w:rPr>
              <w:t>Indicator</w:t>
            </w:r>
          </w:p>
        </w:tc>
        <w:tc>
          <w:tcPr>
            <w:tcW w:type="dxa" w:w="2880"/>
            <w:shd w:val="clear" w:color="auto" w:fill="EAF0EE"/>
          </w:tcPr>
          <w:p>
            <w:pPr>
              <w:spacing w:after="20"/>
            </w:pPr>
            <w:r>
              <w:rPr>
                <w:b/>
                <w:color w:val="1C3A36"/>
                <w:sz w:val="17"/>
              </w:rPr>
              <w:t>Latest</w:t>
            </w:r>
          </w:p>
        </w:tc>
        <w:tc>
          <w:tcPr>
            <w:tcW w:type="dxa" w:w="2016"/>
            <w:shd w:val="clear" w:color="auto" w:fill="EAF0EE"/>
          </w:tcPr>
          <w:p>
            <w:pPr>
              <w:spacing w:after="20"/>
            </w:pPr>
            <w:r>
              <w:rPr>
                <w:b/>
                <w:color w:val="1C3A36"/>
                <w:sz w:val="17"/>
              </w:rPr>
              <w:t>Date</w:t>
            </w:r>
          </w:p>
        </w:tc>
      </w:tr>
      <w:tr>
        <w:tc>
          <w:tcPr>
            <w:tcW w:type="dxa" w:w="4176"/>
          </w:tcPr>
          <w:p>
            <w:pPr>
              <w:spacing w:after="20"/>
            </w:pPr>
            <w:r>
              <w:rPr>
                <w:b/>
                <w:color w:val="1C3A36"/>
                <w:sz w:val="17"/>
              </w:rPr>
              <w:t>CBE main operation rate</w:t>
            </w:r>
          </w:p>
        </w:tc>
        <w:tc>
          <w:tcPr>
            <w:tcW w:type="dxa" w:w="2880"/>
          </w:tcPr>
          <w:p>
            <w:pPr>
              <w:spacing w:after="20"/>
              <w:jc w:val="right"/>
            </w:pPr>
            <w:r>
              <w:rPr>
                <w:color w:val="1C3A36"/>
                <w:sz w:val="17"/>
              </w:rPr>
              <w:t>19.50% (third consecutive hold)</w:t>
            </w:r>
          </w:p>
        </w:tc>
        <w:tc>
          <w:tcPr>
            <w:tcW w:type="dxa" w:w="2016"/>
          </w:tcPr>
          <w:p>
            <w:pPr>
              <w:spacing w:after="20"/>
              <w:jc w:val="right"/>
            </w:pPr>
            <w:r>
              <w:rPr>
                <w:color w:val="1C3A36"/>
                <w:sz w:val="17"/>
              </w:rPr>
              <w:t>9-Jul-2026</w:t>
            </w:r>
          </w:p>
        </w:tc>
      </w:tr>
      <w:tr>
        <w:tc>
          <w:tcPr>
            <w:tcW w:type="dxa" w:w="4176"/>
          </w:tcPr>
          <w:p>
            <w:pPr>
              <w:spacing w:after="20"/>
            </w:pPr>
            <w:r>
              <w:rPr>
                <w:b/>
                <w:color w:val="1C3A36"/>
                <w:sz w:val="17"/>
              </w:rPr>
              <w:t>CBE deposit / lending corridor</w:t>
            </w:r>
          </w:p>
        </w:tc>
        <w:tc>
          <w:tcPr>
            <w:tcW w:type="dxa" w:w="2880"/>
          </w:tcPr>
          <w:p>
            <w:pPr>
              <w:spacing w:after="20"/>
              <w:jc w:val="right"/>
            </w:pPr>
            <w:r>
              <w:rPr>
                <w:color w:val="1C3A36"/>
                <w:sz w:val="17"/>
              </w:rPr>
              <w:t>19.00% / 20.00%</w:t>
            </w:r>
          </w:p>
        </w:tc>
        <w:tc>
          <w:tcPr>
            <w:tcW w:type="dxa" w:w="2016"/>
          </w:tcPr>
          <w:p>
            <w:pPr>
              <w:spacing w:after="20"/>
              <w:jc w:val="right"/>
            </w:pPr>
            <w:r>
              <w:rPr>
                <w:color w:val="1C3A36"/>
                <w:sz w:val="17"/>
              </w:rPr>
              <w:t>9-Jul-2026</w:t>
            </w:r>
          </w:p>
        </w:tc>
      </w:tr>
      <w:tr>
        <w:tc>
          <w:tcPr>
            <w:tcW w:type="dxa" w:w="4176"/>
          </w:tcPr>
          <w:p>
            <w:pPr>
              <w:spacing w:after="20"/>
            </w:pPr>
            <w:r>
              <w:rPr>
                <w:b/>
                <w:color w:val="1C3A36"/>
                <w:sz w:val="17"/>
              </w:rPr>
              <w:t>Headline urban CPI</w:t>
            </w:r>
          </w:p>
        </w:tc>
        <w:tc>
          <w:tcPr>
            <w:tcW w:type="dxa" w:w="2880"/>
          </w:tcPr>
          <w:p>
            <w:pPr>
              <w:spacing w:after="20"/>
              <w:jc w:val="right"/>
            </w:pPr>
            <w:r>
              <w:rPr>
                <w:color w:val="1C3A36"/>
                <w:sz w:val="17"/>
              </w:rPr>
              <w:t>14.3% (m/m −0.4%)</w:t>
            </w:r>
          </w:p>
        </w:tc>
        <w:tc>
          <w:tcPr>
            <w:tcW w:type="dxa" w:w="2016"/>
          </w:tcPr>
          <w:p>
            <w:pPr>
              <w:spacing w:after="20"/>
              <w:jc w:val="right"/>
            </w:pPr>
            <w:r>
              <w:rPr>
                <w:color w:val="1C3A36"/>
                <w:sz w:val="17"/>
              </w:rPr>
              <w:t>Jun-2026</w:t>
            </w:r>
          </w:p>
        </w:tc>
      </w:tr>
      <w:tr>
        <w:tc>
          <w:tcPr>
            <w:tcW w:type="dxa" w:w="4176"/>
          </w:tcPr>
          <w:p>
            <w:pPr>
              <w:spacing w:after="20"/>
            </w:pPr>
            <w:r>
              <w:rPr>
                <w:b/>
                <w:color w:val="1C3A36"/>
                <w:sz w:val="17"/>
              </w:rPr>
              <w:t>CBE inflation target</w:t>
            </w:r>
          </w:p>
        </w:tc>
        <w:tc>
          <w:tcPr>
            <w:tcW w:type="dxa" w:w="2880"/>
          </w:tcPr>
          <w:p>
            <w:pPr>
              <w:spacing w:after="20"/>
              <w:jc w:val="right"/>
            </w:pPr>
            <w:r>
              <w:rPr>
                <w:color w:val="1C3A36"/>
                <w:sz w:val="17"/>
              </w:rPr>
              <w:t>7% ± 2%</w:t>
            </w:r>
          </w:p>
        </w:tc>
        <w:tc>
          <w:tcPr>
            <w:tcW w:type="dxa" w:w="2016"/>
          </w:tcPr>
          <w:p>
            <w:pPr>
              <w:spacing w:after="20"/>
              <w:jc w:val="right"/>
            </w:pPr>
            <w:r>
              <w:rPr>
                <w:color w:val="1C3A36"/>
                <w:sz w:val="17"/>
              </w:rPr>
              <w:t>H2-2027</w:t>
            </w:r>
          </w:p>
        </w:tc>
      </w:tr>
      <w:tr>
        <w:tc>
          <w:tcPr>
            <w:tcW w:type="dxa" w:w="4176"/>
          </w:tcPr>
          <w:p>
            <w:pPr>
              <w:spacing w:after="20"/>
            </w:pPr>
            <w:r>
              <w:rPr>
                <w:b/>
                <w:color w:val="1C3A36"/>
                <w:sz w:val="17"/>
              </w:rPr>
              <w:t>Real GDP growth</w:t>
            </w:r>
          </w:p>
        </w:tc>
        <w:tc>
          <w:tcPr>
            <w:tcW w:type="dxa" w:w="2880"/>
          </w:tcPr>
          <w:p>
            <w:pPr>
              <w:spacing w:after="20"/>
              <w:jc w:val="right"/>
            </w:pPr>
            <w:r>
              <w:rPr>
                <w:color w:val="1C3A36"/>
                <w:sz w:val="17"/>
              </w:rPr>
              <w:t>5.0%</w:t>
            </w:r>
          </w:p>
        </w:tc>
        <w:tc>
          <w:tcPr>
            <w:tcW w:type="dxa" w:w="2016"/>
          </w:tcPr>
          <w:p>
            <w:pPr>
              <w:spacing w:after="20"/>
              <w:jc w:val="right"/>
            </w:pPr>
            <w:r>
              <w:rPr>
                <w:color w:val="1C3A36"/>
                <w:sz w:val="17"/>
              </w:rPr>
              <w:t>Q1-2026</w:t>
            </w:r>
          </w:p>
        </w:tc>
      </w:tr>
      <w:tr>
        <w:tc>
          <w:tcPr>
            <w:tcW w:type="dxa" w:w="4176"/>
          </w:tcPr>
          <w:p>
            <w:pPr>
              <w:spacing w:after="20"/>
            </w:pPr>
            <w:r>
              <w:rPr>
                <w:b/>
                <w:color w:val="1C3A36"/>
                <w:sz w:val="17"/>
              </w:rPr>
              <w:t>Egypt 10-year local-currency yield</w:t>
            </w:r>
          </w:p>
        </w:tc>
        <w:tc>
          <w:tcPr>
            <w:tcW w:type="dxa" w:w="2880"/>
          </w:tcPr>
          <w:p>
            <w:pPr>
              <w:spacing w:after="20"/>
              <w:jc w:val="right"/>
            </w:pPr>
            <w:r>
              <w:rPr>
                <w:color w:val="1C3A36"/>
                <w:sz w:val="17"/>
              </w:rPr>
              <w:t>22.55%</w:t>
            </w:r>
          </w:p>
        </w:tc>
        <w:tc>
          <w:tcPr>
            <w:tcW w:type="dxa" w:w="2016"/>
          </w:tcPr>
          <w:p>
            <w:pPr>
              <w:spacing w:after="20"/>
              <w:jc w:val="right"/>
            </w:pPr>
            <w:r>
              <w:rPr>
                <w:color w:val="1C3A36"/>
                <w:sz w:val="17"/>
              </w:rPr>
              <w:t>3-Jul-2026</w:t>
            </w:r>
          </w:p>
        </w:tc>
      </w:tr>
      <w:tr>
        <w:tc>
          <w:tcPr>
            <w:tcW w:type="dxa" w:w="4176"/>
          </w:tcPr>
          <w:p>
            <w:pPr>
              <w:spacing w:after="20"/>
            </w:pPr>
            <w:r>
              <w:rPr>
                <w:b/>
                <w:color w:val="1C3A36"/>
                <w:sz w:val="17"/>
              </w:rPr>
              <w:t>Net international reserves</w:t>
            </w:r>
          </w:p>
        </w:tc>
        <w:tc>
          <w:tcPr>
            <w:tcW w:type="dxa" w:w="2880"/>
          </w:tcPr>
          <w:p>
            <w:pPr>
              <w:spacing w:after="20"/>
              <w:jc w:val="right"/>
            </w:pPr>
            <w:r>
              <w:rPr>
                <w:color w:val="1C3A36"/>
                <w:sz w:val="17"/>
              </w:rPr>
              <w:t>US$ 55.1bn</w:t>
            </w:r>
          </w:p>
        </w:tc>
        <w:tc>
          <w:tcPr>
            <w:tcW w:type="dxa" w:w="2016"/>
          </w:tcPr>
          <w:p>
            <w:pPr>
              <w:spacing w:after="20"/>
              <w:jc w:val="right"/>
            </w:pPr>
            <w:r>
              <w:rPr>
                <w:color w:val="1C3A36"/>
                <w:sz w:val="17"/>
              </w:rPr>
              <w:t>Jun-2026</w:t>
            </w:r>
          </w:p>
        </w:tc>
      </w:tr>
      <w:tr>
        <w:tc>
          <w:tcPr>
            <w:tcW w:type="dxa" w:w="4176"/>
          </w:tcPr>
          <w:p>
            <w:pPr>
              <w:spacing w:after="20"/>
            </w:pPr>
            <w:r>
              <w:rPr>
                <w:b/>
                <w:color w:val="1C3A36"/>
                <w:sz w:val="17"/>
              </w:rPr>
              <w:t>Egypt ERP — CDS / rating basis</w:t>
            </w:r>
          </w:p>
        </w:tc>
        <w:tc>
          <w:tcPr>
            <w:tcW w:type="dxa" w:w="2880"/>
          </w:tcPr>
          <w:p>
            <w:pPr>
              <w:spacing w:after="20"/>
              <w:jc w:val="right"/>
            </w:pPr>
            <w:r>
              <w:rPr>
                <w:color w:val="1C3A36"/>
                <w:sz w:val="17"/>
              </w:rPr>
              <w:t>9.41% / 13.94%</w:t>
            </w:r>
          </w:p>
        </w:tc>
        <w:tc>
          <w:tcPr>
            <w:tcW w:type="dxa" w:w="2016"/>
          </w:tcPr>
          <w:p>
            <w:pPr>
              <w:spacing w:after="20"/>
              <w:jc w:val="right"/>
            </w:pPr>
            <w:r>
              <w:rPr>
                <w:color w:val="1C3A36"/>
                <w:sz w:val="17"/>
              </w:rPr>
              <w:t>Damodaran, Jan-2026</w:t>
            </w:r>
          </w:p>
        </w:tc>
      </w:tr>
    </w:tbl>
    <w:p>
      <w:pPr>
        <w:spacing w:after="40"/>
      </w:pPr>
    </w:p>
    <w:p>
      <w:pPr>
        <w:spacing w:after="200" w:before="0"/>
      </w:pPr>
      <w:r>
        <w:rPr>
          <w:b w:val="0"/>
          <w:i/>
          <w:color w:val="6E7B77"/>
          <w:sz w:val="17"/>
        </w:rPr>
        <w:t>The macro backdrop for the two-stage discount rate. A resumption of CBE cuts toward target is the single biggest upside trigger for the fundamental value; a renewed conflict-driven risk premium is the biggest downside one.</w:t>
      </w:r>
    </w:p>
    <w:p>
      <w:pPr>
        <w:spacing w:after="80" w:before="200"/>
      </w:pPr>
      <w:r>
        <w:rPr>
          <w:b/>
          <w:i w:val="0"/>
          <w:color w:val="1C3A36"/>
          <w:sz w:val="24"/>
        </w:rPr>
        <w:t>B.3 ·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736"/>
            <w:shd w:val="clear" w:color="auto" w:fill="EAF0EE"/>
          </w:tcPr>
          <w:p>
            <w:pPr>
              <w:spacing w:after="20"/>
            </w:pPr>
            <w:r>
              <w:rPr>
                <w:b/>
                <w:color w:val="1C3A36"/>
                <w:sz w:val="16"/>
              </w:rPr>
              <w:t>Risk</w:t>
            </w:r>
          </w:p>
        </w:tc>
        <w:tc>
          <w:tcPr>
            <w:tcW w:type="dxa" w:w="1944"/>
            <w:shd w:val="clear" w:color="auto" w:fill="EAF0EE"/>
          </w:tcPr>
          <w:p>
            <w:pPr>
              <w:spacing w:after="20"/>
            </w:pPr>
            <w:r>
              <w:rPr>
                <w:b/>
                <w:color w:val="1C3A36"/>
                <w:sz w:val="16"/>
              </w:rPr>
              <w:t>Channel</w:t>
            </w:r>
          </w:p>
        </w:tc>
        <w:tc>
          <w:tcPr>
            <w:tcW w:type="dxa" w:w="4968"/>
            <w:shd w:val="clear" w:color="auto" w:fill="EAF0EE"/>
          </w:tcPr>
          <w:p>
            <w:pPr>
              <w:spacing w:after="20"/>
            </w:pPr>
            <w:r>
              <w:rPr>
                <w:b/>
                <w:color w:val="1C3A36"/>
                <w:sz w:val="16"/>
              </w:rPr>
              <w:t>Why it matters here</w:t>
            </w:r>
          </w:p>
        </w:tc>
      </w:tr>
      <w:tr>
        <w:tc>
          <w:tcPr>
            <w:tcW w:type="dxa" w:w="2736"/>
          </w:tcPr>
          <w:p>
            <w:pPr>
              <w:spacing w:after="20"/>
            </w:pPr>
            <w:r>
              <w:rPr>
                <w:b/>
                <w:color w:val="1C3A36"/>
                <w:sz w:val="16"/>
              </w:rPr>
              <w:t>Rates stay at crisis levels</w:t>
            </w:r>
          </w:p>
        </w:tc>
        <w:tc>
          <w:tcPr>
            <w:tcW w:type="dxa" w:w="1944"/>
          </w:tcPr>
          <w:p>
            <w:pPr>
              <w:spacing w:after="20"/>
              <w:jc w:val="right"/>
            </w:pPr>
            <w:r>
              <w:rPr>
                <w:color w:val="1C3A36"/>
                <w:sz w:val="16"/>
              </w:rPr>
              <w:t>Discount rate</w:t>
            </w:r>
          </w:p>
        </w:tc>
        <w:tc>
          <w:tcPr>
            <w:tcW w:type="dxa" w:w="4968"/>
          </w:tcPr>
          <w:p>
            <w:pPr>
              <w:spacing w:after="20"/>
              <w:jc w:val="right"/>
            </w:pPr>
            <w:r>
              <w:rPr>
                <w:color w:val="1C3A36"/>
                <w:sz w:val="16"/>
              </w:rPr>
              <w:t>The DCF falls to about EGP 3.85 — the largest single swing in the study</w:t>
            </w:r>
          </w:p>
        </w:tc>
      </w:tr>
      <w:tr>
        <w:tc>
          <w:tcPr>
            <w:tcW w:type="dxa" w:w="2736"/>
          </w:tcPr>
          <w:p>
            <w:pPr>
              <w:spacing w:after="20"/>
            </w:pPr>
            <w:r>
              <w:rPr>
                <w:b/>
                <w:color w:val="1C3A36"/>
                <w:sz w:val="16"/>
              </w:rPr>
              <w:t>EGP step-devaluation</w:t>
            </w:r>
          </w:p>
        </w:tc>
        <w:tc>
          <w:tcPr>
            <w:tcW w:type="dxa" w:w="1944"/>
          </w:tcPr>
          <w:p>
            <w:pPr>
              <w:spacing w:after="20"/>
              <w:jc w:val="right"/>
            </w:pPr>
            <w:r>
              <w:rPr>
                <w:color w:val="1C3A36"/>
                <w:sz w:val="16"/>
              </w:rPr>
              <w:t>Costs + translation</w:t>
            </w:r>
          </w:p>
        </w:tc>
        <w:tc>
          <w:tcPr>
            <w:tcW w:type="dxa" w:w="4968"/>
          </w:tcPr>
          <w:p>
            <w:pPr>
              <w:spacing w:after="20"/>
              <w:jc w:val="right"/>
            </w:pPr>
            <w:r>
              <w:rPr>
                <w:color w:val="1C3A36"/>
                <w:sz w:val="16"/>
              </w:rPr>
              <w:t>Imported consumables and equipment reprice immediately; tariffs lag</w:t>
            </w:r>
          </w:p>
        </w:tc>
      </w:tr>
      <w:tr>
        <w:tc>
          <w:tcPr>
            <w:tcW w:type="dxa" w:w="2736"/>
          </w:tcPr>
          <w:p>
            <w:pPr>
              <w:spacing w:after="20"/>
            </w:pPr>
            <w:r>
              <w:rPr>
                <w:b/>
                <w:color w:val="1C3A36"/>
                <w:sz w:val="16"/>
              </w:rPr>
              <w:t>UHI contracting terms</w:t>
            </w:r>
          </w:p>
        </w:tc>
        <w:tc>
          <w:tcPr>
            <w:tcW w:type="dxa" w:w="1944"/>
          </w:tcPr>
          <w:p>
            <w:pPr>
              <w:spacing w:after="20"/>
              <w:jc w:val="right"/>
            </w:pPr>
            <w:r>
              <w:rPr>
                <w:color w:val="1C3A36"/>
                <w:sz w:val="16"/>
              </w:rPr>
              <w:t>Volume + price</w:t>
            </w:r>
          </w:p>
        </w:tc>
        <w:tc>
          <w:tcPr>
            <w:tcW w:type="dxa" w:w="4968"/>
          </w:tcPr>
          <w:p>
            <w:pPr>
              <w:spacing w:after="20"/>
              <w:jc w:val="right"/>
            </w:pPr>
            <w:r>
              <w:rPr>
                <w:color w:val="1C3A36"/>
                <w:sz w:val="16"/>
              </w:rPr>
              <w:t>Universal Health Insurance sets tariffs for accredited private hospitals as it phases into Cairo</w:t>
            </w:r>
          </w:p>
        </w:tc>
      </w:tr>
      <w:tr>
        <w:tc>
          <w:tcPr>
            <w:tcW w:type="dxa" w:w="2736"/>
          </w:tcPr>
          <w:p>
            <w:pPr>
              <w:spacing w:after="20"/>
            </w:pPr>
            <w:r>
              <w:rPr>
                <w:b/>
                <w:color w:val="1C3A36"/>
                <w:sz w:val="16"/>
              </w:rPr>
              <w:t>Medical-staff cost inflation</w:t>
            </w:r>
          </w:p>
        </w:tc>
        <w:tc>
          <w:tcPr>
            <w:tcW w:type="dxa" w:w="1944"/>
          </w:tcPr>
          <w:p>
            <w:pPr>
              <w:spacing w:after="20"/>
              <w:jc w:val="right"/>
            </w:pPr>
            <w:r>
              <w:rPr>
                <w:color w:val="1C3A36"/>
                <w:sz w:val="16"/>
              </w:rPr>
              <w:t>Margin</w:t>
            </w:r>
          </w:p>
        </w:tc>
        <w:tc>
          <w:tcPr>
            <w:tcW w:type="dxa" w:w="4968"/>
          </w:tcPr>
          <w:p>
            <w:pPr>
              <w:spacing w:after="20"/>
              <w:jc w:val="right"/>
            </w:pPr>
            <w:r>
              <w:rPr>
                <w:color w:val="1C3A36"/>
                <w:sz w:val="16"/>
              </w:rPr>
              <w:t>Physician and nurse retention is the binding constraint on new-bed ramp-up</w:t>
            </w:r>
          </w:p>
        </w:tc>
      </w:tr>
      <w:tr>
        <w:tc>
          <w:tcPr>
            <w:tcW w:type="dxa" w:w="2736"/>
          </w:tcPr>
          <w:p>
            <w:pPr>
              <w:spacing w:after="20"/>
            </w:pPr>
            <w:r>
              <w:rPr>
                <w:b/>
                <w:color w:val="1C3A36"/>
                <w:sz w:val="16"/>
              </w:rPr>
              <w:t>New-hospital ramp slippage</w:t>
            </w:r>
          </w:p>
        </w:tc>
        <w:tc>
          <w:tcPr>
            <w:tcW w:type="dxa" w:w="1944"/>
          </w:tcPr>
          <w:p>
            <w:pPr>
              <w:spacing w:after="20"/>
              <w:jc w:val="right"/>
            </w:pPr>
            <w:r>
              <w:rPr>
                <w:color w:val="1C3A36"/>
                <w:sz w:val="16"/>
              </w:rPr>
              <w:t>Growth + margin</w:t>
            </w:r>
          </w:p>
        </w:tc>
        <w:tc>
          <w:tcPr>
            <w:tcW w:type="dxa" w:w="4968"/>
          </w:tcPr>
          <w:p>
            <w:pPr>
              <w:spacing w:after="20"/>
              <w:jc w:val="right"/>
            </w:pPr>
            <w:r>
              <w:rPr>
                <w:color w:val="1C3A36"/>
                <w:sz w:val="16"/>
              </w:rPr>
              <w:t>CTH must sustain &gt;EGP 100mn/month (April: EGP 83mn); the October BTS must land for 2027</w:t>
            </w:r>
          </w:p>
        </w:tc>
      </w:tr>
      <w:tr>
        <w:tc>
          <w:tcPr>
            <w:tcW w:type="dxa" w:w="2736"/>
          </w:tcPr>
          <w:p>
            <w:pPr>
              <w:spacing w:after="20"/>
            </w:pPr>
            <w:r>
              <w:rPr>
                <w:b/>
                <w:color w:val="1C3A36"/>
                <w:sz w:val="16"/>
              </w:rPr>
              <w:t>Single-facility execution</w:t>
            </w:r>
          </w:p>
        </w:tc>
        <w:tc>
          <w:tcPr>
            <w:tcW w:type="dxa" w:w="1944"/>
          </w:tcPr>
          <w:p>
            <w:pPr>
              <w:spacing w:after="20"/>
              <w:jc w:val="right"/>
            </w:pPr>
            <w:r>
              <w:rPr>
                <w:color w:val="1C3A36"/>
                <w:sz w:val="16"/>
              </w:rPr>
              <w:t>Revenue mix</w:t>
            </w:r>
          </w:p>
        </w:tc>
        <w:tc>
          <w:tcPr>
            <w:tcW w:type="dxa" w:w="4968"/>
          </w:tcPr>
          <w:p>
            <w:pPr>
              <w:spacing w:after="20"/>
              <w:jc w:val="right"/>
            </w:pPr>
            <w:r>
              <w:rPr>
                <w:color w:val="1C3A36"/>
                <w:sz w:val="16"/>
              </w:rPr>
              <w:t>Nile Badrawi revenue fell 4% y/y in 1Q26 during a cardiology-team transition</w:t>
            </w:r>
          </w:p>
        </w:tc>
      </w:tr>
      <w:tr>
        <w:tc>
          <w:tcPr>
            <w:tcW w:type="dxa" w:w="2736"/>
          </w:tcPr>
          <w:p>
            <w:pPr>
              <w:spacing w:after="20"/>
            </w:pPr>
            <w:r>
              <w:rPr>
                <w:b/>
                <w:color w:val="1C3A36"/>
                <w:sz w:val="16"/>
              </w:rPr>
              <w:t>Competitive capacity</w:t>
            </w:r>
          </w:p>
        </w:tc>
        <w:tc>
          <w:tcPr>
            <w:tcW w:type="dxa" w:w="1944"/>
          </w:tcPr>
          <w:p>
            <w:pPr>
              <w:spacing w:after="20"/>
              <w:jc w:val="right"/>
            </w:pPr>
            <w:r>
              <w:rPr>
                <w:color w:val="1C3A36"/>
                <w:sz w:val="16"/>
              </w:rPr>
              <w:t>Pricing</w:t>
            </w:r>
          </w:p>
        </w:tc>
        <w:tc>
          <w:tcPr>
            <w:tcW w:type="dxa" w:w="4968"/>
          </w:tcPr>
          <w:p>
            <w:pPr>
              <w:spacing w:after="20"/>
              <w:jc w:val="right"/>
            </w:pPr>
            <w:r>
              <w:rPr>
                <w:color w:val="1C3A36"/>
                <w:sz w:val="16"/>
              </w:rPr>
              <w:t>Saudi German, Andalusia and the Alameda network are adding private beds in Greater Cairo</w:t>
            </w:r>
          </w:p>
        </w:tc>
      </w:tr>
      <w:tr>
        <w:tc>
          <w:tcPr>
            <w:tcW w:type="dxa" w:w="2736"/>
          </w:tcPr>
          <w:p>
            <w:pPr>
              <w:spacing w:after="20"/>
            </w:pPr>
            <w:r>
              <w:rPr>
                <w:b/>
                <w:color w:val="1C3A36"/>
                <w:sz w:val="16"/>
              </w:rPr>
              <w:t>Ownership concentration / liquidity</w:t>
            </w:r>
          </w:p>
        </w:tc>
        <w:tc>
          <w:tcPr>
            <w:tcW w:type="dxa" w:w="1944"/>
          </w:tcPr>
          <w:p>
            <w:pPr>
              <w:spacing w:after="20"/>
              <w:jc w:val="right"/>
            </w:pPr>
            <w:r>
              <w:rPr>
                <w:color w:val="1C3A36"/>
                <w:sz w:val="16"/>
              </w:rPr>
              <w:t>Market</w:t>
            </w:r>
          </w:p>
        </w:tc>
        <w:tc>
          <w:tcPr>
            <w:tcW w:type="dxa" w:w="4968"/>
          </w:tcPr>
          <w:p>
            <w:pPr>
              <w:spacing w:after="20"/>
              <w:jc w:val="right"/>
            </w:pPr>
            <w:r>
              <w:rPr>
                <w:color w:val="1C3A36"/>
                <w:sz w:val="16"/>
              </w:rPr>
              <w:t>Care Healthcare 32%, MCI Healthcare Partners 31%, free float 37% (Mar-2026)</w:t>
            </w:r>
          </w:p>
        </w:tc>
      </w:tr>
    </w:tbl>
    <w:p>
      <w:pPr>
        <w:spacing w:after="40"/>
      </w:pPr>
    </w:p>
    <w:p>
      <w:pPr>
        <w:spacing w:after="200" w:before="0"/>
      </w:pPr>
      <w:r>
        <w:rPr>
          <w:b w:val="0"/>
          <w:i/>
          <w:color w:val="6E7B77"/>
          <w:sz w:val="17"/>
        </w:rPr>
        <w:t>Risks are stated as channels into the model, not as generic disclaimers: each one maps to a driver that can be moved in the companion workbook.</w:t>
      </w:r>
    </w:p>
    <w:p>
      <w:pPr>
        <w:spacing w:after="80" w:before="200"/>
      </w:pPr>
      <w:r>
        <w:rPr>
          <w:b/>
          <w:i w:val="0"/>
          <w:color w:val="1C3A36"/>
          <w:sz w:val="24"/>
        </w:rPr>
        <w:t>B.4 · The research register — four rings, dated, negative searches included</w:t>
      </w:r>
    </w:p>
    <w:p>
      <w:pPr>
        <w:spacing w:after="120" w:before="0"/>
      </w:pPr>
      <w:r>
        <w:rPr>
          <w:b w:val="0"/>
          <w:i w:val="0"/>
          <w:color w:val="1C3A36"/>
          <w:sz w:val="21"/>
        </w:rPr>
        <w:t>Every study opens with a structured information sweep across four rings — global, country, industry, company — before a single forecast driver is set. The register below is the sweep for this study, with each finding classified bullish (B), structural (S), drag (D) or crux (C), and dated. It is reproduced in full so a reader can see exactly what was and was not known when the numbers were built.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792"/>
            <w:shd w:val="clear" w:color="auto" w:fill="EAF0EE"/>
          </w:tcPr>
          <w:p>
            <w:pPr>
              <w:spacing w:after="20"/>
            </w:pPr>
            <w:r>
              <w:rPr>
                <w:b/>
                <w:color w:val="1C3A36"/>
                <w:sz w:val="15"/>
              </w:rPr>
              <w:t>Ref</w:t>
            </w:r>
          </w:p>
        </w:tc>
        <w:tc>
          <w:tcPr>
            <w:tcW w:type="dxa" w:w="893"/>
            <w:shd w:val="clear" w:color="auto" w:fill="EAF0EE"/>
          </w:tcPr>
          <w:p>
            <w:pPr>
              <w:spacing w:after="20"/>
            </w:pPr>
            <w:r>
              <w:rPr>
                <w:b/>
                <w:color w:val="1C3A36"/>
                <w:sz w:val="15"/>
              </w:rPr>
              <w:t>Ring</w:t>
            </w:r>
          </w:p>
        </w:tc>
        <w:tc>
          <w:tcPr>
            <w:tcW w:type="dxa" w:w="605"/>
            <w:shd w:val="clear" w:color="auto" w:fill="EAF0EE"/>
          </w:tcPr>
          <w:p>
            <w:pPr>
              <w:spacing w:after="20"/>
            </w:pPr>
            <w:r>
              <w:rPr>
                <w:b/>
                <w:color w:val="1C3A36"/>
                <w:sz w:val="15"/>
              </w:rPr>
              <w:t>Class</w:t>
            </w:r>
          </w:p>
        </w:tc>
        <w:tc>
          <w:tcPr>
            <w:tcW w:type="dxa" w:w="4248"/>
            <w:shd w:val="clear" w:color="auto" w:fill="EAF0EE"/>
          </w:tcPr>
          <w:p>
            <w:pPr>
              <w:spacing w:after="20"/>
            </w:pPr>
            <w:r>
              <w:rPr>
                <w:b/>
                <w:color w:val="1C3A36"/>
                <w:sz w:val="15"/>
              </w:rPr>
              <w:t>Finding</w:t>
            </w:r>
          </w:p>
        </w:tc>
        <w:tc>
          <w:tcPr>
            <w:tcW w:type="dxa" w:w="2232"/>
            <w:shd w:val="clear" w:color="auto" w:fill="EAF0EE"/>
          </w:tcPr>
          <w:p>
            <w:pPr>
              <w:spacing w:after="20"/>
            </w:pPr>
            <w:r>
              <w:rPr>
                <w:b/>
                <w:color w:val="1C3A36"/>
                <w:sz w:val="15"/>
              </w:rPr>
              <w:t>Source</w:t>
            </w:r>
          </w:p>
        </w:tc>
        <w:tc>
          <w:tcPr>
            <w:tcW w:type="dxa" w:w="1022"/>
            <w:shd w:val="clear" w:color="auto" w:fill="EAF0EE"/>
          </w:tcPr>
          <w:p>
            <w:pPr>
              <w:spacing w:after="20"/>
            </w:pPr>
            <w:r>
              <w:rPr>
                <w:b/>
                <w:color w:val="1C3A36"/>
                <w:sz w:val="15"/>
              </w:rPr>
              <w:t>Date</w:t>
            </w:r>
          </w:p>
        </w:tc>
      </w:tr>
      <w:tr>
        <w:tc>
          <w:tcPr>
            <w:tcW w:type="dxa" w:w="792"/>
          </w:tcPr>
          <w:p>
            <w:pPr>
              <w:spacing w:after="20"/>
            </w:pPr>
            <w:r>
              <w:rPr>
                <w:b/>
                <w:color w:val="1C3A36"/>
                <w:sz w:val="15"/>
              </w:rPr>
              <w:t>SR-01</w:t>
            </w:r>
          </w:p>
        </w:tc>
        <w:tc>
          <w:tcPr>
            <w:tcW w:type="dxa" w:w="893"/>
          </w:tcPr>
          <w:p>
            <w:pPr>
              <w:spacing w:after="20"/>
              <w:jc w:val="right"/>
            </w:pPr>
            <w:r>
              <w:rPr>
                <w:color w:val="1C3A36"/>
                <w:sz w:val="15"/>
              </w:rPr>
              <w:t>Global</w:t>
            </w:r>
          </w:p>
        </w:tc>
        <w:tc>
          <w:tcPr>
            <w:tcW w:type="dxa" w:w="605"/>
          </w:tcPr>
          <w:p>
            <w:pPr>
              <w:spacing w:after="20"/>
              <w:jc w:val="right"/>
            </w:pPr>
            <w:r>
              <w:rPr>
                <w:color w:val="1C3A36"/>
                <w:sz w:val="15"/>
              </w:rPr>
              <w:t>S</w:t>
            </w:r>
          </w:p>
        </w:tc>
        <w:tc>
          <w:tcPr>
            <w:tcW w:type="dxa" w:w="4248"/>
          </w:tcPr>
          <w:p>
            <w:pPr>
              <w:spacing w:after="20"/>
              <w:jc w:val="right"/>
            </w:pPr>
            <w:r>
              <w:rPr>
                <w:color w:val="1C3A36"/>
                <w:sz w:val="15"/>
              </w:rPr>
              <w:t>Fed funds 3.50–3.75% (held Jun-2026); softer USD backdrop for EM</w:t>
            </w:r>
          </w:p>
        </w:tc>
        <w:tc>
          <w:tcPr>
            <w:tcW w:type="dxa" w:w="2232"/>
          </w:tcPr>
          <w:p>
            <w:pPr>
              <w:spacing w:after="20"/>
              <w:jc w:val="right"/>
            </w:pPr>
            <w:r>
              <w:rPr>
                <w:color w:val="1C3A36"/>
                <w:sz w:val="15"/>
              </w:rPr>
              <w:t>MarketProfile FED_SCHEDULE / cached CoC note</w:t>
            </w:r>
          </w:p>
        </w:tc>
        <w:tc>
          <w:tcPr>
            <w:tcW w:type="dxa" w:w="1022"/>
          </w:tcPr>
          <w:p>
            <w:pPr>
              <w:spacing w:after="20"/>
              <w:jc w:val="right"/>
            </w:pPr>
            <w:r>
              <w:rPr>
                <w:color w:val="1C3A36"/>
                <w:sz w:val="15"/>
              </w:rPr>
              <w:t>2026-06-18</w:t>
            </w:r>
          </w:p>
        </w:tc>
      </w:tr>
      <w:tr>
        <w:tc>
          <w:tcPr>
            <w:tcW w:type="dxa" w:w="792"/>
          </w:tcPr>
          <w:p>
            <w:pPr>
              <w:spacing w:after="20"/>
            </w:pPr>
            <w:r>
              <w:rPr>
                <w:b/>
                <w:color w:val="1C3A36"/>
                <w:sz w:val="15"/>
              </w:rPr>
              <w:t>SR-02</w:t>
            </w:r>
          </w:p>
        </w:tc>
        <w:tc>
          <w:tcPr>
            <w:tcW w:type="dxa" w:w="893"/>
          </w:tcPr>
          <w:p>
            <w:pPr>
              <w:spacing w:after="20"/>
              <w:jc w:val="right"/>
            </w:pPr>
            <w:r>
              <w:rPr>
                <w:color w:val="1C3A36"/>
                <w:sz w:val="15"/>
              </w:rPr>
              <w:t>Global</w:t>
            </w:r>
          </w:p>
        </w:tc>
        <w:tc>
          <w:tcPr>
            <w:tcW w:type="dxa" w:w="605"/>
          </w:tcPr>
          <w:p>
            <w:pPr>
              <w:spacing w:after="20"/>
              <w:jc w:val="right"/>
            </w:pPr>
            <w:r>
              <w:rPr>
                <w:color w:val="1C3A36"/>
                <w:sz w:val="15"/>
              </w:rPr>
              <w:t>D</w:t>
            </w:r>
          </w:p>
        </w:tc>
        <w:tc>
          <w:tcPr>
            <w:tcW w:type="dxa" w:w="4248"/>
          </w:tcPr>
          <w:p>
            <w:pPr>
              <w:spacing w:after="20"/>
              <w:jc w:val="right"/>
            </w:pPr>
            <w:r>
              <w:rPr>
                <w:color w:val="1C3A36"/>
                <w:sz w:val="15"/>
              </w:rPr>
              <w:t>US–Iran regional conflict since Jun-2026 lifted energy prices and EM risk premia</w:t>
            </w:r>
          </w:p>
        </w:tc>
        <w:tc>
          <w:tcPr>
            <w:tcW w:type="dxa" w:w="2232"/>
          </w:tcPr>
          <w:p>
            <w:pPr>
              <w:spacing w:after="20"/>
              <w:jc w:val="right"/>
            </w:pPr>
            <w:r>
              <w:rPr>
                <w:color w:val="1C3A36"/>
                <w:sz w:val="15"/>
              </w:rPr>
              <w:t>CBE MPC statements Apr/May/Jul-2026</w:t>
            </w:r>
          </w:p>
        </w:tc>
        <w:tc>
          <w:tcPr>
            <w:tcW w:type="dxa" w:w="1022"/>
          </w:tcPr>
          <w:p>
            <w:pPr>
              <w:spacing w:after="20"/>
              <w:jc w:val="right"/>
            </w:pPr>
            <w:r>
              <w:rPr>
                <w:color w:val="1C3A36"/>
                <w:sz w:val="15"/>
              </w:rPr>
              <w:t>2026-07-09</w:t>
            </w:r>
          </w:p>
        </w:tc>
      </w:tr>
      <w:tr>
        <w:tc>
          <w:tcPr>
            <w:tcW w:type="dxa" w:w="792"/>
          </w:tcPr>
          <w:p>
            <w:pPr>
              <w:spacing w:after="20"/>
            </w:pPr>
            <w:r>
              <w:rPr>
                <w:b/>
                <w:color w:val="1C3A36"/>
                <w:sz w:val="15"/>
              </w:rPr>
              <w:t>SR-03</w:t>
            </w:r>
          </w:p>
        </w:tc>
        <w:tc>
          <w:tcPr>
            <w:tcW w:type="dxa" w:w="893"/>
          </w:tcPr>
          <w:p>
            <w:pPr>
              <w:spacing w:after="20"/>
              <w:jc w:val="right"/>
            </w:pPr>
            <w:r>
              <w:rPr>
                <w:color w:val="1C3A36"/>
                <w:sz w:val="15"/>
              </w:rPr>
              <w:t>Global</w:t>
            </w:r>
          </w:p>
        </w:tc>
        <w:tc>
          <w:tcPr>
            <w:tcW w:type="dxa" w:w="605"/>
          </w:tcPr>
          <w:p>
            <w:pPr>
              <w:spacing w:after="20"/>
              <w:jc w:val="right"/>
            </w:pPr>
            <w:r>
              <w:rPr>
                <w:color w:val="1C3A36"/>
                <w:sz w:val="15"/>
              </w:rPr>
              <w:t>S</w:t>
            </w:r>
          </w:p>
        </w:tc>
        <w:tc>
          <w:tcPr>
            <w:tcW w:type="dxa" w:w="4248"/>
          </w:tcPr>
          <w:p>
            <w:pPr>
              <w:spacing w:after="20"/>
              <w:jc w:val="right"/>
            </w:pPr>
            <w:r>
              <w:rPr>
                <w:color w:val="1C3A36"/>
                <w:sz w:val="15"/>
              </w:rPr>
              <w:t>Global healthcare demand inelastic; GCC hospital operators trade 11–30x EV/EBITDA</w:t>
            </w:r>
          </w:p>
        </w:tc>
        <w:tc>
          <w:tcPr>
            <w:tcW w:type="dxa" w:w="2232"/>
          </w:tcPr>
          <w:p>
            <w:pPr>
              <w:spacing w:after="20"/>
              <w:jc w:val="right"/>
            </w:pPr>
            <w:r>
              <w:rPr>
                <w:color w:val="1C3A36"/>
                <w:sz w:val="15"/>
              </w:rPr>
              <w:t>Burjeel/regional comp table; multiples.vc Al Habib 24.3x (Jul-2026)</w:t>
            </w:r>
          </w:p>
        </w:tc>
        <w:tc>
          <w:tcPr>
            <w:tcW w:type="dxa" w:w="1022"/>
          </w:tcPr>
          <w:p>
            <w:pPr>
              <w:spacing w:after="20"/>
              <w:jc w:val="right"/>
            </w:pPr>
            <w:r>
              <w:rPr>
                <w:color w:val="1C3A36"/>
                <w:sz w:val="15"/>
              </w:rPr>
              <w:t>2026-07-05</w:t>
            </w:r>
          </w:p>
        </w:tc>
      </w:tr>
      <w:tr>
        <w:tc>
          <w:tcPr>
            <w:tcW w:type="dxa" w:w="792"/>
          </w:tcPr>
          <w:p>
            <w:pPr>
              <w:spacing w:after="20"/>
            </w:pPr>
            <w:r>
              <w:rPr>
                <w:b/>
                <w:color w:val="1C3A36"/>
                <w:sz w:val="15"/>
              </w:rPr>
              <w:t>SR-04</w:t>
            </w:r>
          </w:p>
        </w:tc>
        <w:tc>
          <w:tcPr>
            <w:tcW w:type="dxa" w:w="893"/>
          </w:tcPr>
          <w:p>
            <w:pPr>
              <w:spacing w:after="20"/>
              <w:jc w:val="right"/>
            </w:pPr>
            <w:r>
              <w:rPr>
                <w:color w:val="1C3A36"/>
                <w:sz w:val="15"/>
              </w:rPr>
              <w:t>Country</w:t>
            </w:r>
          </w:p>
        </w:tc>
        <w:tc>
          <w:tcPr>
            <w:tcW w:type="dxa" w:w="605"/>
          </w:tcPr>
          <w:p>
            <w:pPr>
              <w:spacing w:after="20"/>
              <w:jc w:val="right"/>
            </w:pPr>
            <w:r>
              <w:rPr>
                <w:color w:val="1C3A36"/>
                <w:sz w:val="15"/>
              </w:rPr>
              <w:t>C</w:t>
            </w:r>
          </w:p>
        </w:tc>
        <w:tc>
          <w:tcPr>
            <w:tcW w:type="dxa" w:w="4248"/>
          </w:tcPr>
          <w:p>
            <w:pPr>
              <w:spacing w:after="20"/>
              <w:jc w:val="right"/>
            </w:pPr>
            <w:r>
              <w:rPr>
                <w:color w:val="1C3A36"/>
                <w:sz w:val="15"/>
              </w:rPr>
              <w:t>CBE held rates a 3rd straight meeting (main op 19.50%); easing paused on conflict — the discount-rate crux</w:t>
            </w:r>
          </w:p>
        </w:tc>
        <w:tc>
          <w:tcPr>
            <w:tcW w:type="dxa" w:w="2232"/>
          </w:tcPr>
          <w:p>
            <w:pPr>
              <w:spacing w:after="20"/>
              <w:jc w:val="right"/>
            </w:pPr>
            <w:r>
              <w:rPr>
                <w:color w:val="1C3A36"/>
                <w:sz w:val="15"/>
              </w:rPr>
              <w:t>CBE MPC / EgyptToday / DailyNewsEgypt</w:t>
            </w:r>
          </w:p>
        </w:tc>
        <w:tc>
          <w:tcPr>
            <w:tcW w:type="dxa" w:w="1022"/>
          </w:tcPr>
          <w:p>
            <w:pPr>
              <w:spacing w:after="20"/>
              <w:jc w:val="right"/>
            </w:pPr>
            <w:r>
              <w:rPr>
                <w:color w:val="1C3A36"/>
                <w:sz w:val="15"/>
              </w:rPr>
              <w:t>2026-07-09</w:t>
            </w:r>
          </w:p>
        </w:tc>
      </w:tr>
      <w:tr>
        <w:tc>
          <w:tcPr>
            <w:tcW w:type="dxa" w:w="792"/>
          </w:tcPr>
          <w:p>
            <w:pPr>
              <w:spacing w:after="20"/>
            </w:pPr>
            <w:r>
              <w:rPr>
                <w:b/>
                <w:color w:val="1C3A36"/>
                <w:sz w:val="15"/>
              </w:rPr>
              <w:t>SR-05</w:t>
            </w:r>
          </w:p>
        </w:tc>
        <w:tc>
          <w:tcPr>
            <w:tcW w:type="dxa" w:w="893"/>
          </w:tcPr>
          <w:p>
            <w:pPr>
              <w:spacing w:after="20"/>
              <w:jc w:val="right"/>
            </w:pPr>
            <w:r>
              <w:rPr>
                <w:color w:val="1C3A36"/>
                <w:sz w:val="15"/>
              </w:rPr>
              <w:t>Country</w:t>
            </w:r>
          </w:p>
        </w:tc>
        <w:tc>
          <w:tcPr>
            <w:tcW w:type="dxa" w:w="605"/>
          </w:tcPr>
          <w:p>
            <w:pPr>
              <w:spacing w:after="20"/>
              <w:jc w:val="right"/>
            </w:pPr>
            <w:r>
              <w:rPr>
                <w:color w:val="1C3A36"/>
                <w:sz w:val="15"/>
              </w:rPr>
              <w:t>B</w:t>
            </w:r>
          </w:p>
        </w:tc>
        <w:tc>
          <w:tcPr>
            <w:tcW w:type="dxa" w:w="4248"/>
          </w:tcPr>
          <w:p>
            <w:pPr>
              <w:spacing w:after="20"/>
              <w:jc w:val="right"/>
            </w:pPr>
            <w:r>
              <w:rPr>
                <w:color w:val="1C3A36"/>
                <w:sz w:val="15"/>
              </w:rPr>
              <w:t>Headline CPI fell 3rd month to 14.3% (Jun-26, m/m −0.4%); CBE target 7±2% in H2-2027</w:t>
            </w:r>
          </w:p>
        </w:tc>
        <w:tc>
          <w:tcPr>
            <w:tcW w:type="dxa" w:w="2232"/>
          </w:tcPr>
          <w:p>
            <w:pPr>
              <w:spacing w:after="20"/>
              <w:jc w:val="right"/>
            </w:pPr>
            <w:r>
              <w:rPr>
                <w:color w:val="1C3A36"/>
                <w:sz w:val="15"/>
              </w:rPr>
              <w:t>CAPMAS via CBE CPI release / Bloomberg</w:t>
            </w:r>
          </w:p>
        </w:tc>
        <w:tc>
          <w:tcPr>
            <w:tcW w:type="dxa" w:w="1022"/>
          </w:tcPr>
          <w:p>
            <w:pPr>
              <w:spacing w:after="20"/>
              <w:jc w:val="right"/>
            </w:pPr>
            <w:r>
              <w:rPr>
                <w:color w:val="1C3A36"/>
                <w:sz w:val="15"/>
              </w:rPr>
              <w:t>2026-07-09</w:t>
            </w:r>
          </w:p>
        </w:tc>
      </w:tr>
      <w:tr>
        <w:tc>
          <w:tcPr>
            <w:tcW w:type="dxa" w:w="792"/>
          </w:tcPr>
          <w:p>
            <w:pPr>
              <w:spacing w:after="20"/>
            </w:pPr>
            <w:r>
              <w:rPr>
                <w:b/>
                <w:color w:val="1C3A36"/>
                <w:sz w:val="15"/>
              </w:rPr>
              <w:t>SR-06</w:t>
            </w:r>
          </w:p>
        </w:tc>
        <w:tc>
          <w:tcPr>
            <w:tcW w:type="dxa" w:w="893"/>
          </w:tcPr>
          <w:p>
            <w:pPr>
              <w:spacing w:after="20"/>
              <w:jc w:val="right"/>
            </w:pPr>
            <w:r>
              <w:rPr>
                <w:color w:val="1C3A36"/>
                <w:sz w:val="15"/>
              </w:rPr>
              <w:t>Country</w:t>
            </w:r>
          </w:p>
        </w:tc>
        <w:tc>
          <w:tcPr>
            <w:tcW w:type="dxa" w:w="605"/>
          </w:tcPr>
          <w:p>
            <w:pPr>
              <w:spacing w:after="20"/>
              <w:jc w:val="right"/>
            </w:pPr>
            <w:r>
              <w:rPr>
                <w:color w:val="1C3A36"/>
                <w:sz w:val="15"/>
              </w:rPr>
              <w:t>S</w:t>
            </w:r>
          </w:p>
        </w:tc>
        <w:tc>
          <w:tcPr>
            <w:tcW w:type="dxa" w:w="4248"/>
          </w:tcPr>
          <w:p>
            <w:pPr>
              <w:spacing w:after="20"/>
              <w:jc w:val="right"/>
            </w:pPr>
            <w:r>
              <w:rPr>
                <w:color w:val="1C3A36"/>
                <w:sz w:val="15"/>
              </w:rPr>
              <w:t>Egypt 10Y local yield 22.55% — the valuation rf</w:t>
            </w:r>
          </w:p>
        </w:tc>
        <w:tc>
          <w:tcPr>
            <w:tcW w:type="dxa" w:w="2232"/>
          </w:tcPr>
          <w:p>
            <w:pPr>
              <w:spacing w:after="20"/>
              <w:jc w:val="right"/>
            </w:pPr>
            <w:r>
              <w:rPr>
                <w:color w:val="1C3A36"/>
                <w:sz w:val="15"/>
              </w:rPr>
              <w:t>investing.com (cached CoC reference)</w:t>
            </w:r>
          </w:p>
        </w:tc>
        <w:tc>
          <w:tcPr>
            <w:tcW w:type="dxa" w:w="1022"/>
          </w:tcPr>
          <w:p>
            <w:pPr>
              <w:spacing w:after="20"/>
              <w:jc w:val="right"/>
            </w:pPr>
            <w:r>
              <w:rPr>
                <w:color w:val="1C3A36"/>
                <w:sz w:val="15"/>
              </w:rPr>
              <w:t>2026-07-03</w:t>
            </w:r>
          </w:p>
        </w:tc>
      </w:tr>
      <w:tr>
        <w:tc>
          <w:tcPr>
            <w:tcW w:type="dxa" w:w="792"/>
          </w:tcPr>
          <w:p>
            <w:pPr>
              <w:spacing w:after="20"/>
            </w:pPr>
            <w:r>
              <w:rPr>
                <w:b/>
                <w:color w:val="1C3A36"/>
                <w:sz w:val="15"/>
              </w:rPr>
              <w:t>SR-07</w:t>
            </w:r>
          </w:p>
        </w:tc>
        <w:tc>
          <w:tcPr>
            <w:tcW w:type="dxa" w:w="893"/>
          </w:tcPr>
          <w:p>
            <w:pPr>
              <w:spacing w:after="20"/>
              <w:jc w:val="right"/>
            </w:pPr>
            <w:r>
              <w:rPr>
                <w:color w:val="1C3A36"/>
                <w:sz w:val="15"/>
              </w:rPr>
              <w:t>Country</w:t>
            </w:r>
          </w:p>
        </w:tc>
        <w:tc>
          <w:tcPr>
            <w:tcW w:type="dxa" w:w="605"/>
          </w:tcPr>
          <w:p>
            <w:pPr>
              <w:spacing w:after="20"/>
              <w:jc w:val="right"/>
            </w:pPr>
            <w:r>
              <w:rPr>
                <w:color w:val="1C3A36"/>
                <w:sz w:val="15"/>
              </w:rPr>
              <w:t>S</w:t>
            </w:r>
          </w:p>
        </w:tc>
        <w:tc>
          <w:tcPr>
            <w:tcW w:type="dxa" w:w="4248"/>
          </w:tcPr>
          <w:p>
            <w:pPr>
              <w:spacing w:after="20"/>
              <w:jc w:val="right"/>
            </w:pPr>
            <w:r>
              <w:rPr>
                <w:color w:val="1C3A36"/>
                <w:sz w:val="15"/>
              </w:rPr>
              <w:t>Real GDP +5.0% Q1-2026; FY25/26 ~5%; NIR $55.1bn (Jun-26)</w:t>
            </w:r>
          </w:p>
        </w:tc>
        <w:tc>
          <w:tcPr>
            <w:tcW w:type="dxa" w:w="2232"/>
          </w:tcPr>
          <w:p>
            <w:pPr>
              <w:spacing w:after="20"/>
              <w:jc w:val="right"/>
            </w:pPr>
            <w:r>
              <w:rPr>
                <w:color w:val="1C3A36"/>
                <w:sz w:val="15"/>
              </w:rPr>
              <w:t>CBE releases</w:t>
            </w:r>
          </w:p>
        </w:tc>
        <w:tc>
          <w:tcPr>
            <w:tcW w:type="dxa" w:w="1022"/>
          </w:tcPr>
          <w:p>
            <w:pPr>
              <w:spacing w:after="20"/>
              <w:jc w:val="right"/>
            </w:pPr>
            <w:r>
              <w:rPr>
                <w:color w:val="1C3A36"/>
                <w:sz w:val="15"/>
              </w:rPr>
              <w:t>2026-07-08</w:t>
            </w:r>
          </w:p>
        </w:tc>
      </w:tr>
      <w:tr>
        <w:tc>
          <w:tcPr>
            <w:tcW w:type="dxa" w:w="792"/>
          </w:tcPr>
          <w:p>
            <w:pPr>
              <w:spacing w:after="20"/>
            </w:pPr>
            <w:r>
              <w:rPr>
                <w:b/>
                <w:color w:val="1C3A36"/>
                <w:sz w:val="15"/>
              </w:rPr>
              <w:t>SR-08</w:t>
            </w:r>
          </w:p>
        </w:tc>
        <w:tc>
          <w:tcPr>
            <w:tcW w:type="dxa" w:w="893"/>
          </w:tcPr>
          <w:p>
            <w:pPr>
              <w:spacing w:after="20"/>
              <w:jc w:val="right"/>
            </w:pPr>
            <w:r>
              <w:rPr>
                <w:color w:val="1C3A36"/>
                <w:sz w:val="15"/>
              </w:rPr>
              <w:t>Country</w:t>
            </w:r>
          </w:p>
        </w:tc>
        <w:tc>
          <w:tcPr>
            <w:tcW w:type="dxa" w:w="605"/>
          </w:tcPr>
          <w:p>
            <w:pPr>
              <w:spacing w:after="20"/>
              <w:jc w:val="right"/>
            </w:pPr>
            <w:r>
              <w:rPr>
                <w:color w:val="1C3A36"/>
                <w:sz w:val="15"/>
              </w:rPr>
              <w:t>B</w:t>
            </w:r>
          </w:p>
        </w:tc>
        <w:tc>
          <w:tcPr>
            <w:tcW w:type="dxa" w:w="4248"/>
          </w:tcPr>
          <w:p>
            <w:pPr>
              <w:spacing w:after="20"/>
              <w:jc w:val="right"/>
            </w:pPr>
            <w:r>
              <w:rPr>
                <w:color w:val="1C3A36"/>
                <w:sz w:val="15"/>
              </w:rPr>
              <w:t>CBE guided the banking sector to support national healthcare initiatives</w:t>
            </w:r>
          </w:p>
        </w:tc>
        <w:tc>
          <w:tcPr>
            <w:tcW w:type="dxa" w:w="2232"/>
          </w:tcPr>
          <w:p>
            <w:pPr>
              <w:spacing w:after="20"/>
              <w:jc w:val="right"/>
            </w:pPr>
            <w:r>
              <w:rPr>
                <w:color w:val="1C3A36"/>
                <w:sz w:val="15"/>
              </w:rPr>
              <w:t>CBE press release headline</w:t>
            </w:r>
          </w:p>
        </w:tc>
        <w:tc>
          <w:tcPr>
            <w:tcW w:type="dxa" w:w="1022"/>
          </w:tcPr>
          <w:p>
            <w:pPr>
              <w:spacing w:after="20"/>
              <w:jc w:val="right"/>
            </w:pPr>
            <w:r>
              <w:rPr>
                <w:color w:val="1C3A36"/>
                <w:sz w:val="15"/>
              </w:rPr>
              <w:t>2026-07-05</w:t>
            </w:r>
          </w:p>
        </w:tc>
      </w:tr>
      <w:tr>
        <w:tc>
          <w:tcPr>
            <w:tcW w:type="dxa" w:w="792"/>
          </w:tcPr>
          <w:p>
            <w:pPr>
              <w:spacing w:after="20"/>
            </w:pPr>
            <w:r>
              <w:rPr>
                <w:b/>
                <w:color w:val="1C3A36"/>
                <w:sz w:val="15"/>
              </w:rPr>
              <w:t>SR-09</w:t>
            </w:r>
          </w:p>
        </w:tc>
        <w:tc>
          <w:tcPr>
            <w:tcW w:type="dxa" w:w="893"/>
          </w:tcPr>
          <w:p>
            <w:pPr>
              <w:spacing w:after="20"/>
              <w:jc w:val="right"/>
            </w:pPr>
            <w:r>
              <w:rPr>
                <w:color w:val="1C3A36"/>
                <w:sz w:val="15"/>
              </w:rPr>
              <w:t>Industry</w:t>
            </w:r>
          </w:p>
        </w:tc>
        <w:tc>
          <w:tcPr>
            <w:tcW w:type="dxa" w:w="605"/>
          </w:tcPr>
          <w:p>
            <w:pPr>
              <w:spacing w:after="20"/>
              <w:jc w:val="right"/>
            </w:pPr>
            <w:r>
              <w:rPr>
                <w:color w:val="1C3A36"/>
                <w:sz w:val="15"/>
              </w:rPr>
              <w:t>B</w:t>
            </w:r>
          </w:p>
        </w:tc>
        <w:tc>
          <w:tcPr>
            <w:tcW w:type="dxa" w:w="4248"/>
          </w:tcPr>
          <w:p>
            <w:pPr>
              <w:spacing w:after="20"/>
              <w:jc w:val="right"/>
            </w:pPr>
            <w:r>
              <w:rPr>
                <w:color w:val="1C3A36"/>
                <w:sz w:val="15"/>
              </w:rPr>
              <w:t>UHI Phase-2 launching: Minya trial Apr-2026; 5 governorates, EGP 115bn, 12mn citizens; Cairo in later phases (system-wide by 2032)</w:t>
            </w:r>
          </w:p>
        </w:tc>
        <w:tc>
          <w:tcPr>
            <w:tcW w:type="dxa" w:w="2232"/>
          </w:tcPr>
          <w:p>
            <w:pPr>
              <w:spacing w:after="20"/>
              <w:jc w:val="right"/>
            </w:pPr>
            <w:r>
              <w:rPr>
                <w:color w:val="1C3A36"/>
                <w:sz w:val="15"/>
              </w:rPr>
              <w:t>EgyptToday / Cabinet infographics</w:t>
            </w:r>
          </w:p>
        </w:tc>
        <w:tc>
          <w:tcPr>
            <w:tcW w:type="dxa" w:w="1022"/>
          </w:tcPr>
          <w:p>
            <w:pPr>
              <w:spacing w:after="20"/>
              <w:jc w:val="right"/>
            </w:pPr>
            <w:r>
              <w:rPr>
                <w:color w:val="1C3A36"/>
                <w:sz w:val="15"/>
              </w:rPr>
              <w:t>2026-04-20</w:t>
            </w:r>
          </w:p>
        </w:tc>
      </w:tr>
      <w:tr>
        <w:tc>
          <w:tcPr>
            <w:tcW w:type="dxa" w:w="792"/>
          </w:tcPr>
          <w:p>
            <w:pPr>
              <w:spacing w:after="20"/>
            </w:pPr>
            <w:r>
              <w:rPr>
                <w:b/>
                <w:color w:val="1C3A36"/>
                <w:sz w:val="15"/>
              </w:rPr>
              <w:t>SR-10</w:t>
            </w:r>
          </w:p>
        </w:tc>
        <w:tc>
          <w:tcPr>
            <w:tcW w:type="dxa" w:w="893"/>
          </w:tcPr>
          <w:p>
            <w:pPr>
              <w:spacing w:after="20"/>
              <w:jc w:val="right"/>
            </w:pPr>
            <w:r>
              <w:rPr>
                <w:color w:val="1C3A36"/>
                <w:sz w:val="15"/>
              </w:rPr>
              <w:t>Industry</w:t>
            </w:r>
          </w:p>
        </w:tc>
        <w:tc>
          <w:tcPr>
            <w:tcW w:type="dxa" w:w="605"/>
          </w:tcPr>
          <w:p>
            <w:pPr>
              <w:spacing w:after="20"/>
              <w:jc w:val="right"/>
            </w:pPr>
            <w:r>
              <w:rPr>
                <w:color w:val="1C3A36"/>
                <w:sz w:val="15"/>
              </w:rPr>
              <w:t>S</w:t>
            </w:r>
          </w:p>
        </w:tc>
        <w:tc>
          <w:tcPr>
            <w:tcW w:type="dxa" w:w="4248"/>
          </w:tcPr>
          <w:p>
            <w:pPr>
              <w:spacing w:after="20"/>
              <w:jc w:val="right"/>
            </w:pPr>
            <w:r>
              <w:rPr>
                <w:color w:val="1C3A36"/>
                <w:sz w:val="15"/>
              </w:rPr>
              <w:t>UHIA separates funding from provision and contracts GAHAR-accredited private hospitals (75% paid up front); CHG's Central-Cairo facilities GAHAR-accredited since 2024</w:t>
            </w:r>
          </w:p>
        </w:tc>
        <w:tc>
          <w:tcPr>
            <w:tcW w:type="dxa" w:w="2232"/>
          </w:tcPr>
          <w:p>
            <w:pPr>
              <w:spacing w:after="20"/>
              <w:jc w:val="right"/>
            </w:pPr>
            <w:r>
              <w:rPr>
                <w:color w:val="1C3A36"/>
                <w:sz w:val="15"/>
              </w:rPr>
              <w:t>iPMI/LegalClarity; CHG FY24 ER</w:t>
            </w:r>
          </w:p>
        </w:tc>
        <w:tc>
          <w:tcPr>
            <w:tcW w:type="dxa" w:w="1022"/>
          </w:tcPr>
          <w:p>
            <w:pPr>
              <w:spacing w:after="20"/>
              <w:jc w:val="right"/>
            </w:pPr>
            <w:r>
              <w:rPr>
                <w:color w:val="1C3A36"/>
                <w:sz w:val="15"/>
              </w:rPr>
              <w:t>2026-04-04</w:t>
            </w:r>
          </w:p>
        </w:tc>
      </w:tr>
      <w:tr>
        <w:tc>
          <w:tcPr>
            <w:tcW w:type="dxa" w:w="792"/>
          </w:tcPr>
          <w:p>
            <w:pPr>
              <w:spacing w:after="20"/>
            </w:pPr>
            <w:r>
              <w:rPr>
                <w:b/>
                <w:color w:val="1C3A36"/>
                <w:sz w:val="15"/>
              </w:rPr>
              <w:t>SR-11</w:t>
            </w:r>
          </w:p>
        </w:tc>
        <w:tc>
          <w:tcPr>
            <w:tcW w:type="dxa" w:w="893"/>
          </w:tcPr>
          <w:p>
            <w:pPr>
              <w:spacing w:after="20"/>
              <w:jc w:val="right"/>
            </w:pPr>
            <w:r>
              <w:rPr>
                <w:color w:val="1C3A36"/>
                <w:sz w:val="15"/>
              </w:rPr>
              <w:t>Industry</w:t>
            </w:r>
          </w:p>
        </w:tc>
        <w:tc>
          <w:tcPr>
            <w:tcW w:type="dxa" w:w="605"/>
          </w:tcPr>
          <w:p>
            <w:pPr>
              <w:spacing w:after="20"/>
              <w:jc w:val="right"/>
            </w:pPr>
            <w:r>
              <w:rPr>
                <w:color w:val="1C3A36"/>
                <w:sz w:val="15"/>
              </w:rPr>
              <w:t>B</w:t>
            </w:r>
          </w:p>
        </w:tc>
        <w:tc>
          <w:tcPr>
            <w:tcW w:type="dxa" w:w="4248"/>
          </w:tcPr>
          <w:p>
            <w:pPr>
              <w:spacing w:after="20"/>
              <w:jc w:val="right"/>
            </w:pPr>
            <w:r>
              <w:rPr>
                <w:color w:val="1C3A36"/>
                <w:sz w:val="15"/>
              </w:rPr>
              <w:t>Out-of-pocket still ~57% of Egyptian health spend; private beds avg 29/facility — structural undersupply of quality beds</w:t>
            </w:r>
          </w:p>
        </w:tc>
        <w:tc>
          <w:tcPr>
            <w:tcW w:type="dxa" w:w="2232"/>
          </w:tcPr>
          <w:p>
            <w:pPr>
              <w:spacing w:after="20"/>
              <w:jc w:val="right"/>
            </w:pPr>
            <w:r>
              <w:rPr>
                <w:color w:val="1C3A36"/>
                <w:sz w:val="15"/>
              </w:rPr>
              <w:t>World Bank via sector reviews</w:t>
            </w:r>
          </w:p>
        </w:tc>
        <w:tc>
          <w:tcPr>
            <w:tcW w:type="dxa" w:w="1022"/>
          </w:tcPr>
          <w:p>
            <w:pPr>
              <w:spacing w:after="20"/>
              <w:jc w:val="right"/>
            </w:pPr>
            <w:r>
              <w:rPr>
                <w:color w:val="1C3A36"/>
                <w:sz w:val="15"/>
              </w:rPr>
              <w:t>2026-03-19</w:t>
            </w:r>
          </w:p>
        </w:tc>
      </w:tr>
      <w:tr>
        <w:tc>
          <w:tcPr>
            <w:tcW w:type="dxa" w:w="792"/>
          </w:tcPr>
          <w:p>
            <w:pPr>
              <w:spacing w:after="20"/>
            </w:pPr>
            <w:r>
              <w:rPr>
                <w:b/>
                <w:color w:val="1C3A36"/>
                <w:sz w:val="15"/>
              </w:rPr>
              <w:t>SR-12</w:t>
            </w:r>
          </w:p>
        </w:tc>
        <w:tc>
          <w:tcPr>
            <w:tcW w:type="dxa" w:w="893"/>
          </w:tcPr>
          <w:p>
            <w:pPr>
              <w:spacing w:after="20"/>
              <w:jc w:val="right"/>
            </w:pPr>
            <w:r>
              <w:rPr>
                <w:color w:val="1C3A36"/>
                <w:sz w:val="15"/>
              </w:rPr>
              <w:t>Industry</w:t>
            </w:r>
          </w:p>
        </w:tc>
        <w:tc>
          <w:tcPr>
            <w:tcW w:type="dxa" w:w="605"/>
          </w:tcPr>
          <w:p>
            <w:pPr>
              <w:spacing w:after="20"/>
              <w:jc w:val="right"/>
            </w:pPr>
            <w:r>
              <w:rPr>
                <w:color w:val="1C3A36"/>
                <w:sz w:val="15"/>
              </w:rPr>
              <w:t>S</w:t>
            </w:r>
          </w:p>
        </w:tc>
        <w:tc>
          <w:tcPr>
            <w:tcW w:type="dxa" w:w="4248"/>
          </w:tcPr>
          <w:p>
            <w:pPr>
              <w:spacing w:after="20"/>
              <w:jc w:val="right"/>
            </w:pPr>
            <w:r>
              <w:rPr>
                <w:color w:val="1C3A36"/>
                <w:sz w:val="15"/>
              </w:rPr>
              <w:t>KSA healthcare de-rated to ~30x P/E (3y avg 44.8x); Egyptian healthcare P/E ~46.9x industry avg (thin sample)</w:t>
            </w:r>
          </w:p>
        </w:tc>
        <w:tc>
          <w:tcPr>
            <w:tcW w:type="dxa" w:w="2232"/>
          </w:tcPr>
          <w:p>
            <w:pPr>
              <w:spacing w:after="20"/>
              <w:jc w:val="right"/>
            </w:pPr>
            <w:r>
              <w:rPr>
                <w:color w:val="1C3A36"/>
                <w:sz w:val="15"/>
              </w:rPr>
              <w:t>simplywall.st; investing.com</w:t>
            </w:r>
          </w:p>
        </w:tc>
        <w:tc>
          <w:tcPr>
            <w:tcW w:type="dxa" w:w="1022"/>
          </w:tcPr>
          <w:p>
            <w:pPr>
              <w:spacing w:after="20"/>
              <w:jc w:val="right"/>
            </w:pPr>
            <w:r>
              <w:rPr>
                <w:color w:val="1C3A36"/>
                <w:sz w:val="15"/>
              </w:rPr>
              <w:t>2026-07-10</w:t>
            </w:r>
          </w:p>
        </w:tc>
      </w:tr>
      <w:tr>
        <w:tc>
          <w:tcPr>
            <w:tcW w:type="dxa" w:w="792"/>
          </w:tcPr>
          <w:p>
            <w:pPr>
              <w:spacing w:after="20"/>
            </w:pPr>
            <w:r>
              <w:rPr>
                <w:b/>
                <w:color w:val="1C3A36"/>
                <w:sz w:val="15"/>
              </w:rPr>
              <w:t>SR-13</w:t>
            </w:r>
          </w:p>
        </w:tc>
        <w:tc>
          <w:tcPr>
            <w:tcW w:type="dxa" w:w="893"/>
          </w:tcPr>
          <w:p>
            <w:pPr>
              <w:spacing w:after="20"/>
              <w:jc w:val="right"/>
            </w:pPr>
            <w:r>
              <w:rPr>
                <w:color w:val="1C3A36"/>
                <w:sz w:val="15"/>
              </w:rPr>
              <w:t>Company</w:t>
            </w:r>
          </w:p>
        </w:tc>
        <w:tc>
          <w:tcPr>
            <w:tcW w:type="dxa" w:w="605"/>
          </w:tcPr>
          <w:p>
            <w:pPr>
              <w:spacing w:after="20"/>
              <w:jc w:val="right"/>
            </w:pPr>
            <w:r>
              <w:rPr>
                <w:color w:val="1C3A36"/>
                <w:sz w:val="15"/>
              </w:rPr>
              <w:t>K/C</w:t>
            </w:r>
          </w:p>
        </w:tc>
        <w:tc>
          <w:tcPr>
            <w:tcW w:type="dxa" w:w="4248"/>
          </w:tcPr>
          <w:p>
            <w:pPr>
              <w:spacing w:after="20"/>
              <w:jc w:val="right"/>
            </w:pPr>
            <w:r>
              <w:rPr>
                <w:color w:val="1C3A36"/>
                <w:sz w:val="15"/>
              </w:rPr>
              <w:t>FY2025: revenue EGP 7,227mn +33%, adj EBITDA 2,137 (30%), NP 968 (+18%), EPS 0.67</w:t>
            </w:r>
          </w:p>
        </w:tc>
        <w:tc>
          <w:tcPr>
            <w:tcW w:type="dxa" w:w="2232"/>
          </w:tcPr>
          <w:p>
            <w:pPr>
              <w:spacing w:after="20"/>
              <w:jc w:val="right"/>
            </w:pPr>
            <w:r>
              <w:rPr>
                <w:color w:val="1C3A36"/>
                <w:sz w:val="15"/>
              </w:rPr>
              <w:t>CHG FY2025 ER (official)</w:t>
            </w:r>
          </w:p>
        </w:tc>
        <w:tc>
          <w:tcPr>
            <w:tcW w:type="dxa" w:w="1022"/>
          </w:tcPr>
          <w:p>
            <w:pPr>
              <w:spacing w:after="20"/>
              <w:jc w:val="right"/>
            </w:pPr>
            <w:r>
              <w:rPr>
                <w:color w:val="1C3A36"/>
                <w:sz w:val="15"/>
              </w:rPr>
              <w:t>2026-03-17</w:t>
            </w:r>
          </w:p>
        </w:tc>
      </w:tr>
      <w:tr>
        <w:tc>
          <w:tcPr>
            <w:tcW w:type="dxa" w:w="792"/>
          </w:tcPr>
          <w:p>
            <w:pPr>
              <w:spacing w:after="20"/>
            </w:pPr>
            <w:r>
              <w:rPr>
                <w:b/>
                <w:color w:val="1C3A36"/>
                <w:sz w:val="15"/>
              </w:rPr>
              <w:t>SR-14</w:t>
            </w:r>
          </w:p>
        </w:tc>
        <w:tc>
          <w:tcPr>
            <w:tcW w:type="dxa" w:w="893"/>
          </w:tcPr>
          <w:p>
            <w:pPr>
              <w:spacing w:after="20"/>
              <w:jc w:val="right"/>
            </w:pPr>
            <w:r>
              <w:rPr>
                <w:color w:val="1C3A36"/>
                <w:sz w:val="15"/>
              </w:rPr>
              <w:t>Company</w:t>
            </w:r>
          </w:p>
        </w:tc>
        <w:tc>
          <w:tcPr>
            <w:tcW w:type="dxa" w:w="605"/>
          </w:tcPr>
          <w:p>
            <w:pPr>
              <w:spacing w:after="20"/>
              <w:jc w:val="right"/>
            </w:pPr>
            <w:r>
              <w:rPr>
                <w:color w:val="1C3A36"/>
                <w:sz w:val="15"/>
              </w:rPr>
              <w:t>B</w:t>
            </w:r>
          </w:p>
        </w:tc>
        <w:tc>
          <w:tcPr>
            <w:tcW w:type="dxa" w:w="4248"/>
          </w:tcPr>
          <w:p>
            <w:pPr>
              <w:spacing w:after="20"/>
              <w:jc w:val="right"/>
            </w:pPr>
            <w:r>
              <w:rPr>
                <w:color w:val="1C3A36"/>
                <w:sz w:val="15"/>
              </w:rPr>
              <w:t>CTH launched 27-Jan-2026; Q1 rev EGP 154mn, 11% of group by April; April EBITDA positive; targeting &gt;EGP 100mn/month; +40% bed capacity</w:t>
            </w:r>
          </w:p>
        </w:tc>
        <w:tc>
          <w:tcPr>
            <w:tcW w:type="dxa" w:w="2232"/>
          </w:tcPr>
          <w:p>
            <w:pPr>
              <w:spacing w:after="20"/>
              <w:jc w:val="right"/>
            </w:pPr>
            <w:r>
              <w:rPr>
                <w:color w:val="1C3A36"/>
                <w:sz w:val="15"/>
              </w:rPr>
              <w:t>CHG 1Q26 ER (official)</w:t>
            </w:r>
          </w:p>
        </w:tc>
        <w:tc>
          <w:tcPr>
            <w:tcW w:type="dxa" w:w="1022"/>
          </w:tcPr>
          <w:p>
            <w:pPr>
              <w:spacing w:after="20"/>
              <w:jc w:val="right"/>
            </w:pPr>
            <w:r>
              <w:rPr>
                <w:color w:val="1C3A36"/>
                <w:sz w:val="15"/>
              </w:rPr>
              <w:t>2026-06-07</w:t>
            </w:r>
          </w:p>
        </w:tc>
      </w:tr>
      <w:tr>
        <w:tc>
          <w:tcPr>
            <w:tcW w:type="dxa" w:w="792"/>
          </w:tcPr>
          <w:p>
            <w:pPr>
              <w:spacing w:after="20"/>
            </w:pPr>
            <w:r>
              <w:rPr>
                <w:b/>
                <w:color w:val="1C3A36"/>
                <w:sz w:val="15"/>
              </w:rPr>
              <w:t>SR-15</w:t>
            </w:r>
          </w:p>
        </w:tc>
        <w:tc>
          <w:tcPr>
            <w:tcW w:type="dxa" w:w="893"/>
          </w:tcPr>
          <w:p>
            <w:pPr>
              <w:spacing w:after="20"/>
              <w:jc w:val="right"/>
            </w:pPr>
            <w:r>
              <w:rPr>
                <w:color w:val="1C3A36"/>
                <w:sz w:val="15"/>
              </w:rPr>
              <w:t>Company</w:t>
            </w:r>
          </w:p>
        </w:tc>
        <w:tc>
          <w:tcPr>
            <w:tcW w:type="dxa" w:w="605"/>
          </w:tcPr>
          <w:p>
            <w:pPr>
              <w:spacing w:after="20"/>
              <w:jc w:val="right"/>
            </w:pPr>
            <w:r>
              <w:rPr>
                <w:color w:val="1C3A36"/>
                <w:sz w:val="15"/>
              </w:rPr>
              <w:t>D</w:t>
            </w:r>
          </w:p>
        </w:tc>
        <w:tc>
          <w:tcPr>
            <w:tcW w:type="dxa" w:w="4248"/>
          </w:tcPr>
          <w:p>
            <w:pPr>
              <w:spacing w:after="20"/>
              <w:jc w:val="right"/>
            </w:pPr>
            <w:r>
              <w:rPr>
                <w:color w:val="1C3A36"/>
                <w:sz w:val="15"/>
              </w:rPr>
              <w:t>Q1-26 consolidated margins compressed (GM 32.7%, EBITDA 25.2%, NP −34%) on CTH ramp + interest 71mn; core ex-CTH intact (EBITDA 29.4%)</w:t>
            </w:r>
          </w:p>
        </w:tc>
        <w:tc>
          <w:tcPr>
            <w:tcW w:type="dxa" w:w="2232"/>
          </w:tcPr>
          <w:p>
            <w:pPr>
              <w:spacing w:after="20"/>
              <w:jc w:val="right"/>
            </w:pPr>
            <w:r>
              <w:rPr>
                <w:color w:val="1C3A36"/>
                <w:sz w:val="15"/>
              </w:rPr>
              <w:t>CHG 1Q26 ER (official)</w:t>
            </w:r>
          </w:p>
        </w:tc>
        <w:tc>
          <w:tcPr>
            <w:tcW w:type="dxa" w:w="1022"/>
          </w:tcPr>
          <w:p>
            <w:pPr>
              <w:spacing w:after="20"/>
              <w:jc w:val="right"/>
            </w:pPr>
            <w:r>
              <w:rPr>
                <w:color w:val="1C3A36"/>
                <w:sz w:val="15"/>
              </w:rPr>
              <w:t>2026-06-07</w:t>
            </w:r>
          </w:p>
        </w:tc>
      </w:tr>
      <w:tr>
        <w:tc>
          <w:tcPr>
            <w:tcW w:type="dxa" w:w="792"/>
          </w:tcPr>
          <w:p>
            <w:pPr>
              <w:spacing w:after="20"/>
            </w:pPr>
            <w:r>
              <w:rPr>
                <w:b/>
                <w:color w:val="1C3A36"/>
                <w:sz w:val="15"/>
              </w:rPr>
              <w:t>SR-16</w:t>
            </w:r>
          </w:p>
        </w:tc>
        <w:tc>
          <w:tcPr>
            <w:tcW w:type="dxa" w:w="893"/>
          </w:tcPr>
          <w:p>
            <w:pPr>
              <w:spacing w:after="20"/>
              <w:jc w:val="right"/>
            </w:pPr>
            <w:r>
              <w:rPr>
                <w:color w:val="1C3A36"/>
                <w:sz w:val="15"/>
              </w:rPr>
              <w:t>Company</w:t>
            </w:r>
          </w:p>
        </w:tc>
        <w:tc>
          <w:tcPr>
            <w:tcW w:type="dxa" w:w="605"/>
          </w:tcPr>
          <w:p>
            <w:pPr>
              <w:spacing w:after="20"/>
              <w:jc w:val="right"/>
            </w:pPr>
            <w:r>
              <w:rPr>
                <w:color w:val="1C3A36"/>
                <w:sz w:val="15"/>
              </w:rPr>
              <w:t>S</w:t>
            </w:r>
          </w:p>
        </w:tc>
        <w:tc>
          <w:tcPr>
            <w:tcW w:type="dxa" w:w="4248"/>
          </w:tcPr>
          <w:p>
            <w:pPr>
              <w:spacing w:after="20"/>
              <w:jc w:val="right"/>
            </w:pPr>
            <w:r>
              <w:rPr>
                <w:color w:val="1C3A36"/>
                <w:sz w:val="15"/>
              </w:rPr>
              <w:t>Net financial debt EGP 3.16bn incl leases (1.59x annualized EBITDA); deleveraging + tighter capex guided for 2026</w:t>
            </w:r>
          </w:p>
        </w:tc>
        <w:tc>
          <w:tcPr>
            <w:tcW w:type="dxa" w:w="2232"/>
          </w:tcPr>
          <w:p>
            <w:pPr>
              <w:spacing w:after="20"/>
              <w:jc w:val="right"/>
            </w:pPr>
            <w:r>
              <w:rPr>
                <w:color w:val="1C3A36"/>
                <w:sz w:val="15"/>
              </w:rPr>
              <w:t>CHG 1Q26 ER (official)</w:t>
            </w:r>
          </w:p>
        </w:tc>
        <w:tc>
          <w:tcPr>
            <w:tcW w:type="dxa" w:w="1022"/>
          </w:tcPr>
          <w:p>
            <w:pPr>
              <w:spacing w:after="20"/>
              <w:jc w:val="right"/>
            </w:pPr>
            <w:r>
              <w:rPr>
                <w:color w:val="1C3A36"/>
                <w:sz w:val="15"/>
              </w:rPr>
              <w:t>2026-06-07</w:t>
            </w:r>
          </w:p>
        </w:tc>
      </w:tr>
      <w:tr>
        <w:tc>
          <w:tcPr>
            <w:tcW w:type="dxa" w:w="792"/>
          </w:tcPr>
          <w:p>
            <w:pPr>
              <w:spacing w:after="20"/>
            </w:pPr>
            <w:r>
              <w:rPr>
                <w:b/>
                <w:color w:val="1C3A36"/>
                <w:sz w:val="15"/>
              </w:rPr>
              <w:t>SR-17</w:t>
            </w:r>
          </w:p>
        </w:tc>
        <w:tc>
          <w:tcPr>
            <w:tcW w:type="dxa" w:w="893"/>
          </w:tcPr>
          <w:p>
            <w:pPr>
              <w:spacing w:after="20"/>
              <w:jc w:val="right"/>
            </w:pPr>
            <w:r>
              <w:rPr>
                <w:color w:val="1C3A36"/>
                <w:sz w:val="15"/>
              </w:rPr>
              <w:t>Company</w:t>
            </w:r>
          </w:p>
        </w:tc>
        <w:tc>
          <w:tcPr>
            <w:tcW w:type="dxa" w:w="605"/>
          </w:tcPr>
          <w:p>
            <w:pPr>
              <w:spacing w:after="20"/>
              <w:jc w:val="right"/>
            </w:pPr>
            <w:r>
              <w:rPr>
                <w:color w:val="1C3A36"/>
                <w:sz w:val="15"/>
              </w:rPr>
              <w:t>B</w:t>
            </w:r>
          </w:p>
        </w:tc>
        <w:tc>
          <w:tcPr>
            <w:tcW w:type="dxa" w:w="4248"/>
          </w:tcPr>
          <w:p>
            <w:pPr>
              <w:spacing w:after="20"/>
              <w:jc w:val="right"/>
            </w:pPr>
            <w:r>
              <w:rPr>
                <w:color w:val="1C3A36"/>
                <w:sz w:val="15"/>
              </w:rPr>
              <w:t>April 2026 flash: consolidated revenue +32% y/y at ~30% EBITDA margin; core +18% at ~33%</w:t>
            </w:r>
          </w:p>
        </w:tc>
        <w:tc>
          <w:tcPr>
            <w:tcW w:type="dxa" w:w="2232"/>
          </w:tcPr>
          <w:p>
            <w:pPr>
              <w:spacing w:after="20"/>
              <w:jc w:val="right"/>
            </w:pPr>
            <w:r>
              <w:rPr>
                <w:color w:val="1C3A36"/>
                <w:sz w:val="15"/>
              </w:rPr>
              <w:t>CHG 1Q26 ER (official)</w:t>
            </w:r>
          </w:p>
        </w:tc>
        <w:tc>
          <w:tcPr>
            <w:tcW w:type="dxa" w:w="1022"/>
          </w:tcPr>
          <w:p>
            <w:pPr>
              <w:spacing w:after="20"/>
              <w:jc w:val="right"/>
            </w:pPr>
            <w:r>
              <w:rPr>
                <w:color w:val="1C3A36"/>
                <w:sz w:val="15"/>
              </w:rPr>
              <w:t>2026-06-07</w:t>
            </w:r>
          </w:p>
        </w:tc>
      </w:tr>
      <w:tr>
        <w:tc>
          <w:tcPr>
            <w:tcW w:type="dxa" w:w="792"/>
          </w:tcPr>
          <w:p>
            <w:pPr>
              <w:spacing w:after="20"/>
            </w:pPr>
            <w:r>
              <w:rPr>
                <w:b/>
                <w:color w:val="1C3A36"/>
                <w:sz w:val="15"/>
              </w:rPr>
              <w:t>SR-18</w:t>
            </w:r>
          </w:p>
        </w:tc>
        <w:tc>
          <w:tcPr>
            <w:tcW w:type="dxa" w:w="893"/>
          </w:tcPr>
          <w:p>
            <w:pPr>
              <w:spacing w:after="20"/>
              <w:jc w:val="right"/>
            </w:pPr>
            <w:r>
              <w:rPr>
                <w:color w:val="1C3A36"/>
                <w:sz w:val="15"/>
              </w:rPr>
              <w:t>Company</w:t>
            </w:r>
          </w:p>
        </w:tc>
        <w:tc>
          <w:tcPr>
            <w:tcW w:type="dxa" w:w="605"/>
          </w:tcPr>
          <w:p>
            <w:pPr>
              <w:spacing w:after="20"/>
              <w:jc w:val="right"/>
            </w:pPr>
            <w:r>
              <w:rPr>
                <w:color w:val="1C3A36"/>
                <w:sz w:val="15"/>
              </w:rPr>
              <w:t>C</w:t>
            </w:r>
          </w:p>
        </w:tc>
        <w:tc>
          <w:tcPr>
            <w:tcW w:type="dxa" w:w="4248"/>
          </w:tcPr>
          <w:p>
            <w:pPr>
              <w:spacing w:after="20"/>
              <w:jc w:val="right"/>
            </w:pPr>
            <w:r>
              <w:rPr>
                <w:color w:val="1C3A36"/>
                <w:sz w:val="15"/>
              </w:rPr>
              <w:t>CEO: shares trade 'at a fraction of EV/bed... substantial discount on EV/EBITDA' vs regional peers/transactions; 'reviewing the options available to maximise value' — strategic-review optionality</w:t>
            </w:r>
          </w:p>
        </w:tc>
        <w:tc>
          <w:tcPr>
            <w:tcW w:type="dxa" w:w="2232"/>
          </w:tcPr>
          <w:p>
            <w:pPr>
              <w:spacing w:after="20"/>
              <w:jc w:val="right"/>
            </w:pPr>
            <w:r>
              <w:rPr>
                <w:color w:val="1C3A36"/>
                <w:sz w:val="15"/>
              </w:rPr>
              <w:t>CHG 1Q26 ER management comment</w:t>
            </w:r>
          </w:p>
        </w:tc>
        <w:tc>
          <w:tcPr>
            <w:tcW w:type="dxa" w:w="1022"/>
          </w:tcPr>
          <w:p>
            <w:pPr>
              <w:spacing w:after="20"/>
              <w:jc w:val="right"/>
            </w:pPr>
            <w:r>
              <w:rPr>
                <w:color w:val="1C3A36"/>
                <w:sz w:val="15"/>
              </w:rPr>
              <w:t>2026-06-07</w:t>
            </w:r>
          </w:p>
        </w:tc>
      </w:tr>
      <w:tr>
        <w:tc>
          <w:tcPr>
            <w:tcW w:type="dxa" w:w="792"/>
          </w:tcPr>
          <w:p>
            <w:pPr>
              <w:spacing w:after="20"/>
            </w:pPr>
            <w:r>
              <w:rPr>
                <w:b/>
                <w:color w:val="1C3A36"/>
                <w:sz w:val="15"/>
              </w:rPr>
              <w:t>SR-19</w:t>
            </w:r>
          </w:p>
        </w:tc>
        <w:tc>
          <w:tcPr>
            <w:tcW w:type="dxa" w:w="893"/>
          </w:tcPr>
          <w:p>
            <w:pPr>
              <w:spacing w:after="20"/>
              <w:jc w:val="right"/>
            </w:pPr>
            <w:r>
              <w:rPr>
                <w:color w:val="1C3A36"/>
                <w:sz w:val="15"/>
              </w:rPr>
              <w:t>Company</w:t>
            </w:r>
          </w:p>
        </w:tc>
        <w:tc>
          <w:tcPr>
            <w:tcW w:type="dxa" w:w="605"/>
          </w:tcPr>
          <w:p>
            <w:pPr>
              <w:spacing w:after="20"/>
              <w:jc w:val="right"/>
            </w:pPr>
            <w:r>
              <w:rPr>
                <w:color w:val="1C3A36"/>
                <w:sz w:val="15"/>
              </w:rPr>
              <w:t>S</w:t>
            </w:r>
          </w:p>
        </w:tc>
        <w:tc>
          <w:tcPr>
            <w:tcW w:type="dxa" w:w="4248"/>
          </w:tcPr>
          <w:p>
            <w:pPr>
              <w:spacing w:after="20"/>
              <w:jc w:val="right"/>
            </w:pPr>
            <w:r>
              <w:rPr>
                <w:color w:val="1C3A36"/>
                <w:sz w:val="15"/>
              </w:rPr>
              <w:t>Shareholders: Care Healthcare 32% / MCI Healthcare Partners 31% / free float 37% (Mar-2026)</w:t>
            </w:r>
          </w:p>
        </w:tc>
        <w:tc>
          <w:tcPr>
            <w:tcW w:type="dxa" w:w="2232"/>
          </w:tcPr>
          <w:p>
            <w:pPr>
              <w:spacing w:after="20"/>
              <w:jc w:val="right"/>
            </w:pPr>
            <w:r>
              <w:rPr>
                <w:color w:val="1C3A36"/>
                <w:sz w:val="15"/>
              </w:rPr>
              <w:t>CHG 1Q26 ER</w:t>
            </w:r>
          </w:p>
        </w:tc>
        <w:tc>
          <w:tcPr>
            <w:tcW w:type="dxa" w:w="1022"/>
          </w:tcPr>
          <w:p>
            <w:pPr>
              <w:spacing w:after="20"/>
              <w:jc w:val="right"/>
            </w:pPr>
            <w:r>
              <w:rPr>
                <w:color w:val="1C3A36"/>
                <w:sz w:val="15"/>
              </w:rPr>
              <w:t>2026-06-07</w:t>
            </w:r>
          </w:p>
        </w:tc>
      </w:tr>
      <w:tr>
        <w:tc>
          <w:tcPr>
            <w:tcW w:type="dxa" w:w="792"/>
          </w:tcPr>
          <w:p>
            <w:pPr>
              <w:spacing w:after="20"/>
            </w:pPr>
            <w:r>
              <w:rPr>
                <w:b/>
                <w:color w:val="1C3A36"/>
                <w:sz w:val="15"/>
              </w:rPr>
              <w:t>SR-20</w:t>
            </w:r>
          </w:p>
        </w:tc>
        <w:tc>
          <w:tcPr>
            <w:tcW w:type="dxa" w:w="893"/>
          </w:tcPr>
          <w:p>
            <w:pPr>
              <w:spacing w:after="20"/>
              <w:jc w:val="right"/>
            </w:pPr>
            <w:r>
              <w:rPr>
                <w:color w:val="1C3A36"/>
                <w:sz w:val="15"/>
              </w:rPr>
              <w:t>Company</w:t>
            </w:r>
          </w:p>
        </w:tc>
        <w:tc>
          <w:tcPr>
            <w:tcW w:type="dxa" w:w="605"/>
          </w:tcPr>
          <w:p>
            <w:pPr>
              <w:spacing w:after="20"/>
              <w:jc w:val="right"/>
            </w:pPr>
            <w:r>
              <w:rPr>
                <w:color w:val="1C3A36"/>
                <w:sz w:val="15"/>
              </w:rPr>
              <w:t>S</w:t>
            </w:r>
          </w:p>
        </w:tc>
        <w:tc>
          <w:tcPr>
            <w:tcW w:type="dxa" w:w="4248"/>
          </w:tcPr>
          <w:p>
            <w:pPr>
              <w:spacing w:after="20"/>
              <w:jc w:val="right"/>
            </w:pPr>
            <w:r>
              <w:rPr>
                <w:color w:val="1C3A36"/>
                <w:sz w:val="15"/>
              </w:rPr>
              <w:t>Dividend record: EGP 55.95mn approved for FY2023; group CF dividends paid 146.3 (FY25, incl. NCI) — yield &lt;0.5%</w:t>
            </w:r>
          </w:p>
        </w:tc>
        <w:tc>
          <w:tcPr>
            <w:tcW w:type="dxa" w:w="2232"/>
          </w:tcPr>
          <w:p>
            <w:pPr>
              <w:spacing w:after="20"/>
              <w:jc w:val="right"/>
            </w:pPr>
            <w:r>
              <w:rPr>
                <w:color w:val="1C3A36"/>
                <w:sz w:val="15"/>
              </w:rPr>
              <w:t>Mubasher bourse filing; FY25 ER CF</w:t>
            </w:r>
          </w:p>
        </w:tc>
        <w:tc>
          <w:tcPr>
            <w:tcW w:type="dxa" w:w="1022"/>
          </w:tcPr>
          <w:p>
            <w:pPr>
              <w:spacing w:after="20"/>
              <w:jc w:val="right"/>
            </w:pPr>
            <w:r>
              <w:rPr>
                <w:color w:val="1C3A36"/>
                <w:sz w:val="15"/>
              </w:rPr>
              <w:t>2026-03-17</w:t>
            </w:r>
          </w:p>
        </w:tc>
      </w:tr>
      <w:tr>
        <w:tc>
          <w:tcPr>
            <w:tcW w:type="dxa" w:w="792"/>
          </w:tcPr>
          <w:p>
            <w:pPr>
              <w:spacing w:after="20"/>
            </w:pPr>
            <w:r>
              <w:rPr>
                <w:b/>
                <w:color w:val="1C3A36"/>
                <w:sz w:val="15"/>
              </w:rPr>
              <w:t>SR-21</w:t>
            </w:r>
          </w:p>
        </w:tc>
        <w:tc>
          <w:tcPr>
            <w:tcW w:type="dxa" w:w="893"/>
          </w:tcPr>
          <w:p>
            <w:pPr>
              <w:spacing w:after="20"/>
              <w:jc w:val="right"/>
            </w:pPr>
            <w:r>
              <w:rPr>
                <w:color w:val="1C3A36"/>
                <w:sz w:val="15"/>
              </w:rPr>
              <w:t>Company</w:t>
            </w:r>
          </w:p>
        </w:tc>
        <w:tc>
          <w:tcPr>
            <w:tcW w:type="dxa" w:w="605"/>
          </w:tcPr>
          <w:p>
            <w:pPr>
              <w:spacing w:after="20"/>
              <w:jc w:val="right"/>
            </w:pPr>
            <w:r>
              <w:rPr>
                <w:color w:val="1C3A36"/>
                <w:sz w:val="15"/>
              </w:rPr>
              <w:t>D</w:t>
            </w:r>
          </w:p>
        </w:tc>
        <w:tc>
          <w:tcPr>
            <w:tcW w:type="dxa" w:w="4248"/>
          </w:tcPr>
          <w:p>
            <w:pPr>
              <w:spacing w:after="20"/>
              <w:jc w:val="right"/>
            </w:pPr>
            <w:r>
              <w:rPr>
                <w:color w:val="1C3A36"/>
                <w:sz w:val="15"/>
              </w:rPr>
              <w:t>NBH revenue −4% y/y in Q1-26 (cardiology team transition) — single-facility execution risk</w:t>
            </w:r>
          </w:p>
        </w:tc>
        <w:tc>
          <w:tcPr>
            <w:tcW w:type="dxa" w:w="2232"/>
          </w:tcPr>
          <w:p>
            <w:pPr>
              <w:spacing w:after="20"/>
              <w:jc w:val="right"/>
            </w:pPr>
            <w:r>
              <w:rPr>
                <w:color w:val="1C3A36"/>
                <w:sz w:val="15"/>
              </w:rPr>
              <w:t>CHG 1Q26 ER</w:t>
            </w:r>
          </w:p>
        </w:tc>
        <w:tc>
          <w:tcPr>
            <w:tcW w:type="dxa" w:w="1022"/>
          </w:tcPr>
          <w:p>
            <w:pPr>
              <w:spacing w:after="20"/>
              <w:jc w:val="right"/>
            </w:pPr>
            <w:r>
              <w:rPr>
                <w:color w:val="1C3A36"/>
                <w:sz w:val="15"/>
              </w:rPr>
              <w:t>2026-06-07</w:t>
            </w:r>
          </w:p>
        </w:tc>
      </w:tr>
      <w:tr>
        <w:tc>
          <w:tcPr>
            <w:tcW w:type="dxa" w:w="792"/>
          </w:tcPr>
          <w:p>
            <w:pPr>
              <w:spacing w:after="20"/>
            </w:pPr>
            <w:r>
              <w:rPr>
                <w:b/>
                <w:color w:val="1C3A36"/>
                <w:sz w:val="15"/>
              </w:rPr>
              <w:t>SR-22</w:t>
            </w:r>
          </w:p>
        </w:tc>
        <w:tc>
          <w:tcPr>
            <w:tcW w:type="dxa" w:w="893"/>
          </w:tcPr>
          <w:p>
            <w:pPr>
              <w:spacing w:after="20"/>
              <w:jc w:val="right"/>
            </w:pPr>
            <w:r>
              <w:rPr>
                <w:color w:val="1C3A36"/>
                <w:sz w:val="15"/>
              </w:rPr>
              <w:t>Company</w:t>
            </w:r>
          </w:p>
        </w:tc>
        <w:tc>
          <w:tcPr>
            <w:tcW w:type="dxa" w:w="605"/>
          </w:tcPr>
          <w:p>
            <w:pPr>
              <w:spacing w:after="20"/>
              <w:jc w:val="right"/>
            </w:pPr>
            <w:r>
              <w:rPr>
                <w:color w:val="1C3A36"/>
                <w:sz w:val="15"/>
              </w:rPr>
              <w:t>S</w:t>
            </w:r>
          </w:p>
        </w:tc>
        <w:tc>
          <w:tcPr>
            <w:tcW w:type="dxa" w:w="4248"/>
          </w:tcPr>
          <w:p>
            <w:pPr>
              <w:spacing w:after="20"/>
              <w:jc w:val="right"/>
            </w:pPr>
            <w:r>
              <w:rPr>
                <w:color w:val="1C3A36"/>
                <w:sz w:val="15"/>
              </w:rPr>
              <w:t>COH cath lab opening Jun-2026; 200-bed BTS delivery 2026, operational 2027 (asset-light: owner builds, CHG furnishes)</w:t>
            </w:r>
          </w:p>
        </w:tc>
        <w:tc>
          <w:tcPr>
            <w:tcW w:type="dxa" w:w="2232"/>
          </w:tcPr>
          <w:p>
            <w:pPr>
              <w:spacing w:after="20"/>
              <w:jc w:val="right"/>
            </w:pPr>
            <w:r>
              <w:rPr>
                <w:color w:val="1C3A36"/>
                <w:sz w:val="15"/>
              </w:rPr>
              <w:t>CHG 1Q26 ER</w:t>
            </w:r>
          </w:p>
        </w:tc>
        <w:tc>
          <w:tcPr>
            <w:tcW w:type="dxa" w:w="1022"/>
          </w:tcPr>
          <w:p>
            <w:pPr>
              <w:spacing w:after="20"/>
              <w:jc w:val="right"/>
            </w:pPr>
            <w:r>
              <w:rPr>
                <w:color w:val="1C3A36"/>
                <w:sz w:val="15"/>
              </w:rPr>
              <w:t>2026-06-07</w:t>
            </w:r>
          </w:p>
        </w:tc>
      </w:tr>
      <w:tr>
        <w:tc>
          <w:tcPr>
            <w:tcW w:type="dxa" w:w="792"/>
          </w:tcPr>
          <w:p>
            <w:pPr>
              <w:spacing w:after="20"/>
            </w:pPr>
            <w:r>
              <w:rPr>
                <w:b/>
                <w:color w:val="1C3A36"/>
                <w:sz w:val="15"/>
              </w:rPr>
              <w:t>SR-23</w:t>
            </w:r>
          </w:p>
        </w:tc>
        <w:tc>
          <w:tcPr>
            <w:tcW w:type="dxa" w:w="893"/>
          </w:tcPr>
          <w:p>
            <w:pPr>
              <w:spacing w:after="20"/>
              <w:jc w:val="right"/>
            </w:pPr>
            <w:r>
              <w:rPr>
                <w:color w:val="1C3A36"/>
                <w:sz w:val="15"/>
              </w:rPr>
              <w:t>Company</w:t>
            </w:r>
          </w:p>
        </w:tc>
        <w:tc>
          <w:tcPr>
            <w:tcW w:type="dxa" w:w="605"/>
          </w:tcPr>
          <w:p>
            <w:pPr>
              <w:spacing w:after="20"/>
              <w:jc w:val="right"/>
            </w:pPr>
            <w:r>
              <w:rPr>
                <w:color w:val="1C3A36"/>
                <w:sz w:val="15"/>
              </w:rPr>
              <w:t>N</w:t>
            </w:r>
          </w:p>
        </w:tc>
        <w:tc>
          <w:tcPr>
            <w:tcW w:type="dxa" w:w="4248"/>
          </w:tcPr>
          <w:p>
            <w:pPr>
              <w:spacing w:after="20"/>
              <w:jc w:val="right"/>
            </w:pPr>
            <w:r>
              <w:rPr>
                <w:color w:val="1C3A36"/>
                <w:sz w:val="15"/>
              </w:rPr>
              <w:t>NEGATIVE SEARCH — no multi-year capex plan is disclosed beyond FY2026's 'tightly controlled' guidance; searched IR page, earnings releases and EGX filings. The FY26-30E capex path is therefore a house driver (GC-CLHO-03), not a company figure.</w:t>
            </w:r>
          </w:p>
        </w:tc>
        <w:tc>
          <w:tcPr>
            <w:tcW w:type="dxa" w:w="2232"/>
          </w:tcPr>
          <w:p>
            <w:pPr>
              <w:spacing w:after="20"/>
              <w:jc w:val="right"/>
            </w:pPr>
            <w:r>
              <w:rPr>
                <w:color w:val="1C3A36"/>
                <w:sz w:val="15"/>
              </w:rPr>
              <w:t>CHG IR / EGX disclosures</w:t>
            </w:r>
          </w:p>
        </w:tc>
        <w:tc>
          <w:tcPr>
            <w:tcW w:type="dxa" w:w="1022"/>
          </w:tcPr>
          <w:p>
            <w:pPr>
              <w:spacing w:after="20"/>
              <w:jc w:val="right"/>
            </w:pPr>
            <w:r>
              <w:rPr>
                <w:color w:val="1C3A36"/>
                <w:sz w:val="15"/>
              </w:rPr>
              <w:t>2026-07-13</w:t>
            </w:r>
          </w:p>
        </w:tc>
      </w:tr>
      <w:tr>
        <w:tc>
          <w:tcPr>
            <w:tcW w:type="dxa" w:w="792"/>
          </w:tcPr>
          <w:p>
            <w:pPr>
              <w:spacing w:after="20"/>
            </w:pPr>
            <w:r>
              <w:rPr>
                <w:b/>
                <w:color w:val="1C3A36"/>
                <w:sz w:val="15"/>
              </w:rPr>
              <w:t>SR-24</w:t>
            </w:r>
          </w:p>
        </w:tc>
        <w:tc>
          <w:tcPr>
            <w:tcW w:type="dxa" w:w="893"/>
          </w:tcPr>
          <w:p>
            <w:pPr>
              <w:spacing w:after="20"/>
              <w:jc w:val="right"/>
            </w:pPr>
            <w:r>
              <w:rPr>
                <w:color w:val="1C3A36"/>
                <w:sz w:val="15"/>
              </w:rPr>
              <w:t>Company</w:t>
            </w:r>
          </w:p>
        </w:tc>
        <w:tc>
          <w:tcPr>
            <w:tcW w:type="dxa" w:w="605"/>
          </w:tcPr>
          <w:p>
            <w:pPr>
              <w:spacing w:after="20"/>
              <w:jc w:val="right"/>
            </w:pPr>
            <w:r>
              <w:rPr>
                <w:color w:val="1C3A36"/>
                <w:sz w:val="15"/>
              </w:rPr>
              <w:t>N</w:t>
            </w:r>
          </w:p>
        </w:tc>
        <w:tc>
          <w:tcPr>
            <w:tcW w:type="dxa" w:w="4248"/>
          </w:tcPr>
          <w:p>
            <w:pPr>
              <w:spacing w:after="20"/>
              <w:jc w:val="right"/>
            </w:pPr>
            <w:r>
              <w:rPr>
                <w:color w:val="1C3A36"/>
                <w:sz w:val="15"/>
              </w:rPr>
              <w:t>NEGATIVE SEARCH — no named transaction, stake sale, MOU or adviser mandate has been announced under management's 'reviewing the options available to maximise value'; searched bourse filings and news to the study date. The strategic review is optionality, not an event.</w:t>
            </w:r>
          </w:p>
        </w:tc>
        <w:tc>
          <w:tcPr>
            <w:tcW w:type="dxa" w:w="2232"/>
          </w:tcPr>
          <w:p>
            <w:pPr>
              <w:spacing w:after="20"/>
              <w:jc w:val="right"/>
            </w:pPr>
            <w:r>
              <w:rPr>
                <w:color w:val="1C3A36"/>
                <w:sz w:val="15"/>
              </w:rPr>
              <w:t>EGX / Mubasher filings</w:t>
            </w:r>
          </w:p>
        </w:tc>
        <w:tc>
          <w:tcPr>
            <w:tcW w:type="dxa" w:w="1022"/>
          </w:tcPr>
          <w:p>
            <w:pPr>
              <w:spacing w:after="20"/>
              <w:jc w:val="right"/>
            </w:pPr>
            <w:r>
              <w:rPr>
                <w:color w:val="1C3A36"/>
                <w:sz w:val="15"/>
              </w:rPr>
              <w:t>2026-07-13</w:t>
            </w:r>
          </w:p>
        </w:tc>
      </w:tr>
      <w:tr>
        <w:tc>
          <w:tcPr>
            <w:tcW w:type="dxa" w:w="792"/>
          </w:tcPr>
          <w:p>
            <w:pPr>
              <w:spacing w:after="20"/>
            </w:pPr>
            <w:r>
              <w:rPr>
                <w:b/>
                <w:color w:val="1C3A36"/>
                <w:sz w:val="15"/>
              </w:rPr>
              <w:t>SR-25</w:t>
            </w:r>
          </w:p>
        </w:tc>
        <w:tc>
          <w:tcPr>
            <w:tcW w:type="dxa" w:w="893"/>
          </w:tcPr>
          <w:p>
            <w:pPr>
              <w:spacing w:after="20"/>
              <w:jc w:val="right"/>
            </w:pPr>
            <w:r>
              <w:rPr>
                <w:color w:val="1C3A36"/>
                <w:sz w:val="15"/>
              </w:rPr>
              <w:t>Company</w:t>
            </w:r>
          </w:p>
        </w:tc>
        <w:tc>
          <w:tcPr>
            <w:tcW w:type="dxa" w:w="605"/>
          </w:tcPr>
          <w:p>
            <w:pPr>
              <w:spacing w:after="20"/>
              <w:jc w:val="right"/>
            </w:pPr>
            <w:r>
              <w:rPr>
                <w:color w:val="1C3A36"/>
                <w:sz w:val="15"/>
              </w:rPr>
              <w:t>N</w:t>
            </w:r>
          </w:p>
        </w:tc>
        <w:tc>
          <w:tcPr>
            <w:tcW w:type="dxa" w:w="4248"/>
          </w:tcPr>
          <w:p>
            <w:pPr>
              <w:spacing w:after="20"/>
              <w:jc w:val="right"/>
            </w:pPr>
            <w:r>
              <w:rPr>
                <w:color w:val="1C3A36"/>
                <w:sz w:val="15"/>
              </w:rPr>
              <w:t>NEGATIVE SEARCH — no FY2024 or FY2025 dividend approval found beyond the FY2023 EGP 55.95mn distribution; the modelled dividend build is a house driver (GC-CLHO-11), not guidance.</w:t>
            </w:r>
          </w:p>
        </w:tc>
        <w:tc>
          <w:tcPr>
            <w:tcW w:type="dxa" w:w="2232"/>
          </w:tcPr>
          <w:p>
            <w:pPr>
              <w:spacing w:after="20"/>
              <w:jc w:val="right"/>
            </w:pPr>
            <w:r>
              <w:rPr>
                <w:color w:val="1C3A36"/>
                <w:sz w:val="15"/>
              </w:rPr>
              <w:t>EGX / bourse filings</w:t>
            </w:r>
          </w:p>
        </w:tc>
        <w:tc>
          <w:tcPr>
            <w:tcW w:type="dxa" w:w="1022"/>
          </w:tcPr>
          <w:p>
            <w:pPr>
              <w:spacing w:after="20"/>
              <w:jc w:val="right"/>
            </w:pPr>
            <w:r>
              <w:rPr>
                <w:color w:val="1C3A36"/>
                <w:sz w:val="15"/>
              </w:rPr>
              <w:t>2026-07-13</w:t>
            </w:r>
          </w:p>
        </w:tc>
      </w:tr>
      <w:tr>
        <w:tc>
          <w:tcPr>
            <w:tcW w:type="dxa" w:w="792"/>
          </w:tcPr>
          <w:p>
            <w:pPr>
              <w:spacing w:after="20"/>
            </w:pPr>
            <w:r>
              <w:rPr>
                <w:b/>
                <w:color w:val="1C3A36"/>
                <w:sz w:val="15"/>
              </w:rPr>
              <w:t>SR-26</w:t>
            </w:r>
          </w:p>
        </w:tc>
        <w:tc>
          <w:tcPr>
            <w:tcW w:type="dxa" w:w="893"/>
          </w:tcPr>
          <w:p>
            <w:pPr>
              <w:spacing w:after="20"/>
              <w:jc w:val="right"/>
            </w:pPr>
            <w:r>
              <w:rPr>
                <w:color w:val="1C3A36"/>
                <w:sz w:val="15"/>
              </w:rPr>
              <w:t>Global</w:t>
            </w:r>
          </w:p>
        </w:tc>
        <w:tc>
          <w:tcPr>
            <w:tcW w:type="dxa" w:w="605"/>
          </w:tcPr>
          <w:p>
            <w:pPr>
              <w:spacing w:after="20"/>
              <w:jc w:val="right"/>
            </w:pPr>
            <w:r>
              <w:rPr>
                <w:color w:val="1C3A36"/>
                <w:sz w:val="15"/>
              </w:rPr>
              <w:t>D</w:t>
            </w:r>
          </w:p>
        </w:tc>
        <w:tc>
          <w:tcPr>
            <w:tcW w:type="dxa" w:w="4248"/>
          </w:tcPr>
          <w:p>
            <w:pPr>
              <w:spacing w:after="20"/>
              <w:jc w:val="right"/>
            </w:pPr>
            <w:r>
              <w:rPr>
                <w:color w:val="1C3A36"/>
                <w:sz w:val="15"/>
              </w:rPr>
              <w:t>"SUPER" EL NINO 2026-27 — MISSED BY THE ORIGINAL SWEEP, added on audit 13-Jul-2026. NOAA places a 96% probability on full El Nino conditions persisting through the 2026-27 Northern Hemisphere winter. Goldman Sachs models a 15.8% surge in global food commodity prices with effects running into H2-2028; UniCredit models a 14.3% hit to global agricultural output and price shocks of 10-50% across core commodities. CONSEQUENCE (DIRECT, not peripheral): Egypt is the world's largest wheat importer and food is roughly a quarter of the EM consumer basket. A multi-year food-inflation shock keeps Egyptian CPI elevated, the CBE cannot resume cutting, and the normalised-WACC splice — the single most consequential input in this study — fails. It raises the probability weight on Scenario A (flat crisis rates, EGP 3.85/share). Independently corroborated: Morgan Stanley (4-Apr-2026) already expects a CBE HOLD to Q3-2026, with 200bp of HIKE risk if the energy shock persists.</w:t>
            </w:r>
          </w:p>
        </w:tc>
        <w:tc>
          <w:tcPr>
            <w:tcW w:type="dxa" w:w="2232"/>
          </w:tcPr>
          <w:p>
            <w:pPr>
              <w:spacing w:after="20"/>
              <w:jc w:val="right"/>
            </w:pPr>
            <w:r>
              <w:rPr>
                <w:color w:val="1C3A36"/>
                <w:sz w:val="15"/>
              </w:rPr>
              <w:t>Guardian / Goldman Sachs / UniCredit / NOAA / Morgan Stanley</w:t>
            </w:r>
          </w:p>
        </w:tc>
        <w:tc>
          <w:tcPr>
            <w:tcW w:type="dxa" w:w="1022"/>
          </w:tcPr>
          <w:p>
            <w:pPr>
              <w:spacing w:after="20"/>
              <w:jc w:val="right"/>
            </w:pPr>
            <w:r>
              <w:rPr>
                <w:color w:val="1C3A36"/>
                <w:sz w:val="15"/>
              </w:rPr>
              <w:t>2026-07-12</w:t>
            </w:r>
          </w:p>
        </w:tc>
      </w:tr>
    </w:tbl>
    <w:p>
      <w:pPr>
        <w:spacing w:after="40"/>
      </w:pPr>
    </w:p>
    <w:p>
      <w:pPr>
        <w:spacing w:after="200" w:before="0"/>
      </w:pPr>
      <w:r>
        <w:rPr>
          <w:b w:val="0"/>
          <w:i/>
          <w:color w:val="6E7B77"/>
          <w:sz w:val="17"/>
        </w:rPr>
        <w:t>Step 2A Information Sweep Register. Class: B = bullish · S = structural · D = drag · C = crux · N = negative search (a dated search that found nothing — recorded because an absence of disclosure is itself a finding, and it is what turns a driver into a logged judgment rather than a fact). Financial line items are taken only from the company’s own filings and earnings releases, never from aggregators.</w:t>
      </w:r>
    </w:p>
    <w:p>
      <w:pPr>
        <w:spacing w:after="80" w:before="200"/>
      </w:pPr>
      <w:r>
        <w:rPr>
          <w:b/>
          <w:i w:val="0"/>
          <w:color w:val="1C3A36"/>
          <w:sz w:val="24"/>
        </w:rPr>
        <w:t>B.5 · Fundamental Driver Ledger — every unsourced judgment, logged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1440"/>
            <w:shd w:val="clear" w:color="auto" w:fill="EAF0EE"/>
          </w:tcPr>
          <w:p>
            <w:pPr>
              <w:spacing w:after="20"/>
            </w:pPr>
            <w:r>
              <w:rPr>
                <w:b/>
                <w:color w:val="1C3A36"/>
                <w:sz w:val="15"/>
              </w:rPr>
              <w:t>Ref</w:t>
            </w:r>
          </w:p>
        </w:tc>
        <w:tc>
          <w:tcPr>
            <w:tcW w:type="dxa" w:w="3528"/>
            <w:shd w:val="clear" w:color="auto" w:fill="EAF0EE"/>
          </w:tcPr>
          <w:p>
            <w:pPr>
              <w:spacing w:after="20"/>
            </w:pPr>
            <w:r>
              <w:rPr>
                <w:b/>
                <w:color w:val="1C3A36"/>
                <w:sz w:val="15"/>
              </w:rPr>
              <w:t>Driver</w:t>
            </w:r>
          </w:p>
        </w:tc>
        <w:tc>
          <w:tcPr>
            <w:tcW w:type="dxa" w:w="5112"/>
            <w:shd w:val="clear" w:color="auto" w:fill="EAF0EE"/>
          </w:tcPr>
          <w:p>
            <w:pPr>
              <w:spacing w:after="20"/>
            </w:pPr>
            <w:r>
              <w:rPr>
                <w:b/>
                <w:color w:val="1C3A36"/>
                <w:sz w:val="15"/>
              </w:rPr>
              <w:t>Basis</w:t>
            </w:r>
          </w:p>
        </w:tc>
      </w:tr>
      <w:tr>
        <w:tc>
          <w:tcPr>
            <w:tcW w:type="dxa" w:w="1440"/>
          </w:tcPr>
          <w:p>
            <w:pPr>
              <w:spacing w:after="20"/>
            </w:pPr>
            <w:r>
              <w:rPr>
                <w:b/>
                <w:color w:val="1C3A36"/>
                <w:sz w:val="15"/>
              </w:rPr>
              <w:t>GC-CLHO-01</w:t>
            </w:r>
          </w:p>
        </w:tc>
        <w:tc>
          <w:tcPr>
            <w:tcW w:type="dxa" w:w="3528"/>
          </w:tcPr>
          <w:p>
            <w:pPr>
              <w:spacing w:after="20"/>
              <w:jc w:val="right"/>
            </w:pPr>
            <w:r>
              <w:rPr>
                <w:color w:val="1C3A36"/>
                <w:sz w:val="15"/>
              </w:rPr>
              <w:t>Revenue built BOTTOM-UP: 5 disclosed KPI lines (59% of FY25 revenue) via volume x ARP, faded from each line's own FY24-&gt;FY25 rate toward long-run rates; 'other' 41% (undisclosed split) top-down at capacity-growth + 8% kicker</w:t>
            </w:r>
          </w:p>
        </w:tc>
        <w:tc>
          <w:tcPr>
            <w:tcW w:type="dxa" w:w="5112"/>
          </w:tcPr>
          <w:p>
            <w:pPr>
              <w:spacing w:after="20"/>
              <w:jc w:val="right"/>
            </w:pPr>
            <w:r>
              <w:rPr>
                <w:color w:val="1C3A36"/>
                <w:sz w:val="15"/>
              </w:rPr>
              <w:t>Replaces the retired top-down growth-fade assumption (13-Jul-2026); lands at 2.07x by 2028 -- almost exactly management's own '&gt;2x by 2028' guidance, vs the retired assumption's deliberately-below 1.94x</w:t>
            </w:r>
          </w:p>
        </w:tc>
      </w:tr>
      <w:tr>
        <w:tc>
          <w:tcPr>
            <w:tcW w:type="dxa" w:w="1440"/>
          </w:tcPr>
          <w:p>
            <w:pPr>
              <w:spacing w:after="20"/>
            </w:pPr>
            <w:r>
              <w:rPr>
                <w:b/>
                <w:color w:val="1C3A36"/>
                <w:sz w:val="15"/>
              </w:rPr>
              <w:t>GC-CLHO-02</w:t>
            </w:r>
          </w:p>
        </w:tc>
        <w:tc>
          <w:tcPr>
            <w:tcW w:type="dxa" w:w="3528"/>
          </w:tcPr>
          <w:p>
            <w:pPr>
              <w:spacing w:after="20"/>
              <w:jc w:val="right"/>
            </w:pPr>
            <w:r>
              <w:rPr>
                <w:color w:val="1C3A36"/>
                <w:sz w:val="15"/>
              </w:rPr>
              <w:t>Reported-EBITDA margin path 21.5→28.0%</w:t>
            </w:r>
          </w:p>
        </w:tc>
        <w:tc>
          <w:tcPr>
            <w:tcW w:type="dxa" w:w="5112"/>
          </w:tcPr>
          <w:p>
            <w:pPr>
              <w:spacing w:after="20"/>
              <w:jc w:val="right"/>
            </w:pPr>
            <w:r>
              <w:rPr>
                <w:color w:val="1C3A36"/>
                <w:sz w:val="15"/>
              </w:rPr>
              <w:t>Reported (EBIT+D&amp;A) basis, ~2-5pp below the company's adjusted 30% to absorb provisions/LTIP; hist 22.5-24.9%</w:t>
            </w:r>
          </w:p>
        </w:tc>
      </w:tr>
      <w:tr>
        <w:tc>
          <w:tcPr>
            <w:tcW w:type="dxa" w:w="1440"/>
          </w:tcPr>
          <w:p>
            <w:pPr>
              <w:spacing w:after="20"/>
            </w:pPr>
            <w:r>
              <w:rPr>
                <w:b/>
                <w:color w:val="1C3A36"/>
                <w:sz w:val="15"/>
              </w:rPr>
              <w:t>GC-CLHO-03</w:t>
            </w:r>
          </w:p>
        </w:tc>
        <w:tc>
          <w:tcPr>
            <w:tcW w:type="dxa" w:w="3528"/>
          </w:tcPr>
          <w:p>
            <w:pPr>
              <w:spacing w:after="20"/>
              <w:jc w:val="right"/>
            </w:pPr>
            <w:r>
              <w:rPr>
                <w:color w:val="1C3A36"/>
                <w:sz w:val="15"/>
              </w:rPr>
              <w:t>Capex 1,400→1,280 (7-15% of rev)</w:t>
            </w:r>
          </w:p>
        </w:tc>
        <w:tc>
          <w:tcPr>
            <w:tcW w:type="dxa" w:w="5112"/>
          </w:tcPr>
          <w:p>
            <w:pPr>
              <w:spacing w:after="20"/>
              <w:jc w:val="right"/>
            </w:pPr>
            <w:r>
              <w:rPr>
                <w:color w:val="1C3A36"/>
                <w:sz w:val="15"/>
              </w:rPr>
              <w:t>FY26 guided 'tightly controlled'; Q1 actual 437; no disclosed multi-year capex plan</w:t>
            </w:r>
          </w:p>
        </w:tc>
      </w:tr>
      <w:tr>
        <w:tc>
          <w:tcPr>
            <w:tcW w:type="dxa" w:w="1440"/>
          </w:tcPr>
          <w:p>
            <w:pPr>
              <w:spacing w:after="20"/>
            </w:pPr>
            <w:r>
              <w:rPr>
                <w:b/>
                <w:color w:val="1C3A36"/>
                <w:sz w:val="15"/>
              </w:rPr>
              <w:t>GC-CLHO-04</w:t>
            </w:r>
          </w:p>
        </w:tc>
        <w:tc>
          <w:tcPr>
            <w:tcW w:type="dxa" w:w="3528"/>
          </w:tcPr>
          <w:p>
            <w:pPr>
              <w:spacing w:after="20"/>
              <w:jc w:val="right"/>
            </w:pPr>
            <w:r>
              <w:rPr>
                <w:color w:val="1C3A36"/>
                <w:sz w:val="15"/>
              </w:rPr>
              <w:t>NWC to +1.0% of revenue</w:t>
            </w:r>
          </w:p>
        </w:tc>
        <w:tc>
          <w:tcPr>
            <w:tcW w:type="dxa" w:w="5112"/>
          </w:tcPr>
          <w:p>
            <w:pPr>
              <w:spacing w:after="20"/>
              <w:jc w:val="right"/>
            </w:pPr>
            <w:r>
              <w:rPr>
                <w:color w:val="1C3A36"/>
                <w:sz w:val="15"/>
              </w:rPr>
              <w:t>FY25 NWC was −1.9% on payables stretch; assumed to normalize against the collections push</w:t>
            </w:r>
          </w:p>
        </w:tc>
      </w:tr>
      <w:tr>
        <w:tc>
          <w:tcPr>
            <w:tcW w:type="dxa" w:w="1440"/>
          </w:tcPr>
          <w:p>
            <w:pPr>
              <w:spacing w:after="20"/>
            </w:pPr>
            <w:r>
              <w:rPr>
                <w:b/>
                <w:color w:val="1C3A36"/>
                <w:sz w:val="15"/>
              </w:rPr>
              <w:t>GC-CLHO-05</w:t>
            </w:r>
          </w:p>
        </w:tc>
        <w:tc>
          <w:tcPr>
            <w:tcW w:type="dxa" w:w="3528"/>
          </w:tcPr>
          <w:p>
            <w:pPr>
              <w:spacing w:after="20"/>
              <w:jc w:val="right"/>
            </w:pPr>
            <w:r>
              <w:rPr>
                <w:color w:val="1C3A36"/>
                <w:sz w:val="15"/>
              </w:rPr>
              <w:t>Terminal g 5% (all scenarios; standing procedure, revised 13-Jul-2026 from 11%)</w:t>
            </w:r>
          </w:p>
        </w:tc>
        <w:tc>
          <w:tcPr>
            <w:tcW w:type="dxa" w:w="5112"/>
          </w:tcPr>
          <w:p>
            <w:pPr>
              <w:spacing w:after="20"/>
              <w:jc w:val="right"/>
            </w:pPr>
            <w:r>
              <w:rPr>
                <w:color w:val="1C3A36"/>
                <w:sz w:val="15"/>
              </w:rPr>
              <w:t>Testahil standing procedure default for well-established Egyptian/EM operators, sensitized 3-7%; cross-checked against CLHO's own 2022 stable-year ROIC x RR (~3.2%) and the model's own FY30E reinvestment rate at 5% implying a 30.3% terminal ROIC (vs 67% at the retired 11% assumption) — inside the realized 17.0-23.0% book-ROIC range</w:t>
            </w:r>
          </w:p>
        </w:tc>
      </w:tr>
      <w:tr>
        <w:tc>
          <w:tcPr>
            <w:tcW w:type="dxa" w:w="1440"/>
          </w:tcPr>
          <w:p>
            <w:pPr>
              <w:spacing w:after="20"/>
            </w:pPr>
            <w:r>
              <w:rPr>
                <w:b/>
                <w:color w:val="1C3A36"/>
                <w:sz w:val="15"/>
              </w:rPr>
              <w:t>GC-CLHO-06</w:t>
            </w:r>
          </w:p>
        </w:tc>
        <w:tc>
          <w:tcPr>
            <w:tcW w:type="dxa" w:w="3528"/>
          </w:tcPr>
          <w:p>
            <w:pPr>
              <w:spacing w:after="20"/>
              <w:jc w:val="right"/>
            </w:pPr>
            <w:r>
              <w:rPr>
                <w:color w:val="1C3A36"/>
                <w:sz w:val="15"/>
              </w:rPr>
              <w:t>Normalized-stage rf 14.5% / Kd 16.0% (Kd = corridor + audited +0.65pp spread)</w:t>
            </w:r>
          </w:p>
        </w:tc>
        <w:tc>
          <w:tcPr>
            <w:tcW w:type="dxa" w:w="5112"/>
          </w:tcPr>
          <w:p>
            <w:pPr>
              <w:spacing w:after="20"/>
              <w:jc w:val="right"/>
            </w:pPr>
            <w:r>
              <w:rPr>
                <w:color w:val="1C3A36"/>
                <w:sz w:val="15"/>
              </w:rPr>
              <w:t>rf remains the single biggest judgment (CBE path, SR-04/05; grid 1.9 sensitizes); the Kd SPREAD is now audited, not assumed: FY2024 FS note 5.1.2 shows 28.90% loans vs 28.25% corridor (Dec-24) and 20.90% vs 20.25% (Dec-23), 100% EGP-denominated (zero FX liabilities), all variable-rate</w:t>
            </w:r>
          </w:p>
        </w:tc>
      </w:tr>
      <w:tr>
        <w:tc>
          <w:tcPr>
            <w:tcW w:type="dxa" w:w="1440"/>
          </w:tcPr>
          <w:p>
            <w:pPr>
              <w:spacing w:after="20"/>
            </w:pPr>
            <w:r>
              <w:rPr>
                <w:b/>
                <w:color w:val="1C3A36"/>
                <w:sz w:val="15"/>
              </w:rPr>
              <w:t>GC-CLHO-07</w:t>
            </w:r>
          </w:p>
        </w:tc>
        <w:tc>
          <w:tcPr>
            <w:tcW w:type="dxa" w:w="3528"/>
          </w:tcPr>
          <w:p>
            <w:pPr>
              <w:spacing w:after="20"/>
              <w:jc w:val="right"/>
            </w:pPr>
            <w:r>
              <w:rPr>
                <w:color w:val="1C3A36"/>
                <w:sz w:val="15"/>
              </w:rPr>
              <w:t>Justified P/E bands 15-23x (rel) / 15-22x (norm)</w:t>
            </w:r>
          </w:p>
        </w:tc>
        <w:tc>
          <w:tcPr>
            <w:tcW w:type="dxa" w:w="5112"/>
          </w:tcPr>
          <w:p>
            <w:pPr>
              <w:spacing w:after="20"/>
              <w:jc w:val="right"/>
            </w:pPr>
            <w:r>
              <w:rPr>
                <w:color w:val="1C3A36"/>
                <w:sz w:val="15"/>
              </w:rPr>
              <w:t>EGX healthcare ~46.9x industry avg is thin-sample; KSA 17-36x carries a 13-15pp lower Ke</w:t>
            </w:r>
          </w:p>
        </w:tc>
      </w:tr>
      <w:tr>
        <w:tc>
          <w:tcPr>
            <w:tcW w:type="dxa" w:w="1440"/>
          </w:tcPr>
          <w:p>
            <w:pPr>
              <w:spacing w:after="20"/>
            </w:pPr>
            <w:r>
              <w:rPr>
                <w:b/>
                <w:color w:val="1C3A36"/>
                <w:sz w:val="15"/>
              </w:rPr>
              <w:t>GC-CLHO-08</w:t>
            </w:r>
          </w:p>
        </w:tc>
        <w:tc>
          <w:tcPr>
            <w:tcW w:type="dxa" w:w="3528"/>
          </w:tcPr>
          <w:p>
            <w:pPr>
              <w:spacing w:after="20"/>
              <w:jc w:val="right"/>
            </w:pPr>
            <w:r>
              <w:rPr>
                <w:color w:val="1C3A36"/>
                <w:sz w:val="15"/>
              </w:rPr>
              <w:t>EV/bed marks 20-35 EGP mn on 1,320 end-2027 beds</w:t>
            </w:r>
          </w:p>
        </w:tc>
        <w:tc>
          <w:tcPr>
            <w:tcW w:type="dxa" w:w="5112"/>
          </w:tcPr>
          <w:p>
            <w:pPr>
              <w:spacing w:after="20"/>
              <w:jc w:val="right"/>
            </w:pPr>
            <w:r>
              <w:rPr>
                <w:color w:val="1C3A36"/>
                <w:sz w:val="15"/>
              </w:rPr>
              <w:t>CTH build ~11-12mn/bed ex-land vs spot 30.9mn/current bed; transaction lens, wide by construction</w:t>
            </w:r>
          </w:p>
        </w:tc>
      </w:tr>
      <w:tr>
        <w:tc>
          <w:tcPr>
            <w:tcW w:type="dxa" w:w="1440"/>
          </w:tcPr>
          <w:p>
            <w:pPr>
              <w:spacing w:after="20"/>
            </w:pPr>
            <w:r>
              <w:rPr>
                <w:b/>
                <w:color w:val="1C3A36"/>
                <w:sz w:val="15"/>
              </w:rPr>
              <w:t>GC-CLHO-09</w:t>
            </w:r>
          </w:p>
        </w:tc>
        <w:tc>
          <w:tcPr>
            <w:tcW w:type="dxa" w:w="3528"/>
          </w:tcPr>
          <w:p>
            <w:pPr>
              <w:spacing w:after="20"/>
              <w:jc w:val="right"/>
            </w:pPr>
            <w:r>
              <w:rPr>
                <w:color w:val="1C3A36"/>
                <w:sz w:val="15"/>
              </w:rPr>
              <w:t>NCI deducted at book (452.8)</w:t>
            </w:r>
          </w:p>
        </w:tc>
        <w:tc>
          <w:tcPr>
            <w:tcW w:type="dxa" w:w="5112"/>
          </w:tcPr>
          <w:p>
            <w:pPr>
              <w:spacing w:after="20"/>
              <w:jc w:val="right"/>
            </w:pPr>
            <w:r>
              <w:rPr>
                <w:color w:val="1C3A36"/>
                <w:sz w:val="15"/>
              </w:rPr>
              <w:t>NCI earns ~15% of NP; a 2x-book mark moves FV by ~EGP −0.31/sh</w:t>
            </w:r>
          </w:p>
        </w:tc>
      </w:tr>
      <w:tr>
        <w:tc>
          <w:tcPr>
            <w:tcW w:type="dxa" w:w="1440"/>
          </w:tcPr>
          <w:p>
            <w:pPr>
              <w:spacing w:after="20"/>
            </w:pPr>
            <w:r>
              <w:rPr>
                <w:b/>
                <w:color w:val="1C3A36"/>
                <w:sz w:val="15"/>
              </w:rPr>
              <w:t>GC-CLHO-10</w:t>
            </w:r>
          </w:p>
        </w:tc>
        <w:tc>
          <w:tcPr>
            <w:tcW w:type="dxa" w:w="3528"/>
          </w:tcPr>
          <w:p>
            <w:pPr>
              <w:spacing w:after="20"/>
              <w:jc w:val="right"/>
            </w:pPr>
            <w:r>
              <w:rPr>
                <w:color w:val="1C3A36"/>
                <w:sz w:val="15"/>
              </w:rPr>
              <w:t>Forward effective tax 24.5% (IS) / 22.5% statutory (NOPAT)</w:t>
            </w:r>
          </w:p>
        </w:tc>
        <w:tc>
          <w:tcPr>
            <w:tcW w:type="dxa" w:w="5112"/>
          </w:tcPr>
          <w:p>
            <w:pPr>
              <w:spacing w:after="20"/>
              <w:jc w:val="right"/>
            </w:pPr>
            <w:r>
              <w:rPr>
                <w:color w:val="1C3A36"/>
                <w:sz w:val="15"/>
              </w:rPr>
              <w:t>FY25 effective 26.6%; company normalizes at 22.5%</w:t>
            </w:r>
          </w:p>
        </w:tc>
      </w:tr>
      <w:tr>
        <w:tc>
          <w:tcPr>
            <w:tcW w:type="dxa" w:w="1440"/>
          </w:tcPr>
          <w:p>
            <w:pPr>
              <w:spacing w:after="20"/>
            </w:pPr>
            <w:r>
              <w:rPr>
                <w:b/>
                <w:color w:val="1C3A36"/>
                <w:sz w:val="15"/>
              </w:rPr>
              <w:t>GC-CLHO-11</w:t>
            </w:r>
          </w:p>
        </w:tc>
        <w:tc>
          <w:tcPr>
            <w:tcW w:type="dxa" w:w="3528"/>
          </w:tcPr>
          <w:p>
            <w:pPr>
              <w:spacing w:after="20"/>
              <w:jc w:val="right"/>
            </w:pPr>
            <w:r>
              <w:rPr>
                <w:color w:val="1C3A36"/>
                <w:sz w:val="15"/>
              </w:rPr>
              <w:t>Parent share of NP 84-85%</w:t>
            </w:r>
          </w:p>
        </w:tc>
        <w:tc>
          <w:tcPr>
            <w:tcW w:type="dxa" w:w="5112"/>
          </w:tcPr>
          <w:p>
            <w:pPr>
              <w:spacing w:after="20"/>
              <w:jc w:val="right"/>
            </w:pPr>
            <w:r>
              <w:rPr>
                <w:color w:val="1C3A36"/>
                <w:sz w:val="15"/>
              </w:rPr>
              <w:t>FY25 85.1%; Q1-26 dipped to 77% on CTH losses at parent</w:t>
            </w:r>
          </w:p>
        </w:tc>
      </w:tr>
      <w:tr>
        <w:tc>
          <w:tcPr>
            <w:tcW w:type="dxa" w:w="1440"/>
          </w:tcPr>
          <w:p>
            <w:pPr>
              <w:spacing w:after="20"/>
            </w:pPr>
            <w:r>
              <w:rPr>
                <w:b/>
                <w:color w:val="1C3A36"/>
                <w:sz w:val="15"/>
              </w:rPr>
              <w:t>GC-CLHO-12</w:t>
            </w:r>
          </w:p>
        </w:tc>
        <w:tc>
          <w:tcPr>
            <w:tcW w:type="dxa" w:w="3528"/>
          </w:tcPr>
          <w:p>
            <w:pPr>
              <w:spacing w:after="20"/>
              <w:jc w:val="right"/>
            </w:pPr>
            <w:r>
              <w:rPr>
                <w:color w:val="1C3A36"/>
                <w:sz w:val="15"/>
              </w:rPr>
              <w:t>Beta 0.446 from own 27-name EGX-composite regression</w:t>
            </w:r>
          </w:p>
        </w:tc>
        <w:tc>
          <w:tcPr>
            <w:tcW w:type="dxa" w:w="5112"/>
          </w:tcPr>
          <w:p>
            <w:pPr>
              <w:spacing w:after="20"/>
              <w:jc w:val="right"/>
            </w:pPr>
            <w:r>
              <w:rPr>
                <w:color w:val="1C3A36"/>
                <w:sz w:val="15"/>
              </w:rPr>
              <w:t>R2 5.9% just clears the 5% gate floor; SE 0.177 ⇒ 90% CI ~[0.15,0.74]; beta grid attached</w:t>
            </w:r>
          </w:p>
        </w:tc>
      </w:tr>
      <w:tr>
        <w:tc>
          <w:tcPr>
            <w:tcW w:type="dxa" w:w="1440"/>
          </w:tcPr>
          <w:p>
            <w:pPr>
              <w:spacing w:after="20"/>
            </w:pPr>
            <w:r>
              <w:rPr>
                <w:b/>
                <w:color w:val="1C3A36"/>
                <w:sz w:val="15"/>
              </w:rPr>
              <w:t>GC-CLHO-13</w:t>
            </w:r>
          </w:p>
        </w:tc>
        <w:tc>
          <w:tcPr>
            <w:tcW w:type="dxa" w:w="3528"/>
          </w:tcPr>
          <w:p>
            <w:pPr>
              <w:spacing w:after="20"/>
              <w:jc w:val="right"/>
            </w:pPr>
            <w:r>
              <w:rPr>
                <w:color w:val="1C3A36"/>
                <w:sz w:val="15"/>
              </w:rPr>
              <w:t>Forecast working-capital ratios held at FY25 actuals (inv 23d, AR 63d, other rec 3.5%, creditors 26%, tax 4% of revenue)</w:t>
            </w:r>
          </w:p>
        </w:tc>
        <w:tc>
          <w:tcPr>
            <w:tcW w:type="dxa" w:w="5112"/>
          </w:tcPr>
          <w:p>
            <w:pPr>
              <w:spacing w:after="20"/>
              <w:jc w:val="right"/>
            </w:pPr>
            <w:r>
              <w:rPr>
                <w:color w:val="1C3A36"/>
                <w:sz w:val="15"/>
              </w:rPr>
              <w:t>Balance-sheet mechanics only; cash is the balancing item, so these set the cash build, not the DCF</w:t>
            </w:r>
          </w:p>
        </w:tc>
      </w:tr>
    </w:tbl>
    <w:p>
      <w:pPr>
        <w:spacing w:after="40"/>
      </w:pPr>
    </w:p>
    <w:p>
      <w:pPr>
        <w:spacing w:after="200" w:before="0"/>
      </w:pPr>
      <w:r>
        <w:rPr>
          <w:b w:val="0"/>
          <w:i/>
          <w:color w:val="6E7B77"/>
          <w:sz w:val="17"/>
        </w:rPr>
        <w:t>Append-only ledger of every forecast driver that is a judgment rather than a disclosure. No sourcing failures (cases where a disclosed figure existed and was missed) were identified in this study. Ledger entries are never retro-edited once a forecast is published.</w:t>
      </w:r>
    </w:p>
    <w:p>
      <w:pPr>
        <w:spacing w:after="120" w:before="280"/>
      </w:pPr>
      <w:r>
        <w:rPr>
          <w:b/>
          <w:i w:val="0"/>
          <w:color w:val="1C3A36"/>
          <w:sz w:val="30"/>
        </w:rPr>
        <w:t>Appendix C · The expert valuation panel</w:t>
      </w:r>
    </w:p>
    <w:p>
      <w:pPr>
        <w:spacing w:after="120" w:before="0"/>
      </w:pPr>
      <w:r>
        <w:rPr>
          <w:b w:val="0"/>
          <w:i w:val="0"/>
          <w:color w:val="1C3A36"/>
          <w:sz w:val="21"/>
        </w:rPr>
        <w:t>Three experts value CLHO by genuinely different methods — a cash-flow expert, a capacity expert and an earnings-power expert. Each shows workings, sensitizes the input that matters most to their method, and states in advance the condition that would prove them wrong.</w:t>
      </w:r>
    </w:p>
    <w:p>
      <w:pPr>
        <w:spacing w:after="80" w:before="200"/>
      </w:pPr>
      <w:r>
        <w:rPr>
          <w:b/>
          <w:i w:val="0"/>
          <w:color w:val="1C3A36"/>
          <w:sz w:val="24"/>
        </w:rPr>
        <w:t>C.1 · Expert 1 — the cash-flow expert: the Egyptian rate path, discounted</w:t>
      </w:r>
    </w:p>
    <w:p>
      <w:pPr>
        <w:spacing w:after="120" w:before="0"/>
      </w:pPr>
      <w:r>
        <w:rPr>
          <w:b w:val="0"/>
          <w:i w:val="0"/>
          <w:color w:val="1C3A36"/>
          <w:sz w:val="21"/>
        </w:rPr>
        <w:t>Method. Free cash flow to the firm, five explicit years, discounted in two stages: years one and two at today’s spot WACC (25.1%), years three to five and the terminal value at a normalized-stage WACC (17.9%) that assumes the Central Bank resumes its path toward the 7±2% target. Terminal growth 5% nominal.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048"/>
            <w:shd w:val="clear" w:color="auto" w:fill="EAF0EE"/>
          </w:tcPr>
          <w:p>
            <w:pPr>
              <w:spacing w:after="20"/>
            </w:pPr>
            <w:r>
              <w:rPr>
                <w:b/>
                <w:color w:val="1C3A36"/>
                <w:sz w:val="17"/>
              </w:rPr>
              <w:t>Working</w:t>
            </w:r>
          </w:p>
        </w:tc>
        <w:tc>
          <w:tcPr>
            <w:tcW w:type="dxa" w:w="3168"/>
            <w:shd w:val="clear" w:color="auto" w:fill="EAF0EE"/>
          </w:tcPr>
          <w:p>
            <w:pPr>
              <w:spacing w:after="20"/>
            </w:pPr>
            <w:r>
              <w:rPr>
                <w:b/>
                <w:color w:val="1C3A36"/>
                <w:sz w:val="17"/>
              </w:rPr>
              <w:t>EGP mn</w:t>
            </w:r>
          </w:p>
        </w:tc>
      </w:tr>
      <w:tr>
        <w:tc>
          <w:tcPr>
            <w:tcW w:type="dxa" w:w="6048"/>
          </w:tcPr>
          <w:p>
            <w:pPr>
              <w:spacing w:after="20"/>
            </w:pPr>
            <w:r>
              <w:rPr>
                <w:b/>
                <w:color w:val="1C3A36"/>
                <w:sz w:val="17"/>
              </w:rPr>
              <w:t>PV of explicit FCFF, FY26E–FY30E</w:t>
            </w:r>
          </w:p>
        </w:tc>
        <w:tc>
          <w:tcPr>
            <w:tcW w:type="dxa" w:w="3168"/>
          </w:tcPr>
          <w:p>
            <w:pPr>
              <w:spacing w:after="20"/>
              <w:jc w:val="right"/>
            </w:pPr>
            <w:r>
              <w:rPr>
                <w:color w:val="1C3A36"/>
                <w:sz w:val="17"/>
              </w:rPr>
              <w:t>4,841.2</w:t>
            </w:r>
          </w:p>
        </w:tc>
      </w:tr>
      <w:tr>
        <w:tc>
          <w:tcPr>
            <w:tcW w:type="dxa" w:w="6048"/>
          </w:tcPr>
          <w:p>
            <w:pPr>
              <w:spacing w:after="20"/>
            </w:pPr>
            <w:r>
              <w:rPr>
                <w:b/>
                <w:color w:val="1C3A36"/>
                <w:sz w:val="17"/>
              </w:rPr>
              <w:t>Terminal value at FY30E</w:t>
            </w:r>
          </w:p>
        </w:tc>
        <w:tc>
          <w:tcPr>
            <w:tcW w:type="dxa" w:w="3168"/>
          </w:tcPr>
          <w:p>
            <w:pPr>
              <w:spacing w:after="20"/>
              <w:jc w:val="right"/>
            </w:pPr>
            <w:r>
              <w:rPr>
                <w:color w:val="1C3A36"/>
                <w:sz w:val="17"/>
              </w:rPr>
              <w:t>24,528.4</w:t>
            </w:r>
          </w:p>
        </w:tc>
      </w:tr>
      <w:tr>
        <w:tc>
          <w:tcPr>
            <w:tcW w:type="dxa" w:w="6048"/>
          </w:tcPr>
          <w:p>
            <w:pPr>
              <w:spacing w:after="20"/>
            </w:pPr>
            <w:r>
              <w:rPr>
                <w:b/>
                <w:color w:val="1C3A36"/>
                <w:sz w:val="17"/>
              </w:rPr>
              <w:t>PV of terminal value</w:t>
            </w:r>
          </w:p>
        </w:tc>
        <w:tc>
          <w:tcPr>
            <w:tcW w:type="dxa" w:w="3168"/>
          </w:tcPr>
          <w:p>
            <w:pPr>
              <w:spacing w:after="20"/>
              <w:jc w:val="right"/>
            </w:pPr>
            <w:r>
              <w:rPr>
                <w:color w:val="1C3A36"/>
                <w:sz w:val="17"/>
              </w:rPr>
              <w:t>9,477.0</w:t>
            </w:r>
          </w:p>
        </w:tc>
      </w:tr>
      <w:tr>
        <w:tc>
          <w:tcPr>
            <w:tcW w:type="dxa" w:w="6048"/>
          </w:tcPr>
          <w:p>
            <w:pPr>
              <w:spacing w:after="20"/>
            </w:pPr>
            <w:r>
              <w:rPr>
                <w:b/>
                <w:color w:val="1C3A36"/>
                <w:sz w:val="17"/>
              </w:rPr>
              <w:t>Enterprise value</w:t>
            </w:r>
          </w:p>
        </w:tc>
        <w:tc>
          <w:tcPr>
            <w:tcW w:type="dxa" w:w="3168"/>
          </w:tcPr>
          <w:p>
            <w:pPr>
              <w:spacing w:after="20"/>
              <w:jc w:val="right"/>
            </w:pPr>
            <w:r>
              <w:rPr>
                <w:color w:val="1C3A36"/>
                <w:sz w:val="17"/>
              </w:rPr>
              <w:t>14,318.2</w:t>
            </w:r>
          </w:p>
        </w:tc>
      </w:tr>
      <w:tr>
        <w:tc>
          <w:tcPr>
            <w:tcW w:type="dxa" w:w="6048"/>
          </w:tcPr>
          <w:p>
            <w:pPr>
              <w:spacing w:after="20"/>
            </w:pPr>
            <w:r>
              <w:rPr>
                <w:b/>
                <w:color w:val="1C3A36"/>
                <w:sz w:val="17"/>
              </w:rPr>
              <w:t>— terminal value as % of EV</w:t>
            </w:r>
          </w:p>
        </w:tc>
        <w:tc>
          <w:tcPr>
            <w:tcW w:type="dxa" w:w="3168"/>
          </w:tcPr>
          <w:p>
            <w:pPr>
              <w:spacing w:after="20"/>
              <w:jc w:val="right"/>
            </w:pPr>
            <w:r>
              <w:rPr>
                <w:color w:val="1C3A36"/>
                <w:sz w:val="17"/>
              </w:rPr>
              <w:t>66.2%</w:t>
            </w:r>
          </w:p>
        </w:tc>
      </w:tr>
      <w:tr>
        <w:tc>
          <w:tcPr>
            <w:tcW w:type="dxa" w:w="6048"/>
          </w:tcPr>
          <w:p>
            <w:pPr>
              <w:spacing w:after="20"/>
            </w:pPr>
            <w:r>
              <w:rPr>
                <w:b/>
                <w:color w:val="1C3A36"/>
                <w:sz w:val="17"/>
              </w:rPr>
              <w:t>(−) Net financial debt incl. IFRS-16 leases</w:t>
            </w:r>
          </w:p>
        </w:tc>
        <w:tc>
          <w:tcPr>
            <w:tcW w:type="dxa" w:w="3168"/>
          </w:tcPr>
          <w:p>
            <w:pPr>
              <w:spacing w:after="20"/>
              <w:jc w:val="right"/>
            </w:pPr>
            <w:r>
              <w:rPr>
                <w:color w:val="1C3A36"/>
                <w:sz w:val="17"/>
              </w:rPr>
              <w:t>(3,164.1)</w:t>
            </w:r>
          </w:p>
        </w:tc>
      </w:tr>
      <w:tr>
        <w:tc>
          <w:tcPr>
            <w:tcW w:type="dxa" w:w="6048"/>
          </w:tcPr>
          <w:p>
            <w:pPr>
              <w:spacing w:after="20"/>
            </w:pPr>
            <w:r>
              <w:rPr>
                <w:b/>
                <w:color w:val="1C3A36"/>
                <w:sz w:val="17"/>
              </w:rPr>
              <w:t>(−) Non-controlling interests (book)</w:t>
            </w:r>
          </w:p>
        </w:tc>
        <w:tc>
          <w:tcPr>
            <w:tcW w:type="dxa" w:w="3168"/>
          </w:tcPr>
          <w:p>
            <w:pPr>
              <w:spacing w:after="20"/>
              <w:jc w:val="right"/>
            </w:pPr>
            <w:r>
              <w:rPr>
                <w:color w:val="1C3A36"/>
                <w:sz w:val="17"/>
              </w:rPr>
              <w:t>(452.8)</w:t>
            </w:r>
          </w:p>
        </w:tc>
      </w:tr>
      <w:tr>
        <w:tc>
          <w:tcPr>
            <w:tcW w:type="dxa" w:w="6048"/>
          </w:tcPr>
          <w:p>
            <w:pPr>
              <w:spacing w:after="20"/>
            </w:pPr>
            <w:r>
              <w:rPr>
                <w:b/>
                <w:color w:val="1C3A36"/>
                <w:sz w:val="17"/>
              </w:rPr>
              <w:t>(+) Investment in associates</w:t>
            </w:r>
          </w:p>
        </w:tc>
        <w:tc>
          <w:tcPr>
            <w:tcW w:type="dxa" w:w="3168"/>
          </w:tcPr>
          <w:p>
            <w:pPr>
              <w:spacing w:after="20"/>
              <w:jc w:val="right"/>
            </w:pPr>
            <w:r>
              <w:rPr>
                <w:color w:val="1C3A36"/>
                <w:sz w:val="17"/>
              </w:rPr>
              <w:t>18.6</w:t>
            </w:r>
          </w:p>
        </w:tc>
      </w:tr>
      <w:tr>
        <w:tc>
          <w:tcPr>
            <w:tcW w:type="dxa" w:w="6048"/>
          </w:tcPr>
          <w:p>
            <w:pPr>
              <w:spacing w:after="20"/>
            </w:pPr>
            <w:r>
              <w:rPr>
                <w:b/>
                <w:color w:val="1C3A36"/>
                <w:sz w:val="17"/>
              </w:rPr>
              <w:t>Equity value</w:t>
            </w:r>
          </w:p>
        </w:tc>
        <w:tc>
          <w:tcPr>
            <w:tcW w:type="dxa" w:w="3168"/>
          </w:tcPr>
          <w:p>
            <w:pPr>
              <w:spacing w:after="20"/>
              <w:jc w:val="right"/>
            </w:pPr>
            <w:r>
              <w:rPr>
                <w:color w:val="1C3A36"/>
                <w:sz w:val="17"/>
              </w:rPr>
              <w:t>10,390.8</w:t>
            </w:r>
          </w:p>
        </w:tc>
      </w:tr>
      <w:tr>
        <w:tc>
          <w:tcPr>
            <w:tcW w:type="dxa" w:w="6048"/>
          </w:tcPr>
          <w:p>
            <w:pPr>
              <w:spacing w:after="20"/>
            </w:pPr>
            <w:r>
              <w:rPr>
                <w:b/>
                <w:color w:val="1C3A36"/>
                <w:sz w:val="17"/>
              </w:rPr>
              <w:t>÷ shares outstanding (mn)</w:t>
            </w:r>
          </w:p>
        </w:tc>
        <w:tc>
          <w:tcPr>
            <w:tcW w:type="dxa" w:w="3168"/>
          </w:tcPr>
          <w:p>
            <w:pPr>
              <w:spacing w:after="20"/>
              <w:jc w:val="right"/>
            </w:pPr>
            <w:r>
              <w:rPr>
                <w:color w:val="1C3A36"/>
                <w:sz w:val="17"/>
              </w:rPr>
              <w:t>1,449.4</w:t>
            </w:r>
          </w:p>
        </w:tc>
      </w:tr>
      <w:tr>
        <w:tc>
          <w:tcPr>
            <w:tcW w:type="dxa" w:w="6048"/>
            <w:shd w:val="clear" w:color="auto" w:fill="F6F1E6"/>
          </w:tcPr>
          <w:p>
            <w:pPr>
              <w:spacing w:after="20"/>
            </w:pPr>
            <w:r>
              <w:rPr>
                <w:b/>
                <w:color w:val="1C3A36"/>
                <w:sz w:val="17"/>
              </w:rPr>
              <w:t>Fair value per share (EGP)</w:t>
            </w:r>
          </w:p>
        </w:tc>
        <w:tc>
          <w:tcPr>
            <w:tcW w:type="dxa" w:w="3168"/>
            <w:shd w:val="clear" w:color="auto" w:fill="F6F1E6"/>
          </w:tcPr>
          <w:p>
            <w:pPr>
              <w:spacing w:after="20"/>
              <w:jc w:val="right"/>
            </w:pPr>
            <w:r>
              <w:rPr>
                <w:b/>
                <w:color w:val="1C3A36"/>
                <w:sz w:val="17"/>
              </w:rPr>
              <w:t>7.17</w:t>
            </w:r>
          </w:p>
        </w:tc>
      </w:tr>
    </w:tbl>
    <w:p>
      <w:pPr>
        <w:spacing w:after="40"/>
      </w:pPr>
    </w:p>
    <w:p>
      <w:pPr>
        <w:spacing w:after="200" w:before="0"/>
      </w:pPr>
      <w:r>
        <w:rPr>
          <w:b w:val="0"/>
          <w:i/>
          <w:color w:val="6E7B77"/>
          <w:sz w:val="17"/>
        </w:rPr>
        <w:t>Expert 1’s workings, in full. The bridge is identical to §1.1 — this is the primary lens, shown here with every step exposed.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168"/>
            <w:shd w:val="clear" w:color="auto" w:fill="EAF0EE"/>
          </w:tcPr>
          <w:p>
            <w:pPr>
              <w:spacing w:after="20"/>
            </w:pPr>
            <w:r>
              <w:rPr>
                <w:b/>
                <w:color w:val="1C3A36"/>
                <w:sz w:val="17"/>
              </w:rPr>
              <w:t>Normalized-stage WACC</w:t>
            </w:r>
          </w:p>
        </w:tc>
        <w:tc>
          <w:tcPr>
            <w:tcW w:type="dxa" w:w="2016"/>
            <w:shd w:val="clear" w:color="auto" w:fill="EAF0EE"/>
          </w:tcPr>
          <w:p>
            <w:pPr>
              <w:spacing w:after="20"/>
            </w:pPr>
            <w:r>
              <w:rPr>
                <w:b/>
                <w:color w:val="1C3A36"/>
                <w:sz w:val="17"/>
              </w:rPr>
              <w:t>g = 10%</w:t>
            </w:r>
          </w:p>
        </w:tc>
        <w:tc>
          <w:tcPr>
            <w:tcW w:type="dxa" w:w="2016"/>
            <w:shd w:val="clear" w:color="auto" w:fill="EAF0EE"/>
          </w:tcPr>
          <w:p>
            <w:pPr>
              <w:spacing w:after="20"/>
            </w:pPr>
            <w:r>
              <w:rPr>
                <w:b/>
                <w:color w:val="1C3A36"/>
                <w:sz w:val="17"/>
              </w:rPr>
              <w:t>g = 11%</w:t>
            </w:r>
          </w:p>
        </w:tc>
        <w:tc>
          <w:tcPr>
            <w:tcW w:type="dxa" w:w="2016"/>
            <w:shd w:val="clear" w:color="auto" w:fill="EAF0EE"/>
          </w:tcPr>
          <w:p>
            <w:pPr>
              <w:spacing w:after="20"/>
            </w:pPr>
            <w:r>
              <w:rPr>
                <w:b/>
                <w:color w:val="1C3A36"/>
                <w:sz w:val="17"/>
              </w:rPr>
              <w:t>g = 12%</w:t>
            </w:r>
          </w:p>
        </w:tc>
      </w:tr>
      <w:tr>
        <w:tc>
          <w:tcPr>
            <w:tcW w:type="dxa" w:w="3168"/>
          </w:tcPr>
          <w:p>
            <w:pPr>
              <w:spacing w:after="20"/>
            </w:pPr>
            <w:r>
              <w:rPr>
                <w:b/>
                <w:color w:val="1C3A36"/>
                <w:sz w:val="17"/>
              </w:rPr>
              <w:t>15.9%</w:t>
            </w:r>
          </w:p>
        </w:tc>
        <w:tc>
          <w:tcPr>
            <w:tcW w:type="dxa" w:w="2016"/>
          </w:tcPr>
          <w:p>
            <w:pPr>
              <w:spacing w:after="20"/>
              <w:jc w:val="right"/>
            </w:pPr>
            <w:r>
              <w:rPr>
                <w:color w:val="1C3A36"/>
                <w:sz w:val="17"/>
              </w:rPr>
              <w:t>8.8</w:t>
            </w:r>
          </w:p>
        </w:tc>
        <w:tc>
          <w:tcPr>
            <w:tcW w:type="dxa" w:w="2016"/>
          </w:tcPr>
          <w:p>
            <w:pPr>
              <w:spacing w:after="20"/>
              <w:jc w:val="right"/>
            </w:pPr>
            <w:r>
              <w:rPr>
                <w:color w:val="1C3A36"/>
                <w:sz w:val="17"/>
              </w:rPr>
              <w:t>9.0</w:t>
            </w:r>
          </w:p>
        </w:tc>
        <w:tc>
          <w:tcPr>
            <w:tcW w:type="dxa" w:w="2016"/>
          </w:tcPr>
          <w:p>
            <w:pPr>
              <w:spacing w:after="20"/>
              <w:jc w:val="right"/>
            </w:pPr>
            <w:r>
              <w:rPr>
                <w:color w:val="1C3A36"/>
                <w:sz w:val="17"/>
              </w:rPr>
              <w:t>9.2</w:t>
            </w:r>
          </w:p>
        </w:tc>
      </w:tr>
      <w:tr>
        <w:tc>
          <w:tcPr>
            <w:tcW w:type="dxa" w:w="3168"/>
          </w:tcPr>
          <w:p>
            <w:pPr>
              <w:spacing w:after="20"/>
            </w:pPr>
            <w:r>
              <w:rPr>
                <w:b/>
                <w:color w:val="1C3A36"/>
                <w:sz w:val="17"/>
              </w:rPr>
              <w:t>16.9%</w:t>
            </w:r>
          </w:p>
        </w:tc>
        <w:tc>
          <w:tcPr>
            <w:tcW w:type="dxa" w:w="2016"/>
          </w:tcPr>
          <w:p>
            <w:pPr>
              <w:spacing w:after="20"/>
              <w:jc w:val="right"/>
            </w:pPr>
            <w:r>
              <w:rPr>
                <w:color w:val="1C3A36"/>
                <w:sz w:val="17"/>
              </w:rPr>
              <w:t>7.9</w:t>
            </w:r>
          </w:p>
        </w:tc>
        <w:tc>
          <w:tcPr>
            <w:tcW w:type="dxa" w:w="2016"/>
          </w:tcPr>
          <w:p>
            <w:pPr>
              <w:spacing w:after="20"/>
              <w:jc w:val="right"/>
            </w:pPr>
            <w:r>
              <w:rPr>
                <w:color w:val="1C3A36"/>
                <w:sz w:val="17"/>
              </w:rPr>
              <w:t>8.0</w:t>
            </w:r>
          </w:p>
        </w:tc>
        <w:tc>
          <w:tcPr>
            <w:tcW w:type="dxa" w:w="2016"/>
          </w:tcPr>
          <w:p>
            <w:pPr>
              <w:spacing w:after="20"/>
              <w:jc w:val="right"/>
            </w:pPr>
            <w:r>
              <w:rPr>
                <w:color w:val="1C3A36"/>
                <w:sz w:val="17"/>
              </w:rPr>
              <w:t>8.2</w:t>
            </w:r>
          </w:p>
        </w:tc>
      </w:tr>
      <w:tr>
        <w:tc>
          <w:tcPr>
            <w:tcW w:type="dxa" w:w="3168"/>
          </w:tcPr>
          <w:p>
            <w:pPr>
              <w:spacing w:after="20"/>
            </w:pPr>
            <w:r>
              <w:rPr>
                <w:b/>
                <w:color w:val="1C3A36"/>
                <w:sz w:val="17"/>
              </w:rPr>
              <w:t>17.9%</w:t>
            </w:r>
          </w:p>
        </w:tc>
        <w:tc>
          <w:tcPr>
            <w:tcW w:type="dxa" w:w="2016"/>
          </w:tcPr>
          <w:p>
            <w:pPr>
              <w:spacing w:after="20"/>
              <w:jc w:val="right"/>
            </w:pPr>
            <w:r>
              <w:rPr>
                <w:color w:val="1C3A36"/>
                <w:sz w:val="17"/>
              </w:rPr>
              <w:t>7.2</w:t>
            </w:r>
          </w:p>
        </w:tc>
        <w:tc>
          <w:tcPr>
            <w:tcW w:type="dxa" w:w="2016"/>
          </w:tcPr>
          <w:p>
            <w:pPr>
              <w:spacing w:after="20"/>
              <w:jc w:val="right"/>
            </w:pPr>
            <w:r>
              <w:rPr>
                <w:color w:val="1C3A36"/>
                <w:sz w:val="17"/>
              </w:rPr>
              <w:t>7.2</w:t>
            </w:r>
          </w:p>
        </w:tc>
        <w:tc>
          <w:tcPr>
            <w:tcW w:type="dxa" w:w="2016"/>
          </w:tcPr>
          <w:p>
            <w:pPr>
              <w:spacing w:after="20"/>
              <w:jc w:val="right"/>
            </w:pPr>
            <w:r>
              <w:rPr>
                <w:color w:val="1C3A36"/>
                <w:sz w:val="17"/>
              </w:rPr>
              <w:t>7.3</w:t>
            </w:r>
          </w:p>
        </w:tc>
      </w:tr>
      <w:tr>
        <w:tc>
          <w:tcPr>
            <w:tcW w:type="dxa" w:w="3168"/>
          </w:tcPr>
          <w:p>
            <w:pPr>
              <w:spacing w:after="20"/>
            </w:pPr>
            <w:r>
              <w:rPr>
                <w:b/>
                <w:color w:val="1C3A36"/>
                <w:sz w:val="17"/>
              </w:rPr>
              <w:t>18.9%</w:t>
            </w:r>
          </w:p>
        </w:tc>
        <w:tc>
          <w:tcPr>
            <w:tcW w:type="dxa" w:w="2016"/>
          </w:tcPr>
          <w:p>
            <w:pPr>
              <w:spacing w:after="20"/>
              <w:jc w:val="right"/>
            </w:pPr>
            <w:r>
              <w:rPr>
                <w:color w:val="1C3A36"/>
                <w:sz w:val="17"/>
              </w:rPr>
              <w:t>6.5</w:t>
            </w:r>
          </w:p>
        </w:tc>
        <w:tc>
          <w:tcPr>
            <w:tcW w:type="dxa" w:w="2016"/>
          </w:tcPr>
          <w:p>
            <w:pPr>
              <w:spacing w:after="20"/>
              <w:jc w:val="right"/>
            </w:pPr>
            <w:r>
              <w:rPr>
                <w:color w:val="1C3A36"/>
                <w:sz w:val="17"/>
              </w:rPr>
              <w:t>6.6</w:t>
            </w:r>
          </w:p>
        </w:tc>
        <w:tc>
          <w:tcPr>
            <w:tcW w:type="dxa" w:w="2016"/>
          </w:tcPr>
          <w:p>
            <w:pPr>
              <w:spacing w:after="20"/>
              <w:jc w:val="right"/>
            </w:pPr>
            <w:r>
              <w:rPr>
                <w:color w:val="1C3A36"/>
                <w:sz w:val="17"/>
              </w:rPr>
              <w:t>6.6</w:t>
            </w:r>
          </w:p>
        </w:tc>
      </w:tr>
      <w:tr>
        <w:tc>
          <w:tcPr>
            <w:tcW w:type="dxa" w:w="3168"/>
          </w:tcPr>
          <w:p>
            <w:pPr>
              <w:spacing w:after="20"/>
            </w:pPr>
            <w:r>
              <w:rPr>
                <w:b/>
                <w:color w:val="1C3A36"/>
                <w:sz w:val="17"/>
              </w:rPr>
              <w:t>19.9%</w:t>
            </w:r>
          </w:p>
        </w:tc>
        <w:tc>
          <w:tcPr>
            <w:tcW w:type="dxa" w:w="2016"/>
          </w:tcPr>
          <w:p>
            <w:pPr>
              <w:spacing w:after="20"/>
              <w:jc w:val="right"/>
            </w:pPr>
            <w:r>
              <w:rPr>
                <w:color w:val="1C3A36"/>
                <w:sz w:val="17"/>
              </w:rPr>
              <w:t>6.0</w:t>
            </w:r>
          </w:p>
        </w:tc>
        <w:tc>
          <w:tcPr>
            <w:tcW w:type="dxa" w:w="2016"/>
          </w:tcPr>
          <w:p>
            <w:pPr>
              <w:spacing w:after="20"/>
              <w:jc w:val="right"/>
            </w:pPr>
            <w:r>
              <w:rPr>
                <w:color w:val="1C3A36"/>
                <w:sz w:val="17"/>
              </w:rPr>
              <w:t>6.0</w:t>
            </w:r>
          </w:p>
        </w:tc>
        <w:tc>
          <w:tcPr>
            <w:tcW w:type="dxa" w:w="2016"/>
          </w:tcPr>
          <w:p>
            <w:pPr>
              <w:spacing w:after="20"/>
              <w:jc w:val="right"/>
            </w:pPr>
            <w:r>
              <w:rPr>
                <w:color w:val="1C3A36"/>
                <w:sz w:val="17"/>
              </w:rPr>
              <w:t>6.0</w:t>
            </w:r>
          </w:p>
        </w:tc>
      </w:tr>
    </w:tbl>
    <w:p>
      <w:pPr>
        <w:spacing w:after="40"/>
      </w:pPr>
    </w:p>
    <w:p>
      <w:pPr>
        <w:spacing w:after="200" w:before="0"/>
      </w:pPr>
      <w:r>
        <w:rPr>
          <w:b w:val="0"/>
          <w:i/>
          <w:color w:val="6E7B77"/>
          <w:sz w:val="17"/>
        </w:rPr>
        <w:t>Expert 1’s sensitivity: fair value per share (EGP) across the normalized-stage WACC and terminal growth. The spread across this table is the honest width of the cash-flow lens.</w:t>
      </w:r>
    </w:p>
    <w:p>
      <w:pPr>
        <w:spacing w:after="120" w:before="0"/>
      </w:pPr>
      <w:r>
        <w:rPr>
          <w:b/>
          <w:i/>
          <w:color w:val="1C3A36"/>
          <w:sz w:val="19"/>
        </w:rPr>
        <w:t xml:space="preserve">Falsification: </w:t>
      </w:r>
      <w:r>
        <w:rPr>
          <w:b w:val="0"/>
          <w:i/>
          <w:color w:val="1C3A36"/>
          <w:sz w:val="19"/>
        </w:rPr>
        <w:t>CBE fails to resume cuts by mid-2027 or the Egypt 10Y still prints above 21 percent at end-2027 — the normalized stage never arrives; value reverts toward the flat-rate 3.9</w:t>
      </w:r>
    </w:p>
    <w:p>
      <w:pPr>
        <w:spacing w:after="80" w:before="200"/>
      </w:pPr>
      <w:r>
        <w:rPr>
          <w:b/>
          <w:i w:val="0"/>
          <w:color w:val="1C3A36"/>
          <w:sz w:val="24"/>
        </w:rPr>
        <w:t>C.2 · Expert 2 — the capacity expert: beds, and what a bed is worth</w:t>
      </w:r>
    </w:p>
    <w:p>
      <w:pPr>
        <w:spacing w:after="120" w:before="0"/>
      </w:pPr>
      <w:r>
        <w:rPr>
          <w:b w:val="0"/>
          <w:i w:val="0"/>
          <w:color w:val="1C3A36"/>
          <w:sz w:val="21"/>
        </w:rPr>
        <w:t>Method. Ignore the discount rate entirely and value the asset the way a strategic buyer would: per operational bed. The network runs 880 beds today and is adding 440 (Cleopatra El Tagamoa 240, the October build-to-suit 200), reaching about 1,320 by 2027. On the model’s FY2028 forecast each forward bed carries roughly EGP 3.17mn of reported-basis EBITDA. Cleopatra El Tagamoa itself cost on the order of EGP 11–12mn per bed to build, excluding land, under a public-private structure — the floor of any sensible per-bed mark.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736"/>
            <w:shd w:val="clear" w:color="auto" w:fill="EAF0EE"/>
          </w:tcPr>
          <w:p>
            <w:pPr>
              <w:spacing w:after="20"/>
            </w:pPr>
            <w:r>
              <w:rPr>
                <w:b/>
                <w:color w:val="1C3A36"/>
                <w:sz w:val="17"/>
              </w:rPr>
              <w:t>EV per bed mark</w:t>
            </w:r>
          </w:p>
        </w:tc>
        <w:tc>
          <w:tcPr>
            <w:tcW w:type="dxa" w:w="2160"/>
            <w:shd w:val="clear" w:color="auto" w:fill="EAF0EE"/>
          </w:tcPr>
          <w:p>
            <w:pPr>
              <w:spacing w:after="20"/>
            </w:pPr>
            <w:r>
              <w:rPr>
                <w:b/>
                <w:color w:val="1C3A36"/>
                <w:sz w:val="17"/>
              </w:rPr>
              <w:t>EV (EGP mn)</w:t>
            </w:r>
          </w:p>
        </w:tc>
        <w:tc>
          <w:tcPr>
            <w:tcW w:type="dxa" w:w="2448"/>
            <w:shd w:val="clear" w:color="auto" w:fill="EAF0EE"/>
          </w:tcPr>
          <w:p>
            <w:pPr>
              <w:spacing w:after="20"/>
            </w:pPr>
            <w:r>
              <w:rPr>
                <w:b/>
                <w:color w:val="1C3A36"/>
                <w:sz w:val="17"/>
              </w:rPr>
              <w:t>Implied EV/EBITDA FY28E</w:t>
            </w:r>
          </w:p>
        </w:tc>
        <w:tc>
          <w:tcPr>
            <w:tcW w:type="dxa" w:w="2160"/>
            <w:shd w:val="clear" w:color="auto" w:fill="EAF0EE"/>
          </w:tcPr>
          <w:p>
            <w:pPr>
              <w:spacing w:after="20"/>
            </w:pPr>
            <w:r>
              <w:rPr>
                <w:b/>
                <w:color w:val="1C3A36"/>
                <w:sz w:val="17"/>
              </w:rPr>
              <w:t>Fair value / share (EGP)</w:t>
            </w:r>
          </w:p>
        </w:tc>
      </w:tr>
      <w:tr>
        <w:tc>
          <w:tcPr>
            <w:tcW w:type="dxa" w:w="2736"/>
          </w:tcPr>
          <w:p>
            <w:pPr>
              <w:spacing w:after="20"/>
            </w:pPr>
            <w:r>
              <w:rPr>
                <w:b/>
                <w:color w:val="1C3A36"/>
                <w:sz w:val="17"/>
              </w:rPr>
              <w:t>EGP 20.0mn per bed</w:t>
            </w:r>
          </w:p>
        </w:tc>
        <w:tc>
          <w:tcPr>
            <w:tcW w:type="dxa" w:w="2160"/>
          </w:tcPr>
          <w:p>
            <w:pPr>
              <w:spacing w:after="20"/>
              <w:jc w:val="right"/>
            </w:pPr>
            <w:r>
              <w:rPr>
                <w:color w:val="1C3A36"/>
                <w:sz w:val="17"/>
              </w:rPr>
              <w:t>26,400.0</w:t>
            </w:r>
          </w:p>
        </w:tc>
        <w:tc>
          <w:tcPr>
            <w:tcW w:type="dxa" w:w="2448"/>
          </w:tcPr>
          <w:p>
            <w:pPr>
              <w:spacing w:after="20"/>
              <w:jc w:val="right"/>
            </w:pPr>
            <w:r>
              <w:rPr>
                <w:color w:val="1C3A36"/>
                <w:sz w:val="17"/>
              </w:rPr>
              <w:t>6.3×</w:t>
            </w:r>
          </w:p>
        </w:tc>
        <w:tc>
          <w:tcPr>
            <w:tcW w:type="dxa" w:w="2160"/>
          </w:tcPr>
          <w:p>
            <w:pPr>
              <w:spacing w:after="20"/>
              <w:jc w:val="right"/>
            </w:pPr>
            <w:r>
              <w:rPr>
                <w:color w:val="1C3A36"/>
                <w:sz w:val="17"/>
              </w:rPr>
              <w:t>6.46</w:t>
            </w:r>
          </w:p>
        </w:tc>
      </w:tr>
      <w:tr>
        <w:tc>
          <w:tcPr>
            <w:tcW w:type="dxa" w:w="2736"/>
            <w:shd w:val="clear" w:color="auto" w:fill="F6F1E6"/>
          </w:tcPr>
          <w:p>
            <w:pPr>
              <w:spacing w:after="20"/>
            </w:pPr>
            <w:r>
              <w:rPr>
                <w:b/>
                <w:color w:val="1C3A36"/>
                <w:sz w:val="17"/>
              </w:rPr>
              <w:t>EGP 27.5mn per bed</w:t>
            </w:r>
          </w:p>
        </w:tc>
        <w:tc>
          <w:tcPr>
            <w:tcW w:type="dxa" w:w="2160"/>
            <w:shd w:val="clear" w:color="auto" w:fill="F6F1E6"/>
          </w:tcPr>
          <w:p>
            <w:pPr>
              <w:spacing w:after="20"/>
              <w:jc w:val="right"/>
            </w:pPr>
            <w:r>
              <w:rPr>
                <w:b/>
                <w:color w:val="1C3A36"/>
                <w:sz w:val="17"/>
              </w:rPr>
              <w:t>36,300.0</w:t>
            </w:r>
          </w:p>
        </w:tc>
        <w:tc>
          <w:tcPr>
            <w:tcW w:type="dxa" w:w="2448"/>
            <w:shd w:val="clear" w:color="auto" w:fill="F6F1E6"/>
          </w:tcPr>
          <w:p>
            <w:pPr>
              <w:spacing w:after="20"/>
              <w:jc w:val="right"/>
            </w:pPr>
            <w:r>
              <w:rPr>
                <w:b/>
                <w:color w:val="1C3A36"/>
                <w:sz w:val="17"/>
              </w:rPr>
              <w:t>8.7×</w:t>
            </w:r>
          </w:p>
        </w:tc>
        <w:tc>
          <w:tcPr>
            <w:tcW w:type="dxa" w:w="2160"/>
            <w:shd w:val="clear" w:color="auto" w:fill="F6F1E6"/>
          </w:tcPr>
          <w:p>
            <w:pPr>
              <w:spacing w:after="20"/>
              <w:jc w:val="right"/>
            </w:pPr>
            <w:r>
              <w:rPr>
                <w:b/>
                <w:color w:val="1C3A36"/>
                <w:sz w:val="17"/>
              </w:rPr>
              <w:t>9.08</w:t>
            </w:r>
          </w:p>
        </w:tc>
      </w:tr>
      <w:tr>
        <w:tc>
          <w:tcPr>
            <w:tcW w:type="dxa" w:w="2736"/>
          </w:tcPr>
          <w:p>
            <w:pPr>
              <w:spacing w:after="20"/>
            </w:pPr>
            <w:r>
              <w:rPr>
                <w:b/>
                <w:color w:val="1C3A36"/>
                <w:sz w:val="17"/>
              </w:rPr>
              <w:t>EGP 35.0mn per bed</w:t>
            </w:r>
          </w:p>
        </w:tc>
        <w:tc>
          <w:tcPr>
            <w:tcW w:type="dxa" w:w="2160"/>
          </w:tcPr>
          <w:p>
            <w:pPr>
              <w:spacing w:after="20"/>
              <w:jc w:val="right"/>
            </w:pPr>
            <w:r>
              <w:rPr>
                <w:color w:val="1C3A36"/>
                <w:sz w:val="17"/>
              </w:rPr>
              <w:t>46,200.0</w:t>
            </w:r>
          </w:p>
        </w:tc>
        <w:tc>
          <w:tcPr>
            <w:tcW w:type="dxa" w:w="2448"/>
          </w:tcPr>
          <w:p>
            <w:pPr>
              <w:spacing w:after="20"/>
              <w:jc w:val="right"/>
            </w:pPr>
            <w:r>
              <w:rPr>
                <w:color w:val="1C3A36"/>
                <w:sz w:val="17"/>
              </w:rPr>
              <w:t>11.0×</w:t>
            </w:r>
          </w:p>
        </w:tc>
        <w:tc>
          <w:tcPr>
            <w:tcW w:type="dxa" w:w="2160"/>
          </w:tcPr>
          <w:p>
            <w:pPr>
              <w:spacing w:after="20"/>
              <w:jc w:val="right"/>
            </w:pPr>
            <w:r>
              <w:rPr>
                <w:color w:val="1C3A36"/>
                <w:sz w:val="17"/>
              </w:rPr>
              <w:t>11.70</w:t>
            </w:r>
          </w:p>
        </w:tc>
      </w:tr>
    </w:tbl>
    <w:p>
      <w:pPr>
        <w:spacing w:after="40"/>
      </w:pPr>
    </w:p>
    <w:p>
      <w:pPr>
        <w:spacing w:after="200" w:before="0"/>
      </w:pPr>
      <w:r>
        <w:rPr>
          <w:b w:val="0"/>
          <w:i/>
          <w:color w:val="6E7B77"/>
          <w:sz w:val="17"/>
        </w:rPr>
        <w:t>Expert 2’s workings. The middle mark is the base case. Note the cross-check the lens gives for free: at EGP 27.5mn per bed the implied FY28E EV/EBITDA is about 9.8× — well below the 17–24× the Gulf operators command, which is the arithmetic behind management’s own complaint about the discount.</w:t>
      </w:r>
    </w:p>
    <w:p>
      <w:pPr>
        <w:spacing w:after="120" w:before="0"/>
      </w:pPr>
      <w:r>
        <w:rPr>
          <w:b w:val="0"/>
          <w:i w:val="0"/>
          <w:color w:val="1C3A36"/>
          <w:sz w:val="21"/>
        </w:rPr>
        <w:t>Cross-check at spot: the market currently pays EGP 31.0mn per operational bed today, or EGP 20.6mn per forward bed once the new capacity opens. The forward number is the one to watch — it is what the buyer of the whole company would actually be paying for the finished network.</w:t>
      </w:r>
    </w:p>
    <w:p>
      <w:pPr>
        <w:spacing w:after="120" w:before="0"/>
      </w:pPr>
      <w:r>
        <w:rPr>
          <w:b/>
          <w:i/>
          <w:color w:val="1C3A36"/>
          <w:sz w:val="19"/>
        </w:rPr>
        <w:t xml:space="preserve">Falsification: </w:t>
      </w:r>
      <w:r>
        <w:rPr>
          <w:b w:val="0"/>
          <w:i/>
          <w:color w:val="1C3A36"/>
          <w:sz w:val="19"/>
        </w:rPr>
        <w:t>CTH monthly revenue fails to hold above EGP 100mn by Q4-2026 (Q1 actual: EGP 83mn in April) or the COH 200-bed BTS slips past 2027</w:t>
      </w:r>
    </w:p>
    <w:p>
      <w:pPr>
        <w:spacing w:after="80" w:before="200"/>
      </w:pPr>
      <w:r>
        <w:rPr>
          <w:b/>
          <w:i w:val="0"/>
          <w:color w:val="1C3A36"/>
          <w:sz w:val="24"/>
        </w:rPr>
        <w:t>C.3 · Expert 3 — the earnings-power expert: what the engine earns through the cycle</w:t>
      </w:r>
    </w:p>
    <w:p>
      <w:pPr>
        <w:spacing w:after="120" w:before="0"/>
      </w:pPr>
      <w:r>
        <w:rPr>
          <w:b w:val="0"/>
          <w:i w:val="0"/>
          <w:color w:val="1C3A36"/>
          <w:sz w:val="21"/>
        </w:rPr>
        <w:t>Method. Strip out the two temporary distortions — the El Tagamoa start-up loss and the elevated net interest before deleveraging — and capitalise what the operating engine earns. Using the company’s own normalized definition (profit before tax plus net interest, taxed at the 22.5% statutory rate), FY2026E normalized profit is about EGP 1,169.9mn, of which roughly 84% accrues to the parent — EGP 982.7mn, or EGP 0.678 per share. FY2025 return on equity was about 27%, which is the evidence that this is a genuine engine and not an accounting artefact.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736"/>
            <w:shd w:val="clear" w:color="auto" w:fill="EAF0EE"/>
          </w:tcPr>
          <w:p>
            <w:pPr>
              <w:spacing w:after="20"/>
            </w:pPr>
            <w:r>
              <w:rPr>
                <w:b/>
                <w:color w:val="1C3A36"/>
                <w:sz w:val="17"/>
              </w:rPr>
              <w:t>Through-cycle P/E</w:t>
            </w:r>
          </w:p>
        </w:tc>
        <w:tc>
          <w:tcPr>
            <w:tcW w:type="dxa" w:w="3456"/>
            <w:shd w:val="clear" w:color="auto" w:fill="EAF0EE"/>
          </w:tcPr>
          <w:p>
            <w:pPr>
              <w:spacing w:after="20"/>
            </w:pPr>
            <w:r>
              <w:rPr>
                <w:b/>
                <w:color w:val="1C3A36"/>
                <w:sz w:val="17"/>
              </w:rPr>
              <w:t>Normalized parent EPS (EGP)</w:t>
            </w:r>
          </w:p>
        </w:tc>
        <w:tc>
          <w:tcPr>
            <w:tcW w:type="dxa" w:w="3024"/>
            <w:shd w:val="clear" w:color="auto" w:fill="EAF0EE"/>
          </w:tcPr>
          <w:p>
            <w:pPr>
              <w:spacing w:after="20"/>
            </w:pPr>
            <w:r>
              <w:rPr>
                <w:b/>
                <w:color w:val="1C3A36"/>
                <w:sz w:val="17"/>
              </w:rPr>
              <w:t>Fair value / share (EGP)</w:t>
            </w:r>
          </w:p>
        </w:tc>
      </w:tr>
      <w:tr>
        <w:tc>
          <w:tcPr>
            <w:tcW w:type="dxa" w:w="2736"/>
          </w:tcPr>
          <w:p>
            <w:pPr>
              <w:spacing w:after="20"/>
            </w:pPr>
            <w:r>
              <w:rPr>
                <w:b/>
                <w:color w:val="1C3A36"/>
                <w:sz w:val="17"/>
              </w:rPr>
              <w:t>15×</w:t>
            </w:r>
          </w:p>
        </w:tc>
        <w:tc>
          <w:tcPr>
            <w:tcW w:type="dxa" w:w="3456"/>
          </w:tcPr>
          <w:p>
            <w:pPr>
              <w:spacing w:after="20"/>
              <w:jc w:val="right"/>
            </w:pPr>
            <w:r>
              <w:rPr>
                <w:color w:val="1C3A36"/>
                <w:sz w:val="17"/>
              </w:rPr>
              <w:t>0.678</w:t>
            </w:r>
          </w:p>
        </w:tc>
        <w:tc>
          <w:tcPr>
            <w:tcW w:type="dxa" w:w="3024"/>
          </w:tcPr>
          <w:p>
            <w:pPr>
              <w:spacing w:after="20"/>
              <w:jc w:val="right"/>
            </w:pPr>
            <w:r>
              <w:rPr>
                <w:color w:val="1C3A36"/>
                <w:sz w:val="17"/>
              </w:rPr>
              <w:t>6.97</w:t>
            </w:r>
          </w:p>
        </w:tc>
      </w:tr>
      <w:tr>
        <w:tc>
          <w:tcPr>
            <w:tcW w:type="dxa" w:w="2736"/>
            <w:shd w:val="clear" w:color="auto" w:fill="F6F1E6"/>
          </w:tcPr>
          <w:p>
            <w:pPr>
              <w:spacing w:after="20"/>
            </w:pPr>
            <w:r>
              <w:rPr>
                <w:b/>
                <w:color w:val="1C3A36"/>
                <w:sz w:val="17"/>
              </w:rPr>
              <w:t>18×</w:t>
            </w:r>
          </w:p>
        </w:tc>
        <w:tc>
          <w:tcPr>
            <w:tcW w:type="dxa" w:w="3456"/>
            <w:shd w:val="clear" w:color="auto" w:fill="F6F1E6"/>
          </w:tcPr>
          <w:p>
            <w:pPr>
              <w:spacing w:after="20"/>
              <w:jc w:val="right"/>
            </w:pPr>
            <w:r>
              <w:rPr>
                <w:b/>
                <w:color w:val="1C3A36"/>
                <w:sz w:val="17"/>
              </w:rPr>
              <w:t>0.678</w:t>
            </w:r>
          </w:p>
        </w:tc>
        <w:tc>
          <w:tcPr>
            <w:tcW w:type="dxa" w:w="3024"/>
            <w:shd w:val="clear" w:color="auto" w:fill="F6F1E6"/>
          </w:tcPr>
          <w:p>
            <w:pPr>
              <w:spacing w:after="20"/>
              <w:jc w:val="right"/>
            </w:pPr>
            <w:r>
              <w:rPr>
                <w:b/>
                <w:color w:val="1C3A36"/>
                <w:sz w:val="17"/>
              </w:rPr>
              <w:t>8.37</w:t>
            </w:r>
          </w:p>
        </w:tc>
      </w:tr>
      <w:tr>
        <w:tc>
          <w:tcPr>
            <w:tcW w:type="dxa" w:w="2736"/>
          </w:tcPr>
          <w:p>
            <w:pPr>
              <w:spacing w:after="20"/>
            </w:pPr>
            <w:r>
              <w:rPr>
                <w:b/>
                <w:color w:val="1C3A36"/>
                <w:sz w:val="17"/>
              </w:rPr>
              <w:t>22×</w:t>
            </w:r>
          </w:p>
        </w:tc>
        <w:tc>
          <w:tcPr>
            <w:tcW w:type="dxa" w:w="3456"/>
          </w:tcPr>
          <w:p>
            <w:pPr>
              <w:spacing w:after="20"/>
              <w:jc w:val="right"/>
            </w:pPr>
            <w:r>
              <w:rPr>
                <w:color w:val="1C3A36"/>
                <w:sz w:val="17"/>
              </w:rPr>
              <w:t>0.678</w:t>
            </w:r>
          </w:p>
        </w:tc>
        <w:tc>
          <w:tcPr>
            <w:tcW w:type="dxa" w:w="3024"/>
          </w:tcPr>
          <w:p>
            <w:pPr>
              <w:spacing w:after="20"/>
              <w:jc w:val="right"/>
            </w:pPr>
            <w:r>
              <w:rPr>
                <w:color w:val="1C3A36"/>
                <w:sz w:val="17"/>
              </w:rPr>
              <w:t>10.23</w:t>
            </w:r>
          </w:p>
        </w:tc>
      </w:tr>
    </w:tbl>
    <w:p>
      <w:pPr>
        <w:spacing w:after="40"/>
      </w:pPr>
    </w:p>
    <w:p>
      <w:pPr>
        <w:spacing w:after="200" w:before="0"/>
      </w:pPr>
      <w:r>
        <w:rPr>
          <w:b w:val="0"/>
          <w:i/>
          <w:color w:val="6E7B77"/>
          <w:sz w:val="17"/>
        </w:rPr>
        <w:t>Expert 3’s workings. The multiple band is deliberately below the relative lens in §1.3 because normalized profit is a larger number than reported profit — applying the same multiple to both would double-count the normalization.</w:t>
      </w:r>
    </w:p>
    <w:p>
      <w:pPr>
        <w:spacing w:after="120" w:before="0"/>
      </w:pPr>
      <w:r>
        <w:rPr>
          <w:b w:val="0"/>
          <w:i w:val="0"/>
          <w:color w:val="1C3A36"/>
          <w:sz w:val="21"/>
        </w:rPr>
        <w:t>Anchor: FY2025 normalized net profit was a disclosed EGP 1,162.0mn — a 16.1% margin, up 29% year on year — and 1Q2026 normalized margin was 11.0%, the dip being exactly the CTH drag this lens is designed to look through.</w:t>
      </w:r>
    </w:p>
    <w:p>
      <w:pPr>
        <w:spacing w:after="120" w:before="0"/>
      </w:pPr>
      <w:r>
        <w:rPr>
          <w:b/>
          <w:i/>
          <w:color w:val="1C3A36"/>
          <w:sz w:val="19"/>
        </w:rPr>
        <w:t xml:space="preserve">Falsification: </w:t>
      </w:r>
      <w:r>
        <w:rPr>
          <w:b w:val="0"/>
          <w:i/>
          <w:color w:val="1C3A36"/>
          <w:sz w:val="19"/>
        </w:rPr>
        <w:t>Normalized net-profit margin (company definition) below 14% for two consecutive quarters (Q1-26: 11.0%; FY25: 16.1%)</w:t>
      </w:r>
    </w:p>
    <w:p>
      <w:pPr>
        <w:spacing w:after="80" w:before="200"/>
      </w:pPr>
      <w:r>
        <w:rPr>
          <w:b/>
          <w:i w:val="0"/>
          <w:color w:val="1C3A36"/>
          <w:sz w:val="24"/>
        </w:rPr>
        <w:t>C.4 · The three in one room</w:t>
      </w:r>
    </w:p>
    <w:p>
      <w:pPr>
        <w:spacing w:after="40"/>
        <w:jc w:val="center"/>
      </w:pPr>
      <w:r>
        <w:drawing>
          <wp:inline xmlns:a="http://schemas.openxmlformats.org/drawingml/2006/main" xmlns:pic="http://schemas.openxmlformats.org/drawingml/2006/picture">
            <wp:extent cx="6126480" cy="2084266"/>
            <wp:docPr id="10" name="Picture 10"/>
            <wp:cNvGraphicFramePr>
              <a:graphicFrameLocks noChangeAspect="1"/>
            </wp:cNvGraphicFramePr>
            <a:graphic>
              <a:graphicData uri="http://schemas.openxmlformats.org/drawingml/2006/picture">
                <pic:pic>
                  <pic:nvPicPr>
                    <pic:cNvPr id="0" name="figD1_experts.png"/>
                    <pic:cNvPicPr/>
                  </pic:nvPicPr>
                  <pic:blipFill>
                    <a:blip r:embed="rId18"/>
                    <a:stretch>
                      <a:fillRect/>
                    </a:stretch>
                  </pic:blipFill>
                  <pic:spPr>
                    <a:xfrm>
                      <a:off x="0" y="0"/>
                      <a:ext cx="6126480" cy="2084266"/>
                    </a:xfrm>
                    <a:prstGeom prst="rect"/>
                  </pic:spPr>
                </pic:pic>
              </a:graphicData>
            </a:graphic>
          </wp:inline>
        </w:drawing>
      </w:r>
    </w:p>
    <w:p>
      <w:pPr>
        <w:spacing w:after="200" w:before="0"/>
      </w:pPr>
      <w:r>
        <w:rPr>
          <w:b w:val="0"/>
          <w:i/>
          <w:color w:val="6E7B77"/>
          <w:sz w:val="17"/>
        </w:rPr>
        <w:t>Figure 10 — the three experts’ fair-value ranges. Brass tick = base case; gold band = the weighted central ±3%; ink line = spot.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1368"/>
            <w:shd w:val="clear" w:color="auto" w:fill="EAF0EE"/>
          </w:tcPr>
          <w:p>
            <w:pPr>
              <w:spacing w:after="20"/>
            </w:pPr>
            <w:r>
              <w:rPr>
                <w:b/>
                <w:color w:val="1C3A36"/>
                <w:sz w:val="17"/>
              </w:rPr>
              <w:t>Expert</w:t>
            </w:r>
          </w:p>
        </w:tc>
        <w:tc>
          <w:tcPr>
            <w:tcW w:type="dxa" w:w="2448"/>
            <w:shd w:val="clear" w:color="auto" w:fill="EAF0EE"/>
          </w:tcPr>
          <w:p>
            <w:pPr>
              <w:spacing w:after="20"/>
            </w:pPr>
            <w:r>
              <w:rPr>
                <w:b/>
                <w:color w:val="1C3A36"/>
                <w:sz w:val="17"/>
              </w:rPr>
              <w:t>Method</w:t>
            </w:r>
          </w:p>
        </w:tc>
        <w:tc>
          <w:tcPr>
            <w:tcW w:type="dxa" w:w="3168"/>
            <w:shd w:val="clear" w:color="auto" w:fill="EAF0EE"/>
          </w:tcPr>
          <w:p>
            <w:pPr>
              <w:spacing w:after="20"/>
            </w:pPr>
            <w:r>
              <w:rPr>
                <w:b/>
                <w:color w:val="1C3A36"/>
                <w:sz w:val="17"/>
              </w:rPr>
              <w:t>What it prices</w:t>
            </w:r>
          </w:p>
        </w:tc>
        <w:tc>
          <w:tcPr>
            <w:tcW w:type="dxa" w:w="864"/>
            <w:shd w:val="clear" w:color="auto" w:fill="EAF0EE"/>
          </w:tcPr>
          <w:p>
            <w:pPr>
              <w:spacing w:after="20"/>
            </w:pPr>
            <w:r>
              <w:rPr>
                <w:b/>
                <w:color w:val="1C3A36"/>
                <w:sz w:val="17"/>
              </w:rPr>
              <w:t>Bear</w:t>
            </w:r>
          </w:p>
        </w:tc>
        <w:tc>
          <w:tcPr>
            <w:tcW w:type="dxa" w:w="864"/>
            <w:shd w:val="clear" w:color="auto" w:fill="EAF0EE"/>
          </w:tcPr>
          <w:p>
            <w:pPr>
              <w:spacing w:after="20"/>
            </w:pPr>
            <w:r>
              <w:rPr>
                <w:b/>
                <w:color w:val="1C3A36"/>
                <w:sz w:val="17"/>
              </w:rPr>
              <w:t>Base</w:t>
            </w:r>
          </w:p>
        </w:tc>
        <w:tc>
          <w:tcPr>
            <w:tcW w:type="dxa" w:w="864"/>
            <w:shd w:val="clear" w:color="auto" w:fill="EAF0EE"/>
          </w:tcPr>
          <w:p>
            <w:pPr>
              <w:spacing w:after="20"/>
            </w:pPr>
            <w:r>
              <w:rPr>
                <w:b/>
                <w:color w:val="1C3A36"/>
                <w:sz w:val="17"/>
              </w:rPr>
              <w:t>Bull</w:t>
            </w:r>
          </w:p>
        </w:tc>
      </w:tr>
      <w:tr>
        <w:tc>
          <w:tcPr>
            <w:tcW w:type="dxa" w:w="1368"/>
          </w:tcPr>
          <w:p>
            <w:pPr>
              <w:spacing w:after="20"/>
            </w:pPr>
            <w:r>
              <w:rPr>
                <w:b/>
                <w:color w:val="1C3A36"/>
                <w:sz w:val="17"/>
              </w:rPr>
              <w:t>Expert 1</w:t>
            </w:r>
          </w:p>
        </w:tc>
        <w:tc>
          <w:tcPr>
            <w:tcW w:type="dxa" w:w="2448"/>
          </w:tcPr>
          <w:p>
            <w:pPr>
              <w:spacing w:after="20"/>
              <w:jc w:val="right"/>
            </w:pPr>
            <w:r>
              <w:rPr>
                <w:color w:val="1C3A36"/>
                <w:sz w:val="17"/>
              </w:rPr>
              <w:t>Two-stage FCFF DCF</w:t>
            </w:r>
          </w:p>
        </w:tc>
        <w:tc>
          <w:tcPr>
            <w:tcW w:type="dxa" w:w="3168"/>
          </w:tcPr>
          <w:p>
            <w:pPr>
              <w:spacing w:after="20"/>
              <w:jc w:val="right"/>
            </w:pPr>
            <w:r>
              <w:rPr>
                <w:color w:val="1C3A36"/>
                <w:sz w:val="17"/>
              </w:rPr>
              <w:t>The Egyptian rate path</w:t>
            </w:r>
          </w:p>
        </w:tc>
        <w:tc>
          <w:tcPr>
            <w:tcW w:type="dxa" w:w="864"/>
          </w:tcPr>
          <w:p>
            <w:pPr>
              <w:spacing w:after="20"/>
              <w:jc w:val="right"/>
            </w:pPr>
            <w:r>
              <w:rPr>
                <w:color w:val="1C3A36"/>
                <w:sz w:val="17"/>
              </w:rPr>
              <w:t>3.85</w:t>
            </w:r>
          </w:p>
        </w:tc>
        <w:tc>
          <w:tcPr>
            <w:tcW w:type="dxa" w:w="864"/>
          </w:tcPr>
          <w:p>
            <w:pPr>
              <w:spacing w:after="20"/>
              <w:jc w:val="right"/>
            </w:pPr>
            <w:r>
              <w:rPr>
                <w:color w:val="1C3A36"/>
                <w:sz w:val="17"/>
              </w:rPr>
              <w:t>7.17</w:t>
            </w:r>
          </w:p>
        </w:tc>
        <w:tc>
          <w:tcPr>
            <w:tcW w:type="dxa" w:w="864"/>
          </w:tcPr>
          <w:p>
            <w:pPr>
              <w:spacing w:after="20"/>
              <w:jc w:val="right"/>
            </w:pPr>
            <w:r>
              <w:rPr>
                <w:color w:val="1C3A36"/>
                <w:sz w:val="17"/>
              </w:rPr>
              <w:t>8.12</w:t>
            </w:r>
          </w:p>
        </w:tc>
      </w:tr>
      <w:tr>
        <w:tc>
          <w:tcPr>
            <w:tcW w:type="dxa" w:w="1368"/>
          </w:tcPr>
          <w:p>
            <w:pPr>
              <w:spacing w:after="20"/>
            </w:pPr>
            <w:r>
              <w:rPr>
                <w:b/>
                <w:color w:val="1C3A36"/>
                <w:sz w:val="17"/>
              </w:rPr>
              <w:t>Expert 2</w:t>
            </w:r>
          </w:p>
        </w:tc>
        <w:tc>
          <w:tcPr>
            <w:tcW w:type="dxa" w:w="2448"/>
          </w:tcPr>
          <w:p>
            <w:pPr>
              <w:spacing w:after="20"/>
              <w:jc w:val="right"/>
            </w:pPr>
            <w:r>
              <w:rPr>
                <w:color w:val="1C3A36"/>
                <w:sz w:val="17"/>
              </w:rPr>
              <w:t>EV per operational bed</w:t>
            </w:r>
          </w:p>
        </w:tc>
        <w:tc>
          <w:tcPr>
            <w:tcW w:type="dxa" w:w="3168"/>
          </w:tcPr>
          <w:p>
            <w:pPr>
              <w:spacing w:after="20"/>
              <w:jc w:val="right"/>
            </w:pPr>
            <w:r>
              <w:rPr>
                <w:color w:val="1C3A36"/>
                <w:sz w:val="17"/>
              </w:rPr>
              <w:t>What a buyer pays for capacity</w:t>
            </w:r>
          </w:p>
        </w:tc>
        <w:tc>
          <w:tcPr>
            <w:tcW w:type="dxa" w:w="864"/>
          </w:tcPr>
          <w:p>
            <w:pPr>
              <w:spacing w:after="20"/>
              <w:jc w:val="right"/>
            </w:pPr>
            <w:r>
              <w:rPr>
                <w:color w:val="1C3A36"/>
                <w:sz w:val="17"/>
              </w:rPr>
              <w:t>6.46</w:t>
            </w:r>
          </w:p>
        </w:tc>
        <w:tc>
          <w:tcPr>
            <w:tcW w:type="dxa" w:w="864"/>
          </w:tcPr>
          <w:p>
            <w:pPr>
              <w:spacing w:after="20"/>
              <w:jc w:val="right"/>
            </w:pPr>
            <w:r>
              <w:rPr>
                <w:color w:val="1C3A36"/>
                <w:sz w:val="17"/>
              </w:rPr>
              <w:t>9.08</w:t>
            </w:r>
          </w:p>
        </w:tc>
        <w:tc>
          <w:tcPr>
            <w:tcW w:type="dxa" w:w="864"/>
          </w:tcPr>
          <w:p>
            <w:pPr>
              <w:spacing w:after="20"/>
              <w:jc w:val="right"/>
            </w:pPr>
            <w:r>
              <w:rPr>
                <w:color w:val="1C3A36"/>
                <w:sz w:val="17"/>
              </w:rPr>
              <w:t>11.70</w:t>
            </w:r>
          </w:p>
        </w:tc>
      </w:tr>
      <w:tr>
        <w:tc>
          <w:tcPr>
            <w:tcW w:type="dxa" w:w="1368"/>
          </w:tcPr>
          <w:p>
            <w:pPr>
              <w:spacing w:after="20"/>
            </w:pPr>
            <w:r>
              <w:rPr>
                <w:b/>
                <w:color w:val="1C3A36"/>
                <w:sz w:val="17"/>
              </w:rPr>
              <w:t>Expert 3</w:t>
            </w:r>
          </w:p>
        </w:tc>
        <w:tc>
          <w:tcPr>
            <w:tcW w:type="dxa" w:w="2448"/>
          </w:tcPr>
          <w:p>
            <w:pPr>
              <w:spacing w:after="20"/>
              <w:jc w:val="right"/>
            </w:pPr>
            <w:r>
              <w:rPr>
                <w:color w:val="1C3A36"/>
                <w:sz w:val="17"/>
              </w:rPr>
              <w:t>Normalized earnings power</w:t>
            </w:r>
          </w:p>
        </w:tc>
        <w:tc>
          <w:tcPr>
            <w:tcW w:type="dxa" w:w="3168"/>
          </w:tcPr>
          <w:p>
            <w:pPr>
              <w:spacing w:after="20"/>
              <w:jc w:val="right"/>
            </w:pPr>
            <w:r>
              <w:rPr>
                <w:color w:val="1C3A36"/>
                <w:sz w:val="17"/>
              </w:rPr>
              <w:t>What the engine earns through the cycle</w:t>
            </w:r>
          </w:p>
        </w:tc>
        <w:tc>
          <w:tcPr>
            <w:tcW w:type="dxa" w:w="864"/>
          </w:tcPr>
          <w:p>
            <w:pPr>
              <w:spacing w:after="20"/>
              <w:jc w:val="right"/>
            </w:pPr>
            <w:r>
              <w:rPr>
                <w:color w:val="1C3A36"/>
                <w:sz w:val="17"/>
              </w:rPr>
              <w:t>6.97</w:t>
            </w:r>
          </w:p>
        </w:tc>
        <w:tc>
          <w:tcPr>
            <w:tcW w:type="dxa" w:w="864"/>
          </w:tcPr>
          <w:p>
            <w:pPr>
              <w:spacing w:after="20"/>
              <w:jc w:val="right"/>
            </w:pPr>
            <w:r>
              <w:rPr>
                <w:color w:val="1C3A36"/>
                <w:sz w:val="17"/>
              </w:rPr>
              <w:t>8.37</w:t>
            </w:r>
          </w:p>
        </w:tc>
        <w:tc>
          <w:tcPr>
            <w:tcW w:type="dxa" w:w="864"/>
          </w:tcPr>
          <w:p>
            <w:pPr>
              <w:spacing w:after="20"/>
              <w:jc w:val="right"/>
            </w:pPr>
            <w:r>
              <w:rPr>
                <w:color w:val="1C3A36"/>
                <w:sz w:val="17"/>
              </w:rPr>
              <w:t>10.23</w:t>
            </w:r>
          </w:p>
        </w:tc>
      </w:tr>
      <w:tr>
        <w:tc>
          <w:tcPr>
            <w:tcW w:type="dxa" w:w="1368"/>
            <w:shd w:val="clear" w:color="auto" w:fill="F6F1E6"/>
          </w:tcPr>
          <w:p>
            <w:pPr>
              <w:spacing w:after="20"/>
            </w:pPr>
            <w:r>
              <w:rPr>
                <w:b/>
                <w:color w:val="1C3A36"/>
                <w:sz w:val="17"/>
              </w:rPr>
              <w:t>Spot</w:t>
            </w:r>
          </w:p>
        </w:tc>
        <w:tc>
          <w:tcPr>
            <w:tcW w:type="dxa" w:w="2448"/>
            <w:shd w:val="clear" w:color="auto" w:fill="F6F1E6"/>
          </w:tcPr>
          <w:p>
            <w:pPr>
              <w:spacing w:after="20"/>
              <w:jc w:val="right"/>
            </w:pPr>
            <w:r>
              <w:rPr>
                <w:b/>
                <w:color w:val="1C3A36"/>
                <w:sz w:val="17"/>
              </w:rPr>
              <w:t>EGX close, 2026-07-12</w:t>
            </w:r>
          </w:p>
        </w:tc>
        <w:tc>
          <w:tcPr>
            <w:tcW w:type="dxa" w:w="3168"/>
            <w:shd w:val="clear" w:color="auto" w:fill="F6F1E6"/>
          </w:tcPr>
          <w:p>
            <w:pPr>
              <w:spacing w:after="20"/>
              <w:jc w:val="right"/>
            </w:pPr>
            <w:r>
              <w:rPr>
                <w:b/>
                <w:color w:val="1C3A36"/>
                <w:sz w:val="17"/>
              </w:rPr>
              <w:t>What the market pays today</w:t>
            </w:r>
          </w:p>
        </w:tc>
        <w:tc>
          <w:tcPr>
            <w:tcW w:type="dxa" w:w="864"/>
            <w:shd w:val="clear" w:color="auto" w:fill="F6F1E6"/>
          </w:tcPr>
          <w:p>
            <w:pPr>
              <w:spacing w:after="20"/>
              <w:jc w:val="right"/>
            </w:pPr>
            <w:r>
              <w:rPr>
                <w:b/>
                <w:color w:val="1C3A36"/>
                <w:sz w:val="17"/>
              </w:rPr>
            </w:r>
          </w:p>
        </w:tc>
        <w:tc>
          <w:tcPr>
            <w:tcW w:type="dxa" w:w="864"/>
            <w:shd w:val="clear" w:color="auto" w:fill="F6F1E6"/>
          </w:tcPr>
          <w:p>
            <w:pPr>
              <w:spacing w:after="20"/>
              <w:jc w:val="right"/>
            </w:pPr>
            <w:r>
              <w:rPr>
                <w:b/>
                <w:color w:val="1C3A36"/>
                <w:sz w:val="17"/>
              </w:rPr>
              <w:t>16.31</w:t>
            </w:r>
          </w:p>
        </w:tc>
        <w:tc>
          <w:tcPr>
            <w:tcW w:type="dxa" w:w="864"/>
            <w:shd w:val="clear" w:color="auto" w:fill="F6F1E6"/>
          </w:tcPr>
          <w:p>
            <w:pPr>
              <w:spacing w:after="20"/>
              <w:jc w:val="right"/>
            </w:pPr>
            <w:r>
              <w:rPr>
                <w:b/>
                <w:color w:val="1C3A36"/>
                <w:sz w:val="17"/>
              </w:rPr>
            </w:r>
          </w:p>
        </w:tc>
      </w:tr>
    </w:tbl>
    <w:p>
      <w:pPr>
        <w:spacing w:after="40"/>
      </w:pPr>
    </w:p>
    <w:p>
      <w:pPr>
        <w:spacing w:after="200" w:before="0"/>
      </w:pPr>
      <w:r>
        <w:rPr>
          <w:b w:val="0"/>
          <w:i/>
          <w:color w:val="6E7B77"/>
          <w:sz w:val="17"/>
        </w:rPr>
        <w:t>All values EGP per share.</w:t>
      </w:r>
    </w:p>
    <w:p>
      <w:pPr>
        <w:spacing w:after="80" w:before="200"/>
      </w:pPr>
      <w:r>
        <w:rPr>
          <w:b/>
          <w:i w:val="0"/>
          <w:color w:val="1C3A36"/>
          <w:sz w:val="24"/>
        </w:rPr>
        <w:t>C.5 · Reading the divergence</w:t>
      </w:r>
    </w:p>
    <w:p>
      <w:pPr>
        <w:spacing w:after="120" w:before="0"/>
      </w:pPr>
      <w:r>
        <w:rPr>
          <w:b w:val="0"/>
          <w:i w:val="0"/>
          <w:color w:val="1C3A36"/>
          <w:sz w:val="21"/>
        </w:rPr>
        <w:t>The three do not disagree about the company — they agree on the volumes, the margins, the bed count and the balance sheet. They disagree about one thing only: what discount rate a long-duration Egyptian asset deserves, and whether that rate is a permanent fact or a temporary one. Expert 1 prices it explicitly and lands lowest in his bear case, because a 25% WACC destroys terminal value. Expert 2 sidesteps the question completely — a strategic buyer of beds does not discount cash flows at the Egyptian policy rate, which is precisely why his number is the highest and why management can credibly complain about the per-bed discount. Expert 3 lands in between by refusing to capitalise a temporary interest burden. That spread is not noise to be averaged away: it is the finding. Whoever is right about the Egyptian rate path is right about CLHO, and no amount of modelling detail substitutes for that call — which is why the study blends the lenses at declared weights instead of pretending to know.</w:t>
      </w:r>
    </w:p>
    <w:p>
      <w:pPr>
        <w:spacing w:after="200" w:before="0"/>
      </w:pPr>
      <w:r>
        <w:rPr>
          <w:b w:val="0"/>
          <w:i/>
          <w:color w:val="6E7B77"/>
          <w:sz w:val="17"/>
        </w:rPr>
        <w:t>Each expert’s base and range is logged with the study date (13 July 2026) and spot (EGP 16.31) as an internal per-expert track record, kept separate from the public Calibration Ledger.</w:t>
      </w:r>
    </w:p>
    <w:p>
      <w:pPr>
        <w:spacing w:after="120" w:before="280"/>
      </w:pPr>
      <w:r>
        <w:rPr>
          <w:b/>
          <w:i w:val="0"/>
          <w:color w:val="1C3A36"/>
          <w:sz w:val="30"/>
        </w:rPr>
        <w:t>About this series</w:t>
      </w:r>
    </w:p>
    <w:p>
      <w:pPr>
        <w:spacing w:after="120" w:before="0"/>
      </w:pPr>
      <w:r>
        <w:rPr>
          <w:b w:val="0"/>
          <w:i w:val="0"/>
          <w:color w:val="1C3A36"/>
          <w:sz w:val="21"/>
        </w:rPr>
        <w:t>Testahil publishes independent, educational valuation studies on Egyptian, Gulf and international equities and on metals. Each study integrates three lenses — fundamental valuation, technical context and a calibrated Monte Carlo distribution — and every published forecast is graded against its outcome in a public Calibration Ledger when it matures. The ledger is append-only: nothing is retro-edited, including the misses. The house discipline is distributions, not tips — fair-value ranges and probabilities, never a rating and never a price target.</w:t>
      </w:r>
    </w:p>
    <w:p>
      <w:pPr>
        <w:spacing w:after="120" w:before="280"/>
      </w:pPr>
      <w:r>
        <w:rPr>
          <w:b/>
          <w:i w:val="0"/>
          <w:color w:val="1C3A36"/>
          <w:sz w:val="30"/>
        </w:rPr>
        <w:t>Disclosure &amp; Disclaimer</w:t>
      </w:r>
    </w:p>
    <w:p>
      <w:pPr>
        <w:spacing w:after="100" w:before="0"/>
      </w:pPr>
      <w:r>
        <w:rPr>
          <w:b/>
          <w:i w:val="0"/>
          <w:color w:val="1C3A36"/>
          <w:sz w:val="18"/>
        </w:rPr>
        <w:t xml:space="preserve">1 · Nature of this document.  </w:t>
      </w:r>
      <w:r>
        <w:rPr>
          <w:b w:val="0"/>
          <w:i w:val="0"/>
          <w:color w:val="1C3A36"/>
          <w:sz w:val="18"/>
        </w:rPr>
        <w:t>This is an educational valuation study, published free of charge for information and to invite scrutiny of its methodology. It is not investment advice, not a recommendation or solicitation, not a research report prepared by a licensed entity, and not directed at the circumstances of any reader.</w:t>
      </w:r>
    </w:p>
    <w:p>
      <w:pPr>
        <w:spacing w:after="100" w:before="0"/>
      </w:pPr>
      <w:r>
        <w:rPr>
          <w:b/>
          <w:i w:val="0"/>
          <w:color w:val="1C3A36"/>
          <w:sz w:val="18"/>
        </w:rPr>
        <w:t xml:space="preserve">2 · No regulatory licence; no advisory relationship.  </w:t>
      </w:r>
      <w:r>
        <w:rPr>
          <w:b w:val="0"/>
          <w:i w:val="0"/>
          <w:color w:val="1C3A36"/>
          <w:sz w:val="18"/>
        </w:rPr>
        <w:t>The preparer is not registered or licensed with the Egyptian Financial Regulatory Authority (FRA) or any other securities regulator in any jurisdiction, holds no brokerage or investment-advisory authorisation, manages no money, accepts no clients or fees, and is not acting as your adviser or fiduciary.</w:t>
      </w:r>
    </w:p>
    <w:p>
      <w:pPr>
        <w:spacing w:after="100" w:before="0"/>
      </w:pPr>
      <w:r>
        <w:rPr>
          <w:b/>
          <w:i w:val="0"/>
          <w:color w:val="1C3A36"/>
          <w:sz w:val="18"/>
        </w:rPr>
        <w:t xml:space="preserve">3 · No rating, no price target.  </w:t>
      </w:r>
      <w:r>
        <w:rPr>
          <w:b w:val="0"/>
          <w:i w:val="0"/>
          <w:color w:val="1C3A36"/>
          <w:sz w:val="18"/>
        </w:rPr>
        <w:t>This study never issues a buy, sell or hold rating and never sets a price target. It presents fair-value ranges and a probability distribution which are model outputs under stated assumptions, and which may be wrong.</w:t>
      </w:r>
    </w:p>
    <w:p>
      <w:pPr>
        <w:spacing w:after="100" w:before="0"/>
      </w:pPr>
      <w:r>
        <w:rPr>
          <w:b/>
          <w:i w:val="0"/>
          <w:color w:val="1C3A36"/>
          <w:sz w:val="18"/>
        </w:rPr>
        <w:t xml:space="preserve">4 · Holdings disclosure.  </w:t>
      </w:r>
      <w:r>
        <w:rPr>
          <w:b w:val="0"/>
          <w:i w:val="0"/>
          <w:color w:val="1C3A36"/>
          <w:sz w:val="18"/>
        </w:rPr>
        <w:t>The preparer may hold, and may in future take or dispose of, a position in Cleopatra Hospitals Group or related securities, and may transact at any time without notice. This is a potential conflict of interest which you should weigh. No compensation has been received from the company or any third party for preparing this study.</w:t>
      </w:r>
    </w:p>
    <w:p>
      <w:pPr>
        <w:spacing w:after="100" w:before="0"/>
      </w:pPr>
      <w:r>
        <w:rPr>
          <w:b/>
          <w:i w:val="0"/>
          <w:color w:val="1C3A36"/>
          <w:sz w:val="18"/>
        </w:rPr>
        <w:t xml:space="preserve">5 · Sources and accuracy.  </w:t>
      </w:r>
      <w:r>
        <w:rPr>
          <w:b w:val="0"/>
          <w:i w:val="0"/>
          <w:color w:val="1C3A36"/>
          <w:sz w:val="18"/>
        </w:rPr>
        <w:t>Reported financial and operating figures are drawn from the company’s own public disclosure (FY2023–FY2025 and 1Q2026 earnings releases) and from public macroeconomic sources believed reliable but not independently verified. Forward-looking inputs — the growth, margin, capex and rate-path assumptions, the multiple bands, the per-bed marks and the Monte Carlo parameters — are the preparer’s own judgments, are logged in the Driver Ledger, and are inherently uncertain.</w:t>
      </w:r>
    </w:p>
    <w:p>
      <w:pPr>
        <w:spacing w:after="100" w:before="0"/>
      </w:pPr>
      <w:r>
        <w:rPr>
          <w:b/>
          <w:i w:val="0"/>
          <w:color w:val="1C3A36"/>
          <w:sz w:val="18"/>
        </w:rPr>
        <w:t xml:space="preserve">6 · No reliance; your responsibility.  </w:t>
      </w:r>
      <w:r>
        <w:rPr>
          <w:b w:val="0"/>
          <w:i w:val="0"/>
          <w:color w:val="1C3A36"/>
          <w:sz w:val="18"/>
        </w:rPr>
        <w:t>Markets involve the risk of loss. Modelled scenarios and past performance do not predict future results. Do your own research and consult a licensed financial adviser before making any investment decision. You are solely responsible for your decisions and their outcomes; to the maximum extent permitted by law the preparer accepts no liability for any loss arising from use of this document.</w:t>
      </w:r>
    </w:p>
    <w:p>
      <w:pPr>
        <w:spacing w:after="100" w:before="0"/>
      </w:pPr>
      <w:r>
        <w:rPr>
          <w:b w:val="0"/>
          <w:i w:val="0"/>
          <w:color w:val="1C3A36"/>
          <w:sz w:val="18"/>
        </w:rPr>
        <w:t>Currency and figures: Egyptian pounds (EGP), millions unless stated; bn denotes billion. Rounding may cause totals to differ slightly. Spot price and market data are as of the 12 July 2026 close and change continuously.</w:t>
      </w:r>
    </w:p>
    <w:p>
      <w:pPr>
        <w:spacing w:after="120" w:before="200"/>
        <w:jc w:val="center"/>
      </w:pPr>
      <w:r>
        <w:rPr>
          <w:b w:val="0"/>
          <w:i w:val="0"/>
          <w:color w:val="6E7B77"/>
          <w:sz w:val="17"/>
        </w:rPr>
        <w:t>TESTAHIL · Independent Valuation Study · Educational Analysis · Cleopatra Hospitals Group S.A.E. (EGX: CLHO) · edition 13-07-2026 · reporting currency EGP</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