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2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53.21, and the cross-checks around it span EGP 45.65 to EGP 65.57, against a market price of EGP 77.00 — -30.9%.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53.21</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c>
          <w:tcPr>
            <w:tcW w:type="dxa" w:w="1699"/>
            <w:shd w:val="clear" w:color="auto" w:fill="F6F1E6"/>
          </w:tcPr>
          <w:p>
            <w:pPr>
              <w:spacing w:after="20"/>
              <w:jc w:val="right"/>
            </w:pPr>
            <w:r>
              <w:rPr>
                <w:b/>
                <w:color w:val="1C3A36"/>
                <w:sz w:val="18"/>
              </w:rPr>
              <w:t>41.4%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51.90;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+7.7%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58.49 against 53.21 on the adopted one, a difference of +9.9%.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61.50</w:t>
            </w:r>
          </w:p>
        </w:tc>
        <w:tc>
          <w:tcPr>
            <w:tcW w:type="dxa" w:w="1391"/>
          </w:tcPr>
          <w:p>
            <w:pPr>
              <w:spacing w:after="20"/>
              <w:jc w:val="right"/>
            </w:pPr>
            <w:r>
              <w:rPr>
                <w:color w:val="1C3A36"/>
                <w:sz w:val="18"/>
              </w:rPr>
              <w:t>55.74</w:t>
            </w:r>
          </w:p>
        </w:tc>
        <w:tc>
          <w:tcPr>
            <w:tcW w:type="dxa" w:w="1391"/>
          </w:tcPr>
          <w:p>
            <w:pPr>
              <w:spacing w:after="20"/>
              <w:jc w:val="right"/>
            </w:pPr>
            <w:r>
              <w:rPr>
                <w:color w:val="1C3A36"/>
                <w:sz w:val="18"/>
              </w:rPr>
              <w:t>51.20</w:t>
            </w:r>
          </w:p>
        </w:tc>
        <w:tc>
          <w:tcPr>
            <w:tcW w:type="dxa" w:w="1391"/>
          </w:tcPr>
          <w:p>
            <w:pPr>
              <w:spacing w:after="20"/>
              <w:jc w:val="right"/>
            </w:pPr>
            <w:r>
              <w:rPr>
                <w:color w:val="1C3A36"/>
                <w:sz w:val="18"/>
              </w:rPr>
              <w:t>48.36</w:t>
            </w:r>
          </w:p>
        </w:tc>
        <w:tc>
          <w:tcPr>
            <w:tcW w:type="dxa" w:w="1391"/>
          </w:tcPr>
          <w:p>
            <w:pPr>
              <w:spacing w:after="20"/>
              <w:jc w:val="right"/>
            </w:pPr>
            <w:r>
              <w:rPr>
                <w:color w:val="1C3A36"/>
                <w:sz w:val="18"/>
              </w:rPr>
              <w:t>45.90</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7,983</w:t>
            </w:r>
          </w:p>
        </w:tc>
        <w:tc>
          <w:tcPr>
            <w:tcW w:type="dxa" w:w="2160"/>
          </w:tcPr>
          <w:p>
            <w:pPr>
              <w:spacing w:after="20"/>
              <w:jc w:val="right"/>
            </w:pPr>
            <w:r>
              <w:rPr>
                <w:color w:val="1C3A36"/>
                <w:sz w:val="18"/>
              </w:rPr>
              <w:t>21.29</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19,259</w:t>
            </w:r>
          </w:p>
        </w:tc>
        <w:tc>
          <w:tcPr>
            <w:tcW w:type="dxa" w:w="2160"/>
            <w:shd w:val="clear" w:color="auto" w:fill="F6F1E6"/>
          </w:tcPr>
          <w:p>
            <w:pPr>
              <w:spacing w:after="20"/>
              <w:jc w:val="right"/>
            </w:pPr>
            <w:r>
              <w:rPr>
                <w:b/>
                <w:color w:val="1C3A36"/>
                <w:sz w:val="18"/>
              </w:rPr>
              <w:t>51.38</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19,946</w:t>
            </w:r>
          </w:p>
        </w:tc>
        <w:tc>
          <w:tcPr>
            <w:tcW w:type="dxa" w:w="2160"/>
            <w:shd w:val="clear" w:color="auto" w:fill="F6F1E6"/>
          </w:tcPr>
          <w:p>
            <w:pPr>
              <w:spacing w:after="20"/>
              <w:jc w:val="right"/>
            </w:pPr>
            <w:r>
              <w:rPr>
                <w:b/>
                <w:color w:val="1C3A36"/>
                <w:sz w:val="18"/>
              </w:rPr>
              <w:t>53.21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41.4%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-30.9%</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0.0011% of equity value. The subsidiaries are 99% to 99.99% owned.</w:t>
      </w:r>
    </w:p>
    <w:p>
      <w:pPr>
        <w:spacing w:after="120" w:before="0"/>
      </w:pPr>
      <w:r>
        <w:rPr>
          <w:b w:val="0"/>
          <w:i w:val="0"/>
          <w:color w:val="1C3A36"/>
          <w:sz w:val="21"/>
        </w:rPr>
        <w:t>At 41.4%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terminal return on capital is 11.3% and the reinvestment rate that 7% growth requires is 62.2%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11.3% against a terminal rate of 18.3%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15.50%. This company sits at 10.52% — 498 basis points BELOW it. Growth therefore DESTROYS value: the cash-flow lens is EGP 60.90 at 3% terminal growth and EGP 53.21 at 7%, so four extra points of perpetual growth take the value DOWN by 12.6%.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62.87</w:t>
            </w:r>
          </w:p>
        </w:tc>
        <w:tc>
          <w:tcPr>
            <w:tcW w:type="dxa" w:w="1469"/>
          </w:tcPr>
          <w:p>
            <w:pPr>
              <w:spacing w:after="20"/>
              <w:jc w:val="right"/>
            </w:pPr>
            <w:r>
              <w:rPr>
                <w:color w:val="1C3A36"/>
                <w:sz w:val="18"/>
              </w:rPr>
              <w:t>61.29</w:t>
            </w:r>
          </w:p>
        </w:tc>
        <w:tc>
          <w:tcPr>
            <w:tcW w:type="dxa" w:w="1469"/>
          </w:tcPr>
          <w:p>
            <w:pPr>
              <w:spacing w:after="20"/>
              <w:jc w:val="right"/>
            </w:pPr>
            <w:r>
              <w:rPr>
                <w:color w:val="1C3A36"/>
                <w:sz w:val="18"/>
              </w:rPr>
              <w:t>59.47</w:t>
            </w:r>
          </w:p>
        </w:tc>
        <w:tc>
          <w:tcPr>
            <w:tcW w:type="dxa" w:w="1469"/>
          </w:tcPr>
          <w:p>
            <w:pPr>
              <w:spacing w:after="20"/>
              <w:jc w:val="right"/>
            </w:pPr>
            <w:r>
              <w:rPr>
                <w:color w:val="1C3A36"/>
                <w:sz w:val="18"/>
              </w:rPr>
              <w:t>57.36</w:t>
            </w:r>
          </w:p>
        </w:tc>
        <w:tc>
          <w:tcPr>
            <w:tcW w:type="dxa" w:w="1469"/>
          </w:tcPr>
          <w:p>
            <w:pPr>
              <w:spacing w:after="20"/>
              <w:jc w:val="right"/>
            </w:pPr>
            <w:r>
              <w:rPr>
                <w:color w:val="1C3A36"/>
                <w:sz w:val="18"/>
              </w:rPr>
              <w:t>54.88</w:t>
            </w:r>
          </w:p>
        </w:tc>
      </w:tr>
      <w:tr>
        <w:tc>
          <w:tcPr>
            <w:tcW w:type="dxa" w:w="2477"/>
          </w:tcPr>
          <w:p>
            <w:pPr>
              <w:spacing w:after="20"/>
            </w:pPr>
            <w:r>
              <w:rPr>
                <w:color w:val="1C3A36"/>
                <w:sz w:val="18"/>
              </w:rPr>
              <w:t>26.10%</w:t>
            </w:r>
          </w:p>
        </w:tc>
        <w:tc>
          <w:tcPr>
            <w:tcW w:type="dxa" w:w="1469"/>
          </w:tcPr>
          <w:p>
            <w:pPr>
              <w:spacing w:after="20"/>
              <w:jc w:val="right"/>
            </w:pPr>
            <w:r>
              <w:rPr>
                <w:color w:val="1C3A36"/>
                <w:sz w:val="18"/>
              </w:rPr>
              <w:t>61.87</w:t>
            </w:r>
          </w:p>
        </w:tc>
        <w:tc>
          <w:tcPr>
            <w:tcW w:type="dxa" w:w="1469"/>
          </w:tcPr>
          <w:p>
            <w:pPr>
              <w:spacing w:after="20"/>
              <w:jc w:val="right"/>
            </w:pPr>
            <w:r>
              <w:rPr>
                <w:color w:val="1C3A36"/>
                <w:sz w:val="18"/>
              </w:rPr>
              <w:t>60.32</w:t>
            </w:r>
          </w:p>
        </w:tc>
        <w:tc>
          <w:tcPr>
            <w:tcW w:type="dxa" w:w="1469"/>
          </w:tcPr>
          <w:p>
            <w:pPr>
              <w:spacing w:after="20"/>
              <w:jc w:val="right"/>
            </w:pPr>
            <w:r>
              <w:rPr>
                <w:color w:val="1C3A36"/>
                <w:sz w:val="18"/>
              </w:rPr>
              <w:t>58.54</w:t>
            </w:r>
          </w:p>
        </w:tc>
        <w:tc>
          <w:tcPr>
            <w:tcW w:type="dxa" w:w="1469"/>
          </w:tcPr>
          <w:p>
            <w:pPr>
              <w:spacing w:after="20"/>
              <w:jc w:val="right"/>
            </w:pPr>
            <w:r>
              <w:rPr>
                <w:color w:val="1C3A36"/>
                <w:sz w:val="18"/>
              </w:rPr>
              <w:t>56.47</w:t>
            </w:r>
          </w:p>
        </w:tc>
        <w:tc>
          <w:tcPr>
            <w:tcW w:type="dxa" w:w="1469"/>
          </w:tcPr>
          <w:p>
            <w:pPr>
              <w:spacing w:after="20"/>
              <w:jc w:val="right"/>
            </w:pPr>
            <w:r>
              <w:rPr>
                <w:color w:val="1C3A36"/>
                <w:sz w:val="18"/>
              </w:rPr>
              <w:t>54.04</w:t>
            </w:r>
          </w:p>
        </w:tc>
      </w:tr>
      <w:tr>
        <w:tc>
          <w:tcPr>
            <w:tcW w:type="dxa" w:w="2477"/>
          </w:tcPr>
          <w:p>
            <w:pPr>
              <w:spacing w:after="20"/>
            </w:pPr>
            <w:r>
              <w:rPr>
                <w:color w:val="1C3A36"/>
                <w:sz w:val="18"/>
              </w:rPr>
              <w:t>27.60%</w:t>
            </w:r>
          </w:p>
        </w:tc>
        <w:tc>
          <w:tcPr>
            <w:tcW w:type="dxa" w:w="1469"/>
          </w:tcPr>
          <w:p>
            <w:pPr>
              <w:spacing w:after="20"/>
              <w:jc w:val="right"/>
            </w:pPr>
            <w:r>
              <w:rPr>
                <w:color w:val="1C3A36"/>
                <w:sz w:val="18"/>
              </w:rPr>
              <w:t>60.90</w:t>
            </w:r>
          </w:p>
        </w:tc>
        <w:tc>
          <w:tcPr>
            <w:tcW w:type="dxa" w:w="1469"/>
          </w:tcPr>
          <w:p>
            <w:pPr>
              <w:spacing w:after="20"/>
              <w:jc w:val="right"/>
            </w:pPr>
            <w:r>
              <w:rPr>
                <w:color w:val="1C3A36"/>
                <w:sz w:val="18"/>
              </w:rPr>
              <w:t>59.38</w:t>
            </w:r>
          </w:p>
        </w:tc>
        <w:tc>
          <w:tcPr>
            <w:tcW w:type="dxa" w:w="1469"/>
          </w:tcPr>
          <w:p>
            <w:pPr>
              <w:spacing w:after="20"/>
              <w:jc w:val="right"/>
            </w:pPr>
            <w:r>
              <w:rPr>
                <w:color w:val="1C3A36"/>
                <w:sz w:val="18"/>
              </w:rPr>
              <w:t>57.63</w:t>
            </w:r>
          </w:p>
        </w:tc>
        <w:tc>
          <w:tcPr>
            <w:tcW w:type="dxa" w:w="1469"/>
          </w:tcPr>
          <w:p>
            <w:pPr>
              <w:spacing w:after="20"/>
              <w:jc w:val="right"/>
            </w:pPr>
            <w:r>
              <w:rPr>
                <w:color w:val="1C3A36"/>
                <w:sz w:val="18"/>
              </w:rPr>
              <w:t>55.60</w:t>
            </w:r>
          </w:p>
        </w:tc>
        <w:tc>
          <w:tcPr>
            <w:tcW w:type="dxa" w:w="1469"/>
          </w:tcPr>
          <w:p>
            <w:pPr>
              <w:spacing w:after="20"/>
              <w:jc w:val="right"/>
            </w:pPr>
            <w:r>
              <w:rPr>
                <w:color w:val="1C3A36"/>
                <w:sz w:val="18"/>
              </w:rPr>
              <w:t>53.21</w:t>
            </w:r>
          </w:p>
        </w:tc>
      </w:tr>
      <w:tr>
        <w:tc>
          <w:tcPr>
            <w:tcW w:type="dxa" w:w="2477"/>
          </w:tcPr>
          <w:p>
            <w:pPr>
              <w:spacing w:after="20"/>
            </w:pPr>
            <w:r>
              <w:rPr>
                <w:color w:val="1C3A36"/>
                <w:sz w:val="18"/>
              </w:rPr>
              <w:t>29.10%</w:t>
            </w:r>
          </w:p>
        </w:tc>
        <w:tc>
          <w:tcPr>
            <w:tcW w:type="dxa" w:w="1469"/>
          </w:tcPr>
          <w:p>
            <w:pPr>
              <w:spacing w:after="20"/>
              <w:jc w:val="right"/>
            </w:pPr>
            <w:r>
              <w:rPr>
                <w:color w:val="1C3A36"/>
                <w:sz w:val="18"/>
              </w:rPr>
              <w:t>59.95</w:t>
            </w:r>
          </w:p>
        </w:tc>
        <w:tc>
          <w:tcPr>
            <w:tcW w:type="dxa" w:w="1469"/>
          </w:tcPr>
          <w:p>
            <w:pPr>
              <w:spacing w:after="20"/>
              <w:jc w:val="right"/>
            </w:pPr>
            <w:r>
              <w:rPr>
                <w:color w:val="1C3A36"/>
                <w:sz w:val="18"/>
              </w:rPr>
              <w:t>58.45</w:t>
            </w:r>
          </w:p>
        </w:tc>
        <w:tc>
          <w:tcPr>
            <w:tcW w:type="dxa" w:w="1469"/>
          </w:tcPr>
          <w:p>
            <w:pPr>
              <w:spacing w:after="20"/>
              <w:jc w:val="right"/>
            </w:pPr>
            <w:r>
              <w:rPr>
                <w:color w:val="1C3A36"/>
                <w:sz w:val="18"/>
              </w:rPr>
              <w:t>56.74</w:t>
            </w:r>
          </w:p>
        </w:tc>
        <w:tc>
          <w:tcPr>
            <w:tcW w:type="dxa" w:w="1469"/>
          </w:tcPr>
          <w:p>
            <w:pPr>
              <w:spacing w:after="20"/>
              <w:jc w:val="right"/>
            </w:pPr>
            <w:r>
              <w:rPr>
                <w:color w:val="1C3A36"/>
                <w:sz w:val="18"/>
              </w:rPr>
              <w:t>54.75</w:t>
            </w:r>
          </w:p>
        </w:tc>
        <w:tc>
          <w:tcPr>
            <w:tcW w:type="dxa" w:w="1469"/>
          </w:tcPr>
          <w:p>
            <w:pPr>
              <w:spacing w:after="20"/>
              <w:jc w:val="right"/>
            </w:pPr>
            <w:r>
              <w:rPr>
                <w:color w:val="1C3A36"/>
                <w:sz w:val="18"/>
              </w:rPr>
              <w:t>52.40</w:t>
            </w:r>
          </w:p>
        </w:tc>
      </w:tr>
      <w:tr>
        <w:tc>
          <w:tcPr>
            <w:tcW w:type="dxa" w:w="2477"/>
          </w:tcPr>
          <w:p>
            <w:pPr>
              <w:spacing w:after="20"/>
            </w:pPr>
            <w:r>
              <w:rPr>
                <w:color w:val="1C3A36"/>
                <w:sz w:val="18"/>
              </w:rPr>
              <w:t>30.60%</w:t>
            </w:r>
          </w:p>
        </w:tc>
        <w:tc>
          <w:tcPr>
            <w:tcW w:type="dxa" w:w="1469"/>
          </w:tcPr>
          <w:p>
            <w:pPr>
              <w:spacing w:after="20"/>
              <w:jc w:val="right"/>
            </w:pPr>
            <w:r>
              <w:rPr>
                <w:color w:val="1C3A36"/>
                <w:sz w:val="18"/>
              </w:rPr>
              <w:t>59.02</w:t>
            </w:r>
          </w:p>
        </w:tc>
        <w:tc>
          <w:tcPr>
            <w:tcW w:type="dxa" w:w="1469"/>
          </w:tcPr>
          <w:p>
            <w:pPr>
              <w:spacing w:after="20"/>
              <w:jc w:val="right"/>
            </w:pPr>
            <w:r>
              <w:rPr>
                <w:color w:val="1C3A36"/>
                <w:sz w:val="18"/>
              </w:rPr>
              <w:t>57.56</w:t>
            </w:r>
          </w:p>
        </w:tc>
        <w:tc>
          <w:tcPr>
            <w:tcW w:type="dxa" w:w="1469"/>
          </w:tcPr>
          <w:p>
            <w:pPr>
              <w:spacing w:after="20"/>
              <w:jc w:val="right"/>
            </w:pPr>
            <w:r>
              <w:rPr>
                <w:color w:val="1C3A36"/>
                <w:sz w:val="18"/>
              </w:rPr>
              <w:t>55.87</w:t>
            </w:r>
          </w:p>
        </w:tc>
        <w:tc>
          <w:tcPr>
            <w:tcW w:type="dxa" w:w="1469"/>
          </w:tcPr>
          <w:p>
            <w:pPr>
              <w:spacing w:after="20"/>
              <w:jc w:val="right"/>
            </w:pPr>
            <w:r>
              <w:rPr>
                <w:color w:val="1C3A36"/>
                <w:sz w:val="18"/>
              </w:rPr>
              <w:t>53.92</w:t>
            </w:r>
          </w:p>
        </w:tc>
        <w:tc>
          <w:tcPr>
            <w:tcW w:type="dxa" w:w="1469"/>
          </w:tcPr>
          <w:p>
            <w:pPr>
              <w:spacing w:after="20"/>
              <w:jc w:val="right"/>
            </w:pPr>
            <w:r>
              <w:rPr>
                <w:color w:val="1C3A36"/>
                <w:sz w:val="18"/>
              </w:rPr>
              <w:t>51.62</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7.99, against EGP 3.85 down a column. The paragraphs above set out why the growth axis is nearly flat — on a replacement-cost denominator this plant sits within -498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61.50</w:t>
            </w:r>
          </w:p>
        </w:tc>
        <w:tc>
          <w:tcPr>
            <w:tcW w:type="dxa" w:w="1469"/>
          </w:tcPr>
          <w:p>
            <w:pPr>
              <w:spacing w:after="20"/>
              <w:jc w:val="right"/>
            </w:pPr>
            <w:r>
              <w:rPr>
                <w:color w:val="1C3A36"/>
                <w:sz w:val="18"/>
              </w:rPr>
              <w:t>57.88</w:t>
            </w:r>
          </w:p>
        </w:tc>
        <w:tc>
          <w:tcPr>
            <w:tcW w:type="dxa" w:w="1469"/>
          </w:tcPr>
          <w:p>
            <w:pPr>
              <w:spacing w:after="20"/>
              <w:jc w:val="right"/>
            </w:pPr>
            <w:r>
              <w:rPr>
                <w:color w:val="1C3A36"/>
                <w:sz w:val="18"/>
              </w:rPr>
              <w:t>54.88</w:t>
            </w:r>
          </w:p>
        </w:tc>
        <w:tc>
          <w:tcPr>
            <w:tcW w:type="dxa" w:w="1469"/>
          </w:tcPr>
          <w:p>
            <w:pPr>
              <w:spacing w:after="20"/>
              <w:jc w:val="right"/>
            </w:pPr>
            <w:r>
              <w:rPr>
                <w:color w:val="1C3A36"/>
                <w:sz w:val="18"/>
              </w:rPr>
              <w:t>52.35</w:t>
            </w:r>
          </w:p>
        </w:tc>
        <w:tc>
          <w:tcPr>
            <w:tcW w:type="dxa" w:w="1469"/>
          </w:tcPr>
          <w:p>
            <w:pPr>
              <w:spacing w:after="20"/>
              <w:jc w:val="right"/>
            </w:pPr>
            <w:r>
              <w:rPr>
                <w:color w:val="1C3A36"/>
                <w:sz w:val="18"/>
              </w:rPr>
              <w:t>50.17</w:t>
            </w:r>
          </w:p>
        </w:tc>
      </w:tr>
      <w:tr>
        <w:tc>
          <w:tcPr>
            <w:tcW w:type="dxa" w:w="2477"/>
          </w:tcPr>
          <w:p>
            <w:pPr>
              <w:spacing w:after="20"/>
            </w:pPr>
            <w:r>
              <w:rPr>
                <w:color w:val="1C3A36"/>
                <w:sz w:val="18"/>
              </w:rPr>
              <w:t>26.10%</w:t>
            </w:r>
          </w:p>
        </w:tc>
        <w:tc>
          <w:tcPr>
            <w:tcW w:type="dxa" w:w="1469"/>
          </w:tcPr>
          <w:p>
            <w:pPr>
              <w:spacing w:after="20"/>
              <w:jc w:val="right"/>
            </w:pPr>
            <w:r>
              <w:rPr>
                <w:color w:val="1C3A36"/>
                <w:sz w:val="18"/>
              </w:rPr>
              <w:t>60.52</w:t>
            </w:r>
          </w:p>
        </w:tc>
        <w:tc>
          <w:tcPr>
            <w:tcW w:type="dxa" w:w="1469"/>
          </w:tcPr>
          <w:p>
            <w:pPr>
              <w:spacing w:after="20"/>
              <w:jc w:val="right"/>
            </w:pPr>
            <w:r>
              <w:rPr>
                <w:color w:val="1C3A36"/>
                <w:sz w:val="18"/>
              </w:rPr>
              <w:t>56.98</w:t>
            </w:r>
          </w:p>
        </w:tc>
        <w:tc>
          <w:tcPr>
            <w:tcW w:type="dxa" w:w="1469"/>
          </w:tcPr>
          <w:p>
            <w:pPr>
              <w:spacing w:after="20"/>
              <w:jc w:val="right"/>
            </w:pPr>
            <w:r>
              <w:rPr>
                <w:color w:val="1C3A36"/>
                <w:sz w:val="18"/>
              </w:rPr>
              <w:t>54.04</w:t>
            </w:r>
          </w:p>
        </w:tc>
        <w:tc>
          <w:tcPr>
            <w:tcW w:type="dxa" w:w="1469"/>
          </w:tcPr>
          <w:p>
            <w:pPr>
              <w:spacing w:after="20"/>
              <w:jc w:val="right"/>
            </w:pPr>
            <w:r>
              <w:rPr>
                <w:color w:val="1C3A36"/>
                <w:sz w:val="18"/>
              </w:rPr>
              <w:t>51.55</w:t>
            </w:r>
          </w:p>
        </w:tc>
        <w:tc>
          <w:tcPr>
            <w:tcW w:type="dxa" w:w="1469"/>
          </w:tcPr>
          <w:p>
            <w:pPr>
              <w:spacing w:after="20"/>
              <w:jc w:val="right"/>
            </w:pPr>
            <w:r>
              <w:rPr>
                <w:color w:val="1C3A36"/>
                <w:sz w:val="18"/>
              </w:rPr>
              <w:t>49.42</w:t>
            </w:r>
          </w:p>
        </w:tc>
      </w:tr>
      <w:tr>
        <w:tc>
          <w:tcPr>
            <w:tcW w:type="dxa" w:w="2477"/>
          </w:tcPr>
          <w:p>
            <w:pPr>
              <w:spacing w:after="20"/>
            </w:pPr>
            <w:r>
              <w:rPr>
                <w:color w:val="1C3A36"/>
                <w:sz w:val="18"/>
              </w:rPr>
              <w:t>27.60%</w:t>
            </w:r>
          </w:p>
        </w:tc>
        <w:tc>
          <w:tcPr>
            <w:tcW w:type="dxa" w:w="1469"/>
          </w:tcPr>
          <w:p>
            <w:pPr>
              <w:spacing w:after="20"/>
              <w:jc w:val="right"/>
            </w:pPr>
            <w:r>
              <w:rPr>
                <w:color w:val="1C3A36"/>
                <w:sz w:val="18"/>
              </w:rPr>
              <w:t>59.56</w:t>
            </w:r>
          </w:p>
        </w:tc>
        <w:tc>
          <w:tcPr>
            <w:tcW w:type="dxa" w:w="1469"/>
          </w:tcPr>
          <w:p>
            <w:pPr>
              <w:spacing w:after="20"/>
              <w:jc w:val="right"/>
            </w:pPr>
            <w:r>
              <w:rPr>
                <w:color w:val="1C3A36"/>
                <w:sz w:val="18"/>
              </w:rPr>
              <w:t>56.09</w:t>
            </w:r>
          </w:p>
        </w:tc>
        <w:tc>
          <w:tcPr>
            <w:tcW w:type="dxa" w:w="1469"/>
          </w:tcPr>
          <w:p>
            <w:pPr>
              <w:spacing w:after="20"/>
              <w:jc w:val="right"/>
            </w:pPr>
            <w:r>
              <w:rPr>
                <w:color w:val="1C3A36"/>
                <w:sz w:val="18"/>
              </w:rPr>
              <w:t>53.21</w:t>
            </w:r>
          </w:p>
        </w:tc>
        <w:tc>
          <w:tcPr>
            <w:tcW w:type="dxa" w:w="1469"/>
          </w:tcPr>
          <w:p>
            <w:pPr>
              <w:spacing w:after="20"/>
              <w:jc w:val="right"/>
            </w:pPr>
            <w:r>
              <w:rPr>
                <w:color w:val="1C3A36"/>
                <w:sz w:val="18"/>
              </w:rPr>
              <w:t>50.77</w:t>
            </w:r>
          </w:p>
        </w:tc>
        <w:tc>
          <w:tcPr>
            <w:tcW w:type="dxa" w:w="1469"/>
          </w:tcPr>
          <w:p>
            <w:pPr>
              <w:spacing w:after="20"/>
              <w:jc w:val="right"/>
            </w:pPr>
            <w:r>
              <w:rPr>
                <w:color w:val="1C3A36"/>
                <w:sz w:val="18"/>
              </w:rPr>
              <w:t>48.69</w:t>
            </w:r>
          </w:p>
        </w:tc>
      </w:tr>
      <w:tr>
        <w:tc>
          <w:tcPr>
            <w:tcW w:type="dxa" w:w="2477"/>
          </w:tcPr>
          <w:p>
            <w:pPr>
              <w:spacing w:after="20"/>
            </w:pPr>
            <w:r>
              <w:rPr>
                <w:color w:val="1C3A36"/>
                <w:sz w:val="18"/>
              </w:rPr>
              <w:t>29.10%</w:t>
            </w:r>
          </w:p>
        </w:tc>
        <w:tc>
          <w:tcPr>
            <w:tcW w:type="dxa" w:w="1469"/>
          </w:tcPr>
          <w:p>
            <w:pPr>
              <w:spacing w:after="20"/>
              <w:jc w:val="right"/>
            </w:pPr>
            <w:r>
              <w:rPr>
                <w:color w:val="1C3A36"/>
                <w:sz w:val="18"/>
              </w:rPr>
              <w:t>58.63</w:t>
            </w:r>
          </w:p>
        </w:tc>
        <w:tc>
          <w:tcPr>
            <w:tcW w:type="dxa" w:w="1469"/>
          </w:tcPr>
          <w:p>
            <w:pPr>
              <w:spacing w:after="20"/>
              <w:jc w:val="right"/>
            </w:pPr>
            <w:r>
              <w:rPr>
                <w:color w:val="1C3A36"/>
                <w:sz w:val="18"/>
              </w:rPr>
              <w:t>55.23</w:t>
            </w:r>
          </w:p>
        </w:tc>
        <w:tc>
          <w:tcPr>
            <w:tcW w:type="dxa" w:w="1469"/>
          </w:tcPr>
          <w:p>
            <w:pPr>
              <w:spacing w:after="20"/>
              <w:jc w:val="right"/>
            </w:pPr>
            <w:r>
              <w:rPr>
                <w:color w:val="1C3A36"/>
                <w:sz w:val="18"/>
              </w:rPr>
              <w:t>52.40</w:t>
            </w:r>
          </w:p>
        </w:tc>
        <w:tc>
          <w:tcPr>
            <w:tcW w:type="dxa" w:w="1469"/>
          </w:tcPr>
          <w:p>
            <w:pPr>
              <w:spacing w:after="20"/>
              <w:jc w:val="right"/>
            </w:pPr>
            <w:r>
              <w:rPr>
                <w:color w:val="1C3A36"/>
                <w:sz w:val="18"/>
              </w:rPr>
              <w:t>50.02</w:t>
            </w:r>
          </w:p>
        </w:tc>
        <w:tc>
          <w:tcPr>
            <w:tcW w:type="dxa" w:w="1469"/>
          </w:tcPr>
          <w:p>
            <w:pPr>
              <w:spacing w:after="20"/>
              <w:jc w:val="right"/>
            </w:pPr>
            <w:r>
              <w:rPr>
                <w:color w:val="1C3A36"/>
                <w:sz w:val="18"/>
              </w:rPr>
              <w:t>47.97</w:t>
            </w:r>
          </w:p>
        </w:tc>
      </w:tr>
      <w:tr>
        <w:tc>
          <w:tcPr>
            <w:tcW w:type="dxa" w:w="2477"/>
          </w:tcPr>
          <w:p>
            <w:pPr>
              <w:spacing w:after="20"/>
            </w:pPr>
            <w:r>
              <w:rPr>
                <w:color w:val="1C3A36"/>
                <w:sz w:val="18"/>
              </w:rPr>
              <w:t>30.60%</w:t>
            </w:r>
          </w:p>
        </w:tc>
        <w:tc>
          <w:tcPr>
            <w:tcW w:type="dxa" w:w="1469"/>
          </w:tcPr>
          <w:p>
            <w:pPr>
              <w:spacing w:after="20"/>
              <w:jc w:val="right"/>
            </w:pPr>
            <w:r>
              <w:rPr>
                <w:color w:val="1C3A36"/>
                <w:sz w:val="18"/>
              </w:rPr>
              <w:t>57.73</w:t>
            </w:r>
          </w:p>
        </w:tc>
        <w:tc>
          <w:tcPr>
            <w:tcW w:type="dxa" w:w="1469"/>
          </w:tcPr>
          <w:p>
            <w:pPr>
              <w:spacing w:after="20"/>
              <w:jc w:val="right"/>
            </w:pPr>
            <w:r>
              <w:rPr>
                <w:color w:val="1C3A36"/>
                <w:sz w:val="18"/>
              </w:rPr>
              <w:t>54.39</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49.28</w:t>
            </w:r>
          </w:p>
        </w:tc>
        <w:tc>
          <w:tcPr>
            <w:tcW w:type="dxa" w:w="1469"/>
          </w:tcPr>
          <w:p>
            <w:pPr>
              <w:spacing w:after="20"/>
              <w:jc w:val="right"/>
            </w:pPr>
            <w:r>
              <w:rPr>
                <w:color w:val="1C3A36"/>
                <w:sz w:val="18"/>
              </w:rPr>
              <w:t>47.27</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53.30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58.49  (+9.9%)</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57.30  (+7.7%)</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16.55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-3.75</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-4.71</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-3.33</w:t>
            </w:r>
          </w:p>
        </w:tc>
        <w:tc>
          <w:tcPr>
            <w:tcW w:type="dxa" w:w="4320"/>
          </w:tcPr>
          <w:p>
            <w:pPr>
              <w:spacing w:after="20"/>
              <w:jc w:val="right"/>
            </w:pPr>
            <w:r>
              <w:rPr>
                <w:color w:val="1C3A36"/>
                <w:sz w:val="17"/>
              </w:rPr>
              <w:t>-4.69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53.21</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(-16.55 vs -16.55).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-21.56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+5.06.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(-3.75,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(-4.71,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(-3.33,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(-0.04,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53.21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11.29</w:t>
            </w:r>
          </w:p>
        </w:tc>
        <w:tc>
          <w:tcPr>
            <w:tcW w:type="dxa" w:w="1440"/>
            <w:shd w:val="clear" w:color="auto" w:fill="F6F1E6"/>
          </w:tcPr>
          <w:p>
            <w:pPr>
              <w:spacing w:after="20"/>
              <w:jc w:val="right"/>
            </w:pPr>
            <w:r>
              <w:rPr>
                <w:b/>
                <w:color w:val="1C3A36"/>
                <w:sz w:val="18"/>
              </w:rPr>
              <w:t>53.21</w:t>
            </w:r>
          </w:p>
        </w:tc>
        <w:tc>
          <w:tcPr>
            <w:tcW w:type="dxa" w:w="1440"/>
            <w:shd w:val="clear" w:color="auto" w:fill="F6F1E6"/>
          </w:tcPr>
          <w:p>
            <w:pPr>
              <w:spacing w:after="20"/>
              <w:jc w:val="right"/>
            </w:pPr>
            <w:r>
              <w:rPr>
                <w:b/>
                <w:color w:val="1C3A36"/>
                <w:sz w:val="18"/>
              </w:rPr>
              <w:t>53.76</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DCF (cash flow) and Asset / replacement cost, at EGP 45.65 and EGP 53.21 and EGP 65.57.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51.90; but those weights were chosen rather than tested, and an average of four methods is a fifth method nobody has checked, carrying every weakness of the weakest at whatever weight somebody typed. The value published here is the cash-flow lens alone, EGP 53.21 against EGP 77.00 — -30.9%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53.21,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15.50%, so four points of terminal growth are worth -12.6%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49.21</w:t>
            </w:r>
          </w:p>
        </w:tc>
        <w:tc>
          <w:tcPr>
            <w:tcW w:type="dxa" w:w="1325"/>
          </w:tcPr>
          <w:p>
            <w:pPr>
              <w:spacing w:after="20"/>
              <w:jc w:val="right"/>
            </w:pPr>
            <w:r>
              <w:rPr>
                <w:color w:val="1C3A36"/>
                <w:sz w:val="17"/>
              </w:rPr>
              <w:t>51.21</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55.21</w:t>
            </w:r>
          </w:p>
        </w:tc>
        <w:tc>
          <w:tcPr>
            <w:tcW w:type="dxa" w:w="1325"/>
          </w:tcPr>
          <w:p>
            <w:pPr>
              <w:spacing w:after="20"/>
              <w:jc w:val="right"/>
            </w:pPr>
            <w:r>
              <w:rPr>
                <w:color w:val="1C3A36"/>
                <w:sz w:val="17"/>
              </w:rPr>
              <w:t>57.21</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43.36</w:t>
            </w:r>
          </w:p>
        </w:tc>
        <w:tc>
          <w:tcPr>
            <w:tcW w:type="dxa" w:w="1325"/>
          </w:tcPr>
          <w:p>
            <w:pPr>
              <w:spacing w:after="20"/>
              <w:jc w:val="right"/>
            </w:pPr>
            <w:r>
              <w:rPr>
                <w:color w:val="1C3A36"/>
                <w:sz w:val="17"/>
              </w:rPr>
              <w:t>48.29</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58.13</w:t>
            </w:r>
          </w:p>
        </w:tc>
        <w:tc>
          <w:tcPr>
            <w:tcW w:type="dxa" w:w="1325"/>
          </w:tcPr>
          <w:p>
            <w:pPr>
              <w:spacing w:after="20"/>
              <w:jc w:val="right"/>
            </w:pPr>
            <w:r>
              <w:rPr>
                <w:color w:val="1C3A36"/>
                <w:sz w:val="17"/>
              </w:rPr>
              <w:t>63.06</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