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10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MID-YEAR (July 2026) vintage, spreads measured 30 June 2026. The 5-January-2026 vintage this study previously used is superseded and is named here rather than dropped</w:t>
            </w:r>
          </w:p>
        </w:tc>
        <w:tc>
          <w:tcPr>
            <w:tcW w:type="dxa" w:w="4392"/>
          </w:tcPr>
          <w:p>
            <w:pPr>
              <w:spacing w:after="20"/>
              <w:jc w:val="right"/>
            </w:pPr>
            <w:r>
              <w:rPr>
                <w:color w:val="1C3A36"/>
                <w:sz w:val="15"/>
              </w:rPr>
              <w:t>Egypt row: Moody's Caa1; adjusted default spread 5.97%; total equity risk premium 13.48% on the rating basis; sovereign credit-default-swap spread 3.42%; total equity risk premium 9.5164% on the swap basis — the basis this study adopts</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parent stake</w:t>
            </w:r>
          </w:p>
        </w:tc>
        <w:tc>
          <w:tcPr>
            <w:tcW w:type="dxa" w:w="1512"/>
          </w:tcPr>
          <w:p>
            <w:pPr>
              <w:spacing w:after="20"/>
              <w:jc w:val="right"/>
            </w:pPr>
            <w:r>
              <w:rPr>
                <w:color w:val="1C3A36"/>
                <w:sz w:val="14"/>
              </w:rPr>
              <w:t>0.5134</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Holding of Pharco Corporation for Drug Industries and Medical Appliances in EIPICO, 51.34%, as disclosed in the shareholder structure of the company's own annual report. Quotation-only: nothing in the valuation computes from it. It is registered because the study states it to a reader, twice, and a stated figure a reader cannot trace is a figure nobody can check</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(11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rating jan26</w:t>
            </w:r>
          </w:p>
        </w:tc>
        <w:tc>
          <w:tcPr>
            <w:tcW w:type="dxa" w:w="1512"/>
          </w:tcPr>
          <w:p>
            <w:pPr>
              <w:spacing w:after="20"/>
              <w:jc w:val="right"/>
            </w:pPr>
            <w:r>
              <w:rPr>
                <w:color w:val="1C3A36"/>
                <w:sz w:val="14"/>
              </w:rPr>
              <w:t>0.063725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adjusted default spread on the rating basis, JANUARY-2026 vintage of the country default-spread dataset. SUPERSEDED and carried for the audit trail only; nothing computes from it</w:t>
            </w:r>
          </w:p>
        </w:tc>
      </w:tr>
      <w:tr>
        <w:tc>
          <w:tcPr>
            <w:tcW w:type="dxa" w:w="2232"/>
          </w:tcPr>
          <w:p>
            <w:pPr>
              <w:spacing w:after="20"/>
            </w:pPr>
            <w:r>
              <w:rPr>
                <w:color w:val="1C3A36"/>
                <w:sz w:val="14"/>
              </w:rPr>
              <w:t>erp rating jan26</w:t>
            </w:r>
          </w:p>
        </w:tc>
        <w:tc>
          <w:tcPr>
            <w:tcW w:type="dxa" w:w="1512"/>
          </w:tcPr>
          <w:p>
            <w:pPr>
              <w:spacing w:after="20"/>
              <w:jc w:val="right"/>
            </w:pPr>
            <w:r>
              <w:rPr>
                <w:color w:val="1C3A36"/>
                <w:sz w:val="14"/>
              </w:rPr>
              <w:t>0.139377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TOTAL equity risk premium on the rating basis, JANUARY-2026 vintage. SUPERSEDED, audit trail only</w:t>
            </w:r>
          </w:p>
        </w:tc>
      </w:tr>
      <w:tr>
        <w:tc>
          <w:tcPr>
            <w:tcW w:type="dxa" w:w="2232"/>
          </w:tcPr>
          <w:p>
            <w:pPr>
              <w:spacing w:after="20"/>
            </w:pPr>
            <w:r>
              <w:rPr>
                <w:color w:val="1C3A36"/>
                <w:sz w:val="14"/>
              </w:rPr>
              <w:t>crp rating jan26</w:t>
            </w:r>
          </w:p>
        </w:tc>
        <w:tc>
          <w:tcPr>
            <w:tcW w:type="dxa" w:w="1512"/>
          </w:tcPr>
          <w:p>
            <w:pPr>
              <w:spacing w:after="20"/>
              <w:jc w:val="right"/>
            </w:pPr>
            <w:r>
              <w:rPr>
                <w:color w:val="1C3A36"/>
                <w:sz w:val="14"/>
              </w:rPr>
              <w:t>0.097077</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 COUNTRY risk premium on the rating basis, JANUARY-2026 vintage. SUPERSEDED, audit trail only</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(47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2026-09-09</w:t>
            </w:r>
          </w:p>
        </w:tc>
        <w:tc>
          <w:tcPr>
            <w:tcW w:type="dxa" w:w="4709"/>
          </w:tcPr>
          <w:p>
            <w:pPr>
              <w:spacing w:after="20"/>
              <w:jc w:val="right"/>
            </w:pPr>
            <w:r>
              <w:rPr>
                <w:color w:val="1C3A36"/>
                <w:sz w:val="14"/>
              </w:rPr>
              <w:t>Domestic realised price per pack, annual growth: THE HOUSE CPI LADDER at a real drift of +0.0% a year, not a typed path. Egyptian medicine prices are set administratively by the Egyptian Drug Authority and move in periodic approved adjustments rather than continuously; realised price per pack rose 12.59% in FY2025 after a much larger devaluation-driven step in FY2024. The path tracks domestic inflation as it converges on the central bank's target, with no real price gain and no real price loss -- which is what this input's previous source string claimed while its numbers delivered a 15.9% real cut over five years. The cut is published as the contested alternative rather than discarded</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 terminal</w:t>
            </w:r>
          </w:p>
        </w:tc>
        <w:tc>
          <w:tcPr>
            <w:tcW w:type="dxa" w:w="1512"/>
          </w:tcPr>
          <w:p>
            <w:pPr>
              <w:spacing w:after="20"/>
              <w:jc w:val="right"/>
            </w:pPr>
            <w:r>
              <w:rPr>
                <w:color w:val="1C3A36"/>
                <w:sz w:val="14"/>
              </w:rPr>
              <w:t>1</w:t>
            </w:r>
          </w:p>
        </w:tc>
        <w:tc>
          <w:tcPr>
            <w:tcW w:type="dxa" w:w="1051"/>
          </w:tcPr>
          <w:p>
            <w:pPr>
              <w:spacing w:after="20"/>
              <w:jc w:val="right"/>
            </w:pPr>
            <w:r>
              <w:rPr>
                <w:color w:val="1C3A36"/>
                <w:sz w:val="14"/>
              </w:rPr>
              <w:t>2026-09-10</w:t>
            </w:r>
          </w:p>
        </w:tc>
        <w:tc>
          <w:tcPr>
            <w:tcW w:type="dxa" w:w="4709"/>
          </w:tcPr>
          <w:p>
            <w:pPr>
              <w:spacing w:after="20"/>
              <w:jc w:val="right"/>
            </w:pPr>
            <w:r>
              <w:rPr>
                <w:color w:val="1C3A36"/>
                <w:sz w:val="14"/>
              </w:rPr>
              <w:t>Terminal beta. The measured beta describes how this share has moved against the exchange over the window it was fitted on; in perpetuity a going concern is assumed to revert to the market, so the terminal cost of equity is struck at 1.00 and not at the measured figure. This is a HOUSE CONVENTION rather than an observation, which is why it is stated here rather than derived: no regression produces a perpetual beta. The construction is same_beta in name only -- the explicit window uses the measured beta and the terminal uses 1.00, and both are published. It is the single largest driver in this study and it is sensitised in the terminal table.</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it was built instead on the WITHDRAWN 22.31% print of 21 July: the risk-free was corrected to the pricing-date observable and the cost of debt resting on it was not moved with it, leaving this rate 69 basis points below where its own risk-free put it,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(25.50%, the row above) and NOT the blended marginal cost of debt, which is struck further down this file once the currency weights are known and is published in the cost-of-capital table: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1051"/>
          </w:tcPr>
          <w:p>
            <w:pPr>
              <w:spacing w:after="20"/>
              <w:jc w:val="right"/>
            </w:pPr>
            <w:r>
              <w:rPr>
                <w:color w:val="1C3A36"/>
                <w:sz w:val="14"/>
              </w:rPr>
              <w:t>2026-09-10</w:t>
            </w:r>
          </w:p>
        </w:tc>
        <w:tc>
          <w:tcPr>
            <w:tcW w:type="dxa" w:w="4709"/>
          </w:tcPr>
          <w:p>
            <w:pPr>
              <w:spacing w:after="20"/>
              <w:jc w:val="right"/>
            </w:pPr>
            <w:r>
              <w:rPr>
                <w:color w:val="1C3A36"/>
                <w:sz w:val="14"/>
              </w:rPr>
              <w:t>Terminal risk-free rate, DERIVED and never quoted: the long-run inflation this valuation carries throughout, 7.00%, plus the house long-run real-rate convention of 3.50 points, which is 10.50%. That real rate was cut from 5.50 points on 10-09-2026: the retired figure described a central bank still RESTRICTING to finish a disinflation, and a terminal rate is the neutral one held in perpetuity. THE DERIVATION IS WHAT MAKES IT CHECKABLE: the single most terminal-value-sensitive number in the model cannot be typed, and it cannot disagree with the inflation the rest of the model uses because it is computed from it — including this sentence, which is interpolated from the same two figures rather than describing them.</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283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250 million</w:t>
            </w:r>
          </w:p>
        </w:tc>
        <w:tc>
          <w:tcPr>
            <w:tcW w:type="dxa" w:w="3744"/>
          </w:tcPr>
          <w:p>
            <w:pPr>
              <w:spacing w:after="20"/>
              <w:jc w:val="right"/>
            </w:pPr>
            <w:r>
              <w:rPr>
                <w:color w:val="1C3A36"/>
                <w:sz w:val="15"/>
              </w:rPr>
              <w:t>The disclosed stream is EGP 74.5m, 151.6m and 512.1m across three years and the FY2025 print is more than three times FY2024. The three-year average is 246.1; the adopted figure sits between that and the latest year.</w:t>
            </w:r>
          </w:p>
        </w:tc>
        <w:tc>
          <w:tcPr>
            <w:tcW w:type="dxa" w:w="3600"/>
          </w:tcPr>
          <w:p>
            <w:pPr>
              <w:spacing w:after="20"/>
              <w:jc w:val="right"/>
            </w:pPr>
            <w:r>
              <w:rPr>
                <w:color w:val="1C3A36"/>
                <w:sz w:val="15"/>
              </w:rPr>
              <w:t>A second year near EGP 512 million would make the adopted figure too conservative.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512.1 million against a carrying value of EGP 675.9 million. Carrying value is therefore not a usable proxy, and a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68.4% of the full cash cost stack against a roughly one-third export share. The 79.4% variant assumes ALL packaging is imported, which the group's own primary-packaging manufacture rules out.</w:t>
            </w:r>
          </w:p>
        </w:tc>
      </w:tr>
      <w:tr>
        <w:tc>
          <w:tcPr>
            <w:tcW w:type="dxa" w:w="2160"/>
          </w:tcPr>
          <w:p>
            <w:pPr>
              <w:spacing w:after="20"/>
            </w:pPr>
            <w:r>
              <w:rPr>
                <w:color w:val="1C3A36"/>
                <w:sz w:val="15"/>
              </w:rPr>
              <w:t>The terminal debt weight is 25.53%, which is today's market weight</w:t>
            </w:r>
          </w:p>
        </w:tc>
        <w:tc>
          <w:tcPr>
            <w:tcW w:type="dxa" w:w="3744"/>
          </w:tcPr>
          <w:p>
            <w:pPr>
              <w:spacing w:after="20"/>
              <w:jc w:val="right"/>
            </w:pPr>
            <w:r>
              <w:rPr>
                <w:color w:val="1C3A36"/>
                <w:sz w:val="15"/>
              </w:rPr>
              <w:t>An earlier edition carried 20% here on the argument that the model deleverages through the forecast. The market weight is used instead, and both are shown: on the book basis the terminal weight is 36.23% and the terminal cost of capital 14.62%, against 15.47% on the market basis.</w:t>
            </w:r>
          </w:p>
        </w:tc>
        <w:tc>
          <w:tcPr>
            <w:tcW w:type="dxa" w:w="3600"/>
          </w:tcPr>
          <w:p>
            <w:pPr>
              <w:spacing w:after="20"/>
              <w:jc w:val="right"/>
            </w:pPr>
            <w:r>
              <w:rPr>
                <w:color w:val="1C3A36"/>
                <w:sz w:val="15"/>
              </w:rPr>
              <w:t>A stated policy of maintaining leverage away from the current level.</w:t>
            </w:r>
          </w:p>
        </w:tc>
      </w:tr>
      <w:tr>
        <w:tc>
          <w:tcPr>
            <w:tcW w:type="dxa" w:w="2160"/>
          </w:tcPr>
          <w:p>
            <w:pPr>
              <w:spacing w:after="20"/>
            </w:pPr>
            <w:r>
              <w:rPr>
                <w:color w:val="1C3A36"/>
                <w:sz w:val="15"/>
              </w:rPr>
              <w:t>Terminal growth is 7.00%, which is zero in real terms</w:t>
            </w:r>
          </w:p>
        </w:tc>
        <w:tc>
          <w:tcPr>
            <w:tcW w:type="dxa" w:w="3744"/>
          </w:tcPr>
          <w:p>
            <w:pPr>
              <w:spacing w:after="20"/>
              <w:jc w:val="right"/>
            </w:pPr>
            <w:r>
              <w:rPr>
                <w:color w:val="1C3A36"/>
                <w:sz w:val="15"/>
              </w:rPr>
              <w:t>It is a pound-nominal rate DERIVED from the house terminal inflation of 7.00% at zero real growth, not typed. An earlier edition typed 5% and called it approximately zero real, which against a 7.00% long-run rate is a real DECLINE of about 1.9% a year in perpetuity that nothing in the study argued for.</w:t>
            </w:r>
          </w:p>
        </w:tc>
        <w:tc>
          <w:tcPr>
            <w:tcW w:type="dxa" w:w="3600"/>
          </w:tcPr>
          <w:p>
            <w:pPr>
              <w:spacing w:after="20"/>
              <w:jc w:val="right"/>
            </w:pPr>
            <w:r>
              <w:rPr>
                <w:color w:val="1C3A36"/>
                <w:sz w:val="15"/>
              </w:rPr>
              <w:t>Nothing in the near term; the sensitivity table runs 3% to 7% and the value ranges from EGP 62.88 to EGP 85.25.</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23.00% ten-year yield contains Egypt's own default risk; subtracting the 3.42% credit-default-swap spread leaves 19.58%, and country risk is then charged once, inside the equity premium. Both the swap and the rating construction are published: the rating basis leaves 17.03%.</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(7.06x), the company's own four-year mean (6.57x), and a peer-referenced multiple adjusted for the cost-of-equity gap (6.10x) — which is NOT a median of a disclosed peer set and is not presented as one. The unadjusted peer read would give EGP 182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