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10 September 2026 · share price EGP 127.30 at the close of 3 September 2026 · 168.756 million shares in issue</w:t>
      </w:r>
    </w:p>
    <w:p>
      <w:pPr>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55 and EGP 103 a share. Because the contested judgement below is carried BOTH ways and the two are never averaged, the study publishes TWO weighted centres: EGP 85.25 a share on the permanent-provision reading and EGP 102.89 on the normalising one. The market price is EGP 127.30.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85.25 and EGP 102.89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127.30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55 and EGP 103.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58573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58573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 (THE CENTRE)</w:t>
            </w:r>
          </w:p>
        </w:tc>
        <w:tc>
          <w:tcPr>
            <w:tcW w:type="dxa" w:w="1512"/>
          </w:tcPr>
          <w:p>
            <w:pPr>
              <w:spacing w:after="20"/>
              <w:jc w:val="right"/>
            </w:pPr>
            <w:r>
              <w:rPr>
                <w:color w:val="1C3A36"/>
                <w:sz w:val="18"/>
              </w:rPr>
              <w:t>85.25</w:t>
            </w:r>
          </w:p>
        </w:tc>
        <w:tc>
          <w:tcPr>
            <w:tcW w:type="dxa" w:w="1224"/>
          </w:tcPr>
          <w:p>
            <w:pPr>
              <w:spacing w:after="20"/>
              <w:jc w:val="right"/>
            </w:pPr>
            <w:r>
              <w:rPr>
                <w:color w:val="1C3A36"/>
                <w:sz w:val="18"/>
              </w:rPr>
              <w:t>-33%</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Discounted cash flow — Frame B (THE CENTRE)</w:t>
            </w:r>
          </w:p>
        </w:tc>
        <w:tc>
          <w:tcPr>
            <w:tcW w:type="dxa" w:w="1512"/>
          </w:tcPr>
          <w:p>
            <w:pPr>
              <w:spacing w:after="20"/>
              <w:jc w:val="right"/>
            </w:pPr>
            <w:r>
              <w:rPr>
                <w:color w:val="1C3A36"/>
                <w:sz w:val="18"/>
              </w:rPr>
              <w:t>102.89</w:t>
            </w:r>
          </w:p>
        </w:tc>
        <w:tc>
          <w:tcPr>
            <w:tcW w:type="dxa" w:w="1224"/>
          </w:tcPr>
          <w:p>
            <w:pPr>
              <w:spacing w:after="20"/>
              <w:jc w:val="right"/>
            </w:pPr>
            <w:r>
              <w:rPr>
                <w:color w:val="1C3A36"/>
                <w:sz w:val="18"/>
              </w:rPr>
              <w:t>-19%</w:t>
            </w:r>
          </w:p>
        </w:tc>
        <w:tc>
          <w:tcPr>
            <w:tcW w:type="dxa" w:w="3960"/>
          </w:tcPr>
          <w:p>
            <w:pPr>
              <w:spacing w:after="20"/>
              <w:jc w:val="right"/>
            </w:pPr>
            <w:r>
              <w:rPr>
                <w:color w:val="1C3A36"/>
                <w:sz w:val="18"/>
              </w:rPr>
              <w:t>three-year average margin 22.9%</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70.85</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1.92x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55.45</w:t>
            </w:r>
          </w:p>
        </w:tc>
        <w:tc>
          <w:tcPr>
            <w:tcW w:type="dxa" w:w="1224"/>
          </w:tcPr>
          <w:p>
            <w:pPr>
              <w:spacing w:after="20"/>
              <w:jc w:val="right"/>
            </w:pPr>
            <w:r>
              <w:rPr>
                <w:color w:val="1C3A36"/>
                <w:sz w:val="18"/>
              </w:rPr>
              <w:t>-56%</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72.28</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CENTRE — Frame A</w:t>
            </w:r>
          </w:p>
        </w:tc>
        <w:tc>
          <w:tcPr>
            <w:tcW w:type="dxa" w:w="1512"/>
            <w:shd w:val="clear" w:color="auto" w:fill="F6F1E6"/>
          </w:tcPr>
          <w:p>
            <w:pPr>
              <w:spacing w:after="20"/>
              <w:jc w:val="right"/>
            </w:pPr>
            <w:r>
              <w:rPr>
                <w:b/>
                <w:color w:val="1C3A36"/>
                <w:sz w:val="18"/>
              </w:rPr>
              <w:t>85.25</w:t>
            </w:r>
          </w:p>
        </w:tc>
        <w:tc>
          <w:tcPr>
            <w:tcW w:type="dxa" w:w="1224"/>
            <w:shd w:val="clear" w:color="auto" w:fill="F6F1E6"/>
          </w:tcPr>
          <w:p>
            <w:pPr>
              <w:spacing w:after="20"/>
              <w:jc w:val="right"/>
            </w:pPr>
            <w:r>
              <w:rPr>
                <w:b/>
                <w:color w:val="1C3A36"/>
                <w:sz w:val="18"/>
              </w:rPr>
              <w:t>-33%</w:t>
            </w:r>
          </w:p>
        </w:tc>
        <w:tc>
          <w:tcPr>
            <w:tcW w:type="dxa" w:w="3960"/>
            <w:shd w:val="clear" w:color="auto" w:fill="F6F1E6"/>
          </w:tcPr>
          <w:p>
            <w:pPr>
              <w:spacing w:after="20"/>
              <w:jc w:val="right"/>
            </w:pPr>
            <w:r>
              <w:rPr>
                <w:b/>
                <w:color w:val="1C3A36"/>
                <w:sz w:val="18"/>
              </w:rPr>
              <w:t>The cash-flow read on Frame A, unweighted. The other lenses are published beside it and averaged into none of it</w:t>
            </w:r>
          </w:p>
        </w:tc>
      </w:tr>
      <w:tr>
        <w:tc>
          <w:tcPr>
            <w:tcW w:type="dxa" w:w="3384"/>
            <w:shd w:val="clear" w:color="auto" w:fill="F6F1E6"/>
          </w:tcPr>
          <w:p>
            <w:pPr>
              <w:spacing w:after="20"/>
            </w:pPr>
            <w:r>
              <w:rPr>
                <w:b/>
                <w:color w:val="1C3A36"/>
                <w:sz w:val="18"/>
              </w:rPr>
              <w:t>CENTRE — Frame B</w:t>
            </w:r>
          </w:p>
        </w:tc>
        <w:tc>
          <w:tcPr>
            <w:tcW w:type="dxa" w:w="1512"/>
            <w:shd w:val="clear" w:color="auto" w:fill="F6F1E6"/>
          </w:tcPr>
          <w:p>
            <w:pPr>
              <w:spacing w:after="20"/>
              <w:jc w:val="right"/>
            </w:pPr>
            <w:r>
              <w:rPr>
                <w:b/>
                <w:color w:val="1C3A36"/>
                <w:sz w:val="18"/>
              </w:rPr>
              <w:t>102.89</w:t>
            </w:r>
          </w:p>
        </w:tc>
        <w:tc>
          <w:tcPr>
            <w:tcW w:type="dxa" w:w="1224"/>
            <w:shd w:val="clear" w:color="auto" w:fill="F6F1E6"/>
          </w:tcPr>
          <w:p>
            <w:pPr>
              <w:spacing w:after="20"/>
              <w:jc w:val="right"/>
            </w:pPr>
            <w:r>
              <w:rPr>
                <w:b/>
                <w:color w:val="1C3A36"/>
                <w:sz w:val="18"/>
              </w:rPr>
              <w:t>-19%</w:t>
            </w:r>
          </w:p>
        </w:tc>
        <w:tc>
          <w:tcPr>
            <w:tcW w:type="dxa" w:w="3960"/>
            <w:shd w:val="clear" w:color="auto" w:fill="F6F1E6"/>
          </w:tcPr>
          <w:p>
            <w:pPr>
              <w:spacing w:after="20"/>
              <w:jc w:val="right"/>
            </w:pPr>
            <w:r>
              <w:rPr>
                <w:b/>
                <w:color w:val="1C3A36"/>
                <w:sz w:val="18"/>
              </w:rPr>
              <w:t>The cash-flow read on Frame B. The two centres are NEVER averaged</w:t>
            </w:r>
          </w:p>
        </w:tc>
      </w:tr>
      <w:tr>
        <w:tc>
          <w:tcPr>
            <w:tcW w:type="dxa" w:w="3384"/>
          </w:tcPr>
          <w:p>
            <w:pPr>
              <w:spacing w:after="20"/>
            </w:pPr>
            <w:r>
              <w:rPr>
                <w:color w:val="1C3A36"/>
                <w:sz w:val="18"/>
              </w:rPr>
              <w:t>Memo — the weighted blend this edition replaced (Frame A / Frame B)</w:t>
            </w:r>
          </w:p>
        </w:tc>
        <w:tc>
          <w:tcPr>
            <w:tcW w:type="dxa" w:w="1512"/>
          </w:tcPr>
          <w:p>
            <w:pPr>
              <w:spacing w:after="20"/>
              <w:jc w:val="right"/>
            </w:pPr>
            <w:r>
              <w:rPr>
                <w:color w:val="1C3A36"/>
                <w:sz w:val="18"/>
              </w:rPr>
              <w:t>75.95 / 84.78</w:t>
            </w:r>
          </w:p>
        </w:tc>
        <w:tc>
          <w:tcPr>
            <w:tcW w:type="dxa" w:w="1224"/>
          </w:tcPr>
          <w:p>
            <w:pPr>
              <w:spacing w:after="20"/>
              <w:jc w:val="right"/>
            </w:pPr>
            <w:r>
              <w:rPr>
                <w:color w:val="1C3A36"/>
                <w:sz w:val="18"/>
              </w:rPr>
            </w:r>
          </w:p>
        </w:tc>
        <w:tc>
          <w:tcPr>
            <w:tcW w:type="dxa" w:w="3960"/>
          </w:tcPr>
          <w:p>
            <w:pPr>
              <w:spacing w:after="20"/>
              <w:jc w:val="right"/>
            </w:pPr>
            <w:r>
              <w:rPr>
                <w:color w:val="1C3A36"/>
                <w:sz w:val="18"/>
              </w:rPr>
              <w:t>Printed so the change is visible. Its weights were never tested out of sample, and on a two-sided answer a blend pulls both frames toward the same three shared readings — damping exactly the disagreement two frames exist to show</w:t>
            </w:r>
          </w:p>
        </w:tc>
      </w:tr>
      <w:tr>
        <w:tc>
          <w:tcPr>
            <w:tcW w:type="dxa" w:w="3384"/>
            <w:shd w:val="clear" w:color="auto" w:fill="F6F1E6"/>
          </w:tcPr>
          <w:p>
            <w:pPr>
              <w:spacing w:after="20"/>
            </w:pPr>
            <w:r>
              <w:rPr>
                <w:b/>
                <w:color w:val="1C3A36"/>
                <w:sz w:val="18"/>
              </w:rPr>
              <w:t>Field low to field high</w:t>
            </w:r>
          </w:p>
        </w:tc>
        <w:tc>
          <w:tcPr>
            <w:tcW w:type="dxa" w:w="1512"/>
            <w:shd w:val="clear" w:color="auto" w:fill="F6F1E6"/>
          </w:tcPr>
          <w:p>
            <w:pPr>
              <w:spacing w:after="20"/>
              <w:jc w:val="right"/>
            </w:pPr>
            <w:r>
              <w:rPr>
                <w:b/>
                <w:color w:val="1C3A36"/>
                <w:sz w:val="18"/>
              </w:rPr>
              <w:t>55.45 – 102.89</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The spread between the readings IS the uncertainty</w:t>
            </w:r>
          </w:p>
        </w:tc>
      </w:tr>
      <w:tr>
        <w:tc>
          <w:tcPr>
            <w:tcW w:type="dxa" w:w="3384"/>
          </w:tcPr>
          <w:p>
            <w:pPr>
              <w:spacing w:after="20"/>
            </w:pPr>
            <w:r>
              <w:rPr>
                <w:color w:val="1C3A36"/>
                <w:sz w:val="18"/>
              </w:rPr>
              <w:t>Market price</w:t>
            </w:r>
          </w:p>
        </w:tc>
        <w:tc>
          <w:tcPr>
            <w:tcW w:type="dxa" w:w="1512"/>
          </w:tcPr>
          <w:p>
            <w:pPr>
              <w:spacing w:after="20"/>
              <w:jc w:val="right"/>
            </w:pPr>
            <w:r>
              <w:rPr>
                <w:color w:val="1C3A36"/>
                <w:sz w:val="18"/>
              </w:rPr>
              <w:t>127.30</w:t>
            </w:r>
          </w:p>
        </w:tc>
        <w:tc>
          <w:tcPr>
            <w:tcW w:type="dxa" w:w="1224"/>
          </w:tcPr>
          <w:p>
            <w:pPr>
              <w:spacing w:after="20"/>
              <w:jc w:val="right"/>
            </w:pPr>
            <w:r>
              <w:rPr>
                <w:color w:val="1C3A36"/>
                <w:sz w:val="18"/>
              </w:rPr>
            </w:r>
          </w:p>
        </w:tc>
        <w:tc>
          <w:tcPr>
            <w:tcW w:type="dxa" w:w="3960"/>
          </w:tcPr>
          <w:p>
            <w:pPr>
              <w:spacing w:after="20"/>
              <w:jc w:val="right"/>
            </w:pPr>
            <w:r>
              <w:rPr>
                <w:color w:val="1C3A36"/>
                <w:sz w:val="18"/>
              </w:rPr>
              <w:t>Close of 3 September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21,483m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28,851m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14.90x on shares in issue, 14.31x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11.6x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25.92%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23.04%</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15.47%</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29,136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tcPr>
          <w:p>
            <w:pPr>
              <w:spacing w:after="20"/>
            </w:pPr>
            <w:r>
              <w:rPr>
                <w:color w:val="1C3A36"/>
                <w:sz w:val="17"/>
              </w:rPr>
              <w:t>EBITDA</w:t>
            </w:r>
          </w:p>
        </w:tc>
        <w:tc>
          <w:tcPr>
            <w:tcW w:type="dxa" w:w="1325"/>
          </w:tcPr>
          <w:p>
            <w:pPr>
              <w:spacing w:after="20"/>
              <w:jc w:val="right"/>
            </w:pPr>
            <w:r>
              <w:rPr>
                <w:color w:val="1C3A36"/>
                <w:sz w:val="17"/>
              </w:rPr>
              <w:t>3,022</w:t>
            </w:r>
          </w:p>
        </w:tc>
        <w:tc>
          <w:tcPr>
            <w:tcW w:type="dxa" w:w="1325"/>
          </w:tcPr>
          <w:p>
            <w:pPr>
              <w:spacing w:after="20"/>
              <w:jc w:val="right"/>
            </w:pPr>
            <w:r>
              <w:rPr>
                <w:color w:val="1C3A36"/>
                <w:sz w:val="17"/>
              </w:rPr>
              <w:t>3,666</w:t>
            </w:r>
          </w:p>
        </w:tc>
        <w:tc>
          <w:tcPr>
            <w:tcW w:type="dxa" w:w="1325"/>
          </w:tcPr>
          <w:p>
            <w:pPr>
              <w:spacing w:after="20"/>
              <w:jc w:val="right"/>
            </w:pPr>
            <w:r>
              <w:rPr>
                <w:color w:val="1C3A36"/>
                <w:sz w:val="17"/>
              </w:rPr>
              <w:t>4,307</w:t>
            </w:r>
          </w:p>
        </w:tc>
        <w:tc>
          <w:tcPr>
            <w:tcW w:type="dxa" w:w="1325"/>
          </w:tcPr>
          <w:p>
            <w:pPr>
              <w:spacing w:after="20"/>
              <w:jc w:val="right"/>
            </w:pPr>
            <w:r>
              <w:rPr>
                <w:color w:val="1C3A36"/>
                <w:sz w:val="17"/>
              </w:rPr>
              <w:t>4,933</w:t>
            </w:r>
          </w:p>
        </w:tc>
        <w:tc>
          <w:tcPr>
            <w:tcW w:type="dxa" w:w="1325"/>
          </w:tcPr>
          <w:p>
            <w:pPr>
              <w:spacing w:after="20"/>
              <w:jc w:val="right"/>
            </w:pPr>
            <w:r>
              <w:rPr>
                <w:color w:val="1C3A36"/>
                <w:sz w:val="17"/>
              </w:rPr>
              <w:t>5,595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26.4%</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26.8%</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2,718</w:t>
            </w:r>
          </w:p>
        </w:tc>
        <w:tc>
          <w:tcPr>
            <w:tcW w:type="dxa" w:w="1325"/>
          </w:tcPr>
          <w:p>
            <w:pPr>
              <w:spacing w:after="20"/>
              <w:jc w:val="right"/>
            </w:pPr>
            <w:r>
              <w:rPr>
                <w:color w:val="1C3A36"/>
                <w:sz w:val="17"/>
              </w:rPr>
              <w:t>3,241</w:t>
            </w:r>
          </w:p>
        </w:tc>
        <w:tc>
          <w:tcPr>
            <w:tcW w:type="dxa" w:w="1325"/>
          </w:tcPr>
          <w:p>
            <w:pPr>
              <w:spacing w:after="20"/>
              <w:jc w:val="right"/>
            </w:pPr>
            <w:r>
              <w:rPr>
                <w:color w:val="1C3A36"/>
                <w:sz w:val="17"/>
              </w:rPr>
              <w:t>3,861</w:t>
            </w:r>
          </w:p>
        </w:tc>
        <w:tc>
          <w:tcPr>
            <w:tcW w:type="dxa" w:w="1325"/>
          </w:tcPr>
          <w:p>
            <w:pPr>
              <w:spacing w:after="20"/>
              <w:jc w:val="right"/>
            </w:pPr>
            <w:r>
              <w:rPr>
                <w:color w:val="1C3A36"/>
                <w:sz w:val="17"/>
              </w:rPr>
              <w:t>4,496</w:t>
            </w:r>
          </w:p>
        </w:tc>
        <w:tc>
          <w:tcPr>
            <w:tcW w:type="dxa" w:w="1325"/>
          </w:tcPr>
          <w:p>
            <w:pPr>
              <w:spacing w:after="20"/>
              <w:jc w:val="right"/>
            </w:pPr>
            <w:r>
              <w:rPr>
                <w:color w:val="1C3A36"/>
                <w:sz w:val="17"/>
              </w:rPr>
              <w:t>5,172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2,079</w:t>
            </w:r>
          </w:p>
        </w:tc>
        <w:tc>
          <w:tcPr>
            <w:tcW w:type="dxa" w:w="1325"/>
          </w:tcPr>
          <w:p>
            <w:pPr>
              <w:spacing w:after="20"/>
              <w:jc w:val="right"/>
            </w:pPr>
            <w:r>
              <w:rPr>
                <w:color w:val="1C3A36"/>
                <w:sz w:val="17"/>
              </w:rPr>
              <w:t>2,479</w:t>
            </w:r>
          </w:p>
        </w:tc>
        <w:tc>
          <w:tcPr>
            <w:tcW w:type="dxa" w:w="1325"/>
          </w:tcPr>
          <w:p>
            <w:pPr>
              <w:spacing w:after="20"/>
              <w:jc w:val="right"/>
            </w:pPr>
            <w:r>
              <w:rPr>
                <w:color w:val="1C3A36"/>
                <w:sz w:val="17"/>
              </w:rPr>
              <w:t>2,953</w:t>
            </w:r>
          </w:p>
        </w:tc>
        <w:tc>
          <w:tcPr>
            <w:tcW w:type="dxa" w:w="1325"/>
          </w:tcPr>
          <w:p>
            <w:pPr>
              <w:spacing w:after="20"/>
              <w:jc w:val="right"/>
            </w:pPr>
            <w:r>
              <w:rPr>
                <w:color w:val="1C3A36"/>
                <w:sz w:val="17"/>
              </w:rPr>
              <w:t>3,439</w:t>
            </w:r>
          </w:p>
        </w:tc>
        <w:tc>
          <w:tcPr>
            <w:tcW w:type="dxa" w:w="1325"/>
          </w:tcPr>
          <w:p>
            <w:pPr>
              <w:spacing w:after="20"/>
              <w:jc w:val="right"/>
            </w:pPr>
            <w:r>
              <w:rPr>
                <w:color w:val="1C3A36"/>
                <w:sz w:val="17"/>
              </w:rPr>
              <w:t>3,957</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(1,430)</w:t>
            </w:r>
          </w:p>
        </w:tc>
        <w:tc>
          <w:tcPr>
            <w:tcW w:type="dxa" w:w="1325"/>
          </w:tcPr>
          <w:p>
            <w:pPr>
              <w:spacing w:after="20"/>
              <w:jc w:val="right"/>
            </w:pPr>
            <w:r>
              <w:rPr>
                <w:color w:val="1C3A36"/>
                <w:sz w:val="17"/>
              </w:rPr>
              <w:t>(622)</w:t>
            </w:r>
          </w:p>
        </w:tc>
        <w:tc>
          <w:tcPr>
            <w:tcW w:type="dxa" w:w="1325"/>
          </w:tcPr>
          <w:p>
            <w:pPr>
              <w:spacing w:after="20"/>
              <w:jc w:val="right"/>
            </w:pPr>
            <w:r>
              <w:rPr>
                <w:color w:val="1C3A36"/>
                <w:sz w:val="17"/>
              </w:rPr>
              <w:t>(566)</w:t>
            </w:r>
          </w:p>
        </w:tc>
        <w:tc>
          <w:tcPr>
            <w:tcW w:type="dxa" w:w="1325"/>
          </w:tcPr>
          <w:p>
            <w:pPr>
              <w:spacing w:after="20"/>
              <w:jc w:val="right"/>
            </w:pPr>
            <w:r>
              <w:rPr>
                <w:color w:val="1C3A36"/>
                <w:sz w:val="17"/>
              </w:rPr>
              <w:t>(593)</w:t>
            </w:r>
          </w:p>
        </w:tc>
        <w:tc>
          <w:tcPr>
            <w:tcW w:type="dxa" w:w="1325"/>
          </w:tcPr>
          <w:p>
            <w:pPr>
              <w:spacing w:after="20"/>
              <w:jc w:val="right"/>
            </w:pPr>
            <w:r>
              <w:rPr>
                <w:color w:val="1C3A36"/>
                <w:sz w:val="17"/>
              </w:rPr>
              <w:t>(627)</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(1,114)</w:t>
            </w:r>
          </w:p>
        </w:tc>
        <w:tc>
          <w:tcPr>
            <w:tcW w:type="dxa" w:w="1325"/>
          </w:tcPr>
          <w:p>
            <w:pPr>
              <w:spacing w:after="20"/>
              <w:jc w:val="right"/>
            </w:pPr>
            <w:r>
              <w:rPr>
                <w:color w:val="1C3A36"/>
                <w:sz w:val="17"/>
              </w:rPr>
              <w:t>(1,133)</w:t>
            </w:r>
          </w:p>
        </w:tc>
        <w:tc>
          <w:tcPr>
            <w:tcW w:type="dxa" w:w="1325"/>
          </w:tcPr>
          <w:p>
            <w:pPr>
              <w:spacing w:after="20"/>
              <w:jc w:val="right"/>
            </w:pPr>
            <w:r>
              <w:rPr>
                <w:color w:val="1C3A36"/>
                <w:sz w:val="17"/>
              </w:rPr>
              <w:t>(942)</w:t>
            </w:r>
          </w:p>
        </w:tc>
        <w:tc>
          <w:tcPr>
            <w:tcW w:type="dxa" w:w="1325"/>
          </w:tcPr>
          <w:p>
            <w:pPr>
              <w:spacing w:after="20"/>
              <w:jc w:val="right"/>
            </w:pPr>
            <w:r>
              <w:rPr>
                <w:color w:val="1C3A36"/>
                <w:sz w:val="17"/>
              </w:rPr>
              <w:t>(944)</w:t>
            </w:r>
          </w:p>
        </w:tc>
        <w:tc>
          <w:tcPr>
            <w:tcW w:type="dxa" w:w="1325"/>
          </w:tcPr>
          <w:p>
            <w:pPr>
              <w:spacing w:after="20"/>
              <w:jc w:val="right"/>
            </w:pPr>
            <w:r>
              <w:rPr>
                <w:color w:val="1C3A36"/>
                <w:sz w:val="17"/>
              </w:rPr>
              <w:t>(911)</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-161</w:t>
            </w:r>
          </w:p>
        </w:tc>
        <w:tc>
          <w:tcPr>
            <w:tcW w:type="dxa" w:w="1325"/>
          </w:tcPr>
          <w:p>
            <w:pPr>
              <w:spacing w:after="20"/>
              <w:jc w:val="right"/>
            </w:pPr>
            <w:r>
              <w:rPr>
                <w:color w:val="1C3A36"/>
                <w:sz w:val="17"/>
              </w:rPr>
              <w:t>1,149</w:t>
            </w:r>
          </w:p>
        </w:tc>
        <w:tc>
          <w:tcPr>
            <w:tcW w:type="dxa" w:w="1325"/>
          </w:tcPr>
          <w:p>
            <w:pPr>
              <w:spacing w:after="20"/>
              <w:jc w:val="right"/>
            </w:pPr>
            <w:r>
              <w:rPr>
                <w:color w:val="1C3A36"/>
                <w:sz w:val="17"/>
              </w:rPr>
              <w:t>1,891</w:t>
            </w:r>
          </w:p>
        </w:tc>
        <w:tc>
          <w:tcPr>
            <w:tcW w:type="dxa" w:w="1325"/>
          </w:tcPr>
          <w:p>
            <w:pPr>
              <w:spacing w:after="20"/>
              <w:jc w:val="right"/>
            </w:pPr>
            <w:r>
              <w:rPr>
                <w:color w:val="1C3A36"/>
                <w:sz w:val="17"/>
              </w:rPr>
              <w:t>2,340</w:t>
            </w:r>
          </w:p>
        </w:tc>
        <w:tc>
          <w:tcPr>
            <w:tcW w:type="dxa" w:w="1325"/>
          </w:tcPr>
          <w:p>
            <w:pPr>
              <w:spacing w:after="20"/>
              <w:jc w:val="right"/>
            </w:pPr>
            <w:r>
              <w:rPr>
                <w:color w:val="1C3A36"/>
                <w:sz w:val="17"/>
              </w:rPr>
              <w:t>2,841</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23.04%</w:t>
            </w:r>
          </w:p>
        </w:tc>
        <w:tc>
          <w:tcPr>
            <w:tcW w:type="dxa" w:w="1325"/>
            <w:shd w:val="clear" w:color="auto" w:fill="F6F1E6"/>
          </w:tcPr>
          <w:p>
            <w:pPr>
              <w:spacing w:after="20"/>
              <w:jc w:val="right"/>
            </w:pPr>
            <w:r>
              <w:rPr>
                <w:b/>
                <w:color w:val="1C3A36"/>
                <w:sz w:val="17"/>
              </w:rPr>
              <w:t>21.01%</w:t>
            </w:r>
          </w:p>
        </w:tc>
        <w:tc>
          <w:tcPr>
            <w:tcW w:type="dxa" w:w="1325"/>
            <w:shd w:val="clear" w:color="auto" w:fill="F6F1E6"/>
          </w:tcPr>
          <w:p>
            <w:pPr>
              <w:spacing w:after="20"/>
              <w:jc w:val="right"/>
            </w:pPr>
            <w:r>
              <w:rPr>
                <w:b/>
                <w:color w:val="1C3A36"/>
                <w:sz w:val="17"/>
              </w:rPr>
              <w:t>18.79%</w:t>
            </w:r>
          </w:p>
        </w:tc>
        <w:tc>
          <w:tcPr>
            <w:tcW w:type="dxa" w:w="1325"/>
            <w:shd w:val="clear" w:color="auto" w:fill="F6F1E6"/>
          </w:tcPr>
          <w:p>
            <w:pPr>
              <w:spacing w:after="20"/>
              <w:jc w:val="right"/>
            </w:pPr>
            <w:r>
              <w:rPr>
                <w:b/>
                <w:color w:val="1C3A36"/>
                <w:sz w:val="17"/>
              </w:rPr>
              <w:t>16.95%</w:t>
            </w:r>
          </w:p>
        </w:tc>
        <w:tc>
          <w:tcPr>
            <w:tcW w:type="dxa" w:w="1325"/>
            <w:shd w:val="clear" w:color="auto" w:fill="F6F1E6"/>
          </w:tcPr>
          <w:p>
            <w:pPr>
              <w:spacing w:after="20"/>
              <w:jc w:val="right"/>
            </w:pPr>
            <w:r>
              <w:rPr>
                <w:b/>
                <w:color w:val="1C3A36"/>
                <w:sz w:val="17"/>
              </w:rPr>
              <w:t>15.47%</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0.8128</w:t>
            </w:r>
          </w:p>
        </w:tc>
        <w:tc>
          <w:tcPr>
            <w:tcW w:type="dxa" w:w="1325"/>
          </w:tcPr>
          <w:p>
            <w:pPr>
              <w:spacing w:after="20"/>
              <w:jc w:val="right"/>
            </w:pPr>
            <w:r>
              <w:rPr>
                <w:color w:val="1C3A36"/>
                <w:sz w:val="17"/>
              </w:rPr>
              <w:t>0.6717</w:t>
            </w:r>
          </w:p>
        </w:tc>
        <w:tc>
          <w:tcPr>
            <w:tcW w:type="dxa" w:w="1325"/>
          </w:tcPr>
          <w:p>
            <w:pPr>
              <w:spacing w:after="20"/>
              <w:jc w:val="right"/>
            </w:pPr>
            <w:r>
              <w:rPr>
                <w:color w:val="1C3A36"/>
                <w:sz w:val="17"/>
              </w:rPr>
              <w:t>0.5654</w:t>
            </w:r>
          </w:p>
        </w:tc>
        <w:tc>
          <w:tcPr>
            <w:tcW w:type="dxa" w:w="1325"/>
          </w:tcPr>
          <w:p>
            <w:pPr>
              <w:spacing w:after="20"/>
              <w:jc w:val="right"/>
            </w:pPr>
            <w:r>
              <w:rPr>
                <w:color w:val="1C3A36"/>
                <w:sz w:val="17"/>
              </w:rPr>
              <w:t>0.4835</w:t>
            </w:r>
          </w:p>
        </w:tc>
        <w:tc>
          <w:tcPr>
            <w:tcW w:type="dxa" w:w="1325"/>
          </w:tcPr>
          <w:p>
            <w:pPr>
              <w:spacing w:after="20"/>
              <w:jc w:val="right"/>
            </w:pPr>
            <w:r>
              <w:rPr>
                <w:color w:val="1C3A36"/>
                <w:sz w:val="17"/>
              </w:rPr>
              <w:t>0.4187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-131</w:t>
            </w:r>
          </w:p>
        </w:tc>
        <w:tc>
          <w:tcPr>
            <w:tcW w:type="dxa" w:w="1325"/>
          </w:tcPr>
          <w:p>
            <w:pPr>
              <w:spacing w:after="20"/>
              <w:jc w:val="right"/>
            </w:pPr>
            <w:r>
              <w:rPr>
                <w:color w:val="1C3A36"/>
                <w:sz w:val="17"/>
              </w:rPr>
              <w:t>771</w:t>
            </w:r>
          </w:p>
        </w:tc>
        <w:tc>
          <w:tcPr>
            <w:tcW w:type="dxa" w:w="1325"/>
          </w:tcPr>
          <w:p>
            <w:pPr>
              <w:spacing w:after="20"/>
              <w:jc w:val="right"/>
            </w:pPr>
            <w:r>
              <w:rPr>
                <w:color w:val="1C3A36"/>
                <w:sz w:val="17"/>
              </w:rPr>
              <w:t>1,069</w:t>
            </w:r>
          </w:p>
        </w:tc>
        <w:tc>
          <w:tcPr>
            <w:tcW w:type="dxa" w:w="1325"/>
          </w:tcPr>
          <w:p>
            <w:pPr>
              <w:spacing w:after="20"/>
              <w:jc w:val="right"/>
            </w:pPr>
            <w:r>
              <w:rPr>
                <w:color w:val="1C3A36"/>
                <w:sz w:val="17"/>
              </w:rPr>
              <w:t>1,131</w:t>
            </w:r>
          </w:p>
        </w:tc>
        <w:tc>
          <w:tcPr>
            <w:tcW w:type="dxa" w:w="1325"/>
          </w:tcPr>
          <w:p>
            <w:pPr>
              <w:spacing w:after="20"/>
              <w:jc w:val="right"/>
            </w:pPr>
            <w:r>
              <w:rPr>
                <w:color w:val="1C3A36"/>
                <w:sz w:val="17"/>
              </w:rPr>
              <w:t>1,189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4,030</w:t>
            </w:r>
          </w:p>
        </w:tc>
        <w:tc>
          <w:tcPr>
            <w:tcW w:type="dxa" w:w="2232"/>
          </w:tcPr>
          <w:p>
            <w:pPr>
              <w:spacing w:after="20"/>
              <w:jc w:val="right"/>
            </w:pPr>
            <w:r>
              <w:rPr>
                <w:color w:val="1C3A36"/>
                <w:sz w:val="18"/>
              </w:rPr>
              <w:t>23.88</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14,733</w:t>
            </w:r>
          </w:p>
        </w:tc>
        <w:tc>
          <w:tcPr>
            <w:tcW w:type="dxa" w:w="2232"/>
          </w:tcPr>
          <w:p>
            <w:pPr>
              <w:spacing w:after="20"/>
              <w:jc w:val="right"/>
            </w:pPr>
            <w:r>
              <w:rPr>
                <w:color w:val="1C3A36"/>
                <w:sz w:val="18"/>
              </w:rPr>
              <w:t>87.30</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18,763</w:t>
            </w:r>
          </w:p>
        </w:tc>
        <w:tc>
          <w:tcPr>
            <w:tcW w:type="dxa" w:w="2232"/>
          </w:tcPr>
          <w:p>
            <w:pPr>
              <w:spacing w:after="20"/>
              <w:jc w:val="right"/>
            </w:pPr>
            <w:r>
              <w:rPr>
                <w:color w:val="1C3A36"/>
                <w:sz w:val="18"/>
              </w:rPr>
              <w:t>111.19</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79%</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21,754</w:t>
            </w:r>
          </w:p>
        </w:tc>
        <w:tc>
          <w:tcPr>
            <w:tcW w:type="dxa" w:w="2232"/>
          </w:tcPr>
          <w:p>
            <w:pPr>
              <w:spacing w:after="20"/>
              <w:jc w:val="right"/>
            </w:pPr>
            <w:r>
              <w:rPr>
                <w:color w:val="1C3A36"/>
                <w:sz w:val="18"/>
              </w:rPr>
              <w:t>128.91</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68%</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14,386</w:t>
            </w:r>
          </w:p>
        </w:tc>
        <w:tc>
          <w:tcPr>
            <w:tcW w:type="dxa" w:w="2232"/>
          </w:tcPr>
          <w:p>
            <w:pPr>
              <w:spacing w:after="20"/>
              <w:jc w:val="right"/>
            </w:pPr>
            <w:r>
              <w:rPr>
                <w:color w:val="1C3A36"/>
                <w:sz w:val="18"/>
              </w:rPr>
              <w:t>85.25</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17,364</w:t>
            </w:r>
          </w:p>
        </w:tc>
        <w:tc>
          <w:tcPr>
            <w:tcW w:type="dxa" w:w="2232"/>
            <w:shd w:val="clear" w:color="auto" w:fill="F6F1E6"/>
          </w:tcPr>
          <w:p>
            <w:pPr>
              <w:spacing w:after="20"/>
              <w:jc w:val="right"/>
            </w:pPr>
            <w:r>
              <w:rPr>
                <w:b/>
                <w:color w:val="1C3A36"/>
                <w:sz w:val="18"/>
              </w:rPr>
              <w:t>102.89</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79% of the CORE operating value and 68%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20.4% / 23.5% / 26.1% / 27.4% / 27.8% — it RISES through the window rather than settling, so the sustainable return used here is the mean of its last three years, 27.11%, read off that path rather than chosen. A business earning 27.1% on equity while its perpetual cost of equity is 17.50% is worth more than its book: the multiple that relationship justifies is (return less growth) over (cost of equity less growth), or 1.92 times book — EGP 70.85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127.30 the shares trade on 14.90 times trailing attributable earnings on the count in issue today, or 14.31 times on the audited weighted average — both readings are legitimate and both are given — and 11.6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7.06x</w:t>
            </w:r>
          </w:p>
        </w:tc>
        <w:tc>
          <w:tcPr>
            <w:tcW w:type="dxa" w:w="1368"/>
          </w:tcPr>
          <w:p>
            <w:pPr>
              <w:spacing w:after="20"/>
              <w:jc w:val="right"/>
            </w:pPr>
            <w:r>
              <w:rPr>
                <w:color w:val="1C3A36"/>
                <w:sz w:val="17"/>
              </w:rPr>
              <w:t>58.09</w:t>
            </w:r>
          </w:p>
        </w:tc>
        <w:tc>
          <w:tcPr>
            <w:tcW w:type="dxa" w:w="4320"/>
          </w:tcPr>
          <w:p>
            <w:pPr>
              <w:spacing w:after="20"/>
              <w:jc w:val="right"/>
            </w:pPr>
            <w:r>
              <w:rPr>
                <w:color w:val="1C3A36"/>
                <w:sz w:val="17"/>
              </w:rPr>
              <w:t>a FORWARD multiple on FORWARD earnings of EGP 8.22. Retention must equal growth 7% over sustainable return 27.1%, so payout is 74%</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6.10x</w:t>
            </w:r>
          </w:p>
        </w:tc>
        <w:tc>
          <w:tcPr>
            <w:tcW w:type="dxa" w:w="1368"/>
          </w:tcPr>
          <w:p>
            <w:pPr>
              <w:spacing w:after="20"/>
              <w:jc w:val="right"/>
            </w:pPr>
            <w:r>
              <w:rPr>
                <w:color w:val="1C3A36"/>
                <w:sz w:val="17"/>
              </w:rPr>
              <w:t>52.11</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17.5%</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6.58x</w:t>
            </w:r>
          </w:p>
        </w:tc>
        <w:tc>
          <w:tcPr>
            <w:tcW w:type="dxa" w:w="1368"/>
            <w:shd w:val="clear" w:color="auto" w:fill="F6F1E6"/>
          </w:tcPr>
          <w:p>
            <w:pPr>
              <w:spacing w:after="20"/>
              <w:jc w:val="right"/>
            </w:pPr>
            <w:r>
              <w:rPr>
                <w:b/>
                <w:color w:val="1C3A36"/>
                <w:sz w:val="17"/>
              </w:rPr>
              <w:t>55.45</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10.23 a share of sustainable earnings. Capitalised at the PERPETUAL cost of equity of 17.50% less 7% growth, on the 74% payout that growth rate permits, that is EGP 72.28 a share. Using today's crisis-level cost of equity of 25.92%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55 to EGP 103.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85.25 a share on Frame A and EGP 102.89 on Frame B, against a market price of EGP 127.30.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It is built from THREE product lines, each with its own volume and its own price, all taken from disclosure. The company's board report splits the same total two different ways — by sales channel and by product line — and the two only reconcile once contract manufacturing is separated out.</w:t>
      </w:r>
    </w:p>
    <w:p>
      <w:pPr>
        <w:spacing w:after="120" w:before="0"/>
      </w:pPr>
      <w:r>
        <w:rPr>
          <w:b w:val="0"/>
          <w:i w:val="0"/>
          <w:color w:val="1C3A36"/>
          <w:sz w:val="21"/>
        </w:rPr>
        <w:t>LINE 1 AND LINE 2, the company's OWN preparations. It sold 351.8 million packs of them in FY2025 for EGP 9,160 million. The investor presentation puts export volume at 60 million packs earning EGP 2,967 million, which is USD 1.00 a pack at the disclosed average rate. The remainder — 291.8 million packs carrying EGP 6,193 million — is the domestic book at EGP 21.22 a pack, against EGP 18.85 in FY2024: a realised price up 12.6% on volume up 19.5%.</w:t>
      </w:r>
    </w:p>
    <w:p>
      <w:pPr>
        <w:spacing w:after="120" w:before="0"/>
      </w:pPr>
      <w:r>
        <w:rPr>
          <w:b w:val="0"/>
          <w:i w:val="0"/>
          <w:color w:val="1C3A36"/>
          <w:sz w:val="21"/>
        </w:rPr>
        <w:t>LINE 3, preparations made under contract for third parties. This is a different business and it is now modelled as one: 5.49 million packs in FY2025 against 8.87 million in FY2024, carrying EGP 142.3 million of product value. The company books EGP 49.4 million of that as a manufacturing fee — EGP 9.00 a pack against EGP 4.04 the year before — and the remaining EGP 93.0 million reaches the market through its own domestic channels.</w:t>
      </w:r>
    </w:p>
    <w:p>
      <w:pPr>
        <w:spacing w:after="120" w:before="0"/>
      </w:pPr>
      <w:r>
        <w:rPr>
          <w:b w:val="0"/>
          <w:i w:val="0"/>
          <w:color w:val="1C3A36"/>
          <w:sz w:val="21"/>
        </w:rPr>
        <w:t>That separation matters more than its size. The channel disclosure puts domestic revenue at EGP 6,286 million, but that figure CARRIES the contract-made product while the pack count against it does NOT carry the contract packs. Dividing one by the other reads EGP 21.54 a pack rather than the EGP 21.22 the company actually realised on its own preparations — 1.50% too high, in every forecast year. The two disclosures now close on each other to the thousand pound in both years, and the model asserts it.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own preparations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24.62</w:t>
            </w:r>
          </w:p>
        </w:tc>
        <w:tc>
          <w:tcPr>
            <w:tcW w:type="dxa" w:w="1325"/>
          </w:tcPr>
          <w:p>
            <w:pPr>
              <w:spacing w:after="20"/>
              <w:jc w:val="right"/>
            </w:pPr>
            <w:r>
              <w:rPr>
                <w:color w:val="1C3A36"/>
                <w:sz w:val="17"/>
              </w:rPr>
              <w:t>27.57</w:t>
            </w:r>
          </w:p>
        </w:tc>
        <w:tc>
          <w:tcPr>
            <w:tcW w:type="dxa" w:w="1325"/>
          </w:tcPr>
          <w:p>
            <w:pPr>
              <w:spacing w:after="20"/>
              <w:jc w:val="right"/>
            </w:pPr>
            <w:r>
              <w:rPr>
                <w:color w:val="1C3A36"/>
                <w:sz w:val="17"/>
              </w:rPr>
              <w:t>30.05</w:t>
            </w:r>
          </w:p>
        </w:tc>
        <w:tc>
          <w:tcPr>
            <w:tcW w:type="dxa" w:w="1325"/>
          </w:tcPr>
          <w:p>
            <w:pPr>
              <w:spacing w:after="20"/>
              <w:jc w:val="right"/>
            </w:pPr>
            <w:r>
              <w:rPr>
                <w:color w:val="1C3A36"/>
                <w:sz w:val="17"/>
              </w:rPr>
              <w:t>32.31</w:t>
            </w:r>
          </w:p>
        </w:tc>
        <w:tc>
          <w:tcPr>
            <w:tcW w:type="dxa" w:w="1325"/>
          </w:tcPr>
          <w:p>
            <w:pPr>
              <w:spacing w:after="20"/>
              <w:jc w:val="right"/>
            </w:pPr>
            <w:r>
              <w:rPr>
                <w:color w:val="1C3A36"/>
                <w:sz w:val="17"/>
              </w:rPr>
              <w:t>34.57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55.1</w:t>
            </w:r>
          </w:p>
        </w:tc>
        <w:tc>
          <w:tcPr>
            <w:tcW w:type="dxa" w:w="1325"/>
          </w:tcPr>
          <w:p>
            <w:pPr>
              <w:spacing w:after="20"/>
              <w:jc w:val="right"/>
            </w:pPr>
            <w:r>
              <w:rPr>
                <w:color w:val="1C3A36"/>
                <w:sz w:val="17"/>
              </w:rPr>
              <w:t>60.2</w:t>
            </w:r>
          </w:p>
        </w:tc>
        <w:tc>
          <w:tcPr>
            <w:tcW w:type="dxa" w:w="1325"/>
          </w:tcPr>
          <w:p>
            <w:pPr>
              <w:spacing w:after="20"/>
              <w:jc w:val="right"/>
            </w:pPr>
            <w:r>
              <w:rPr>
                <w:color w:val="1C3A36"/>
                <w:sz w:val="17"/>
              </w:rPr>
              <w:t>64.0</w:t>
            </w:r>
          </w:p>
        </w:tc>
        <w:tc>
          <w:tcPr>
            <w:tcW w:type="dxa" w:w="1325"/>
          </w:tcPr>
          <w:p>
            <w:pPr>
              <w:spacing w:after="20"/>
              <w:jc w:val="right"/>
            </w:pPr>
            <w:r>
              <w:rPr>
                <w:color w:val="1C3A36"/>
                <w:sz w:val="17"/>
              </w:rPr>
              <w:t>67.2</w:t>
            </w:r>
          </w:p>
        </w:tc>
        <w:tc>
          <w:tcPr>
            <w:tcW w:type="dxa" w:w="1325"/>
          </w:tcPr>
          <w:p>
            <w:pPr>
              <w:spacing w:after="20"/>
              <w:jc w:val="right"/>
            </w:pPr>
            <w:r>
              <w:rPr>
                <w:color w:val="1C3A36"/>
                <w:sz w:val="17"/>
              </w:rPr>
              <w:t>70.1</w:t>
            </w:r>
          </w:p>
        </w:tc>
      </w:tr>
      <w:tr>
        <w:tc>
          <w:tcPr>
            <w:tcW w:type="dxa" w:w="3384"/>
          </w:tcPr>
          <w:p>
            <w:pPr>
              <w:spacing w:after="20"/>
            </w:pPr>
            <w:r>
              <w:rPr>
                <w:color w:val="1C3A36"/>
                <w:sz w:val="17"/>
              </w:rPr>
              <w:t>Contract-manufactured packs (million)</w:t>
            </w:r>
          </w:p>
        </w:tc>
        <w:tc>
          <w:tcPr>
            <w:tcW w:type="dxa" w:w="1325"/>
          </w:tcPr>
          <w:p>
            <w:pPr>
              <w:spacing w:after="20"/>
              <w:jc w:val="right"/>
            </w:pPr>
            <w:r>
              <w:rPr>
                <w:color w:val="1C3A36"/>
                <w:sz w:val="17"/>
              </w:rPr>
              <w:t>6.31</w:t>
            </w:r>
          </w:p>
        </w:tc>
        <w:tc>
          <w:tcPr>
            <w:tcW w:type="dxa" w:w="1325"/>
          </w:tcPr>
          <w:p>
            <w:pPr>
              <w:spacing w:after="20"/>
              <w:jc w:val="right"/>
            </w:pPr>
            <w:r>
              <w:rPr>
                <w:color w:val="1C3A36"/>
                <w:sz w:val="17"/>
              </w:rPr>
              <w:t>7.06</w:t>
            </w:r>
          </w:p>
        </w:tc>
        <w:tc>
          <w:tcPr>
            <w:tcW w:type="dxa" w:w="1325"/>
          </w:tcPr>
          <w:p>
            <w:pPr>
              <w:spacing w:after="20"/>
              <w:jc w:val="right"/>
            </w:pPr>
            <w:r>
              <w:rPr>
                <w:color w:val="1C3A36"/>
                <w:sz w:val="17"/>
              </w:rPr>
              <w:t>7.77</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8.98</w:t>
            </w:r>
          </w:p>
        </w:tc>
      </w:tr>
      <w:tr>
        <w:tc>
          <w:tcPr>
            <w:tcW w:type="dxa" w:w="3384"/>
          </w:tcPr>
          <w:p>
            <w:pPr>
              <w:spacing w:after="20"/>
            </w:pPr>
            <w:r>
              <w:rPr>
                <w:color w:val="1C3A36"/>
                <w:sz w:val="17"/>
              </w:rPr>
              <w:t>Contract manufacturing fee per pack (EGP)</w:t>
            </w:r>
          </w:p>
        </w:tc>
        <w:tc>
          <w:tcPr>
            <w:tcW w:type="dxa" w:w="1325"/>
          </w:tcPr>
          <w:p>
            <w:pPr>
              <w:spacing w:after="20"/>
              <w:jc w:val="right"/>
            </w:pPr>
            <w:r>
              <w:rPr>
                <w:color w:val="1C3A36"/>
                <w:sz w:val="17"/>
              </w:rPr>
              <w:t>10.44</w:t>
            </w:r>
          </w:p>
        </w:tc>
        <w:tc>
          <w:tcPr>
            <w:tcW w:type="dxa" w:w="1325"/>
          </w:tcPr>
          <w:p>
            <w:pPr>
              <w:spacing w:after="20"/>
              <w:jc w:val="right"/>
            </w:pPr>
            <w:r>
              <w:rPr>
                <w:color w:val="1C3A36"/>
                <w:sz w:val="17"/>
              </w:rPr>
              <w:t>11.69</w:t>
            </w:r>
          </w:p>
        </w:tc>
        <w:tc>
          <w:tcPr>
            <w:tcW w:type="dxa" w:w="1325"/>
          </w:tcPr>
          <w:p>
            <w:pPr>
              <w:spacing w:after="20"/>
              <w:jc w:val="right"/>
            </w:pPr>
            <w:r>
              <w:rPr>
                <w:color w:val="1C3A36"/>
                <w:sz w:val="17"/>
              </w:rPr>
              <w:t>12.75</w:t>
            </w:r>
          </w:p>
        </w:tc>
        <w:tc>
          <w:tcPr>
            <w:tcW w:type="dxa" w:w="1325"/>
          </w:tcPr>
          <w:p>
            <w:pPr>
              <w:spacing w:after="20"/>
              <w:jc w:val="right"/>
            </w:pPr>
            <w:r>
              <w:rPr>
                <w:color w:val="1C3A36"/>
                <w:sz w:val="17"/>
              </w:rPr>
              <w:t>13.70</w:t>
            </w:r>
          </w:p>
        </w:tc>
        <w:tc>
          <w:tcPr>
            <w:tcW w:type="dxa" w:w="1325"/>
          </w:tcPr>
          <w:p>
            <w:pPr>
              <w:spacing w:after="20"/>
              <w:jc w:val="right"/>
            </w:pPr>
            <w:r>
              <w:rPr>
                <w:color w:val="1C3A36"/>
                <w:sz w:val="17"/>
              </w:rPr>
              <w:t>14.66</w:t>
            </w:r>
          </w:p>
        </w:tc>
      </w:tr>
      <w:tr>
        <w:tc>
          <w:tcPr>
            <w:tcW w:type="dxa" w:w="3384"/>
          </w:tcPr>
          <w:p>
            <w:pPr>
              <w:spacing w:after="20"/>
            </w:pPr>
            <w:r>
              <w:rPr>
                <w:color w:val="1C3A36"/>
                <w:sz w:val="17"/>
              </w:rPr>
              <w:t>Contract product resold, price per pack (EGP)</w:t>
            </w:r>
          </w:p>
        </w:tc>
        <w:tc>
          <w:tcPr>
            <w:tcW w:type="dxa" w:w="1325"/>
          </w:tcPr>
          <w:p>
            <w:pPr>
              <w:spacing w:after="20"/>
              <w:jc w:val="right"/>
            </w:pPr>
            <w:r>
              <w:rPr>
                <w:color w:val="1C3A36"/>
                <w:sz w:val="17"/>
              </w:rPr>
              <w:t>19.66</w:t>
            </w:r>
          </w:p>
        </w:tc>
        <w:tc>
          <w:tcPr>
            <w:tcW w:type="dxa" w:w="1325"/>
          </w:tcPr>
          <w:p>
            <w:pPr>
              <w:spacing w:after="20"/>
              <w:jc w:val="right"/>
            </w:pPr>
            <w:r>
              <w:rPr>
                <w:color w:val="1C3A36"/>
                <w:sz w:val="17"/>
              </w:rPr>
              <w:t>22.02</w:t>
            </w:r>
          </w:p>
        </w:tc>
        <w:tc>
          <w:tcPr>
            <w:tcW w:type="dxa" w:w="1325"/>
          </w:tcPr>
          <w:p>
            <w:pPr>
              <w:spacing w:after="20"/>
              <w:jc w:val="right"/>
            </w:pPr>
            <w:r>
              <w:rPr>
                <w:color w:val="1C3A36"/>
                <w:sz w:val="17"/>
              </w:rPr>
              <w:t>24.00</w:t>
            </w:r>
          </w:p>
        </w:tc>
        <w:tc>
          <w:tcPr>
            <w:tcW w:type="dxa" w:w="1325"/>
          </w:tcPr>
          <w:p>
            <w:pPr>
              <w:spacing w:after="20"/>
              <w:jc w:val="right"/>
            </w:pPr>
            <w:r>
              <w:rPr>
                <w:color w:val="1C3A36"/>
                <w:sz w:val="17"/>
              </w:rPr>
              <w:t>25.80</w:t>
            </w:r>
          </w:p>
        </w:tc>
        <w:tc>
          <w:tcPr>
            <w:tcW w:type="dxa" w:w="1325"/>
          </w:tcPr>
          <w:p>
            <w:pPr>
              <w:spacing w:after="20"/>
              <w:jc w:val="right"/>
            </w:pPr>
            <w:r>
              <w:rPr>
                <w:color w:val="1C3A36"/>
                <w:sz w:val="17"/>
              </w:rPr>
              <w:t>27.61</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11,442</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16,179</w:t>
            </w:r>
          </w:p>
        </w:tc>
        <w:tc>
          <w:tcPr>
            <w:tcW w:type="dxa" w:w="1325"/>
          </w:tcPr>
          <w:p>
            <w:pPr>
              <w:spacing w:after="20"/>
              <w:jc w:val="right"/>
            </w:pPr>
            <w:r>
              <w:rPr>
                <w:color w:val="1C3A36"/>
                <w:sz w:val="17"/>
              </w:rPr>
              <w:t>18,523</w:t>
            </w:r>
          </w:p>
        </w:tc>
        <w:tc>
          <w:tcPr>
            <w:tcW w:type="dxa" w:w="1325"/>
          </w:tcPr>
          <w:p>
            <w:pPr>
              <w:spacing w:after="20"/>
              <w:jc w:val="right"/>
            </w:pPr>
            <w:r>
              <w:rPr>
                <w:color w:val="1C3A36"/>
                <w:sz w:val="17"/>
              </w:rPr>
              <w:t>20,911</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42.8%</w:t>
            </w:r>
          </w:p>
        </w:tc>
        <w:tc>
          <w:tcPr>
            <w:tcW w:type="dxa" w:w="1325"/>
            <w:shd w:val="clear" w:color="auto" w:fill="F6F1E6"/>
          </w:tcPr>
          <w:p>
            <w:pPr>
              <w:spacing w:after="20"/>
              <w:jc w:val="right"/>
            </w:pPr>
            <w:r>
              <w:rPr>
                <w:b/>
                <w:color w:val="1C3A36"/>
                <w:sz w:val="17"/>
              </w:rPr>
              <w:t>42.9%</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43.5%</w:t>
            </w:r>
          </w:p>
        </w:tc>
      </w:tr>
    </w:tbl>
    <w:p>
      <w:pPr>
        <w:spacing w:after="40"/>
      </w:pPr>
    </w:p>
    <w:p>
      <w:pPr>
        <w:spacing w:after="200" w:before="0"/>
      </w:pPr>
      <w:r>
        <w:rPr>
          <w:b w:val="0"/>
          <w:i/>
          <w:color w:val="6E7B77"/>
          <w:sz w:val="17"/>
        </w:rPr>
        <w:t>Table 7 — the forecast driver table. THREE product lines, each with its own volume and its own price, moving separately and in the currency each is actually earned in. Nothing on this table is a revenue growth rate.</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4,239 million of revenue by FY2030 at a 45% contribution margin closes the gap from EGP 85.25 to EGP 127.30. That is 17% of FY2030 revenue, or about USD 60 million a year — 0.60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60 million, which understates what the market is actually asking of the plant.</w:t>
      </w:r>
    </w:p>
    <w:p>
      <w:pPr>
        <w:spacing w:after="120" w:before="0"/>
      </w:pPr>
      <w:r>
        <w:rPr>
          <w:b w:val="0"/>
          <w:i w:val="0"/>
          <w:color w:val="1C3A36"/>
          <w:sz w:val="21"/>
        </w:rPr>
        <w:t>The same arithmetic read the other way is worth stating, because it is the plainest summary of what is at issue. At EGP 127.30 the market is paying EGP 42.05 a share — EGP 7,097 million, 33% of the entire share price — for a plant this study values at nothing, against a stated build cost of USD 100 million, about EGP 7,011 million. The market is not merely paying for the plant to work; it is paying roughly 1.0 times what the plant cost to build. That is the proposition, stated as a multiple of an observable outlay rather than as a valuation.</w:t>
      </w:r>
    </w:p>
    <w:p>
      <w:pPr>
        <w:spacing w:after="120" w:before="0"/>
      </w:pPr>
      <w:r>
        <w:rPr>
          <w:b/>
          <w:i w:val="0"/>
          <w:color w:val="1C3A36"/>
          <w:sz w:val="21"/>
        </w:rPr>
        <w:t>And the lead molecule is not first into its own market, which makes the hurdle harder than the contribution margin above makes it look. The Egyptian Drug Authority approved a competing adalimumab biosimilar — Alvotech's AVT02, marketed in Egypt as Adalimumab-EVA and commercialised by Bioventure — on 29 August 2023. That is twenty-seven months before this company launched its own adalimumab in December 2025, and adalimumab is the one molecule of the fourteen in the published pipeline that has actually reached the market. So the revenue above has to be won against an approved rival rather than into an empty field, and the 45% contribution margin the solve assumes should be read as a ceiling. This changes nothing in the answer, because the crux is stated rather than forecast. It raises the bar a reader has to clear before agreeing with the market.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60 million a year of biosimilar revenue by 2030 is a figure the company will eventually disclose, and a reader can check this study against it. An asset turn of 0.60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11,442</w:t>
            </w:r>
          </w:p>
        </w:tc>
        <w:tc>
          <w:tcPr>
            <w:tcW w:type="dxa" w:w="3312"/>
          </w:tcPr>
          <w:p>
            <w:pPr>
              <w:spacing w:after="20"/>
              <w:jc w:val="right"/>
            </w:pPr>
            <w:r>
              <w:rPr>
                <w:color w:val="1C3A36"/>
                <w:sz w:val="16"/>
              </w:rPr>
              <w:t>10.0%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43.2%</w:t>
            </w:r>
          </w:p>
        </w:tc>
        <w:tc>
          <w:tcPr>
            <w:tcW w:type="dxa" w:w="3312"/>
          </w:tcPr>
          <w:p>
            <w:pPr>
              <w:spacing w:after="20"/>
              <w:jc w:val="right"/>
            </w:pPr>
            <w:r>
              <w:rPr>
                <w:color w:val="1C3A36"/>
                <w:sz w:val="16"/>
              </w:rPr>
              <w:t>within 77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1,430</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1,355</w:t>
            </w:r>
          </w:p>
        </w:tc>
        <w:tc>
          <w:tcPr>
            <w:tcW w:type="dxa" w:w="3312"/>
          </w:tcPr>
          <w:p>
            <w:pPr>
              <w:spacing w:after="20"/>
              <w:jc w:val="right"/>
            </w:pPr>
            <w:r>
              <w:rPr>
                <w:color w:val="1C3A36"/>
                <w:sz w:val="16"/>
              </w:rPr>
              <w:t>the study is 5% above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8.03</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Put a number on it: Frame A's 5.25% of revenue applied to the quarter's own sales would have charged EGP 133.0 million — 47% of the attributable profit the quarter actually reported — and even the three-year expected-credit-loss mean of 3.03% would have charged EGP 76.6 million, or 27% of it.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29.34%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0.666</w:t>
            </w:r>
          </w:p>
        </w:tc>
        <w:tc>
          <w:tcPr>
            <w:tcW w:type="dxa" w:w="1368"/>
          </w:tcPr>
          <w:p>
            <w:pPr>
              <w:spacing w:after="20"/>
              <w:jc w:val="right"/>
            </w:pPr>
            <w:r>
              <w:rPr>
                <w:color w:val="1C3A36"/>
                <w:sz w:val="16"/>
              </w:rPr>
              <w:t>0.666</w:t>
            </w:r>
          </w:p>
        </w:tc>
        <w:tc>
          <w:tcPr>
            <w:tcW w:type="dxa" w:w="4536"/>
          </w:tcPr>
          <w:p>
            <w:pPr>
              <w:spacing w:after="20"/>
              <w:jc w:val="right"/>
            </w:pPr>
            <w:r>
              <w:rPr>
                <w:color w:val="1C3A36"/>
                <w:sz w:val="16"/>
              </w:rPr>
              <w:t>Own-stock weekly regression against the published EGX30 index of the exchange this share is listed on, 4.94 years; R-squared 0.143, n = 256, standard error 0.135</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25.92%</w:t>
            </w:r>
          </w:p>
        </w:tc>
        <w:tc>
          <w:tcPr>
            <w:tcW w:type="dxa" w:w="1368"/>
            <w:shd w:val="clear" w:color="auto" w:fill="F6F1E6"/>
          </w:tcPr>
          <w:p>
            <w:pPr>
              <w:spacing w:after="20"/>
              <w:jc w:val="right"/>
            </w:pPr>
            <w:r>
              <w:rPr>
                <w:b/>
                <w:color w:val="1C3A36"/>
                <w:sz w:val="16"/>
              </w:rPr>
              <w:t>26.01%</w:t>
            </w:r>
          </w:p>
        </w:tc>
        <w:tc>
          <w:tcPr>
            <w:tcW w:type="dxa" w:w="4536"/>
            <w:shd w:val="clear" w:color="auto" w:fill="F6F1E6"/>
          </w:tcPr>
          <w:p>
            <w:pPr>
              <w:spacing w:after="20"/>
              <w:jc w:val="right"/>
            </w:pPr>
            <w:r>
              <w:rPr>
                <w:b/>
                <w:color w:val="1C3A36"/>
                <w:sz w:val="16"/>
              </w:rPr>
              <w:t>The two bases agree to 9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25.50%</w:t>
            </w:r>
          </w:p>
        </w:tc>
        <w:tc>
          <w:tcPr>
            <w:tcW w:type="dxa" w:w="1368"/>
          </w:tcPr>
          <w:p>
            <w:pPr>
              <w:spacing w:after="20"/>
              <w:jc w:val="right"/>
            </w:pPr>
            <w:r>
              <w:rPr>
                <w:color w:val="1C3A36"/>
                <w:sz w:val="16"/>
              </w:rPr>
              <w:t>25.50%</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14.64%</w:t>
            </w:r>
          </w:p>
        </w:tc>
        <w:tc>
          <w:tcPr>
            <w:tcW w:type="dxa" w:w="1368"/>
          </w:tcPr>
          <w:p>
            <w:pPr>
              <w:spacing w:after="20"/>
              <w:jc w:val="right"/>
            </w:pPr>
            <w:r>
              <w:rPr>
                <w:color w:val="1C3A36"/>
                <w:sz w:val="16"/>
              </w:rPr>
              <w:t>14.64%</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74% / 26%</w:t>
            </w:r>
          </w:p>
        </w:tc>
        <w:tc>
          <w:tcPr>
            <w:tcW w:type="dxa" w:w="1368"/>
          </w:tcPr>
          <w:p>
            <w:pPr>
              <w:spacing w:after="20"/>
              <w:jc w:val="right"/>
            </w:pPr>
            <w:r>
              <w:rPr>
                <w:color w:val="1C3A36"/>
                <w:sz w:val="16"/>
              </w:rPr>
              <w:t>74% / 26%</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23.04%</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22.64%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15.47%</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17.50%, cost of debt after tax 9.56%, DERIVED debt weight 25.5% on today's market values. The forecast balance sheet, once funded, carries 36.2% on book at FY2030E, which would give 14.62%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18.9%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23.04%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85.25</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76.29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100.98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85.95</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100</w:t>
            </w:r>
          </w:p>
        </w:tc>
        <w:tc>
          <w:tcPr>
            <w:tcW w:type="dxa" w:w="1368"/>
          </w:tcPr>
          <w:p>
            <w:pPr>
              <w:spacing w:after="20"/>
              <w:jc w:val="right"/>
            </w:pPr>
            <w:r>
              <w:rPr>
                <w:color w:val="1C3A36"/>
                <w:sz w:val="17"/>
              </w:rPr>
              <w:t>112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75</w:t>
            </w:r>
          </w:p>
        </w:tc>
        <w:tc>
          <w:tcPr>
            <w:tcW w:type="dxa" w:w="1368"/>
          </w:tcPr>
          <w:p>
            <w:pPr>
              <w:spacing w:after="20"/>
              <w:jc w:val="right"/>
            </w:pPr>
            <w:r>
              <w:rPr>
                <w:color w:val="1C3A36"/>
                <w:sz w:val="17"/>
              </w:rPr>
              <w:t>81</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67</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60</w:t>
            </w:r>
          </w:p>
        </w:tc>
        <w:tc>
          <w:tcPr>
            <w:tcW w:type="dxa" w:w="1368"/>
          </w:tcPr>
          <w:p>
            <w:pPr>
              <w:spacing w:after="20"/>
              <w:jc w:val="right"/>
            </w:pPr>
            <w:r>
              <w:rPr>
                <w:color w:val="1C3A36"/>
                <w:sz w:val="17"/>
              </w:rPr>
              <w:t>64</w:t>
            </w:r>
          </w:p>
        </w:tc>
        <w:tc>
          <w:tcPr>
            <w:tcW w:type="dxa" w:w="1368"/>
          </w:tcPr>
          <w:p>
            <w:pPr>
              <w:spacing w:after="20"/>
              <w:jc w:val="right"/>
            </w:pPr>
            <w:r>
              <w:rPr>
                <w:color w:val="1C3A36"/>
                <w:sz w:val="17"/>
              </w:rPr>
              <w:t>69</w:t>
            </w:r>
          </w:p>
        </w:tc>
        <w:tc>
          <w:tcPr>
            <w:tcW w:type="dxa" w:w="1368"/>
          </w:tcPr>
          <w:p>
            <w:pPr>
              <w:spacing w:after="20"/>
              <w:jc w:val="right"/>
            </w:pPr>
            <w:r>
              <w:rPr>
                <w:color w:val="1C3A36"/>
                <w:sz w:val="17"/>
              </w:rPr>
              <w:t>75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51</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58</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67</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51 to EGP 112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1,060 million of FY2030 sales, or USD 15 million a year — is worth about EGP 10.51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22.5%</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17.8%</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10.0%</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127.30</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-27.4%</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-30.5%</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-32.9%</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-27%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104.91</w:t>
            </w:r>
          </w:p>
        </w:tc>
        <w:tc>
          <w:tcPr>
            <w:tcW w:type="dxa" w:w="1728"/>
          </w:tcPr>
          <w:p>
            <w:pPr>
              <w:spacing w:after="20"/>
              <w:jc w:val="right"/>
            </w:pPr>
            <w:r>
              <w:rPr>
                <w:color w:val="1C3A36"/>
                <w:sz w:val="18"/>
              </w:rPr>
              <w:t>96.09</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121.95</w:t>
            </w:r>
          </w:p>
        </w:tc>
        <w:tc>
          <w:tcPr>
            <w:tcW w:type="dxa" w:w="1728"/>
          </w:tcPr>
          <w:p>
            <w:pPr>
              <w:spacing w:after="20"/>
              <w:jc w:val="right"/>
            </w:pPr>
            <w:r>
              <w:rPr>
                <w:color w:val="1C3A36"/>
                <w:sz w:val="18"/>
              </w:rPr>
              <w:t>120.51</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132.72</w:t>
            </w:r>
          </w:p>
        </w:tc>
        <w:tc>
          <w:tcPr>
            <w:tcW w:type="dxa" w:w="1728"/>
          </w:tcPr>
          <w:p>
            <w:pPr>
              <w:spacing w:after="20"/>
              <w:jc w:val="right"/>
            </w:pPr>
            <w:r>
              <w:rPr>
                <w:color w:val="1C3A36"/>
                <w:sz w:val="18"/>
              </w:rPr>
              <w:t>136.87</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144.45</w:t>
            </w:r>
          </w:p>
        </w:tc>
        <w:tc>
          <w:tcPr>
            <w:tcW w:type="dxa" w:w="1728"/>
          </w:tcPr>
          <w:p>
            <w:pPr>
              <w:spacing w:after="20"/>
              <w:jc w:val="right"/>
            </w:pPr>
            <w:r>
              <w:rPr>
                <w:color w:val="1C3A36"/>
                <w:sz w:val="18"/>
              </w:rPr>
              <w:t>155.44</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167.85</w:t>
            </w:r>
          </w:p>
        </w:tc>
        <w:tc>
          <w:tcPr>
            <w:tcW w:type="dxa" w:w="1728"/>
          </w:tcPr>
          <w:p>
            <w:pPr>
              <w:spacing w:after="20"/>
              <w:jc w:val="right"/>
            </w:pPr>
            <w:r>
              <w:rPr>
                <w:color w:val="1C3A36"/>
                <w:sz w:val="18"/>
              </w:rPr>
              <w:t>194.60</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57%</w:t>
            </w:r>
          </w:p>
        </w:tc>
        <w:tc>
          <w:tcPr>
            <w:tcW w:type="dxa" w:w="1728"/>
          </w:tcPr>
          <w:p>
            <w:pPr>
              <w:spacing w:after="20"/>
              <w:jc w:val="right"/>
            </w:pPr>
            <w:r>
              <w:rPr>
                <w:color w:val="1C3A36"/>
                <w:sz w:val="18"/>
              </w:rPr>
              <w:t>61%</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27%</w:t>
            </w:r>
          </w:p>
        </w:tc>
        <w:tc>
          <w:tcPr>
            <w:tcW w:type="dxa" w:w="1728"/>
          </w:tcPr>
          <w:p>
            <w:pPr>
              <w:spacing w:after="20"/>
              <w:jc w:val="right"/>
            </w:pPr>
            <w:r>
              <w:rPr>
                <w:color w:val="1C3A36"/>
                <w:sz w:val="18"/>
              </w:rPr>
              <w:t>41%</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16%</w:t>
            </w:r>
          </w:p>
        </w:tc>
        <w:tc>
          <w:tcPr>
            <w:tcW w:type="dxa" w:w="1728"/>
          </w:tcPr>
          <w:p>
            <w:pPr>
              <w:spacing w:after="20"/>
              <w:jc w:val="right"/>
            </w:pPr>
            <w:r>
              <w:rPr>
                <w:color w:val="1C3A36"/>
                <w:sz w:val="18"/>
              </w:rPr>
              <w:t>21%</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44%</w:t>
            </w:r>
          </w:p>
        </w:tc>
        <w:tc>
          <w:tcPr>
            <w:tcW w:type="dxa" w:w="1728"/>
          </w:tcPr>
          <w:p>
            <w:pPr>
              <w:spacing w:after="20"/>
              <w:jc w:val="right"/>
            </w:pPr>
            <w:r>
              <w:rPr>
                <w:color w:val="1C3A36"/>
                <w:sz w:val="18"/>
              </w:rPr>
              <w:t>65%</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30%</w:t>
            </w:r>
          </w:p>
        </w:tc>
        <w:tc>
          <w:tcPr>
            <w:tcW w:type="dxa" w:w="1728"/>
          </w:tcPr>
          <w:p>
            <w:pPr>
              <w:spacing w:after="20"/>
              <w:jc w:val="right"/>
            </w:pPr>
            <w:r>
              <w:rPr>
                <w:color w:val="1C3A36"/>
                <w:sz w:val="18"/>
              </w:rPr>
              <w:t>44%</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checking each forecast against what actually happened. Three window sets are reported: the last five years, 19 non-overlapping three-month windows; the full 13.8-year history, 56 windows; and the period AFTER the currency break that dominates the older history — 16 windows from 2022-06-20 to 2026-03-24. The third is published because it is the set that matches the period the bands shown above are built on. All three are reported together; reporting only two of three would be a choice about which evidence a reader sees.</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85.25</w:t>
            </w:r>
          </w:p>
        </w:tc>
        <w:tc>
          <w:tcPr>
            <w:tcW w:type="dxa" w:w="2952"/>
          </w:tcPr>
          <w:p>
            <w:pPr>
              <w:spacing w:after="20"/>
              <w:jc w:val="right"/>
            </w:pPr>
            <w:r>
              <w:rPr>
                <w:color w:val="1C3A36"/>
                <w:sz w:val="16"/>
              </w:rPr>
              <w:t>the terminal discount rate and the terminal growth rate — 79%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102.89</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70.85</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55.45</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72.28</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relative lens at EGP 55.45; the highest is the cash-flow reading on the normalising frame at EGP 102.89. The cash-flow readings charge the new plant's full cost and credit it with nothing, so they sit low despite capturing five years of the volume and price growth the existing business is already delivering. The relative lens prices the company on what a 27.1% return and a 17.5% perpetual cost of equity can justify, which supports about 7.06 times forward earnings against the 14.90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60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21% of paths finish 10% or more below the anchor, but 44%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96.09 to EGP 194.60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The lower fundamental centre, EGP 85.25, sits below the entire three-month band, whose floor is EGP 96.09; the higher, EGP 102.89, sits inside it. That is worth noticing rather than reconciling away.</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10.93% against a blended MARGINAL cost of debt of 18.89%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market index explains little of this share’s week-to-week movement</w:t>
            </w:r>
          </w:p>
        </w:tc>
        <w:tc>
          <w:tcPr>
            <w:tcW w:type="dxa" w:w="4824"/>
          </w:tcPr>
          <w:p>
            <w:pPr>
              <w:spacing w:after="20"/>
              <w:jc w:val="right"/>
            </w:pPr>
            <w:r>
              <w:rPr>
                <w:color w:val="1C3A36"/>
                <w:sz w:val="16"/>
              </w:rPr>
              <w:t>the beta is regressed against the published index of the exchange the shares are listed on, and that index explains 14.3% of the weekly variation over 256 observations. The coefficient is 0.666 with a 90% range of 0.443 to 0.889, and that range is wide enough to matter to the valuation. A previous edition regressed against an equal-weighted basket of 36 local names, which fit better — 23.5% — and gave 0.629. That basket is not a market: it changes whenever a share is added to it and it shares members with the very set it is used to price, so it tracks any one of them more closely than a real index does. A better fit against the wrong yardstick is not a reason to use the wrong yardstick. Both figures and their statistics are published in the bibliography</w:t>
            </w:r>
          </w:p>
        </w:tc>
        <w:tc>
          <w:tcPr>
            <w:tcW w:type="dxa" w:w="2376"/>
          </w:tcPr>
          <w:p>
            <w:pPr>
              <w:spacing w:after="20"/>
              <w:jc w:val="right"/>
            </w:pPr>
            <w:r>
              <w:rPr>
                <w:color w:val="1C3A36"/>
                <w:sz w:val="16"/>
              </w:rPr>
              <w:t>a longer price history, or a defensible set of listed peers whose own betas clear the same usability test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18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60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11,442</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16,179</w:t>
            </w:r>
          </w:p>
        </w:tc>
        <w:tc>
          <w:tcPr>
            <w:tcW w:type="dxa" w:w="1037"/>
          </w:tcPr>
          <w:p>
            <w:pPr>
              <w:spacing w:after="20"/>
              <w:jc w:val="right"/>
            </w:pPr>
            <w:r>
              <w:rPr>
                <w:color w:val="1C3A36"/>
                <w:sz w:val="15"/>
              </w:rPr>
              <w:t>18,523</w:t>
            </w:r>
          </w:p>
        </w:tc>
        <w:tc>
          <w:tcPr>
            <w:tcW w:type="dxa" w:w="1037"/>
          </w:tcPr>
          <w:p>
            <w:pPr>
              <w:spacing w:after="20"/>
              <w:jc w:val="right"/>
            </w:pPr>
            <w:r>
              <w:rPr>
                <w:color w:val="1C3A36"/>
                <w:sz w:val="15"/>
              </w:rPr>
              <w:t>20,911</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6,503</w:t>
            </w:r>
          </w:p>
        </w:tc>
        <w:tc>
          <w:tcPr>
            <w:tcW w:type="dxa" w:w="1037"/>
          </w:tcPr>
          <w:p>
            <w:pPr>
              <w:spacing w:after="20"/>
              <w:jc w:val="right"/>
            </w:pPr>
            <w:r>
              <w:rPr>
                <w:color w:val="1C3A36"/>
                <w:sz w:val="15"/>
              </w:rPr>
              <w:t>7,910</w:t>
            </w:r>
          </w:p>
        </w:tc>
        <w:tc>
          <w:tcPr>
            <w:tcW w:type="dxa" w:w="1037"/>
          </w:tcPr>
          <w:p>
            <w:pPr>
              <w:spacing w:after="20"/>
              <w:jc w:val="right"/>
            </w:pPr>
            <w:r>
              <w:rPr>
                <w:color w:val="1C3A36"/>
                <w:sz w:val="15"/>
              </w:rPr>
              <w:t>9,231</w:t>
            </w:r>
          </w:p>
        </w:tc>
        <w:tc>
          <w:tcPr>
            <w:tcW w:type="dxa" w:w="1037"/>
          </w:tcPr>
          <w:p>
            <w:pPr>
              <w:spacing w:after="20"/>
              <w:jc w:val="right"/>
            </w:pPr>
            <w:r>
              <w:rPr>
                <w:color w:val="1C3A36"/>
                <w:sz w:val="15"/>
              </w:rPr>
              <w:t>10,522</w:t>
            </w:r>
          </w:p>
        </w:tc>
        <w:tc>
          <w:tcPr>
            <w:tcW w:type="dxa" w:w="1037"/>
          </w:tcPr>
          <w:p>
            <w:pPr>
              <w:spacing w:after="20"/>
              <w:jc w:val="right"/>
            </w:pPr>
            <w:r>
              <w:rPr>
                <w:color w:val="1C3A36"/>
                <w:sz w:val="15"/>
              </w:rPr>
              <w:t>11,823</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4,939</w:t>
            </w:r>
          </w:p>
        </w:tc>
        <w:tc>
          <w:tcPr>
            <w:tcW w:type="dxa" w:w="1037"/>
            <w:shd w:val="clear" w:color="auto" w:fill="F6F1E6"/>
          </w:tcPr>
          <w:p>
            <w:pPr>
              <w:spacing w:after="20"/>
              <w:jc w:val="right"/>
            </w:pPr>
            <w:r>
              <w:rPr>
                <w:b/>
                <w:color w:val="1C3A36"/>
                <w:sz w:val="15"/>
              </w:rPr>
              <w:t>5,916</w:t>
            </w:r>
          </w:p>
        </w:tc>
        <w:tc>
          <w:tcPr>
            <w:tcW w:type="dxa" w:w="1037"/>
            <w:shd w:val="clear" w:color="auto" w:fill="F6F1E6"/>
          </w:tcPr>
          <w:p>
            <w:pPr>
              <w:spacing w:after="20"/>
              <w:jc w:val="right"/>
            </w:pPr>
            <w:r>
              <w:rPr>
                <w:b/>
                <w:color w:val="1C3A36"/>
                <w:sz w:val="15"/>
              </w:rPr>
              <w:t>6,948</w:t>
            </w:r>
          </w:p>
        </w:tc>
        <w:tc>
          <w:tcPr>
            <w:tcW w:type="dxa" w:w="1037"/>
            <w:shd w:val="clear" w:color="auto" w:fill="F6F1E6"/>
          </w:tcPr>
          <w:p>
            <w:pPr>
              <w:spacing w:after="20"/>
              <w:jc w:val="right"/>
            </w:pPr>
            <w:r>
              <w:rPr>
                <w:b/>
                <w:color w:val="1C3A36"/>
                <w:sz w:val="15"/>
              </w:rPr>
              <w:t>8,002</w:t>
            </w:r>
          </w:p>
        </w:tc>
        <w:tc>
          <w:tcPr>
            <w:tcW w:type="dxa" w:w="1037"/>
            <w:shd w:val="clear" w:color="auto" w:fill="F6F1E6"/>
          </w:tcPr>
          <w:p>
            <w:pPr>
              <w:spacing w:after="20"/>
              <w:jc w:val="right"/>
            </w:pPr>
            <w:r>
              <w:rPr>
                <w:b/>
                <w:color w:val="1C3A36"/>
                <w:sz w:val="15"/>
              </w:rPr>
              <w:t>9,088</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42.8%</w:t>
            </w:r>
          </w:p>
        </w:tc>
        <w:tc>
          <w:tcPr>
            <w:tcW w:type="dxa" w:w="1037"/>
          </w:tcPr>
          <w:p>
            <w:pPr>
              <w:spacing w:after="20"/>
              <w:jc w:val="right"/>
            </w:pPr>
            <w:r>
              <w:rPr>
                <w:color w:val="1C3A36"/>
                <w:sz w:val="15"/>
              </w:rPr>
              <w:t>42.9%</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43.5%</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1,190</w:t>
            </w:r>
          </w:p>
        </w:tc>
        <w:tc>
          <w:tcPr>
            <w:tcW w:type="dxa" w:w="1037"/>
          </w:tcPr>
          <w:p>
            <w:pPr>
              <w:spacing w:after="20"/>
              <w:jc w:val="right"/>
            </w:pPr>
            <w:r>
              <w:rPr>
                <w:color w:val="1C3A36"/>
                <w:sz w:val="15"/>
              </w:rPr>
              <w:t>1,410</w:t>
            </w:r>
          </w:p>
        </w:tc>
        <w:tc>
          <w:tcPr>
            <w:tcW w:type="dxa" w:w="1037"/>
          </w:tcPr>
          <w:p>
            <w:pPr>
              <w:spacing w:after="20"/>
              <w:jc w:val="right"/>
            </w:pPr>
            <w:r>
              <w:rPr>
                <w:color w:val="1C3A36"/>
                <w:sz w:val="15"/>
              </w:rPr>
              <w:t>1,618</w:t>
            </w:r>
          </w:p>
        </w:tc>
        <w:tc>
          <w:tcPr>
            <w:tcW w:type="dxa" w:w="1037"/>
          </w:tcPr>
          <w:p>
            <w:pPr>
              <w:spacing w:after="20"/>
              <w:jc w:val="right"/>
            </w:pPr>
            <w:r>
              <w:rPr>
                <w:color w:val="1C3A36"/>
                <w:sz w:val="15"/>
              </w:rPr>
              <w:t>1,834</w:t>
            </w:r>
          </w:p>
        </w:tc>
        <w:tc>
          <w:tcPr>
            <w:tcW w:type="dxa" w:w="1037"/>
          </w:tcPr>
          <w:p>
            <w:pPr>
              <w:spacing w:after="20"/>
              <w:jc w:val="right"/>
            </w:pPr>
            <w:r>
              <w:rPr>
                <w:color w:val="1C3A36"/>
                <w:sz w:val="15"/>
              </w:rPr>
              <w:t>2,049</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97.3</w:t>
            </w:r>
          </w:p>
        </w:tc>
        <w:tc>
          <w:tcPr>
            <w:tcW w:type="dxa" w:w="1037"/>
          </w:tcPr>
          <w:p>
            <w:pPr>
              <w:spacing w:after="20"/>
              <w:jc w:val="right"/>
            </w:pPr>
            <w:r>
              <w:rPr>
                <w:color w:val="1C3A36"/>
                <w:sz w:val="15"/>
              </w:rPr>
              <w:t>124.4</w:t>
            </w:r>
          </w:p>
        </w:tc>
        <w:tc>
          <w:tcPr>
            <w:tcW w:type="dxa" w:w="1037"/>
          </w:tcPr>
          <w:p>
            <w:pPr>
              <w:spacing w:after="20"/>
              <w:jc w:val="right"/>
            </w:pPr>
            <w:r>
              <w:rPr>
                <w:color w:val="1C3A36"/>
                <w:sz w:val="15"/>
              </w:rPr>
              <w:t>153.7</w:t>
            </w:r>
          </w:p>
        </w:tc>
        <w:tc>
          <w:tcPr>
            <w:tcW w:type="dxa" w:w="1037"/>
          </w:tcPr>
          <w:p>
            <w:pPr>
              <w:spacing w:after="20"/>
              <w:jc w:val="right"/>
            </w:pPr>
            <w:r>
              <w:rPr>
                <w:color w:val="1C3A36"/>
                <w:sz w:val="15"/>
              </w:rPr>
              <w:t>185.2</w:t>
            </w:r>
          </w:p>
        </w:tc>
        <w:tc>
          <w:tcPr>
            <w:tcW w:type="dxa" w:w="1037"/>
          </w:tcPr>
          <w:p>
            <w:pPr>
              <w:spacing w:after="20"/>
              <w:jc w:val="right"/>
            </w:pPr>
            <w:r>
              <w:rPr>
                <w:color w:val="1C3A36"/>
                <w:sz w:val="15"/>
              </w:rPr>
              <w:t>209.1</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268.9</w:t>
            </w:r>
          </w:p>
        </w:tc>
        <w:tc>
          <w:tcPr>
            <w:tcW w:type="dxa" w:w="1037"/>
          </w:tcPr>
          <w:p>
            <w:pPr>
              <w:spacing w:after="20"/>
              <w:jc w:val="right"/>
            </w:pPr>
            <w:r>
              <w:rPr>
                <w:color w:val="1C3A36"/>
                <w:sz w:val="15"/>
              </w:rPr>
              <w:t>324.9</w:t>
            </w:r>
          </w:p>
        </w:tc>
        <w:tc>
          <w:tcPr>
            <w:tcW w:type="dxa" w:w="1037"/>
          </w:tcPr>
          <w:p>
            <w:pPr>
              <w:spacing w:after="20"/>
              <w:jc w:val="right"/>
            </w:pPr>
            <w:r>
              <w:rPr>
                <w:color w:val="1C3A36"/>
                <w:sz w:val="15"/>
              </w:rPr>
              <w:t>372.1</w:t>
            </w:r>
          </w:p>
        </w:tc>
        <w:tc>
          <w:tcPr>
            <w:tcW w:type="dxa" w:w="1037"/>
          </w:tcPr>
          <w:p>
            <w:pPr>
              <w:spacing w:after="20"/>
              <w:jc w:val="right"/>
            </w:pPr>
            <w:r>
              <w:rPr>
                <w:color w:val="1C3A36"/>
                <w:sz w:val="15"/>
              </w:rPr>
              <w:t>422.3</w:t>
            </w:r>
          </w:p>
        </w:tc>
        <w:tc>
          <w:tcPr>
            <w:tcW w:type="dxa" w:w="1037"/>
          </w:tcPr>
          <w:p>
            <w:pPr>
              <w:spacing w:after="20"/>
              <w:jc w:val="right"/>
            </w:pPr>
            <w:r>
              <w:rPr>
                <w:color w:val="1C3A36"/>
                <w:sz w:val="15"/>
              </w:rPr>
              <w:t>470.5</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849</w:t>
            </w:r>
          </w:p>
        </w:tc>
        <w:tc>
          <w:tcPr>
            <w:tcW w:type="dxa" w:w="1037"/>
          </w:tcPr>
          <w:p>
            <w:pPr>
              <w:spacing w:after="20"/>
              <w:jc w:val="right"/>
            </w:pPr>
            <w:r>
              <w:rPr>
                <w:color w:val="1C3A36"/>
                <w:sz w:val="15"/>
              </w:rPr>
              <w:t>972</w:t>
            </w:r>
          </w:p>
        </w:tc>
        <w:tc>
          <w:tcPr>
            <w:tcW w:type="dxa" w:w="1037"/>
          </w:tcPr>
          <w:p>
            <w:pPr>
              <w:spacing w:after="20"/>
              <w:jc w:val="right"/>
            </w:pPr>
            <w:r>
              <w:rPr>
                <w:color w:val="1C3A36"/>
                <w:sz w:val="15"/>
              </w:rPr>
              <w:t>1,098</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2,718</w:t>
            </w:r>
          </w:p>
        </w:tc>
        <w:tc>
          <w:tcPr>
            <w:tcW w:type="dxa" w:w="1037"/>
            <w:shd w:val="clear" w:color="auto" w:fill="F6F1E6"/>
          </w:tcPr>
          <w:p>
            <w:pPr>
              <w:spacing w:after="20"/>
              <w:jc w:val="right"/>
            </w:pPr>
            <w:r>
              <w:rPr>
                <w:b/>
                <w:color w:val="1C3A36"/>
                <w:sz w:val="15"/>
              </w:rPr>
              <w:t>3,241</w:t>
            </w:r>
          </w:p>
        </w:tc>
        <w:tc>
          <w:tcPr>
            <w:tcW w:type="dxa" w:w="1037"/>
            <w:shd w:val="clear" w:color="auto" w:fill="F6F1E6"/>
          </w:tcPr>
          <w:p>
            <w:pPr>
              <w:spacing w:after="20"/>
              <w:jc w:val="right"/>
            </w:pPr>
            <w:r>
              <w:rPr>
                <w:b/>
                <w:color w:val="1C3A36"/>
                <w:sz w:val="15"/>
              </w:rPr>
              <w:t>3,861</w:t>
            </w:r>
          </w:p>
        </w:tc>
        <w:tc>
          <w:tcPr>
            <w:tcW w:type="dxa" w:w="1037"/>
            <w:shd w:val="clear" w:color="auto" w:fill="F6F1E6"/>
          </w:tcPr>
          <w:p>
            <w:pPr>
              <w:spacing w:after="20"/>
              <w:jc w:val="right"/>
            </w:pPr>
            <w:r>
              <w:rPr>
                <w:b/>
                <w:color w:val="1C3A36"/>
                <w:sz w:val="15"/>
              </w:rPr>
              <w:t>4,496</w:t>
            </w:r>
          </w:p>
        </w:tc>
        <w:tc>
          <w:tcPr>
            <w:tcW w:type="dxa" w:w="1037"/>
            <w:shd w:val="clear" w:color="auto" w:fill="F6F1E6"/>
          </w:tcPr>
          <w:p>
            <w:pPr>
              <w:spacing w:after="20"/>
              <w:jc w:val="right"/>
            </w:pPr>
            <w:r>
              <w:rPr>
                <w:b/>
                <w:color w:val="1C3A36"/>
                <w:sz w:val="15"/>
              </w:rPr>
              <w:t>5,172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3,022</w:t>
            </w:r>
          </w:p>
        </w:tc>
        <w:tc>
          <w:tcPr>
            <w:tcW w:type="dxa" w:w="1037"/>
          </w:tcPr>
          <w:p>
            <w:pPr>
              <w:spacing w:after="20"/>
              <w:jc w:val="right"/>
            </w:pPr>
            <w:r>
              <w:rPr>
                <w:color w:val="1C3A36"/>
                <w:sz w:val="15"/>
              </w:rPr>
              <w:t>3,666</w:t>
            </w:r>
          </w:p>
        </w:tc>
        <w:tc>
          <w:tcPr>
            <w:tcW w:type="dxa" w:w="1037"/>
          </w:tcPr>
          <w:p>
            <w:pPr>
              <w:spacing w:after="20"/>
              <w:jc w:val="right"/>
            </w:pPr>
            <w:r>
              <w:rPr>
                <w:color w:val="1C3A36"/>
                <w:sz w:val="15"/>
              </w:rPr>
              <w:t>4,307</w:t>
            </w:r>
          </w:p>
        </w:tc>
        <w:tc>
          <w:tcPr>
            <w:tcW w:type="dxa" w:w="1037"/>
          </w:tcPr>
          <w:p>
            <w:pPr>
              <w:spacing w:after="20"/>
              <w:jc w:val="right"/>
            </w:pPr>
            <w:r>
              <w:rPr>
                <w:color w:val="1C3A36"/>
                <w:sz w:val="15"/>
              </w:rPr>
              <w:t>4,933</w:t>
            </w:r>
          </w:p>
        </w:tc>
        <w:tc>
          <w:tcPr>
            <w:tcW w:type="dxa" w:w="1037"/>
          </w:tcPr>
          <w:p>
            <w:pPr>
              <w:spacing w:after="20"/>
              <w:jc w:val="right"/>
            </w:pPr>
            <w:r>
              <w:rPr>
                <w:color w:val="1C3A36"/>
                <w:sz w:val="15"/>
              </w:rPr>
              <w:t>5,595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1,355</w:t>
            </w:r>
          </w:p>
        </w:tc>
        <w:tc>
          <w:tcPr>
            <w:tcW w:type="dxa" w:w="1037"/>
            <w:shd w:val="clear" w:color="auto" w:fill="F6F1E6"/>
          </w:tcPr>
          <w:p>
            <w:pPr>
              <w:spacing w:after="20"/>
              <w:jc w:val="right"/>
            </w:pPr>
            <w:r>
              <w:rPr>
                <w:b/>
                <w:color w:val="1C3A36"/>
                <w:sz w:val="15"/>
              </w:rPr>
              <w:t>1,785</w:t>
            </w:r>
          </w:p>
        </w:tc>
        <w:tc>
          <w:tcPr>
            <w:tcW w:type="dxa" w:w="1037"/>
            <w:shd w:val="clear" w:color="auto" w:fill="F6F1E6"/>
          </w:tcPr>
          <w:p>
            <w:pPr>
              <w:spacing w:after="20"/>
              <w:jc w:val="right"/>
            </w:pPr>
            <w:r>
              <w:rPr>
                <w:b/>
                <w:color w:val="1C3A36"/>
                <w:sz w:val="15"/>
              </w:rPr>
              <w:t>2,306</w:t>
            </w:r>
          </w:p>
        </w:tc>
        <w:tc>
          <w:tcPr>
            <w:tcW w:type="dxa" w:w="1037"/>
            <w:shd w:val="clear" w:color="auto" w:fill="F6F1E6"/>
          </w:tcPr>
          <w:p>
            <w:pPr>
              <w:spacing w:after="20"/>
              <w:jc w:val="right"/>
            </w:pPr>
            <w:r>
              <w:rPr>
                <w:b/>
                <w:color w:val="1C3A36"/>
                <w:sz w:val="15"/>
              </w:rPr>
              <w:t>2,837</w:t>
            </w:r>
          </w:p>
        </w:tc>
        <w:tc>
          <w:tcPr>
            <w:tcW w:type="dxa" w:w="1037"/>
            <w:shd w:val="clear" w:color="auto" w:fill="F6F1E6"/>
          </w:tcPr>
          <w:p>
            <w:pPr>
              <w:spacing w:after="20"/>
              <w:jc w:val="right"/>
            </w:pPr>
            <w:r>
              <w:rPr>
                <w:b/>
                <w:color w:val="1C3A36"/>
                <w:sz w:val="15"/>
              </w:rPr>
              <w:t>3,401</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8.03</w:t>
            </w:r>
          </w:p>
        </w:tc>
        <w:tc>
          <w:tcPr>
            <w:tcW w:type="dxa" w:w="1037"/>
          </w:tcPr>
          <w:p>
            <w:pPr>
              <w:spacing w:after="20"/>
              <w:jc w:val="right"/>
            </w:pPr>
            <w:r>
              <w:rPr>
                <w:color w:val="1C3A36"/>
                <w:sz w:val="15"/>
              </w:rPr>
              <w:t>10.58</w:t>
            </w:r>
          </w:p>
        </w:tc>
        <w:tc>
          <w:tcPr>
            <w:tcW w:type="dxa" w:w="1037"/>
          </w:tcPr>
          <w:p>
            <w:pPr>
              <w:spacing w:after="20"/>
              <w:jc w:val="right"/>
            </w:pPr>
            <w:r>
              <w:rPr>
                <w:color w:val="1C3A36"/>
                <w:sz w:val="15"/>
              </w:rPr>
              <w:t>13.66</w:t>
            </w:r>
          </w:p>
        </w:tc>
        <w:tc>
          <w:tcPr>
            <w:tcW w:type="dxa" w:w="1037"/>
          </w:tcPr>
          <w:p>
            <w:pPr>
              <w:spacing w:after="20"/>
              <w:jc w:val="right"/>
            </w:pPr>
            <w:r>
              <w:rPr>
                <w:color w:val="1C3A36"/>
                <w:sz w:val="15"/>
              </w:rPr>
              <w:t>16.81</w:t>
            </w:r>
          </w:p>
        </w:tc>
        <w:tc>
          <w:tcPr>
            <w:tcW w:type="dxa" w:w="1037"/>
          </w:tcPr>
          <w:p>
            <w:pPr>
              <w:spacing w:after="20"/>
              <w:jc w:val="right"/>
            </w:pPr>
            <w:r>
              <w:rPr>
                <w:color w:val="1C3A36"/>
                <w:sz w:val="15"/>
              </w:rPr>
              <w:t>20.15</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813</w:t>
            </w:r>
          </w:p>
        </w:tc>
        <w:tc>
          <w:tcPr>
            <w:tcW w:type="dxa" w:w="1037"/>
          </w:tcPr>
          <w:p>
            <w:pPr>
              <w:spacing w:after="20"/>
              <w:jc w:val="right"/>
            </w:pPr>
            <w:r>
              <w:rPr>
                <w:color w:val="1C3A36"/>
                <w:sz w:val="15"/>
              </w:rPr>
              <w:t>1,071</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1,702</w:t>
            </w:r>
          </w:p>
        </w:tc>
        <w:tc>
          <w:tcPr>
            <w:tcW w:type="dxa" w:w="1037"/>
          </w:tcPr>
          <w:p>
            <w:pPr>
              <w:spacing w:after="20"/>
              <w:jc w:val="right"/>
            </w:pPr>
            <w:r>
              <w:rPr>
                <w:color w:val="1C3A36"/>
                <w:sz w:val="15"/>
              </w:rPr>
              <w:t>2,040</w:t>
            </w:r>
          </w:p>
        </w:tc>
      </w:tr>
    </w:tbl>
    <w:p>
      <w:pPr>
        <w:spacing w:after="40"/>
      </w:pPr>
    </w:p>
    <w:p>
      <w:pPr>
        <w:spacing w:after="200" w:before="0"/>
      </w:pPr>
      <w:r>
        <w:rPr>
          <w:b w:val="0"/>
          <w:i/>
          <w:color w:val="6E7B77"/>
          <w:sz w:val="17"/>
        </w:rPr>
        <w:t>Table 19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2,931</w:t>
            </w:r>
          </w:p>
        </w:tc>
        <w:tc>
          <w:tcPr>
            <w:tcW w:type="dxa" w:w="1037"/>
          </w:tcPr>
          <w:p>
            <w:pPr>
              <w:spacing w:after="20"/>
              <w:jc w:val="right"/>
            </w:pPr>
            <w:r>
              <w:rPr>
                <w:color w:val="1C3A36"/>
                <w:sz w:val="15"/>
              </w:rPr>
              <w:t>2,454</w:t>
            </w:r>
          </w:p>
        </w:tc>
        <w:tc>
          <w:tcPr>
            <w:tcW w:type="dxa" w:w="1037"/>
          </w:tcPr>
          <w:p>
            <w:pPr>
              <w:spacing w:after="20"/>
              <w:jc w:val="right"/>
            </w:pPr>
            <w:r>
              <w:rPr>
                <w:color w:val="1C3A36"/>
                <w:sz w:val="15"/>
              </w:rPr>
              <w:t>2,620</w:t>
            </w:r>
          </w:p>
        </w:tc>
        <w:tc>
          <w:tcPr>
            <w:tcW w:type="dxa" w:w="1037"/>
          </w:tcPr>
          <w:p>
            <w:pPr>
              <w:spacing w:after="20"/>
              <w:jc w:val="right"/>
            </w:pPr>
            <w:r>
              <w:rPr>
                <w:color w:val="1C3A36"/>
                <w:sz w:val="15"/>
              </w:rPr>
              <w:t>3,013</w:t>
            </w:r>
          </w:p>
        </w:tc>
        <w:tc>
          <w:tcPr>
            <w:tcW w:type="dxa" w:w="1037"/>
          </w:tcPr>
          <w:p>
            <w:pPr>
              <w:spacing w:after="20"/>
              <w:jc w:val="right"/>
            </w:pPr>
            <w:r>
              <w:rPr>
                <w:color w:val="1C3A36"/>
                <w:sz w:val="15"/>
              </w:rPr>
              <w:t>3,440</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4,721</w:t>
            </w:r>
          </w:p>
        </w:tc>
        <w:tc>
          <w:tcPr>
            <w:tcW w:type="dxa" w:w="1037"/>
          </w:tcPr>
          <w:p>
            <w:pPr>
              <w:spacing w:after="20"/>
              <w:jc w:val="right"/>
            </w:pPr>
            <w:r>
              <w:rPr>
                <w:color w:val="1C3A36"/>
                <w:sz w:val="15"/>
              </w:rPr>
              <w:t>5,591</w:t>
            </w:r>
          </w:p>
        </w:tc>
        <w:tc>
          <w:tcPr>
            <w:tcW w:type="dxa" w:w="1037"/>
          </w:tcPr>
          <w:p>
            <w:pPr>
              <w:spacing w:after="20"/>
              <w:jc w:val="right"/>
            </w:pPr>
            <w:r>
              <w:rPr>
                <w:color w:val="1C3A36"/>
                <w:sz w:val="15"/>
              </w:rPr>
              <w:t>6,323</w:t>
            </w:r>
          </w:p>
        </w:tc>
        <w:tc>
          <w:tcPr>
            <w:tcW w:type="dxa" w:w="1037"/>
          </w:tcPr>
          <w:p>
            <w:pPr>
              <w:spacing w:after="20"/>
              <w:jc w:val="right"/>
            </w:pPr>
            <w:r>
              <w:rPr>
                <w:color w:val="1C3A36"/>
                <w:sz w:val="15"/>
              </w:rPr>
              <w:t>7,063</w:t>
            </w:r>
          </w:p>
        </w:tc>
        <w:tc>
          <w:tcPr>
            <w:tcW w:type="dxa" w:w="1037"/>
          </w:tcPr>
          <w:p>
            <w:pPr>
              <w:spacing w:after="20"/>
              <w:jc w:val="right"/>
            </w:pPr>
            <w:r>
              <w:rPr>
                <w:color w:val="1C3A36"/>
                <w:sz w:val="15"/>
              </w:rPr>
              <w:t>7,774</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3,950</w:t>
            </w:r>
          </w:p>
        </w:tc>
        <w:tc>
          <w:tcPr>
            <w:tcW w:type="dxa" w:w="1037"/>
          </w:tcPr>
          <w:p>
            <w:pPr>
              <w:spacing w:after="20"/>
              <w:jc w:val="right"/>
            </w:pPr>
            <w:r>
              <w:rPr>
                <w:color w:val="1C3A36"/>
                <w:sz w:val="15"/>
              </w:rPr>
              <w:t>4,621</w:t>
            </w:r>
          </w:p>
        </w:tc>
        <w:tc>
          <w:tcPr>
            <w:tcW w:type="dxa" w:w="1037"/>
          </w:tcPr>
          <w:p>
            <w:pPr>
              <w:spacing w:after="20"/>
              <w:jc w:val="right"/>
            </w:pPr>
            <w:r>
              <w:rPr>
                <w:color w:val="1C3A36"/>
                <w:sz w:val="15"/>
              </w:rPr>
              <w:t>5,230</w:t>
            </w:r>
          </w:p>
        </w:tc>
        <w:tc>
          <w:tcPr>
            <w:tcW w:type="dxa" w:w="1037"/>
          </w:tcPr>
          <w:p>
            <w:pPr>
              <w:spacing w:after="20"/>
              <w:jc w:val="right"/>
            </w:pPr>
            <w:r>
              <w:rPr>
                <w:color w:val="1C3A36"/>
                <w:sz w:val="15"/>
              </w:rPr>
              <w:t>5,836</w:t>
            </w:r>
          </w:p>
        </w:tc>
        <w:tc>
          <w:tcPr>
            <w:tcW w:type="dxa" w:w="1037"/>
          </w:tcPr>
          <w:p>
            <w:pPr>
              <w:spacing w:after="20"/>
              <w:jc w:val="right"/>
            </w:pPr>
            <w:r>
              <w:rPr>
                <w:color w:val="1C3A36"/>
                <w:sz w:val="15"/>
              </w:rPr>
              <w:t>6,417</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980</w:t>
            </w:r>
          </w:p>
        </w:tc>
        <w:tc>
          <w:tcPr>
            <w:tcW w:type="dxa" w:w="1037"/>
          </w:tcPr>
          <w:p>
            <w:pPr>
              <w:spacing w:after="20"/>
              <w:jc w:val="right"/>
            </w:pPr>
            <w:r>
              <w:rPr>
                <w:color w:val="1C3A36"/>
                <w:sz w:val="15"/>
              </w:rPr>
              <w:t>1,214</w:t>
            </w:r>
          </w:p>
        </w:tc>
        <w:tc>
          <w:tcPr>
            <w:tcW w:type="dxa" w:w="1037"/>
          </w:tcPr>
          <w:p>
            <w:pPr>
              <w:spacing w:after="20"/>
              <w:jc w:val="right"/>
            </w:pPr>
            <w:r>
              <w:rPr>
                <w:color w:val="1C3A36"/>
                <w:sz w:val="15"/>
              </w:rPr>
              <w:t>1,442</w:t>
            </w:r>
          </w:p>
        </w:tc>
        <w:tc>
          <w:tcPr>
            <w:tcW w:type="dxa" w:w="1037"/>
          </w:tcPr>
          <w:p>
            <w:pPr>
              <w:spacing w:after="20"/>
              <w:jc w:val="right"/>
            </w:pPr>
            <w:r>
              <w:rPr>
                <w:color w:val="1C3A36"/>
                <w:sz w:val="15"/>
              </w:rPr>
              <w:t>1,672</w:t>
            </w:r>
          </w:p>
        </w:tc>
        <w:tc>
          <w:tcPr>
            <w:tcW w:type="dxa" w:w="1037"/>
          </w:tcPr>
          <w:p>
            <w:pPr>
              <w:spacing w:after="20"/>
              <w:jc w:val="right"/>
            </w:pPr>
            <w:r>
              <w:rPr>
                <w:color w:val="1C3A36"/>
                <w:sz w:val="15"/>
              </w:rPr>
              <w:t>1,879</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10,518</w:t>
            </w:r>
          </w:p>
        </w:tc>
        <w:tc>
          <w:tcPr>
            <w:tcW w:type="dxa" w:w="1037"/>
          </w:tcPr>
          <w:p>
            <w:pPr>
              <w:spacing w:after="20"/>
              <w:jc w:val="right"/>
            </w:pPr>
            <w:r>
              <w:rPr>
                <w:color w:val="1C3A36"/>
                <w:sz w:val="15"/>
              </w:rPr>
              <w:t>10,786</w:t>
            </w:r>
          </w:p>
        </w:tc>
        <w:tc>
          <w:tcPr>
            <w:tcW w:type="dxa" w:w="1037"/>
          </w:tcPr>
          <w:p>
            <w:pPr>
              <w:spacing w:after="20"/>
              <w:jc w:val="right"/>
            </w:pPr>
            <w:r>
              <w:rPr>
                <w:color w:val="1C3A36"/>
                <w:sz w:val="15"/>
              </w:rPr>
              <w:t>10,473</w:t>
            </w:r>
          </w:p>
        </w:tc>
        <w:tc>
          <w:tcPr>
            <w:tcW w:type="dxa" w:w="1037"/>
          </w:tcPr>
          <w:p>
            <w:pPr>
              <w:spacing w:after="20"/>
              <w:jc w:val="right"/>
            </w:pPr>
            <w:r>
              <w:rPr>
                <w:color w:val="1C3A36"/>
                <w:sz w:val="15"/>
              </w:rPr>
              <w:t>9,878</w:t>
            </w:r>
          </w:p>
        </w:tc>
        <w:tc>
          <w:tcPr>
            <w:tcW w:type="dxa" w:w="1037"/>
          </w:tcPr>
          <w:p>
            <w:pPr>
              <w:spacing w:after="20"/>
              <w:jc w:val="right"/>
            </w:pPr>
            <w:r>
              <w:rPr>
                <w:color w:val="1C3A36"/>
                <w:sz w:val="15"/>
              </w:rPr>
              <w:t>8,962</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9,085</w:t>
            </w:r>
          </w:p>
        </w:tc>
        <w:tc>
          <w:tcPr>
            <w:tcW w:type="dxa" w:w="1037"/>
          </w:tcPr>
          <w:p>
            <w:pPr>
              <w:spacing w:after="20"/>
              <w:jc w:val="right"/>
            </w:pPr>
            <w:r>
              <w:rPr>
                <w:color w:val="1C3A36"/>
                <w:sz w:val="15"/>
              </w:rPr>
              <w:t>9,352</w:t>
            </w:r>
          </w:p>
        </w:tc>
        <w:tc>
          <w:tcPr>
            <w:tcW w:type="dxa" w:w="1037"/>
          </w:tcPr>
          <w:p>
            <w:pPr>
              <w:spacing w:after="20"/>
              <w:jc w:val="right"/>
            </w:pPr>
            <w:r>
              <w:rPr>
                <w:color w:val="1C3A36"/>
                <w:sz w:val="15"/>
              </w:rPr>
              <w:t>9,039</w:t>
            </w:r>
          </w:p>
        </w:tc>
        <w:tc>
          <w:tcPr>
            <w:tcW w:type="dxa" w:w="1037"/>
          </w:tcPr>
          <w:p>
            <w:pPr>
              <w:spacing w:after="20"/>
              <w:jc w:val="right"/>
            </w:pPr>
            <w:r>
              <w:rPr>
                <w:color w:val="1C3A36"/>
                <w:sz w:val="15"/>
              </w:rPr>
              <w:t>8,445</w:t>
            </w:r>
          </w:p>
        </w:tc>
        <w:tc>
          <w:tcPr>
            <w:tcW w:type="dxa" w:w="1037"/>
          </w:tcPr>
          <w:p>
            <w:pPr>
              <w:spacing w:after="20"/>
              <w:jc w:val="right"/>
            </w:pPr>
            <w:r>
              <w:rPr>
                <w:color w:val="1C3A36"/>
                <w:sz w:val="15"/>
              </w:rPr>
              <w:t>7,528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7,056</w:t>
            </w:r>
          </w:p>
        </w:tc>
        <w:tc>
          <w:tcPr>
            <w:tcW w:type="dxa" w:w="1037"/>
          </w:tcPr>
          <w:p>
            <w:pPr>
              <w:spacing w:after="20"/>
              <w:jc w:val="right"/>
            </w:pPr>
            <w:r>
              <w:rPr>
                <w:color w:val="1C3A36"/>
                <w:sz w:val="15"/>
              </w:rPr>
              <w:t>8,127</w:t>
            </w:r>
          </w:p>
        </w:tc>
        <w:tc>
          <w:tcPr>
            <w:tcW w:type="dxa" w:w="1037"/>
          </w:tcPr>
          <w:p>
            <w:pPr>
              <w:spacing w:after="20"/>
              <w:jc w:val="right"/>
            </w:pPr>
            <w:r>
              <w:rPr>
                <w:color w:val="1C3A36"/>
                <w:sz w:val="15"/>
              </w:rPr>
              <w:t>9,511</w:t>
            </w:r>
          </w:p>
        </w:tc>
        <w:tc>
          <w:tcPr>
            <w:tcW w:type="dxa" w:w="1037"/>
          </w:tcPr>
          <w:p>
            <w:pPr>
              <w:spacing w:after="20"/>
              <w:jc w:val="right"/>
            </w:pPr>
            <w:r>
              <w:rPr>
                <w:color w:val="1C3A36"/>
                <w:sz w:val="15"/>
              </w:rPr>
              <w:t>11,213</w:t>
            </w:r>
          </w:p>
        </w:tc>
        <w:tc>
          <w:tcPr>
            <w:tcW w:type="dxa" w:w="1037"/>
          </w:tcPr>
          <w:p>
            <w:pPr>
              <w:spacing w:after="20"/>
              <w:jc w:val="right"/>
            </w:pPr>
            <w:r>
              <w:rPr>
                <w:color w:val="1C3A36"/>
                <w:sz w:val="15"/>
              </w:rPr>
              <w:t>13,254</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41.81</w:t>
            </w:r>
          </w:p>
        </w:tc>
        <w:tc>
          <w:tcPr>
            <w:tcW w:type="dxa" w:w="1037"/>
            <w:shd w:val="clear" w:color="auto" w:fill="F6F1E6"/>
          </w:tcPr>
          <w:p>
            <w:pPr>
              <w:spacing w:after="20"/>
              <w:jc w:val="right"/>
            </w:pPr>
            <w:r>
              <w:rPr>
                <w:b/>
                <w:color w:val="1C3A36"/>
                <w:sz w:val="15"/>
              </w:rPr>
              <w:t>48.16</w:t>
            </w:r>
          </w:p>
        </w:tc>
        <w:tc>
          <w:tcPr>
            <w:tcW w:type="dxa" w:w="1037"/>
            <w:shd w:val="clear" w:color="auto" w:fill="F6F1E6"/>
          </w:tcPr>
          <w:p>
            <w:pPr>
              <w:spacing w:after="20"/>
              <w:jc w:val="right"/>
            </w:pPr>
            <w:r>
              <w:rPr>
                <w:b/>
                <w:color w:val="1C3A36"/>
                <w:sz w:val="15"/>
              </w:rPr>
              <w:t>56.36</w:t>
            </w:r>
          </w:p>
        </w:tc>
        <w:tc>
          <w:tcPr>
            <w:tcW w:type="dxa" w:w="1037"/>
            <w:shd w:val="clear" w:color="auto" w:fill="F6F1E6"/>
          </w:tcPr>
          <w:p>
            <w:pPr>
              <w:spacing w:after="20"/>
              <w:jc w:val="right"/>
            </w:pPr>
            <w:r>
              <w:rPr>
                <w:b/>
                <w:color w:val="1C3A36"/>
                <w:sz w:val="15"/>
              </w:rPr>
              <w:t>66.45</w:t>
            </w:r>
          </w:p>
        </w:tc>
        <w:tc>
          <w:tcPr>
            <w:tcW w:type="dxa" w:w="1037"/>
            <w:shd w:val="clear" w:color="auto" w:fill="F6F1E6"/>
          </w:tcPr>
          <w:p>
            <w:pPr>
              <w:spacing w:after="20"/>
              <w:jc w:val="right"/>
            </w:pPr>
            <w:r>
              <w:rPr>
                <w:b/>
                <w:color w:val="1C3A36"/>
                <w:sz w:val="15"/>
              </w:rPr>
              <w:t>78.54</w:t>
            </w:r>
          </w:p>
        </w:tc>
      </w:tr>
    </w:tbl>
    <w:p>
      <w:pPr>
        <w:spacing w:after="40"/>
      </w:pPr>
    </w:p>
    <w:p>
      <w:pPr>
        <w:spacing w:after="200" w:before="0"/>
      </w:pPr>
      <w:r>
        <w:rPr>
          <w:b w:val="0"/>
          <w:i/>
          <w:color w:val="6E7B77"/>
          <w:sz w:val="17"/>
        </w:rPr>
        <w:t>Table 20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1,430</w:t>
            </w:r>
          </w:p>
        </w:tc>
        <w:tc>
          <w:tcPr>
            <w:tcW w:type="dxa" w:w="1224"/>
          </w:tcPr>
          <w:p>
            <w:pPr>
              <w:spacing w:after="20"/>
              <w:jc w:val="right"/>
            </w:pPr>
            <w:r>
              <w:rPr>
                <w:color w:val="1C3A36"/>
                <w:sz w:val="16"/>
              </w:rPr>
              <w:t>622</w:t>
            </w:r>
          </w:p>
        </w:tc>
        <w:tc>
          <w:tcPr>
            <w:tcW w:type="dxa" w:w="1224"/>
          </w:tcPr>
          <w:p>
            <w:pPr>
              <w:spacing w:after="20"/>
              <w:jc w:val="right"/>
            </w:pPr>
            <w:r>
              <w:rPr>
                <w:color w:val="1C3A36"/>
                <w:sz w:val="16"/>
              </w:rPr>
              <w:t>566</w:t>
            </w:r>
          </w:p>
        </w:tc>
        <w:tc>
          <w:tcPr>
            <w:tcW w:type="dxa" w:w="1224"/>
          </w:tcPr>
          <w:p>
            <w:pPr>
              <w:spacing w:after="20"/>
              <w:jc w:val="right"/>
            </w:pPr>
            <w:r>
              <w:rPr>
                <w:color w:val="1C3A36"/>
                <w:sz w:val="16"/>
              </w:rPr>
              <w:t>593</w:t>
            </w:r>
          </w:p>
        </w:tc>
        <w:tc>
          <w:tcPr>
            <w:tcW w:type="dxa" w:w="1224"/>
          </w:tcPr>
          <w:p>
            <w:pPr>
              <w:spacing w:after="20"/>
              <w:jc w:val="right"/>
            </w:pPr>
            <w:r>
              <w:rPr>
                <w:color w:val="1C3A36"/>
                <w:sz w:val="16"/>
              </w:rPr>
              <w:t>627</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-161</w:t>
            </w:r>
          </w:p>
        </w:tc>
        <w:tc>
          <w:tcPr>
            <w:tcW w:type="dxa" w:w="1224"/>
          </w:tcPr>
          <w:p>
            <w:pPr>
              <w:spacing w:after="20"/>
              <w:jc w:val="right"/>
            </w:pPr>
            <w:r>
              <w:rPr>
                <w:color w:val="1C3A36"/>
                <w:sz w:val="16"/>
              </w:rPr>
              <w:t>1,149</w:t>
            </w:r>
          </w:p>
        </w:tc>
        <w:tc>
          <w:tcPr>
            <w:tcW w:type="dxa" w:w="1224"/>
          </w:tcPr>
          <w:p>
            <w:pPr>
              <w:spacing w:after="20"/>
              <w:jc w:val="right"/>
            </w:pPr>
            <w:r>
              <w:rPr>
                <w:color w:val="1C3A36"/>
                <w:sz w:val="16"/>
              </w:rPr>
              <w:t>1,891</w:t>
            </w:r>
          </w:p>
        </w:tc>
        <w:tc>
          <w:tcPr>
            <w:tcW w:type="dxa" w:w="1224"/>
          </w:tcPr>
          <w:p>
            <w:pPr>
              <w:spacing w:after="20"/>
              <w:jc w:val="right"/>
            </w:pPr>
            <w:r>
              <w:rPr>
                <w:color w:val="1C3A36"/>
                <w:sz w:val="16"/>
              </w:rPr>
              <w:t>2,340</w:t>
            </w:r>
          </w:p>
        </w:tc>
        <w:tc>
          <w:tcPr>
            <w:tcW w:type="dxa" w:w="1224"/>
          </w:tcPr>
          <w:p>
            <w:pPr>
              <w:spacing w:after="20"/>
              <w:jc w:val="right"/>
            </w:pPr>
            <w:r>
              <w:rPr>
                <w:color w:val="1C3A36"/>
                <w:sz w:val="16"/>
              </w:rPr>
              <w:t>2,841</w:t>
            </w:r>
          </w:p>
        </w:tc>
      </w:tr>
    </w:tbl>
    <w:p>
      <w:pPr>
        <w:spacing w:after="40"/>
      </w:pPr>
    </w:p>
    <w:p>
      <w:pPr>
        <w:spacing w:after="200" w:before="0"/>
      </w:pPr>
      <w:r>
        <w:rPr>
          <w:b w:val="0"/>
          <w:i/>
          <w:color w:val="6E7B77"/>
          <w:sz w:val="17"/>
        </w:rPr>
        <w:t>Table 21 — the asset-conversion cycle, projected rather than plugged. The 268-day inventory position is a stated policy: the company holds a strategic raw-material stockpile it says covers at least eight months.</w:t>
      </w:r>
    </w:p>
    <w:p>
      <w:pPr>
        <w:spacing w:after="80" w:before="200"/>
      </w:pPr>
      <w:r>
        <w:rPr>
          <w:b/>
          <w:i w:val="0"/>
          <w:color w:val="1C3A36"/>
          <w:sz w:val="24"/>
        </w:rPr>
        <w:t>A.4 The far forecast years as ranges, and the years that carry none</w:t>
      </w:r>
    </w:p>
    <w:p>
      <w:pPr>
        <w:spacing w:after="120" w:before="0"/>
      </w:pPr>
      <w:r>
        <w:rPr>
          <w:b w:val="0"/>
          <w:i w:val="0"/>
          <w:color w:val="1C3A36"/>
          <w:sz w:val="21"/>
        </w:rPr>
        <w:t>The method behind this forecast has been replayed on the company's own past — rebuilt year-end by year-end under the same mechanical rules, projected forward and scored against what the company later reported. That exercise measures how far out this method has been, and the far forecast years are published here as the RANGE that measurement supports rather than as points. It covers one, two and three years ahead, so the third forecast year carries a measured range and the fourth and fifth carry NONE. No range is invented for them: an invented one would corrupt the very error it is scored against.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69"/>
        <w:gridCol w:w="1469"/>
        <w:gridCol w:w="1469"/>
        <w:gridCol w:w="1354"/>
        <w:gridCol w:w="1008"/>
      </w:tblGrid>
      <w:tr>
        <w:tc>
          <w:tcPr>
            <w:tcW w:type="dxa" w:w="3312"/>
            <w:shd w:val="clear" w:color="auto" w:fill="EAF0EE"/>
          </w:tcPr>
          <w:p>
            <w:pPr>
              <w:spacing w:after="20"/>
            </w:pPr>
            <w:r>
              <w:rPr>
                <w:b/>
                <w:color w:val="1C3A36"/>
                <w:sz w:val="15"/>
              </w:rPr>
              <w:t>EGP million</w:t>
            </w:r>
          </w:p>
        </w:tc>
        <w:tc>
          <w:tcPr>
            <w:tcW w:type="dxa" w:w="1469"/>
            <w:shd w:val="clear" w:color="auto" w:fill="EAF0EE"/>
          </w:tcPr>
          <w:p>
            <w:pPr>
              <w:spacing w:after="20"/>
            </w:pPr>
            <w:r>
              <w:rPr>
                <w:b/>
                <w:color w:val="1C3A36"/>
                <w:sz w:val="15"/>
              </w:rPr>
              <w:t>2028E</w:t>
            </w:r>
          </w:p>
        </w:tc>
        <w:tc>
          <w:tcPr>
            <w:tcW w:type="dxa" w:w="1469"/>
            <w:shd w:val="clear" w:color="auto" w:fill="EAF0EE"/>
          </w:tcPr>
          <w:p>
            <w:pPr>
              <w:spacing w:after="20"/>
            </w:pPr>
            <w:r>
              <w:rPr>
                <w:b/>
                <w:color w:val="1C3A36"/>
                <w:sz w:val="15"/>
              </w:rPr>
              <w:t>2029E</w:t>
            </w:r>
          </w:p>
        </w:tc>
        <w:tc>
          <w:tcPr>
            <w:tcW w:type="dxa" w:w="1469"/>
            <w:shd w:val="clear" w:color="auto" w:fill="EAF0EE"/>
          </w:tcPr>
          <w:p>
            <w:pPr>
              <w:spacing w:after="20"/>
            </w:pPr>
            <w:r>
              <w:rPr>
                <w:b/>
                <w:color w:val="1C3A36"/>
                <w:sz w:val="15"/>
              </w:rPr>
              <w:t>2030E</w:t>
            </w:r>
          </w:p>
        </w:tc>
        <w:tc>
          <w:tcPr>
            <w:tcW w:type="dxa" w:w="1354"/>
            <w:shd w:val="clear" w:color="auto" w:fill="EAF0EE"/>
          </w:tcPr>
          <w:p>
            <w:pPr>
              <w:spacing w:after="20"/>
            </w:pPr>
            <w:r>
              <w:rPr>
                <w:b/>
                <w:color w:val="1C3A36"/>
                <w:sz w:val="15"/>
              </w:rPr>
              <w:t>Basis of the range</w:t>
            </w:r>
          </w:p>
        </w:tc>
        <w:tc>
          <w:tcPr>
            <w:tcW w:type="dxa" w:w="1008"/>
            <w:shd w:val="clear" w:color="auto" w:fill="EAF0EE"/>
          </w:tcPr>
          <w:p>
            <w:pPr>
              <w:spacing w:after="20"/>
            </w:pPr>
            <w:r>
              <w:rPr>
                <w:b/>
                <w:color w:val="1C3A36"/>
                <w:sz w:val="15"/>
              </w:rPr>
              <w:t>Readings behind it</w:t>
            </w:r>
          </w:p>
        </w:tc>
      </w:tr>
      <w:tr>
        <w:tc>
          <w:tcPr>
            <w:tcW w:type="dxa" w:w="3312"/>
            <w:shd w:val="clear" w:color="auto" w:fill="F6F1E6"/>
          </w:tcPr>
          <w:p>
            <w:pPr>
              <w:spacing w:after="20"/>
            </w:pPr>
            <w:r>
              <w:rPr>
                <w:b/>
                <w:color w:val="1C3A36"/>
                <w:sz w:val="15"/>
              </w:rPr>
              <w:t>Revenue — as published</w:t>
            </w:r>
          </w:p>
        </w:tc>
        <w:tc>
          <w:tcPr>
            <w:tcW w:type="dxa" w:w="1469"/>
            <w:shd w:val="clear" w:color="auto" w:fill="F6F1E6"/>
          </w:tcPr>
          <w:p>
            <w:pPr>
              <w:spacing w:after="20"/>
              <w:jc w:val="right"/>
            </w:pPr>
            <w:r>
              <w:rPr>
                <w:b/>
                <w:color w:val="1C3A36"/>
                <w:sz w:val="15"/>
              </w:rPr>
              <w:t>16,179</w:t>
            </w:r>
          </w:p>
        </w:tc>
        <w:tc>
          <w:tcPr>
            <w:tcW w:type="dxa" w:w="1469"/>
            <w:shd w:val="clear" w:color="auto" w:fill="F6F1E6"/>
          </w:tcPr>
          <w:p>
            <w:pPr>
              <w:spacing w:after="20"/>
              <w:jc w:val="right"/>
            </w:pPr>
            <w:r>
              <w:rPr>
                <w:b/>
                <w:color w:val="1C3A36"/>
                <w:sz w:val="15"/>
              </w:rPr>
              <w:t>18,523</w:t>
            </w:r>
          </w:p>
        </w:tc>
        <w:tc>
          <w:tcPr>
            <w:tcW w:type="dxa" w:w="1469"/>
            <w:shd w:val="clear" w:color="auto" w:fill="F6F1E6"/>
          </w:tcPr>
          <w:p>
            <w:pPr>
              <w:spacing w:after="20"/>
              <w:jc w:val="right"/>
            </w:pPr>
            <w:r>
              <w:rPr>
                <w:b/>
                <w:color w:val="1C3A36"/>
                <w:sz w:val="15"/>
              </w:rPr>
              <w:t>20,911</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Revenue — low of the range</w:t>
            </w:r>
          </w:p>
        </w:tc>
        <w:tc>
          <w:tcPr>
            <w:tcW w:type="dxa" w:w="1469"/>
          </w:tcPr>
          <w:p>
            <w:pPr>
              <w:spacing w:after="20"/>
              <w:jc w:val="right"/>
            </w:pPr>
            <w:r>
              <w:rPr>
                <w:color w:val="1C3A36"/>
                <w:sz w:val="15"/>
              </w:rPr>
              <w:t>28,014</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Revenue — high of the range</w:t>
            </w:r>
          </w:p>
        </w:tc>
        <w:tc>
          <w:tcPr>
            <w:tcW w:type="dxa" w:w="1469"/>
          </w:tcPr>
          <w:p>
            <w:pPr>
              <w:spacing w:after="20"/>
              <w:jc w:val="right"/>
            </w:pPr>
            <w:r>
              <w:rPr>
                <w:color w:val="1C3A36"/>
                <w:sz w:val="15"/>
              </w:rPr>
              <w:t>32,737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Cost of sales — as published</w:t>
            </w:r>
          </w:p>
        </w:tc>
        <w:tc>
          <w:tcPr>
            <w:tcW w:type="dxa" w:w="1469"/>
            <w:shd w:val="clear" w:color="auto" w:fill="F6F1E6"/>
          </w:tcPr>
          <w:p>
            <w:pPr>
              <w:spacing w:after="20"/>
              <w:jc w:val="right"/>
            </w:pPr>
            <w:r>
              <w:rPr>
                <w:b/>
                <w:color w:val="1C3A36"/>
                <w:sz w:val="15"/>
              </w:rPr>
              <w:t>9,231</w:t>
            </w:r>
          </w:p>
        </w:tc>
        <w:tc>
          <w:tcPr>
            <w:tcW w:type="dxa" w:w="1469"/>
            <w:shd w:val="clear" w:color="auto" w:fill="F6F1E6"/>
          </w:tcPr>
          <w:p>
            <w:pPr>
              <w:spacing w:after="20"/>
              <w:jc w:val="right"/>
            </w:pPr>
            <w:r>
              <w:rPr>
                <w:b/>
                <w:color w:val="1C3A36"/>
                <w:sz w:val="15"/>
              </w:rPr>
              <w:t>10,522</w:t>
            </w:r>
          </w:p>
        </w:tc>
        <w:tc>
          <w:tcPr>
            <w:tcW w:type="dxa" w:w="1469"/>
            <w:shd w:val="clear" w:color="auto" w:fill="F6F1E6"/>
          </w:tcPr>
          <w:p>
            <w:pPr>
              <w:spacing w:after="20"/>
              <w:jc w:val="right"/>
            </w:pPr>
            <w:r>
              <w:rPr>
                <w:b/>
                <w:color w:val="1C3A36"/>
                <w:sz w:val="15"/>
              </w:rPr>
              <w:t>11,823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Cost of sales — low of the range</w:t>
            </w:r>
          </w:p>
        </w:tc>
        <w:tc>
          <w:tcPr>
            <w:tcW w:type="dxa" w:w="1469"/>
          </w:tcPr>
          <w:p>
            <w:pPr>
              <w:spacing w:after="20"/>
              <w:jc w:val="right"/>
            </w:pPr>
            <w:r>
              <w:rPr>
                <w:color w:val="1C3A36"/>
                <w:sz w:val="15"/>
              </w:rPr>
              <w:t>15,199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Cost of sales — high of the range</w:t>
            </w:r>
          </w:p>
        </w:tc>
        <w:tc>
          <w:tcPr>
            <w:tcW w:type="dxa" w:w="1469"/>
          </w:tcPr>
          <w:p>
            <w:pPr>
              <w:spacing w:after="20"/>
              <w:jc w:val="right"/>
            </w:pPr>
            <w:r>
              <w:rPr>
                <w:color w:val="1C3A36"/>
                <w:sz w:val="15"/>
              </w:rPr>
              <w:t>17,973</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Gross profit — as published</w:t>
            </w:r>
          </w:p>
        </w:tc>
        <w:tc>
          <w:tcPr>
            <w:tcW w:type="dxa" w:w="1469"/>
            <w:shd w:val="clear" w:color="auto" w:fill="F6F1E6"/>
          </w:tcPr>
          <w:p>
            <w:pPr>
              <w:spacing w:after="20"/>
              <w:jc w:val="right"/>
            </w:pPr>
            <w:r>
              <w:rPr>
                <w:b/>
                <w:color w:val="1C3A36"/>
                <w:sz w:val="15"/>
              </w:rPr>
              <w:t>6,948</w:t>
            </w:r>
          </w:p>
        </w:tc>
        <w:tc>
          <w:tcPr>
            <w:tcW w:type="dxa" w:w="1469"/>
            <w:shd w:val="clear" w:color="auto" w:fill="F6F1E6"/>
          </w:tcPr>
          <w:p>
            <w:pPr>
              <w:spacing w:after="20"/>
              <w:jc w:val="right"/>
            </w:pPr>
            <w:r>
              <w:rPr>
                <w:b/>
                <w:color w:val="1C3A36"/>
                <w:sz w:val="15"/>
              </w:rPr>
              <w:t>8,002</w:t>
            </w:r>
          </w:p>
        </w:tc>
        <w:tc>
          <w:tcPr>
            <w:tcW w:type="dxa" w:w="1469"/>
            <w:shd w:val="clear" w:color="auto" w:fill="F6F1E6"/>
          </w:tcPr>
          <w:p>
            <w:pPr>
              <w:spacing w:after="20"/>
              <w:jc w:val="right"/>
            </w:pPr>
            <w:r>
              <w:rPr>
                <w:b/>
                <w:color w:val="1C3A36"/>
                <w:sz w:val="15"/>
              </w:rPr>
              <w:t>9,088</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Gross profit — low of the range</w:t>
            </w:r>
          </w:p>
        </w:tc>
        <w:tc>
          <w:tcPr>
            <w:tcW w:type="dxa" w:w="1469"/>
          </w:tcPr>
          <w:p>
            <w:pPr>
              <w:spacing w:after="20"/>
              <w:jc w:val="right"/>
            </w:pPr>
            <w:r>
              <w:rPr>
                <w:color w:val="1C3A36"/>
                <w:sz w:val="15"/>
              </w:rPr>
              <w:t>12,717</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Gross profit — high of the range</w:t>
            </w:r>
          </w:p>
        </w:tc>
        <w:tc>
          <w:tcPr>
            <w:tcW w:type="dxa" w:w="1469"/>
          </w:tcPr>
          <w:p>
            <w:pPr>
              <w:spacing w:after="20"/>
              <w:jc w:val="right"/>
            </w:pPr>
            <w:r>
              <w:rPr>
                <w:color w:val="1C3A36"/>
                <w:sz w:val="15"/>
              </w:rPr>
              <w:t>14,799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Profit for the year — as published</w:t>
            </w:r>
          </w:p>
        </w:tc>
        <w:tc>
          <w:tcPr>
            <w:tcW w:type="dxa" w:w="1469"/>
            <w:shd w:val="clear" w:color="auto" w:fill="F6F1E6"/>
          </w:tcPr>
          <w:p>
            <w:pPr>
              <w:spacing w:after="20"/>
              <w:jc w:val="right"/>
            </w:pPr>
            <w:r>
              <w:rPr>
                <w:b/>
                <w:color w:val="1C3A36"/>
                <w:sz w:val="15"/>
              </w:rPr>
              <w:t>2,324</w:t>
            </w:r>
          </w:p>
        </w:tc>
        <w:tc>
          <w:tcPr>
            <w:tcW w:type="dxa" w:w="1469"/>
            <w:shd w:val="clear" w:color="auto" w:fill="F6F1E6"/>
          </w:tcPr>
          <w:p>
            <w:pPr>
              <w:spacing w:after="20"/>
              <w:jc w:val="right"/>
            </w:pPr>
            <w:r>
              <w:rPr>
                <w:b/>
                <w:color w:val="1C3A36"/>
                <w:sz w:val="15"/>
              </w:rPr>
              <w:t>2,855</w:t>
            </w:r>
          </w:p>
        </w:tc>
        <w:tc>
          <w:tcPr>
            <w:tcW w:type="dxa" w:w="1469"/>
            <w:shd w:val="clear" w:color="auto" w:fill="F6F1E6"/>
          </w:tcPr>
          <w:p>
            <w:pPr>
              <w:spacing w:after="20"/>
              <w:jc w:val="right"/>
            </w:pPr>
            <w:r>
              <w:rPr>
                <w:b/>
                <w:color w:val="1C3A36"/>
                <w:sz w:val="15"/>
              </w:rPr>
              <w:t>3,419</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Profit for the year — low of the range</w:t>
            </w:r>
          </w:p>
        </w:tc>
        <w:tc>
          <w:tcPr>
            <w:tcW w:type="dxa" w:w="1469"/>
          </w:tcPr>
          <w:p>
            <w:pPr>
              <w:spacing w:after="20"/>
              <w:jc w:val="right"/>
            </w:pPr>
            <w:r>
              <w:rPr>
                <w:color w:val="1C3A36"/>
                <w:sz w:val="15"/>
              </w:rPr>
              <w:t>3,995</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tcPr>
          <w:p>
            <w:pPr>
              <w:spacing w:after="20"/>
            </w:pPr>
            <w:r>
              <w:rPr>
                <w:color w:val="1C3A36"/>
                <w:sz w:val="15"/>
              </w:rPr>
              <w:t>Profit for the year — high of the range</w:t>
            </w:r>
          </w:p>
        </w:tc>
        <w:tc>
          <w:tcPr>
            <w:tcW w:type="dxa" w:w="1469"/>
          </w:tcPr>
          <w:p>
            <w:pPr>
              <w:spacing w:after="20"/>
              <w:jc w:val="right"/>
            </w:pPr>
            <w:r>
              <w:rPr>
                <w:color w:val="1C3A36"/>
                <w:sz w:val="15"/>
              </w:rPr>
              <w:t>7,912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3</w:t>
            </w:r>
          </w:p>
        </w:tc>
      </w:tr>
      <w:tr>
        <w:tc>
          <w:tcPr>
            <w:tcW w:type="dxa" w:w="3312"/>
            <w:shd w:val="clear" w:color="auto" w:fill="F6F1E6"/>
          </w:tcPr>
          <w:p>
            <w:pPr>
              <w:spacing w:after="20"/>
            </w:pPr>
            <w:r>
              <w:rPr>
                <w:b/>
                <w:color w:val="1C3A36"/>
                <w:sz w:val="15"/>
              </w:rPr>
              <w:t>Depreciation and amortisation — as published</w:t>
            </w:r>
          </w:p>
        </w:tc>
        <w:tc>
          <w:tcPr>
            <w:tcW w:type="dxa" w:w="1469"/>
            <w:shd w:val="clear" w:color="auto" w:fill="F6F1E6"/>
          </w:tcPr>
          <w:p>
            <w:pPr>
              <w:spacing w:after="20"/>
              <w:jc w:val="right"/>
            </w:pPr>
            <w:r>
              <w:rPr>
                <w:b/>
                <w:color w:val="1C3A36"/>
                <w:sz w:val="15"/>
              </w:rPr>
              <w:t>446</w:t>
            </w:r>
          </w:p>
        </w:tc>
        <w:tc>
          <w:tcPr>
            <w:tcW w:type="dxa" w:w="1469"/>
            <w:shd w:val="clear" w:color="auto" w:fill="F6F1E6"/>
          </w:tcPr>
          <w:p>
            <w:pPr>
              <w:spacing w:after="20"/>
              <w:jc w:val="right"/>
            </w:pPr>
            <w:r>
              <w:rPr>
                <w:b/>
                <w:color w:val="1C3A36"/>
                <w:sz w:val="15"/>
              </w:rPr>
              <w:t>437</w:t>
            </w:r>
          </w:p>
        </w:tc>
        <w:tc>
          <w:tcPr>
            <w:tcW w:type="dxa" w:w="1469"/>
            <w:shd w:val="clear" w:color="auto" w:fill="F6F1E6"/>
          </w:tcPr>
          <w:p>
            <w:pPr>
              <w:spacing w:after="20"/>
              <w:jc w:val="right"/>
            </w:pPr>
            <w:r>
              <w:rPr>
                <w:b/>
                <w:color w:val="1C3A36"/>
                <w:sz w:val="15"/>
              </w:rPr>
              <w:t>423</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Depreciation and amortisation — low of the range</w:t>
            </w:r>
          </w:p>
        </w:tc>
        <w:tc>
          <w:tcPr>
            <w:tcW w:type="dxa" w:w="1469"/>
          </w:tcPr>
          <w:p>
            <w:pPr>
              <w:spacing w:after="20"/>
              <w:jc w:val="right"/>
            </w:pPr>
            <w:r>
              <w:rPr>
                <w:color w:val="1C3A36"/>
                <w:sz w:val="15"/>
              </w:rPr>
              <w:t>250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Depreciation and amortisation — high of the range</w:t>
            </w:r>
          </w:p>
        </w:tc>
        <w:tc>
          <w:tcPr>
            <w:tcW w:type="dxa" w:w="1469"/>
          </w:tcPr>
          <w:p>
            <w:pPr>
              <w:spacing w:after="20"/>
              <w:jc w:val="right"/>
            </w:pPr>
            <w:r>
              <w:rPr>
                <w:color w:val="1C3A36"/>
                <w:sz w:val="15"/>
              </w:rPr>
              <w:t>269</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shd w:val="clear" w:color="auto" w:fill="F6F1E6"/>
          </w:tcPr>
          <w:p>
            <w:pPr>
              <w:spacing w:after="20"/>
            </w:pPr>
            <w:r>
              <w:rPr>
                <w:b/>
                <w:color w:val="1C3A36"/>
                <w:sz w:val="15"/>
              </w:rPr>
              <w:t>Capital expenditure — as published</w:t>
            </w:r>
          </w:p>
        </w:tc>
        <w:tc>
          <w:tcPr>
            <w:tcW w:type="dxa" w:w="1469"/>
            <w:shd w:val="clear" w:color="auto" w:fill="F6F1E6"/>
          </w:tcPr>
          <w:p>
            <w:pPr>
              <w:spacing w:after="20"/>
              <w:jc w:val="right"/>
            </w:pPr>
            <w:r>
              <w:rPr>
                <w:b/>
                <w:color w:val="1C3A36"/>
                <w:sz w:val="15"/>
              </w:rPr>
              <w:t>566</w:t>
            </w:r>
          </w:p>
        </w:tc>
        <w:tc>
          <w:tcPr>
            <w:tcW w:type="dxa" w:w="1469"/>
            <w:shd w:val="clear" w:color="auto" w:fill="F6F1E6"/>
          </w:tcPr>
          <w:p>
            <w:pPr>
              <w:spacing w:after="20"/>
              <w:jc w:val="right"/>
            </w:pPr>
            <w:r>
              <w:rPr>
                <w:b/>
                <w:color w:val="1C3A36"/>
                <w:sz w:val="15"/>
              </w:rPr>
              <w:t>593</w:t>
            </w:r>
          </w:p>
        </w:tc>
        <w:tc>
          <w:tcPr>
            <w:tcW w:type="dxa" w:w="1469"/>
            <w:shd w:val="clear" w:color="auto" w:fill="F6F1E6"/>
          </w:tcPr>
          <w:p>
            <w:pPr>
              <w:spacing w:after="20"/>
              <w:jc w:val="right"/>
            </w:pPr>
            <w:r>
              <w:rPr>
                <w:b/>
                <w:color w:val="1C3A36"/>
                <w:sz w:val="15"/>
              </w:rPr>
              <w:t>627</w:t>
            </w:r>
          </w:p>
        </w:tc>
        <w:tc>
          <w:tcPr>
            <w:tcW w:type="dxa" w:w="1354"/>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w:t>
            </w:r>
          </w:p>
        </w:tc>
      </w:tr>
      <w:tr>
        <w:tc>
          <w:tcPr>
            <w:tcW w:type="dxa" w:w="3312"/>
          </w:tcPr>
          <w:p>
            <w:pPr>
              <w:spacing w:after="20"/>
            </w:pPr>
            <w:r>
              <w:rPr>
                <w:color w:val="1C3A36"/>
                <w:sz w:val="15"/>
              </w:rPr>
              <w:t>Capital expenditure — low of the range</w:t>
            </w:r>
          </w:p>
        </w:tc>
        <w:tc>
          <w:tcPr>
            <w:tcW w:type="dxa" w:w="1469"/>
          </w:tcPr>
          <w:p>
            <w:pPr>
              <w:spacing w:after="20"/>
              <w:jc w:val="right"/>
            </w:pPr>
            <w:r>
              <w:rPr>
                <w:color w:val="1C3A36"/>
                <w:sz w:val="15"/>
              </w:rPr>
              <w:t>1,220</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r>
        <w:tc>
          <w:tcPr>
            <w:tcW w:type="dxa" w:w="3312"/>
          </w:tcPr>
          <w:p>
            <w:pPr>
              <w:spacing w:after="20"/>
            </w:pPr>
            <w:r>
              <w:rPr>
                <w:color w:val="1C3A36"/>
                <w:sz w:val="15"/>
              </w:rPr>
              <w:t>Capital expenditure — high of the range</w:t>
            </w:r>
          </w:p>
        </w:tc>
        <w:tc>
          <w:tcPr>
            <w:tcW w:type="dxa" w:w="1469"/>
          </w:tcPr>
          <w:p>
            <w:pPr>
              <w:spacing w:after="20"/>
              <w:jc w:val="right"/>
            </w:pPr>
            <w:r>
              <w:rPr>
                <w:color w:val="1C3A36"/>
                <w:sz w:val="15"/>
              </w:rPr>
              <w:t>3,012</w:t>
            </w:r>
          </w:p>
        </w:tc>
        <w:tc>
          <w:tcPr>
            <w:tcW w:type="dxa" w:w="1469"/>
          </w:tcPr>
          <w:p>
            <w:pPr>
              <w:spacing w:after="20"/>
              <w:jc w:val="right"/>
            </w:pPr>
            <w:r>
              <w:rPr>
                <w:color w:val="1C3A36"/>
                <w:sz w:val="15"/>
              </w:rPr>
              <w:t>no measured range</w:t>
            </w:r>
          </w:p>
        </w:tc>
        <w:tc>
          <w:tcPr>
            <w:tcW w:type="dxa" w:w="1469"/>
          </w:tcPr>
          <w:p>
            <w:pPr>
              <w:spacing w:after="20"/>
              <w:jc w:val="right"/>
            </w:pPr>
            <w:r>
              <w:rPr>
                <w:color w:val="1C3A36"/>
                <w:sz w:val="15"/>
              </w:rPr>
              <w:t>no measured range</w:t>
            </w:r>
          </w:p>
        </w:tc>
        <w:tc>
          <w:tcPr>
            <w:tcW w:type="dxa" w:w="1354"/>
          </w:tcPr>
          <w:p>
            <w:pPr>
              <w:spacing w:after="20"/>
              <w:jc w:val="right"/>
            </w:pPr>
            <w:r>
              <w:rPr>
                <w:color w:val="1C3A36"/>
                <w:sz w:val="15"/>
              </w:rPr>
              <w:t>span</w:t>
            </w:r>
          </w:p>
        </w:tc>
        <w:tc>
          <w:tcPr>
            <w:tcW w:type="dxa" w:w="1008"/>
          </w:tcPr>
          <w:p>
            <w:pPr>
              <w:spacing w:after="20"/>
              <w:jc w:val="right"/>
            </w:pPr>
            <w:r>
              <w:rPr>
                <w:color w:val="1C3A36"/>
                <w:sz w:val="15"/>
              </w:rPr>
              <w:t>2</w:t>
            </w:r>
          </w:p>
        </w:tc>
      </w:tr>
    </w:tbl>
    <w:p>
      <w:pPr>
        <w:spacing w:after="40"/>
      </w:pPr>
    </w:p>
    <w:p>
      <w:pPr>
        <w:spacing w:after="200" w:before="0"/>
      </w:pPr>
      <w:r>
        <w:rPr>
          <w:b w:val="0"/>
          <w:i/>
          <w:color w:val="6E7B77"/>
          <w:sz w:val="17"/>
        </w:rPr>
        <w:t>Table 22 — the third forecast year as a range, and the fourth and fifth stated as carrying none. The range is the point projection MULTIPLIED by how far the outturn came in from the projection at each replayed year-end, so a factor above one means the outturn came in ABOVE the projection — which is the direction almost every reading runs, because the method under-stated the scale of this company in a decade of currency moves rather than mis-stating its shape. Reading the multiplier the other way up would move a forecast the wrong way, and both values look equally ordinary on a page, which is why the direction is stated here rather than left to be inferred. The basis is a SPAN and is not called anything else: it is the widest and the narrowest of the readings behind it, not a percentile, because a percentile needs more readings than this record holds. The range at the third forecast year on revenue, cost of sales, gross profit and profit for the year is the full span of 3 past observations of this method's own error. That is too few to carry a probability, and none is claimed: it is the widest and narrowest this method has been on this company, not a confidence interval. The range at the third forecast year on depreciation and amortisation and capital expenditure is the full span of 2 past observations of this method's own error. That is too few to carry a probability, and none is claimed: it is the widest and narrowest this method has been on this company, not a confidence interval. The fourth and fifth forecast years are shown as published in Appendix A.1 and are marked here as carrying no measured range, because the replay covers three years ahead and no further. Nothing in this table changes the valuation: the fair-value range in the summary is struck on the point path above it, and this is the disclosure of how wide the method's own error has been around that path.</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14.90x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14.31x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23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76.29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79%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4,030</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2,787</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15.47% − 7% = 8.47%</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35,190</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14,733</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18,763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14,386</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85.25</w:t>
            </w:r>
          </w:p>
        </w:tc>
      </w:tr>
    </w:tbl>
    <w:p>
      <w:pPr>
        <w:spacing w:after="40"/>
      </w:pPr>
    </w:p>
    <w:p>
      <w:pPr>
        <w:spacing w:after="120" w:before="0"/>
      </w:pPr>
      <w:r>
        <w:rPr>
          <w:b w:val="0"/>
          <w:i w:val="0"/>
          <w:color w:val="1C3A36"/>
          <w:sz w:val="21"/>
        </w:rPr>
        <w:t>Named sensitivity: the terminal discount rate. Every 100 basis points on it is worth roughly EGP 10 a share. At 79% terminal weight, this expert is mostly forecasting one number.</w:t>
      </w:r>
    </w:p>
    <w:p>
      <w:pPr>
        <w:spacing w:after="120" w:before="0"/>
      </w:pPr>
      <w:r>
        <w:rPr>
          <w:b w:val="0"/>
          <w:i w:val="0"/>
          <w:color w:val="1C3A36"/>
          <w:sz w:val="21"/>
        </w:rPr>
        <w:t>Falsifier, stated in advance: "If free cash flow to the firm in FY2027 comes in below EGP 804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27.1%</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17.50%</w:t>
            </w:r>
          </w:p>
        </w:tc>
      </w:tr>
      <w:tr>
        <w:tc>
          <w:tcPr>
            <w:tcW w:type="dxa" w:w="6624"/>
          </w:tcPr>
          <w:p>
            <w:pPr>
              <w:spacing w:after="20"/>
            </w:pPr>
            <w:r>
              <w:rPr>
                <w:color w:val="1C3A36"/>
                <w:sz w:val="17"/>
              </w:rPr>
              <w:t>Growth</w:t>
            </w:r>
          </w:p>
        </w:tc>
        <w:tc>
          <w:tcPr>
            <w:tcW w:type="dxa" w:w="2448"/>
          </w:tcPr>
          <w:p>
            <w:pPr>
              <w:spacing w:after="20"/>
              <w:jc w:val="right"/>
            </w:pPr>
            <w:r>
              <w:rPr>
                <w:color w:val="1C3A36"/>
                <w:sz w:val="17"/>
              </w:rPr>
              <w:t>7%</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1.92x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70.85</w:t>
            </w:r>
          </w:p>
        </w:tc>
      </w:tr>
    </w:tbl>
    <w:p>
      <w:pPr>
        <w:spacing w:after="40"/>
      </w:pPr>
    </w:p>
    <w:p>
      <w:pPr>
        <w:spacing w:after="120" w:before="0"/>
      </w:pPr>
      <w:r>
        <w:rPr>
          <w:b w:val="0"/>
          <w:i w:val="0"/>
          <w:color w:val="1C3A36"/>
          <w:sz w:val="21"/>
        </w:rPr>
        <w:t>Named sensitivity: the sustainable return. If it settles at 20% rather than 27.1%, the justified multiple falls to 1.24 times and the value to EGP 45.80 a share.</w:t>
      </w:r>
    </w:p>
    <w:p>
      <w:pPr>
        <w:spacing w:after="120" w:before="0"/>
      </w:pPr>
      <w:r>
        <w:rPr>
          <w:b w:val="0"/>
          <w:i w:val="0"/>
          <w:color w:val="1C3A36"/>
          <w:sz w:val="21"/>
        </w:rPr>
        <w:t>Falsifier: "If return on average equity falls below 18% in either FY2026 or FY2027, the 27.1%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27.1%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127.30</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85.25</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42.05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7,097m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4,239m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17%</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60m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0.60x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127.30</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5,450 million, or USD 78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51 to EGP 112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70.85 to EGP 85.25 a share. The study's own lower centre, EGP 85.25, sits inside that; the higher, EGP 102.89, sits above it.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85.25. Expert 2 says: nothing until it produces a return, so EGP 70.85. Expert 3 says: the market says EGP 42.05 a share, which requires USD 60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96691"/>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96691"/>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14.40</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-42.05</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-24.41</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-17.64</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24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What that testing establishes about this individual share — how often the outcome fell inside the band, whether it fell uniformly within it, and how wide the band is — is reported in section 3, with the window counts behind each figure.</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