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6 August 2026</w:t>
      </w:r>
    </w:p>
    <w:p>
      <w:pPr>
        <w:spacing w:after="200" w:before="0"/>
      </w:pPr>
      <w:r>
        <w:rPr>
          <w:b w:val="0"/>
          <w:i w:val="0"/>
          <w:color w:val="1C3A36"/>
          <w:sz w:val="24"/>
        </w:rPr>
        <w:t>Egypt's second-largest cement plant, at the top of the best year the industry has had in more than a decade, holding net cash worth 11% of its market value on the last reported balance sheet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7% of Egypt's nominal capacity, listed on the Egyptian Exchange since May 2014, with cash of EGP 3,459mn against debt of EGP 1,035mn.</w:t>
            </w:r>
          </w:p>
          <w:p>
            <w:pPr>
              <w:spacing w:after="100"/>
            </w:pPr>
            <w:r>
              <w:rPr>
                <w:b/>
                <w:color w:val="1C3A36"/>
                <w:sz w:val="19"/>
              </w:rPr>
              <w:t xml:space="preserve">Where the value lands. </w:t>
            </w:r>
            <w:r>
              <w:rPr>
                <w:color w:val="1C3A36"/>
                <w:sz w:val="19"/>
              </w:rPr>
              <w:t>Four lenses put the shares between EGP 49.29 and EGP 73.68, weighting to a central EGP 52.94 against a market price of EGP 59.00 — -10.3%.</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49.29</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-16.5%</w:t>
            </w:r>
          </w:p>
        </w:tc>
        <w:tc>
          <w:tcPr>
            <w:tcW w:type="dxa" w:w="1958"/>
          </w:tcPr>
          <w:p>
            <w:pPr>
              <w:spacing w:after="20"/>
              <w:jc w:val="right"/>
            </w:pPr>
            <w:r>
              <w:rPr>
                <w:color w:val="1C3A36"/>
                <w:sz w:val="18"/>
              </w:rPr>
              <w:t>49.2%</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53.21</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-9.8%</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53.47</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-9.4%</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73.68</w:t>
            </w:r>
          </w:p>
        </w:tc>
        <w:tc>
          <w:tcPr>
            <w:tcW w:type="dxa" w:w="1037"/>
          </w:tcPr>
          <w:p>
            <w:pPr>
              <w:spacing w:after="20"/>
              <w:jc w:val="right"/>
            </w:pPr>
            <w:r>
              <w:rPr>
                <w:color w:val="1C3A36"/>
                <w:sz w:val="18"/>
              </w:rPr>
              <w:t>8%</w:t>
            </w:r>
          </w:p>
        </w:tc>
        <w:tc>
          <w:tcPr>
            <w:tcW w:type="dxa" w:w="1469"/>
          </w:tcPr>
          <w:p>
            <w:pPr>
              <w:spacing w:after="20"/>
              <w:jc w:val="right"/>
            </w:pPr>
            <w:r>
              <w:rPr>
                <w:color w:val="1C3A36"/>
                <w:sz w:val="18"/>
              </w:rPr>
              <w:t>+24.9%</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52.94</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-10.3%</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49.29 – 73.68</w:t>
            </w:r>
          </w:p>
        </w:tc>
        <w:tc>
          <w:tcPr>
            <w:tcW w:type="dxa" w:w="1037"/>
          </w:tcPr>
          <w:p>
            <w:pPr>
              <w:spacing w:after="20"/>
              <w:jc w:val="right"/>
            </w:pPr>
            <w:r>
              <w:rPr>
                <w:color w:val="1C3A36"/>
                <w:sz w:val="18"/>
              </w:rPr>
              <w:t>—</w:t>
            </w:r>
          </w:p>
        </w:tc>
        <w:tc>
          <w:tcPr>
            <w:tcW w:type="dxa" w:w="1469"/>
          </w:tcPr>
          <w:p>
            <w:pPr>
              <w:spacing w:after="20"/>
              <w:jc w:val="right"/>
            </w:pPr>
            <w:r>
              <w:rPr>
                <w:color w:val="1C3A36"/>
                <w:sz w:val="18"/>
              </w:rPr>
              <w:t>-16.5% to +24.9%</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59.00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1.7.</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7% of Egypt's nominal capacity and makes it the second-largest cement plant in the country.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3,599mn, against EGP 8,729mn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6,040</w:t>
            </w:r>
          </w:p>
        </w:tc>
        <w:tc>
          <w:tcPr>
            <w:tcW w:type="dxa" w:w="1872"/>
          </w:tcPr>
          <w:p>
            <w:pPr>
              <w:spacing w:after="20"/>
              <w:jc w:val="right"/>
            </w:pPr>
            <w:r>
              <w:rPr>
                <w:color w:val="1C3A36"/>
                <w:sz w:val="18"/>
              </w:rPr>
              <w:t>8,729</w:t>
            </w:r>
          </w:p>
        </w:tc>
        <w:tc>
          <w:tcPr>
            <w:tcW w:type="dxa" w:w="1872"/>
          </w:tcPr>
          <w:p>
            <w:pPr>
              <w:spacing w:after="20"/>
              <w:jc w:val="right"/>
            </w:pPr>
            <w:r>
              <w:rPr>
                <w:color w:val="1C3A36"/>
                <w:sz w:val="18"/>
              </w:rPr>
              <w:t>12,447</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1,264</w:t>
            </w:r>
          </w:p>
        </w:tc>
        <w:tc>
          <w:tcPr>
            <w:tcW w:type="dxa" w:w="1872"/>
          </w:tcPr>
          <w:p>
            <w:pPr>
              <w:spacing w:after="20"/>
              <w:jc w:val="right"/>
            </w:pPr>
            <w:r>
              <w:rPr>
                <w:color w:val="1C3A36"/>
                <w:sz w:val="18"/>
              </w:rPr>
              <w:t>1,930</w:t>
            </w:r>
          </w:p>
        </w:tc>
        <w:tc>
          <w:tcPr>
            <w:tcW w:type="dxa" w:w="1872"/>
          </w:tcPr>
          <w:p>
            <w:pPr>
              <w:spacing w:after="20"/>
              <w:jc w:val="right"/>
            </w:pPr>
            <w:r>
              <w:rPr>
                <w:color w:val="1C3A36"/>
                <w:sz w:val="18"/>
              </w:rPr>
              <w:t>4,897</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20.9%</w:t>
            </w:r>
          </w:p>
        </w:tc>
        <w:tc>
          <w:tcPr>
            <w:tcW w:type="dxa" w:w="1872"/>
          </w:tcPr>
          <w:p>
            <w:pPr>
              <w:spacing w:after="20"/>
              <w:jc w:val="right"/>
            </w:pPr>
            <w:r>
              <w:rPr>
                <w:color w:val="1C3A36"/>
                <w:sz w:val="18"/>
              </w:rPr>
              <w:t>22.1%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3,599</w:t>
            </w:r>
          </w:p>
        </w:tc>
      </w:tr>
      <w:tr>
        <w:tc>
          <w:tcPr>
            <w:tcW w:type="dxa" w:w="3744"/>
          </w:tcPr>
          <w:p>
            <w:pPr>
              <w:spacing w:after="20"/>
            </w:pPr>
            <w:r>
              <w:rPr>
                <w:color w:val="1C3A36"/>
                <w:sz w:val="18"/>
              </w:rPr>
              <w:t>Despatched volume (Mt)</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3.420</w:t>
            </w:r>
          </w:p>
        </w:tc>
        <w:tc>
          <w:tcPr>
            <w:tcW w:type="dxa" w:w="1872"/>
          </w:tcPr>
          <w:p>
            <w:pPr>
              <w:spacing w:after="20"/>
              <w:jc w:val="right"/>
            </w:pPr>
            <w:r>
              <w:rPr>
                <w:color w:val="1C3A36"/>
                <w:sz w:val="18"/>
              </w:rPr>
              <w:t>3.600</w:t>
            </w:r>
          </w:p>
        </w:tc>
      </w:tr>
      <w:tr>
        <w:tc>
          <w:tcPr>
            <w:tcW w:type="dxa" w:w="3744"/>
          </w:tcPr>
          <w:p>
            <w:pPr>
              <w:spacing w:after="20"/>
            </w:pPr>
            <w:r>
              <w:rPr>
                <w:color w:val="1C3A36"/>
                <w:sz w:val="18"/>
              </w:rPr>
              <w:t>Realised price (EGP/t)</w:t>
            </w:r>
          </w:p>
        </w:tc>
        <w:tc>
          <w:tcPr>
            <w:tcW w:type="dxa" w:w="1872"/>
          </w:tcPr>
          <w:p>
            <w:pPr>
              <w:spacing w:after="20"/>
              <w:jc w:val="right"/>
            </w:pPr>
            <w:r>
              <w:rPr>
                <w:color w:val="1C3A36"/>
                <w:sz w:val="18"/>
              </w:rPr>
              <w:t>1,830</w:t>
            </w:r>
          </w:p>
        </w:tc>
        <w:tc>
          <w:tcPr>
            <w:tcW w:type="dxa" w:w="1872"/>
          </w:tcPr>
          <w:p>
            <w:pPr>
              <w:spacing w:after="20"/>
              <w:jc w:val="right"/>
            </w:pPr>
            <w:r>
              <w:rPr>
                <w:color w:val="1C3A36"/>
                <w:sz w:val="18"/>
              </w:rPr>
              <w:t>2,552</w:t>
            </w:r>
          </w:p>
        </w:tc>
        <w:tc>
          <w:tcPr>
            <w:tcW w:type="dxa" w:w="1872"/>
          </w:tcPr>
          <w:p>
            <w:pPr>
              <w:spacing w:after="20"/>
              <w:jc w:val="right"/>
            </w:pPr>
            <w:r>
              <w:rPr>
                <w:color w:val="1C3A36"/>
                <w:sz w:val="18"/>
              </w:rPr>
              <w:t>3,458</w:t>
            </w:r>
          </w:p>
        </w:tc>
      </w:tr>
      <w:tr>
        <w:tc>
          <w:tcPr>
            <w:tcW w:type="dxa" w:w="3744"/>
          </w:tcPr>
          <w:p>
            <w:pPr>
              <w:spacing w:after="20"/>
            </w:pPr>
            <w:r>
              <w:rPr>
                <w:color w:val="1C3A36"/>
                <w:sz w:val="18"/>
              </w:rPr>
              <w:t>Kiln utilisation</w:t>
            </w:r>
          </w:p>
        </w:tc>
        <w:tc>
          <w:tcPr>
            <w:tcW w:type="dxa" w:w="1872"/>
          </w:tcPr>
          <w:p>
            <w:pPr>
              <w:spacing w:after="20"/>
              <w:jc w:val="right"/>
            </w:pPr>
            <w:r>
              <w:rPr>
                <w:color w:val="1C3A36"/>
                <w:sz w:val="18"/>
              </w:rPr>
              <w:t>66.0%</w:t>
            </w:r>
          </w:p>
        </w:tc>
        <w:tc>
          <w:tcPr>
            <w:tcW w:type="dxa" w:w="1872"/>
          </w:tcPr>
          <w:p>
            <w:pPr>
              <w:spacing w:after="20"/>
              <w:jc w:val="right"/>
            </w:pPr>
            <w:r>
              <w:rPr>
                <w:color w:val="1C3A36"/>
                <w:sz w:val="18"/>
              </w:rPr>
              <w:t>68.4%</w:t>
            </w:r>
          </w:p>
        </w:tc>
        <w:tc>
          <w:tcPr>
            <w:tcW w:type="dxa" w:w="1872"/>
          </w:tcPr>
          <w:p>
            <w:pPr>
              <w:spacing w:after="20"/>
              <w:jc w:val="right"/>
            </w:pPr>
            <w:r>
              <w:rPr>
                <w:color w:val="1C3A36"/>
                <w:sz w:val="18"/>
              </w:rPr>
              <w:t>72.0%</w:t>
            </w:r>
          </w:p>
        </w:tc>
      </w:tr>
    </w:tbl>
    <w:p>
      <w:pPr>
        <w:spacing w:after="40"/>
      </w:pPr>
    </w:p>
    <w:p>
      <w:pPr>
        <w:spacing w:after="200" w:before="0"/>
      </w:pPr>
      <w:r>
        <w:rPr>
          <w:b w:val="0"/>
          <w:i/>
          <w:color w:val="6E7B77"/>
          <w:sz w:val="17"/>
        </w:rPr>
        <w:t>Table 1 — Three years of history. Revenue and attributable profit are as disclosed. EBITDA and the operating lines are derived by closing the disclosed profit; volume and realised price are the output of the unit build in section 1.2.</w:t>
      </w:r>
    </w:p>
    <w:p>
      <w:pPr>
        <w:spacing w:after="120" w:before="0"/>
      </w:pPr>
      <w:r>
        <w:rPr>
          <w:b w:val="0"/>
          <w:i w:val="0"/>
          <w:color w:val="1C3A36"/>
          <w:sz w:val="21"/>
        </w:rPr>
        <w:t>Two things stand out. Volume grew only 5.3% between FY2024 and FY2025 while realised price grew 35.5%. The abolition of Egypt's cement production quota in May 2025 worked overwhelmingly through price, not through tonnes. And the margin moved from 22.1%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EBITDA in this model is an output, not an assumption. It is built from physical quantities: kiln capacity times a utilisation rate gives clinker; clinker divided by the clinker factor gives cement; cement split between domestic and export at their own prices gives revenue; and a per-tonne cost stack — fuel, power, raw materials, packaging, distribution — plus a fixed block gives cost. What is left is EBITDA. If the cost stack is wrong, the FY2025 reconstruction misses the disclosed operating profit, and that residual is published rather than solved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Cement produced (Mt)</w:t>
            </w:r>
          </w:p>
        </w:tc>
        <w:tc>
          <w:tcPr>
            <w:tcW w:type="dxa" w:w="1872"/>
          </w:tcPr>
          <w:p>
            <w:pPr>
              <w:spacing w:after="20"/>
              <w:jc w:val="right"/>
            </w:pPr>
            <w:r>
              <w:rPr>
                <w:color w:val="1C3A36"/>
                <w:sz w:val="18"/>
              </w:rPr>
              <w:t>3.600</w:t>
            </w:r>
          </w:p>
        </w:tc>
        <w:tc>
          <w:tcPr>
            <w:tcW w:type="dxa" w:w="1872"/>
          </w:tcPr>
          <w:p>
            <w:pPr>
              <w:spacing w:after="20"/>
              <w:jc w:val="right"/>
            </w:pPr>
            <w:r>
              <w:rPr>
                <w:color w:val="1C3A36"/>
                <w:sz w:val="18"/>
              </w:rPr>
              <w:t>3.840</w:t>
            </w:r>
          </w:p>
        </w:tc>
        <w:tc>
          <w:tcPr>
            <w:tcW w:type="dxa" w:w="1872"/>
          </w:tcPr>
          <w:p>
            <w:pPr>
              <w:spacing w:after="20"/>
              <w:jc w:val="right"/>
            </w:pPr>
            <w:r>
              <w:rPr>
                <w:color w:val="1C3A36"/>
                <w:sz w:val="18"/>
              </w:rPr>
              <w:t>4.110</w:t>
            </w:r>
          </w:p>
        </w:tc>
      </w:tr>
      <w:tr>
        <w:tc>
          <w:tcPr>
            <w:tcW w:type="dxa" w:w="3744"/>
          </w:tcPr>
          <w:p>
            <w:pPr>
              <w:spacing w:after="20"/>
            </w:pPr>
            <w:r>
              <w:rPr>
                <w:color w:val="1C3A36"/>
                <w:sz w:val="18"/>
              </w:rPr>
              <w:t>Kiln utilisation</w:t>
            </w:r>
          </w:p>
        </w:tc>
        <w:tc>
          <w:tcPr>
            <w:tcW w:type="dxa" w:w="1872"/>
          </w:tcPr>
          <w:p>
            <w:pPr>
              <w:spacing w:after="20"/>
              <w:jc w:val="right"/>
            </w:pPr>
            <w:r>
              <w:rPr>
                <w:color w:val="1C3A36"/>
                <w:sz w:val="18"/>
              </w:rPr>
              <w:t>72.0%</w:t>
            </w:r>
          </w:p>
        </w:tc>
        <w:tc>
          <w:tcPr>
            <w:tcW w:type="dxa" w:w="1872"/>
          </w:tcPr>
          <w:p>
            <w:pPr>
              <w:spacing w:after="20"/>
              <w:jc w:val="right"/>
            </w:pPr>
            <w:r>
              <w:rPr>
                <w:color w:val="1C3A36"/>
                <w:sz w:val="18"/>
              </w:rPr>
              <w:t>76.8%</w:t>
            </w:r>
          </w:p>
        </w:tc>
        <w:tc>
          <w:tcPr>
            <w:tcW w:type="dxa" w:w="1872"/>
          </w:tcPr>
          <w:p>
            <w:pPr>
              <w:spacing w:after="20"/>
              <w:jc w:val="right"/>
            </w:pPr>
            <w:r>
              <w:rPr>
                <w:color w:val="1C3A36"/>
                <w:sz w:val="18"/>
              </w:rPr>
              <w:t>82.2%</w:t>
            </w:r>
          </w:p>
        </w:tc>
      </w:tr>
      <w:tr>
        <w:tc>
          <w:tcPr>
            <w:tcW w:type="dxa" w:w="3744"/>
          </w:tcPr>
          <w:p>
            <w:pPr>
              <w:spacing w:after="20"/>
            </w:pPr>
            <w:r>
              <w:rPr>
                <w:color w:val="1C3A36"/>
                <w:sz w:val="18"/>
              </w:rPr>
              <w:t>Blended realised price (EGP/t)</w:t>
            </w:r>
          </w:p>
        </w:tc>
        <w:tc>
          <w:tcPr>
            <w:tcW w:type="dxa" w:w="1872"/>
          </w:tcPr>
          <w:p>
            <w:pPr>
              <w:spacing w:after="20"/>
              <w:jc w:val="right"/>
            </w:pPr>
            <w:r>
              <w:rPr>
                <w:color w:val="1C3A36"/>
                <w:sz w:val="18"/>
              </w:rPr>
              <w:t>3,458</w:t>
            </w:r>
          </w:p>
        </w:tc>
        <w:tc>
          <w:tcPr>
            <w:tcW w:type="dxa" w:w="1872"/>
          </w:tcPr>
          <w:p>
            <w:pPr>
              <w:spacing w:after="20"/>
              <w:jc w:val="right"/>
            </w:pPr>
            <w:r>
              <w:rPr>
                <w:color w:val="1C3A36"/>
                <w:sz w:val="18"/>
              </w:rPr>
              <w:t>3,532</w:t>
            </w:r>
          </w:p>
        </w:tc>
        <w:tc>
          <w:tcPr>
            <w:tcW w:type="dxa" w:w="1872"/>
          </w:tcPr>
          <w:p>
            <w:pPr>
              <w:spacing w:after="20"/>
              <w:jc w:val="right"/>
            </w:pPr>
            <w:r>
              <w:rPr>
                <w:color w:val="1C3A36"/>
                <w:sz w:val="18"/>
              </w:rPr>
              <w:t>4,152</w:t>
            </w:r>
          </w:p>
        </w:tc>
      </w:tr>
      <w:tr>
        <w:tc>
          <w:tcPr>
            <w:tcW w:type="dxa" w:w="3744"/>
          </w:tcPr>
          <w:p>
            <w:pPr>
              <w:spacing w:after="20"/>
            </w:pPr>
            <w:r>
              <w:rPr>
                <w:color w:val="1C3A36"/>
                <w:sz w:val="18"/>
              </w:rPr>
              <w:t>Thermal fuel (EGP/t)</w:t>
            </w:r>
          </w:p>
        </w:tc>
        <w:tc>
          <w:tcPr>
            <w:tcW w:type="dxa" w:w="1872"/>
          </w:tcPr>
          <w:p>
            <w:pPr>
              <w:spacing w:after="20"/>
              <w:jc w:val="right"/>
            </w:pPr>
            <w:r>
              <w:rPr>
                <w:color w:val="1C3A36"/>
                <w:sz w:val="18"/>
              </w:rPr>
              <w:t>335</w:t>
            </w:r>
          </w:p>
        </w:tc>
        <w:tc>
          <w:tcPr>
            <w:tcW w:type="dxa" w:w="1872"/>
          </w:tcPr>
          <w:p>
            <w:pPr>
              <w:spacing w:after="20"/>
              <w:jc w:val="right"/>
            </w:pPr>
            <w:r>
              <w:rPr>
                <w:color w:val="1C3A36"/>
                <w:sz w:val="18"/>
              </w:rPr>
              <w:t>335</w:t>
            </w:r>
          </w:p>
        </w:tc>
        <w:tc>
          <w:tcPr>
            <w:tcW w:type="dxa" w:w="1872"/>
          </w:tcPr>
          <w:p>
            <w:pPr>
              <w:spacing w:after="20"/>
              <w:jc w:val="right"/>
            </w:pPr>
            <w:r>
              <w:rPr>
                <w:color w:val="1C3A36"/>
                <w:sz w:val="18"/>
              </w:rPr>
              <w:t>379</w:t>
            </w:r>
          </w:p>
        </w:tc>
      </w:tr>
      <w:tr>
        <w:tc>
          <w:tcPr>
            <w:tcW w:type="dxa" w:w="3744"/>
          </w:tcPr>
          <w:p>
            <w:pPr>
              <w:spacing w:after="20"/>
            </w:pPr>
            <w:r>
              <w:rPr>
                <w:color w:val="1C3A36"/>
                <w:sz w:val="18"/>
              </w:rPr>
              <w:t>Electrical power (EGP/t)</w:t>
            </w:r>
          </w:p>
        </w:tc>
        <w:tc>
          <w:tcPr>
            <w:tcW w:type="dxa" w:w="1872"/>
          </w:tcPr>
          <w:p>
            <w:pPr>
              <w:spacing w:after="20"/>
              <w:jc w:val="right"/>
            </w:pPr>
            <w:r>
              <w:rPr>
                <w:color w:val="1C3A36"/>
                <w:sz w:val="18"/>
              </w:rPr>
              <w:t>260</w:t>
            </w:r>
          </w:p>
        </w:tc>
        <w:tc>
          <w:tcPr>
            <w:tcW w:type="dxa" w:w="1872"/>
          </w:tcPr>
          <w:p>
            <w:pPr>
              <w:spacing w:after="20"/>
              <w:jc w:val="right"/>
            </w:pPr>
            <w:r>
              <w:rPr>
                <w:color w:val="1C3A36"/>
                <w:sz w:val="18"/>
              </w:rPr>
              <w:t>290</w:t>
            </w:r>
          </w:p>
        </w:tc>
        <w:tc>
          <w:tcPr>
            <w:tcW w:type="dxa" w:w="1872"/>
          </w:tcPr>
          <w:p>
            <w:pPr>
              <w:spacing w:after="20"/>
              <w:jc w:val="right"/>
            </w:pPr>
            <w:r>
              <w:rPr>
                <w:color w:val="1C3A36"/>
                <w:sz w:val="18"/>
              </w:rPr>
              <w:t>401</w:t>
            </w:r>
          </w:p>
        </w:tc>
      </w:tr>
      <w:tr>
        <w:tc>
          <w:tcPr>
            <w:tcW w:type="dxa" w:w="3744"/>
          </w:tcPr>
          <w:p>
            <w:pPr>
              <w:spacing w:after="20"/>
            </w:pPr>
            <w:r>
              <w:rPr>
                <w:color w:val="1C3A36"/>
                <w:sz w:val="18"/>
              </w:rPr>
              <w:t>Raw materials (EGP/t)</w:t>
            </w:r>
          </w:p>
        </w:tc>
        <w:tc>
          <w:tcPr>
            <w:tcW w:type="dxa" w:w="1872"/>
          </w:tcPr>
          <w:p>
            <w:pPr>
              <w:spacing w:after="20"/>
              <w:jc w:val="right"/>
            </w:pPr>
            <w:r>
              <w:rPr>
                <w:color w:val="1C3A36"/>
                <w:sz w:val="18"/>
              </w:rPr>
              <w:t>195</w:t>
            </w:r>
          </w:p>
        </w:tc>
        <w:tc>
          <w:tcPr>
            <w:tcW w:type="dxa" w:w="1872"/>
          </w:tcPr>
          <w:p>
            <w:pPr>
              <w:spacing w:after="20"/>
              <w:jc w:val="right"/>
            </w:pPr>
            <w:r>
              <w:rPr>
                <w:color w:val="1C3A36"/>
                <w:sz w:val="18"/>
              </w:rPr>
              <w:t>217</w:t>
            </w:r>
          </w:p>
        </w:tc>
        <w:tc>
          <w:tcPr>
            <w:tcW w:type="dxa" w:w="1872"/>
          </w:tcPr>
          <w:p>
            <w:pPr>
              <w:spacing w:after="20"/>
              <w:jc w:val="right"/>
            </w:pPr>
            <w:r>
              <w:rPr>
                <w:color w:val="1C3A36"/>
                <w:sz w:val="18"/>
              </w:rPr>
              <w:t>301</w:t>
            </w:r>
          </w:p>
        </w:tc>
      </w:tr>
      <w:tr>
        <w:tc>
          <w:tcPr>
            <w:tcW w:type="dxa" w:w="3744"/>
          </w:tcPr>
          <w:p>
            <w:pPr>
              <w:spacing w:after="20"/>
            </w:pPr>
            <w:r>
              <w:rPr>
                <w:color w:val="1C3A36"/>
                <w:sz w:val="18"/>
              </w:rPr>
              <w:t>Packaging (EGP/t)</w:t>
            </w:r>
          </w:p>
        </w:tc>
        <w:tc>
          <w:tcPr>
            <w:tcW w:type="dxa" w:w="1872"/>
          </w:tcPr>
          <w:p>
            <w:pPr>
              <w:spacing w:after="20"/>
              <w:jc w:val="right"/>
            </w:pPr>
            <w:r>
              <w:rPr>
                <w:color w:val="1C3A36"/>
                <w:sz w:val="18"/>
              </w:rPr>
              <w:t>38</w:t>
            </w:r>
          </w:p>
        </w:tc>
        <w:tc>
          <w:tcPr>
            <w:tcW w:type="dxa" w:w="1872"/>
          </w:tcPr>
          <w:p>
            <w:pPr>
              <w:spacing w:after="20"/>
              <w:jc w:val="right"/>
            </w:pPr>
            <w:r>
              <w:rPr>
                <w:color w:val="1C3A36"/>
                <w:sz w:val="18"/>
              </w:rPr>
              <w:t>43</w:t>
            </w:r>
          </w:p>
        </w:tc>
        <w:tc>
          <w:tcPr>
            <w:tcW w:type="dxa" w:w="1872"/>
          </w:tcPr>
          <w:p>
            <w:pPr>
              <w:spacing w:after="20"/>
              <w:jc w:val="right"/>
            </w:pPr>
            <w:r>
              <w:rPr>
                <w:color w:val="1C3A36"/>
                <w:sz w:val="18"/>
              </w:rPr>
              <w:t>59</w:t>
            </w:r>
          </w:p>
        </w:tc>
      </w:tr>
      <w:tr>
        <w:tc>
          <w:tcPr>
            <w:tcW w:type="dxa" w:w="3744"/>
          </w:tcPr>
          <w:p>
            <w:pPr>
              <w:spacing w:after="20"/>
            </w:pPr>
            <w:r>
              <w:rPr>
                <w:color w:val="1C3A36"/>
                <w:sz w:val="18"/>
              </w:rPr>
              <w:t>Distribution (EGP/t)</w:t>
            </w:r>
          </w:p>
        </w:tc>
        <w:tc>
          <w:tcPr>
            <w:tcW w:type="dxa" w:w="1872"/>
          </w:tcPr>
          <w:p>
            <w:pPr>
              <w:spacing w:after="20"/>
              <w:jc w:val="right"/>
            </w:pPr>
            <w:r>
              <w:rPr>
                <w:color w:val="1C3A36"/>
                <w:sz w:val="18"/>
              </w:rPr>
              <w:t>190</w:t>
            </w:r>
          </w:p>
        </w:tc>
        <w:tc>
          <w:tcPr>
            <w:tcW w:type="dxa" w:w="1872"/>
          </w:tcPr>
          <w:p>
            <w:pPr>
              <w:spacing w:after="20"/>
              <w:jc w:val="right"/>
            </w:pPr>
            <w:r>
              <w:rPr>
                <w:color w:val="1C3A36"/>
                <w:sz w:val="18"/>
              </w:rPr>
              <w:t>212</w:t>
            </w:r>
          </w:p>
        </w:tc>
        <w:tc>
          <w:tcPr>
            <w:tcW w:type="dxa" w:w="1872"/>
          </w:tcPr>
          <w:p>
            <w:pPr>
              <w:spacing w:after="20"/>
              <w:jc w:val="right"/>
            </w:pPr>
            <w:r>
              <w:rPr>
                <w:color w:val="1C3A36"/>
                <w:sz w:val="18"/>
              </w:rPr>
              <w:t>293</w:t>
            </w:r>
          </w:p>
        </w:tc>
      </w:tr>
      <w:tr>
        <w:tc>
          <w:tcPr>
            <w:tcW w:type="dxa" w:w="3744"/>
          </w:tcPr>
          <w:p>
            <w:pPr>
              <w:spacing w:after="20"/>
            </w:pPr>
            <w:r>
              <w:rPr>
                <w:color w:val="1C3A36"/>
                <w:sz w:val="18"/>
              </w:rPr>
              <w:t>Total variable (EGP/t)</w:t>
            </w:r>
          </w:p>
        </w:tc>
        <w:tc>
          <w:tcPr>
            <w:tcW w:type="dxa" w:w="1872"/>
          </w:tcPr>
          <w:p>
            <w:pPr>
              <w:spacing w:after="20"/>
              <w:jc w:val="right"/>
            </w:pPr>
            <w:r>
              <w:rPr>
                <w:color w:val="1C3A36"/>
                <w:sz w:val="18"/>
              </w:rPr>
              <w:t>1,018</w:t>
            </w:r>
          </w:p>
        </w:tc>
        <w:tc>
          <w:tcPr>
            <w:tcW w:type="dxa" w:w="1872"/>
          </w:tcPr>
          <w:p>
            <w:pPr>
              <w:spacing w:after="20"/>
              <w:jc w:val="right"/>
            </w:pPr>
            <w:r>
              <w:rPr>
                <w:color w:val="1C3A36"/>
                <w:sz w:val="18"/>
              </w:rPr>
              <w:t>1,098</w:t>
            </w:r>
          </w:p>
        </w:tc>
        <w:tc>
          <w:tcPr>
            <w:tcW w:type="dxa" w:w="1872"/>
          </w:tcPr>
          <w:p>
            <w:pPr>
              <w:spacing w:after="20"/>
              <w:jc w:val="right"/>
            </w:pPr>
            <w:r>
              <w:rPr>
                <w:color w:val="1C3A36"/>
                <w:sz w:val="18"/>
              </w:rPr>
              <w:t>1,434</w:t>
            </w:r>
          </w:p>
        </w:tc>
      </w:tr>
      <w:tr>
        <w:tc>
          <w:tcPr>
            <w:tcW w:type="dxa" w:w="3744"/>
          </w:tcPr>
          <w:p>
            <w:pPr>
              <w:spacing w:after="20"/>
            </w:pPr>
            <w:r>
              <w:rPr>
                <w:color w:val="1C3A36"/>
                <w:sz w:val="18"/>
              </w:rPr>
              <w:t>Fixed cash cost (EGP/t)</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1,128</w:t>
            </w:r>
          </w:p>
        </w:tc>
        <w:tc>
          <w:tcPr>
            <w:tcW w:type="dxa" w:w="1872"/>
          </w:tcPr>
          <w:p>
            <w:pPr>
              <w:spacing w:after="20"/>
              <w:jc w:val="right"/>
            </w:pPr>
            <w:r>
              <w:rPr>
                <w:color w:val="1C3A36"/>
                <w:sz w:val="18"/>
              </w:rPr>
              <w:t>1,459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4,898</w:t>
            </w:r>
          </w:p>
        </w:tc>
        <w:tc>
          <w:tcPr>
            <w:tcW w:type="dxa" w:w="1872"/>
            <w:shd w:val="clear" w:color="auto" w:fill="F6F1E6"/>
          </w:tcPr>
          <w:p>
            <w:pPr>
              <w:spacing w:after="20"/>
              <w:jc w:val="right"/>
            </w:pPr>
            <w:r>
              <w:rPr>
                <w:b/>
                <w:color w:val="1C3A36"/>
                <w:sz w:val="18"/>
              </w:rPr>
              <w:t>5,018</w:t>
            </w:r>
          </w:p>
        </w:tc>
        <w:tc>
          <w:tcPr>
            <w:tcW w:type="dxa" w:w="1872"/>
            <w:shd w:val="clear" w:color="auto" w:fill="F6F1E6"/>
          </w:tcPr>
          <w:p>
            <w:pPr>
              <w:spacing w:after="20"/>
              <w:jc w:val="right"/>
            </w:pPr>
            <w:r>
              <w:rPr>
                <w:b/>
                <w:color w:val="1C3A36"/>
                <w:sz w:val="18"/>
              </w:rPr>
              <w:t>5,174</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37.0%</w:t>
            </w:r>
          </w:p>
        </w:tc>
        <w:tc>
          <w:tcPr>
            <w:tcW w:type="dxa" w:w="1872"/>
            <w:shd w:val="clear" w:color="auto" w:fill="F6F1E6"/>
          </w:tcPr>
          <w:p>
            <w:pPr>
              <w:spacing w:after="20"/>
              <w:jc w:val="right"/>
            </w:pPr>
            <w:r>
              <w:rPr>
                <w:b/>
                <w:color w:val="1C3A36"/>
                <w:sz w:val="18"/>
              </w:rPr>
              <w:t>30.3%</w:t>
            </w:r>
          </w:p>
        </w:tc>
      </w:tr>
    </w:tbl>
    <w:p>
      <w:pPr>
        <w:spacing w:after="40"/>
      </w:pPr>
    </w:p>
    <w:p>
      <w:pPr>
        <w:spacing w:after="200" w:before="0"/>
      </w:pPr>
      <w:r>
        <w:rPr>
          <w:b w:val="0"/>
          <w:i/>
          <w:color w:val="6E7B77"/>
          <w:sz w:val="17"/>
        </w:rPr>
        <w:t>Table 2 — The cost stack per tonne of cement, and the margin it produces.</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the disclosed FY2025 revenue to +0.002% and the DISCLOSED FY2025 operating income to +0.018%. Neither residual is forced: the physical coefficients are industry norms and the price path is the published domestic level. The one calibrated figure is the fixed cash block, at USD 15.76 per tonne of installed capacity, inside the USD 10–20 industry band, and it is labelled as a calibration rather than presented as an observation.</w:t>
      </w:r>
    </w:p>
    <w:p>
      <w:pPr>
        <w:spacing w:after="120" w:before="0"/>
      </w:pPr>
      <w:r>
        <w:rPr>
          <w:b w:val="0"/>
          <w:i w:val="0"/>
          <w:color w:val="1C3A36"/>
          <w:sz w:val="21"/>
        </w:rPr>
        <w:t>The company-specific line is fuel. Arabian Cement is Egypt's alternative-fuel leader: 52% of its thermal requirement is met from refuse-derived fuel and biomass rather than imported petcoke, rising to 64% by FY2030 on the company's own programme. That blend is why the fuel bill per tonne is EGP 335 rather than the EGP 469 a fossil-only stack would cost — a saving of about 28.6% on the largest variable line in the business. It is modelled as its own driver, not folded into a margin, because it is the one cost advantage that is genuinely this company's rather than the sector's.</w:t>
      </w:r>
    </w:p>
    <w:p>
      <w:pPr>
        <w:spacing w:after="80" w:before="200"/>
      </w:pPr>
      <w:r>
        <w:rPr>
          <w:b/>
          <w:i w:val="0"/>
          <w:color w:val="1C3A36"/>
          <w:sz w:val="24"/>
        </w:rPr>
        <w:t>1.3  Depreciation, and the honest admission behind it</w:t>
      </w:r>
    </w:p>
    <w:p>
      <w:pPr>
        <w:spacing w:after="120" w:before="0"/>
      </w:pPr>
      <w:r>
        <w:rPr>
          <w:b w:val="0"/>
          <w:i w:val="0"/>
          <w:color w:val="1C3A36"/>
          <w:sz w:val="21"/>
        </w:rPr>
        <w:t>No depreciation line is separately retrievable for this company from any source at the evidentiary standard used elsewhere in this study. Rather than assume one, three independent methods are computed and averaged, and the spread between them is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Method</w:t>
            </w:r>
          </w:p>
        </w:tc>
        <w:tc>
          <w:tcPr>
            <w:tcW w:type="dxa" w:w="2736"/>
            <w:shd w:val="clear" w:color="auto" w:fill="EAF0EE"/>
          </w:tcPr>
          <w:p>
            <w:pPr>
              <w:spacing w:after="20"/>
            </w:pPr>
            <w:r>
              <w:rPr>
                <w:b/>
                <w:color w:val="1C3A36"/>
                <w:sz w:val="18"/>
              </w:rPr>
              <w:t>FY2025 charge (EGP mn)</w:t>
            </w:r>
          </w:p>
        </w:tc>
      </w:tr>
      <w:tr>
        <w:tc>
          <w:tcPr>
            <w:tcW w:type="dxa" w:w="6048"/>
          </w:tcPr>
          <w:p>
            <w:pPr>
              <w:spacing w:after="20"/>
            </w:pPr>
            <w:r>
              <w:rPr>
                <w:color w:val="1C3A36"/>
                <w:sz w:val="18"/>
              </w:rPr>
              <w:t>Fourth-quarter EBITDA margin applied to full-year revenue, less the disclosed operating profit</w:t>
            </w:r>
          </w:p>
        </w:tc>
        <w:tc>
          <w:tcPr>
            <w:tcW w:type="dxa" w:w="2736"/>
          </w:tcPr>
          <w:p>
            <w:pPr>
              <w:spacing w:after="20"/>
              <w:jc w:val="right"/>
            </w:pPr>
            <w:r>
              <w:rPr>
                <w:color w:val="1C3A36"/>
                <w:sz w:val="18"/>
              </w:rPr>
              <w:t>160</w:t>
            </w:r>
          </w:p>
        </w:tc>
      </w:tr>
      <w:tr>
        <w:tc>
          <w:tcPr>
            <w:tcW w:type="dxa" w:w="6048"/>
          </w:tcPr>
          <w:p>
            <w:pPr>
              <w:spacing w:after="20"/>
            </w:pPr>
            <w:r>
              <w:rPr>
                <w:color w:val="1C3A36"/>
                <w:sz w:val="18"/>
              </w:rPr>
              <w:t>Peer depreciation per tonne of despatch, applied to this volume</w:t>
            </w:r>
          </w:p>
        </w:tc>
        <w:tc>
          <w:tcPr>
            <w:tcW w:type="dxa" w:w="2736"/>
          </w:tcPr>
          <w:p>
            <w:pPr>
              <w:spacing w:after="20"/>
              <w:jc w:val="right"/>
            </w:pPr>
            <w:r>
              <w:rPr>
                <w:color w:val="1C3A36"/>
                <w:sz w:val="18"/>
              </w:rPr>
              <w:t>558</w:t>
            </w:r>
          </w:p>
        </w:tc>
      </w:tr>
      <w:tr>
        <w:tc>
          <w:tcPr>
            <w:tcW w:type="dxa" w:w="6048"/>
          </w:tcPr>
          <w:p>
            <w:pPr>
              <w:spacing w:after="20"/>
            </w:pPr>
            <w:r>
              <w:rPr>
                <w:color w:val="1C3A36"/>
                <w:sz w:val="18"/>
              </w:rPr>
              <w:t>Net property base implied by total assets, times a composite rate</w:t>
            </w:r>
          </w:p>
        </w:tc>
        <w:tc>
          <w:tcPr>
            <w:tcW w:type="dxa" w:w="2736"/>
          </w:tcPr>
          <w:p>
            <w:pPr>
              <w:spacing w:after="20"/>
              <w:jc w:val="right"/>
            </w:pPr>
            <w:r>
              <w:rPr>
                <w:color w:val="1C3A36"/>
                <w:sz w:val="18"/>
              </w:rPr>
              <w:t>185</w:t>
            </w:r>
          </w:p>
        </w:tc>
      </w:tr>
      <w:tr>
        <w:tc>
          <w:tcPr>
            <w:tcW w:type="dxa" w:w="6048"/>
            <w:shd w:val="clear" w:color="auto" w:fill="F6F1E6"/>
          </w:tcPr>
          <w:p>
            <w:pPr>
              <w:spacing w:after="20"/>
            </w:pPr>
            <w:r>
              <w:rPr>
                <w:b/>
                <w:color w:val="1C3A36"/>
                <w:sz w:val="18"/>
              </w:rPr>
              <w:t>Average of the three — adopted</w:t>
            </w:r>
          </w:p>
        </w:tc>
        <w:tc>
          <w:tcPr>
            <w:tcW w:type="dxa" w:w="2736"/>
            <w:shd w:val="clear" w:color="auto" w:fill="F6F1E6"/>
          </w:tcPr>
          <w:p>
            <w:pPr>
              <w:spacing w:after="20"/>
              <w:jc w:val="right"/>
            </w:pPr>
            <w:r>
              <w:rPr>
                <w:b/>
                <w:color w:val="1C3A36"/>
                <w:sz w:val="18"/>
              </w:rPr>
              <w:t>301</w:t>
            </w:r>
          </w:p>
        </w:tc>
      </w:tr>
      <w:tr>
        <w:tc>
          <w:tcPr>
            <w:tcW w:type="dxa" w:w="6048"/>
          </w:tcPr>
          <w:p>
            <w:pPr>
              <w:spacing w:after="20"/>
            </w:pPr>
            <w:r>
              <w:rPr>
                <w:color w:val="1C3A36"/>
                <w:sz w:val="18"/>
              </w:rPr>
              <w:t>As a share of revenue</w:t>
            </w:r>
          </w:p>
        </w:tc>
        <w:tc>
          <w:tcPr>
            <w:tcW w:type="dxa" w:w="2736"/>
          </w:tcPr>
          <w:p>
            <w:pPr>
              <w:spacing w:after="20"/>
              <w:jc w:val="right"/>
            </w:pPr>
            <w:r>
              <w:rPr>
                <w:color w:val="1C3A36"/>
                <w:sz w:val="18"/>
              </w:rPr>
              <w:t>2.42%</w:t>
            </w:r>
          </w:p>
        </w:tc>
      </w:tr>
      <w:tr>
        <w:tc>
          <w:tcPr>
            <w:tcW w:type="dxa" w:w="6048"/>
          </w:tcPr>
          <w:p>
            <w:pPr>
              <w:spacing w:after="20"/>
            </w:pPr>
            <w:r>
              <w:rPr>
                <w:color w:val="1C3A36"/>
                <w:sz w:val="18"/>
              </w:rPr>
              <w:t>Per tonne of despatch (EGP)</w:t>
            </w:r>
          </w:p>
        </w:tc>
        <w:tc>
          <w:tcPr>
            <w:tcW w:type="dxa" w:w="2736"/>
          </w:tcPr>
          <w:p>
            <w:pPr>
              <w:spacing w:after="20"/>
              <w:jc w:val="right"/>
            </w:pPr>
            <w:r>
              <w:rPr>
                <w:color w:val="1C3A36"/>
                <w:sz w:val="18"/>
              </w:rPr>
              <w:t>84</w:t>
            </w:r>
          </w:p>
        </w:tc>
      </w:tr>
    </w:tbl>
    <w:p>
      <w:pPr>
        <w:spacing w:after="40"/>
      </w:pPr>
    </w:p>
    <w:p>
      <w:pPr>
        <w:spacing w:after="200" w:before="0"/>
      </w:pPr>
      <w:r>
        <w:rPr>
          <w:b w:val="0"/>
          <w:i/>
          <w:color w:val="6E7B77"/>
          <w:sz w:val="17"/>
        </w:rPr>
        <w:t>Table 3 — Three routes to the same number, averaged rather than asserted. The highest is 3.5 times the lowest, and that uncertainty is real.</w:t>
      </w:r>
    </w:p>
    <w:p>
      <w:pPr>
        <w:spacing w:after="120" w:before="0"/>
      </w:pPr>
      <w:r>
        <w:rPr>
          <w:b w:val="0"/>
          <w:i w:val="0"/>
          <w:color w:val="1C3A36"/>
          <w:sz w:val="21"/>
        </w:rPr>
        <w:t>The spread matters, and it is worth saying why it is so wide. This plant was built around 2010, in a currency that has since devalued several times. Its book asset base is therefore small in today's pounds and its accounting depreciation charge is correspondingly small — which is exactly what the first and third methods find, and exactly what a peer benchmark drawn from a revalued balance sheet does not.</w:t>
      </w:r>
    </w:p>
    <w:p>
      <w:pPr>
        <w:spacing w:after="120" w:before="0"/>
      </w:pPr>
      <w:r>
        <w:rPr>
          <w:b w:val="0"/>
          <w:i w:val="0"/>
          <w:color w:val="1C3A36"/>
          <w:sz w:val="21"/>
        </w:rPr>
        <w:t>This has a direct valuation consequence, and it is treated as one. Capital expenditure in the forecast is NOT set at book depreciation. It is set at the economic maintenance level of USD 4.00 per tonne of installed capacity — about EGP 1,012mn in FY2026 against a book charge of EGP 339mn. Setting capex equal to book depreciation would have flattered free cash flow by construction; the cost of refusing to do so is computed in section 1.9 and is worth +10.1% of the cash-flow lens.</w:t>
      </w:r>
    </w:p>
    <w:p>
      <w:pPr>
        <w:spacing w:after="80" w:before="200"/>
      </w:pPr>
      <w:r>
        <w:rPr>
          <w:b/>
          <w:i w:val="0"/>
          <w:color w:val="1C3A36"/>
          <w:sz w:val="24"/>
        </w:rPr>
        <w:t>1.4  The cost of capital</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 — a claim this model's own cost-of-debt path contradicts.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22.31%</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18.91%</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0.628</w:t>
            </w:r>
          </w:p>
        </w:tc>
        <w:tc>
          <w:tcPr>
            <w:tcW w:type="dxa" w:w="2592"/>
          </w:tcPr>
          <w:p>
            <w:pPr>
              <w:spacing w:after="20"/>
              <w:jc w:val="right"/>
            </w:pPr>
            <w:r>
              <w:rPr>
                <w:color w:val="1C3A36"/>
                <w:sz w:val="18"/>
              </w:rPr>
              <w:t>0.750</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24.82%</w:t>
            </w:r>
          </w:p>
        </w:tc>
        <w:tc>
          <w:tcPr>
            <w:tcW w:type="dxa" w:w="2592"/>
          </w:tcPr>
          <w:p>
            <w:pPr>
              <w:spacing w:after="20"/>
              <w:jc w:val="right"/>
            </w:pPr>
            <w:r>
              <w:rPr>
                <w:color w:val="1C3A36"/>
                <w:sz w:val="18"/>
              </w:rPr>
              <w:t>17.75%</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16.66%</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4.47%</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24.46%</w:t>
            </w:r>
          </w:p>
        </w:tc>
        <w:tc>
          <w:tcPr>
            <w:tcW w:type="dxa" w:w="2592"/>
            <w:shd w:val="clear" w:color="auto" w:fill="F6F1E6"/>
          </w:tcPr>
          <w:p>
            <w:pPr>
              <w:spacing w:after="20"/>
              <w:jc w:val="right"/>
            </w:pPr>
            <w:r>
              <w:rPr>
                <w:b/>
                <w:color w:val="1C3A36"/>
                <w:sz w:val="18"/>
              </w:rPr>
              <w:t>16.52%</w:t>
            </w:r>
          </w:p>
        </w:tc>
      </w:tr>
    </w:tbl>
    <w:p>
      <w:pPr>
        <w:spacing w:after="40"/>
      </w:pPr>
    </w:p>
    <w:p>
      <w:pPr>
        <w:spacing w:after="200" w:before="0"/>
      </w:pPr>
      <w:r>
        <w:rPr>
          <w:b w:val="0"/>
          <w:i/>
          <w:color w:val="6E7B77"/>
          <w:sz w:val="17"/>
        </w:rPr>
        <w:t>Table 4 — The two anchors. The sovereign default spread is netted OUT of the local risk-free rate before a country equity premium is added, so Egypt's default risk is charged once rather than twice; leaving it in would have put the cost of equity at 28.22% instead of 24.82%.</w:t>
      </w:r>
    </w:p>
    <w:p>
      <w:pPr>
        <w:spacing w:after="120" w:before="0"/>
      </w:pPr>
      <w:r>
        <w:rPr>
          <w:b w:val="0"/>
          <w:i w:val="0"/>
          <w:color w:val="1C3A36"/>
          <w:sz w:val="21"/>
        </w:rPr>
        <w:t>The terminal anchors are house macro views, and are disclosed as such rather than presented as observations. The terminal risk-free rate is the central bank's own stated medium-term inflation target plus a standard emerging-market real-rate convention. The terminal cost of debt is the Egyptian long-run corporate borrowing norm. Neither is reverse-engineered from a price, and no terminal input is backed out of a target.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0.385</w:t>
            </w:r>
          </w:p>
        </w:tc>
        <w:tc>
          <w:tcPr>
            <w:tcW w:type="dxa" w:w="1526"/>
          </w:tcPr>
          <w:p>
            <w:pPr>
              <w:spacing w:after="20"/>
              <w:jc w:val="right"/>
            </w:pPr>
            <w:r>
              <w:rPr>
                <w:color w:val="1C3A36"/>
                <w:sz w:val="18"/>
              </w:rPr>
              <w:t>0.692</w:t>
            </w:r>
          </w:p>
        </w:tc>
        <w:tc>
          <w:tcPr>
            <w:tcW w:type="dxa" w:w="1526"/>
          </w:tcPr>
          <w:p>
            <w:pPr>
              <w:spacing w:after="20"/>
              <w:jc w:val="right"/>
            </w:pPr>
            <w:r>
              <w:rPr>
                <w:color w:val="1C3A36"/>
                <w:sz w:val="18"/>
              </w:rPr>
              <w:t>0.877</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24.46%</w:t>
            </w:r>
          </w:p>
        </w:tc>
        <w:tc>
          <w:tcPr>
            <w:tcW w:type="dxa" w:w="1526"/>
          </w:tcPr>
          <w:p>
            <w:pPr>
              <w:spacing w:after="20"/>
              <w:jc w:val="right"/>
            </w:pPr>
            <w:r>
              <w:rPr>
                <w:color w:val="1C3A36"/>
                <w:sz w:val="18"/>
              </w:rPr>
              <w:t>21.40%</w:t>
            </w:r>
          </w:p>
        </w:tc>
        <w:tc>
          <w:tcPr>
            <w:tcW w:type="dxa" w:w="1526"/>
          </w:tcPr>
          <w:p>
            <w:pPr>
              <w:spacing w:after="20"/>
              <w:jc w:val="right"/>
            </w:pPr>
            <w:r>
              <w:rPr>
                <w:color w:val="1C3A36"/>
                <w:sz w:val="18"/>
              </w:rPr>
              <w:t>18.96%</w:t>
            </w:r>
          </w:p>
        </w:tc>
        <w:tc>
          <w:tcPr>
            <w:tcW w:type="dxa" w:w="1526"/>
          </w:tcPr>
          <w:p>
            <w:pPr>
              <w:spacing w:after="20"/>
              <w:jc w:val="right"/>
            </w:pPr>
            <w:r>
              <w:rPr>
                <w:color w:val="1C3A36"/>
                <w:sz w:val="18"/>
              </w:rPr>
              <w:t>17.50%</w:t>
            </w:r>
          </w:p>
        </w:tc>
        <w:tc>
          <w:tcPr>
            <w:tcW w:type="dxa" w:w="1526"/>
          </w:tcPr>
          <w:p>
            <w:pPr>
              <w:spacing w:after="20"/>
              <w:jc w:val="right"/>
            </w:pPr>
            <w:r>
              <w:rPr>
                <w:color w:val="1C3A36"/>
                <w:sz w:val="18"/>
              </w:rPr>
              <w:t>16.52%</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0.9554</w:t>
            </w:r>
          </w:p>
        </w:tc>
        <w:tc>
          <w:tcPr>
            <w:tcW w:type="dxa" w:w="1526"/>
          </w:tcPr>
          <w:p>
            <w:pPr>
              <w:spacing w:after="20"/>
              <w:jc w:val="right"/>
            </w:pPr>
            <w:r>
              <w:rPr>
                <w:color w:val="1C3A36"/>
                <w:sz w:val="18"/>
              </w:rPr>
              <w:t>0.8182</w:t>
            </w:r>
          </w:p>
        </w:tc>
        <w:tc>
          <w:tcPr>
            <w:tcW w:type="dxa" w:w="1526"/>
          </w:tcPr>
          <w:p>
            <w:pPr>
              <w:spacing w:after="20"/>
              <w:jc w:val="right"/>
            </w:pPr>
            <w:r>
              <w:rPr>
                <w:color w:val="1C3A36"/>
                <w:sz w:val="18"/>
              </w:rPr>
              <w:t>0.6726</w:t>
            </w:r>
          </w:p>
        </w:tc>
        <w:tc>
          <w:tcPr>
            <w:tcW w:type="dxa" w:w="1526"/>
          </w:tcPr>
          <w:p>
            <w:pPr>
              <w:spacing w:after="20"/>
              <w:jc w:val="right"/>
            </w:pPr>
            <w:r>
              <w:rPr>
                <w:color w:val="1C3A36"/>
                <w:sz w:val="18"/>
              </w:rPr>
              <w:t>0.5644</w:t>
            </w:r>
          </w:p>
        </w:tc>
        <w:tc>
          <w:tcPr>
            <w:tcW w:type="dxa" w:w="1526"/>
          </w:tcPr>
          <w:p>
            <w:pPr>
              <w:spacing w:after="20"/>
              <w:jc w:val="right"/>
            </w:pPr>
            <w:r>
              <w:rPr>
                <w:color w:val="1C3A36"/>
                <w:sz w:val="18"/>
              </w:rPr>
              <w:t>0.4799</w:t>
            </w:r>
          </w:p>
        </w:tc>
      </w:tr>
    </w:tbl>
    <w:p>
      <w:pPr>
        <w:spacing w:after="40"/>
      </w:pPr>
    </w:p>
    <w:p>
      <w:pPr>
        <w:spacing w:after="200" w:before="0"/>
      </w:pPr>
      <w:r>
        <w:rPr>
          <w:b w:val="0"/>
          <w:i/>
          <w:color w:val="6E7B77"/>
          <w:sz w:val="17"/>
        </w:rPr>
        <w:t>Table 5 — The schedule. The glide fractions are not chosen: they are the cumulative progress of the cost-of-debt path, so the shape of the discount schedule is inherited from the assumed easing calendar rather than invented beside it. The terminal value is capitalised at the terminal rate and brought home on year five's own cumulative factor — one date, one price of time.</w:t>
      </w:r>
    </w:p>
    <w:p>
      <w:pPr>
        <w:spacing w:after="80" w:before="200"/>
      </w:pPr>
      <w:r>
        <w:rPr>
          <w:b/>
          <w:i w:val="0"/>
          <w:color w:val="1C3A36"/>
          <w:sz w:val="24"/>
        </w:rPr>
        <w:t>1.5  Beta, and how weak it is</w:t>
      </w:r>
    </w:p>
    <w:p>
      <w:pPr>
        <w:spacing w:after="120" w:before="0"/>
      </w:pPr>
      <w:r>
        <w:rPr>
          <w:b w:val="0"/>
          <w:i w:val="0"/>
          <w:color w:val="1C3A36"/>
          <w:sz w:val="21"/>
        </w:rPr>
        <w:t>The beta is a genuine regression, not a default. Weekly returns over five years against an equal-weight index of the 34 other Egyptian names in the library, with the subject excluded from its own index, give a beta of 0.628 on 257 observations, an R-squared of 9.1% and a standard error of 0.125. The 90% confidence interval is [0.42, 0.83].</w:t>
      </w:r>
    </w:p>
    <w:p>
      <w:pPr>
        <w:spacing w:after="120" w:before="0"/>
      </w:pPr>
      <w:r>
        <w:rPr>
          <w:b w:val="0"/>
          <w:i w:val="0"/>
          <w:color w:val="1C3A36"/>
          <w:sz w:val="21"/>
        </w:rPr>
        <w:t>That clears the usability threshold, and it is also STATISTICALLY WEAK — on one of the two tests rather than both, which is worth being precise about. The R-squared of 9.1% sits below the 10% mark, which triggers the flag. The confidence interval spans 0.65 times the point estimate, which does NOT: that test fires at two times and this is well inside it. The estimate is therefore never restated later as though it were precise, and the valuation is shown across a beta range rather than at a point.</w:t>
      </w:r>
    </w:p>
    <w:p>
      <w:pPr>
        <w:spacing w:after="120" w:before="0"/>
      </w:pPr>
      <w:r>
        <w:rPr>
          <w:b w:val="0"/>
          <w:i w:val="0"/>
          <w:color w:val="1C3A36"/>
          <w:sz w:val="21"/>
        </w:rPr>
        <w:t>Two cross-checks are run rather than asserted. The share closes unchanged on 12.2% of sessions against an Egyptian library median of 9.0%, and non-synchronous trading biases a contemporaneous beta downward; the lead-lag sum-beta that corrects for it is 0.919, an uplift of 0.291 with a standard error of 0.243 — i.e. an uplift not statistically distinguishable from zero. And a simple prior would put a cyclical, capital-intensive materials business at 1.0 to 1.5, which is above where this regression lands. There is a real reason for that: the company carries no net financial leverage, and unlevered equity genuinely moves less than levered equity. The regression is adopted, the correction is published as a value, and the difference is worth -9.5% of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411"/>
        <w:gridCol w:w="1411"/>
        <w:gridCol w:w="1411"/>
        <w:gridCol w:w="1411"/>
        <w:gridCol w:w="1411"/>
      </w:tblGrid>
      <w:tr>
        <w:tc>
          <w:tcPr>
            <w:tcW w:type="dxa" w:w="3168"/>
            <w:shd w:val="clear" w:color="auto" w:fill="EAF0EE"/>
          </w:tcPr>
          <w:p>
            <w:pPr>
              <w:spacing w:after="20"/>
            </w:pPr>
            <w:r>
              <w:rPr>
                <w:b/>
                <w:color w:val="1C3A36"/>
                <w:sz w:val="18"/>
              </w:rPr>
              <w:t>Beta</w:t>
            </w:r>
          </w:p>
        </w:tc>
        <w:tc>
          <w:tcPr>
            <w:tcW w:type="dxa" w:w="1411"/>
            <w:shd w:val="clear" w:color="auto" w:fill="EAF0EE"/>
          </w:tcPr>
          <w:p>
            <w:pPr>
              <w:spacing w:after="20"/>
            </w:pPr>
            <w:r>
              <w:rPr>
                <w:b/>
                <w:color w:val="1C3A36"/>
                <w:sz w:val="18"/>
              </w:rPr>
              <w:t>0.60</w:t>
            </w:r>
          </w:p>
        </w:tc>
        <w:tc>
          <w:tcPr>
            <w:tcW w:type="dxa" w:w="1411"/>
            <w:shd w:val="clear" w:color="auto" w:fill="EAF0EE"/>
          </w:tcPr>
          <w:p>
            <w:pPr>
              <w:spacing w:after="20"/>
            </w:pPr>
            <w:r>
              <w:rPr>
                <w:b/>
                <w:color w:val="1C3A36"/>
                <w:sz w:val="18"/>
              </w:rPr>
              <w:t>0.80</w:t>
            </w:r>
          </w:p>
        </w:tc>
        <w:tc>
          <w:tcPr>
            <w:tcW w:type="dxa" w:w="1411"/>
            <w:shd w:val="clear" w:color="auto" w:fill="EAF0EE"/>
          </w:tcPr>
          <w:p>
            <w:pPr>
              <w:spacing w:after="20"/>
            </w:pPr>
            <w:r>
              <w:rPr>
                <w:b/>
                <w:color w:val="1C3A36"/>
                <w:sz w:val="18"/>
              </w:rPr>
              <w:t>1.00</w:t>
            </w:r>
          </w:p>
        </w:tc>
        <w:tc>
          <w:tcPr>
            <w:tcW w:type="dxa" w:w="1411"/>
            <w:shd w:val="clear" w:color="auto" w:fill="EAF0EE"/>
          </w:tcPr>
          <w:p>
            <w:pPr>
              <w:spacing w:after="20"/>
            </w:pPr>
            <w:r>
              <w:rPr>
                <w:b/>
                <w:color w:val="1C3A36"/>
                <w:sz w:val="18"/>
              </w:rPr>
              <w:t>1.15</w:t>
            </w:r>
          </w:p>
        </w:tc>
        <w:tc>
          <w:tcPr>
            <w:tcW w:type="dxa" w:w="1411"/>
            <w:shd w:val="clear" w:color="auto" w:fill="EAF0EE"/>
          </w:tcPr>
          <w:p>
            <w:pPr>
              <w:spacing w:after="20"/>
            </w:pPr>
            <w:r>
              <w:rPr>
                <w:b/>
                <w:color w:val="1C3A36"/>
                <w:sz w:val="18"/>
              </w:rPr>
              <w:t>1.30</w:t>
            </w:r>
          </w:p>
        </w:tc>
      </w:tr>
      <w:tr>
        <w:tc>
          <w:tcPr>
            <w:tcW w:type="dxa" w:w="3168"/>
          </w:tcPr>
          <w:p>
            <w:pPr>
              <w:spacing w:after="20"/>
            </w:pPr>
            <w:r>
              <w:rPr>
                <w:color w:val="1C3A36"/>
                <w:sz w:val="18"/>
              </w:rPr>
              <w:t>Fair value per share (EGP)</w:t>
            </w:r>
          </w:p>
        </w:tc>
        <w:tc>
          <w:tcPr>
            <w:tcW w:type="dxa" w:w="1411"/>
          </w:tcPr>
          <w:p>
            <w:pPr>
              <w:spacing w:after="20"/>
              <w:jc w:val="right"/>
            </w:pPr>
            <w:r>
              <w:rPr>
                <w:color w:val="1C3A36"/>
                <w:sz w:val="18"/>
              </w:rPr>
              <w:t>49.82</w:t>
            </w:r>
          </w:p>
        </w:tc>
        <w:tc>
          <w:tcPr>
            <w:tcW w:type="dxa" w:w="1411"/>
          </w:tcPr>
          <w:p>
            <w:pPr>
              <w:spacing w:after="20"/>
              <w:jc w:val="right"/>
            </w:pPr>
            <w:r>
              <w:rPr>
                <w:color w:val="1C3A36"/>
                <w:sz w:val="18"/>
              </w:rPr>
              <w:t>46.34</w:t>
            </w:r>
          </w:p>
        </w:tc>
        <w:tc>
          <w:tcPr>
            <w:tcW w:type="dxa" w:w="1411"/>
          </w:tcPr>
          <w:p>
            <w:pPr>
              <w:spacing w:after="20"/>
              <w:jc w:val="right"/>
            </w:pPr>
            <w:r>
              <w:rPr>
                <w:color w:val="1C3A36"/>
                <w:sz w:val="18"/>
              </w:rPr>
              <w:t>43.50</w:t>
            </w:r>
          </w:p>
        </w:tc>
        <w:tc>
          <w:tcPr>
            <w:tcW w:type="dxa" w:w="1411"/>
          </w:tcPr>
          <w:p>
            <w:pPr>
              <w:spacing w:after="20"/>
              <w:jc w:val="right"/>
            </w:pPr>
            <w:r>
              <w:rPr>
                <w:color w:val="1C3A36"/>
                <w:sz w:val="18"/>
              </w:rPr>
              <w:t>41.68</w:t>
            </w:r>
          </w:p>
        </w:tc>
        <w:tc>
          <w:tcPr>
            <w:tcW w:type="dxa" w:w="1411"/>
          </w:tcPr>
          <w:p>
            <w:pPr>
              <w:spacing w:after="20"/>
              <w:jc w:val="right"/>
            </w:pPr>
            <w:r>
              <w:rPr>
                <w:color w:val="1C3A36"/>
                <w:sz w:val="18"/>
              </w:rPr>
              <w:t>40.08</w:t>
            </w:r>
          </w:p>
        </w:tc>
      </w:tr>
    </w:tbl>
    <w:p>
      <w:pPr>
        <w:spacing w:after="40"/>
      </w:pPr>
    </w:p>
    <w:p>
      <w:pPr>
        <w:spacing w:after="200" w:before="0"/>
      </w:pPr>
      <w:r>
        <w:rPr>
          <w:b w:val="0"/>
          <w:i/>
          <w:color w:val="6E7B77"/>
          <w:sz w:val="17"/>
        </w:rPr>
        <w:t>Table 6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13,564</w:t>
            </w:r>
          </w:p>
        </w:tc>
        <w:tc>
          <w:tcPr>
            <w:tcW w:type="dxa" w:w="1325"/>
          </w:tcPr>
          <w:p>
            <w:pPr>
              <w:spacing w:after="20"/>
              <w:jc w:val="right"/>
            </w:pPr>
            <w:r>
              <w:rPr>
                <w:color w:val="1C3A36"/>
                <w:sz w:val="17"/>
              </w:rPr>
              <w:t>14,585</w:t>
            </w:r>
          </w:p>
        </w:tc>
        <w:tc>
          <w:tcPr>
            <w:tcW w:type="dxa" w:w="1325"/>
          </w:tcPr>
          <w:p>
            <w:pPr>
              <w:spacing w:after="20"/>
              <w:jc w:val="right"/>
            </w:pPr>
            <w:r>
              <w:rPr>
                <w:color w:val="1C3A36"/>
                <w:sz w:val="17"/>
              </w:rPr>
              <w:t>15,481</w:t>
            </w:r>
          </w:p>
        </w:tc>
        <w:tc>
          <w:tcPr>
            <w:tcW w:type="dxa" w:w="1325"/>
          </w:tcPr>
          <w:p>
            <w:pPr>
              <w:spacing w:after="20"/>
              <w:jc w:val="right"/>
            </w:pPr>
            <w:r>
              <w:rPr>
                <w:color w:val="1C3A36"/>
                <w:sz w:val="17"/>
              </w:rPr>
              <w:t>16,322</w:t>
            </w:r>
          </w:p>
        </w:tc>
        <w:tc>
          <w:tcPr>
            <w:tcW w:type="dxa" w:w="1325"/>
          </w:tcPr>
          <w:p>
            <w:pPr>
              <w:spacing w:after="20"/>
              <w:jc w:val="right"/>
            </w:pPr>
            <w:r>
              <w:rPr>
                <w:color w:val="1C3A36"/>
                <w:sz w:val="17"/>
              </w:rPr>
              <w:t>17,066</w:t>
            </w:r>
          </w:p>
        </w:tc>
      </w:tr>
      <w:tr>
        <w:tc>
          <w:tcPr>
            <w:tcW w:type="dxa" w:w="3024"/>
          </w:tcPr>
          <w:p>
            <w:pPr>
              <w:spacing w:after="20"/>
            </w:pPr>
            <w:r>
              <w:rPr>
                <w:color w:val="1C3A36"/>
                <w:sz w:val="17"/>
              </w:rPr>
              <w:t>EBITDA</w:t>
            </w:r>
          </w:p>
        </w:tc>
        <w:tc>
          <w:tcPr>
            <w:tcW w:type="dxa" w:w="1325"/>
          </w:tcPr>
          <w:p>
            <w:pPr>
              <w:spacing w:after="20"/>
              <w:jc w:val="right"/>
            </w:pPr>
            <w:r>
              <w:rPr>
                <w:color w:val="1C3A36"/>
                <w:sz w:val="17"/>
              </w:rPr>
              <w:t>5,018</w:t>
            </w:r>
          </w:p>
        </w:tc>
        <w:tc>
          <w:tcPr>
            <w:tcW w:type="dxa" w:w="1325"/>
          </w:tcPr>
          <w:p>
            <w:pPr>
              <w:spacing w:after="20"/>
              <w:jc w:val="right"/>
            </w:pPr>
            <w:r>
              <w:rPr>
                <w:color w:val="1C3A36"/>
                <w:sz w:val="17"/>
              </w:rPr>
              <w:t>5,155</w:t>
            </w:r>
          </w:p>
        </w:tc>
        <w:tc>
          <w:tcPr>
            <w:tcW w:type="dxa" w:w="1325"/>
          </w:tcPr>
          <w:p>
            <w:pPr>
              <w:spacing w:after="20"/>
              <w:jc w:val="right"/>
            </w:pPr>
            <w:r>
              <w:rPr>
                <w:color w:val="1C3A36"/>
                <w:sz w:val="17"/>
              </w:rPr>
              <w:t>5,186</w:t>
            </w:r>
          </w:p>
        </w:tc>
        <w:tc>
          <w:tcPr>
            <w:tcW w:type="dxa" w:w="1325"/>
          </w:tcPr>
          <w:p>
            <w:pPr>
              <w:spacing w:after="20"/>
              <w:jc w:val="right"/>
            </w:pPr>
            <w:r>
              <w:rPr>
                <w:color w:val="1C3A36"/>
                <w:sz w:val="17"/>
              </w:rPr>
              <w:t>5,202</w:t>
            </w:r>
          </w:p>
        </w:tc>
        <w:tc>
          <w:tcPr>
            <w:tcW w:type="dxa" w:w="1325"/>
          </w:tcPr>
          <w:p>
            <w:pPr>
              <w:spacing w:after="20"/>
              <w:jc w:val="right"/>
            </w:pPr>
            <w:r>
              <w:rPr>
                <w:color w:val="1C3A36"/>
                <w:sz w:val="17"/>
              </w:rPr>
              <w:t>5,174</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37.0%</w:t>
            </w:r>
          </w:p>
        </w:tc>
        <w:tc>
          <w:tcPr>
            <w:tcW w:type="dxa" w:w="1325"/>
          </w:tcPr>
          <w:p>
            <w:pPr>
              <w:spacing w:after="20"/>
              <w:jc w:val="right"/>
            </w:pPr>
            <w:r>
              <w:rPr>
                <w:color w:val="1C3A36"/>
                <w:sz w:val="17"/>
              </w:rPr>
              <w:t>35.3%</w:t>
            </w:r>
          </w:p>
        </w:tc>
        <w:tc>
          <w:tcPr>
            <w:tcW w:type="dxa" w:w="1325"/>
          </w:tcPr>
          <w:p>
            <w:pPr>
              <w:spacing w:after="20"/>
              <w:jc w:val="right"/>
            </w:pPr>
            <w:r>
              <w:rPr>
                <w:color w:val="1C3A36"/>
                <w:sz w:val="17"/>
              </w:rPr>
              <w:t>33.5%</w:t>
            </w:r>
          </w:p>
        </w:tc>
        <w:tc>
          <w:tcPr>
            <w:tcW w:type="dxa" w:w="1325"/>
          </w:tcPr>
          <w:p>
            <w:pPr>
              <w:spacing w:after="20"/>
              <w:jc w:val="right"/>
            </w:pPr>
            <w:r>
              <w:rPr>
                <w:color w:val="1C3A36"/>
                <w:sz w:val="17"/>
              </w:rPr>
              <w:t>31.9%</w:t>
            </w:r>
          </w:p>
        </w:tc>
        <w:tc>
          <w:tcPr>
            <w:tcW w:type="dxa" w:w="1325"/>
          </w:tcPr>
          <w:p>
            <w:pPr>
              <w:spacing w:after="20"/>
              <w:jc w:val="right"/>
            </w:pPr>
            <w:r>
              <w:rPr>
                <w:color w:val="1C3A36"/>
                <w:sz w:val="17"/>
              </w:rPr>
              <w:t>30.3%</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339</w:t>
            </w:r>
          </w:p>
        </w:tc>
        <w:tc>
          <w:tcPr>
            <w:tcW w:type="dxa" w:w="1325"/>
          </w:tcPr>
          <w:p>
            <w:pPr>
              <w:spacing w:after="20"/>
              <w:jc w:val="right"/>
            </w:pPr>
            <w:r>
              <w:rPr>
                <w:color w:val="1C3A36"/>
                <w:sz w:val="17"/>
              </w:rPr>
              <w:t>408</w:t>
            </w:r>
          </w:p>
        </w:tc>
        <w:tc>
          <w:tcPr>
            <w:tcW w:type="dxa" w:w="1325"/>
          </w:tcPr>
          <w:p>
            <w:pPr>
              <w:spacing w:after="20"/>
              <w:jc w:val="right"/>
            </w:pPr>
            <w:r>
              <w:rPr>
                <w:color w:val="1C3A36"/>
                <w:sz w:val="17"/>
              </w:rPr>
              <w:t>480</w:t>
            </w:r>
          </w:p>
        </w:tc>
        <w:tc>
          <w:tcPr>
            <w:tcW w:type="dxa" w:w="1325"/>
          </w:tcPr>
          <w:p>
            <w:pPr>
              <w:spacing w:after="20"/>
              <w:jc w:val="right"/>
            </w:pPr>
            <w:r>
              <w:rPr>
                <w:color w:val="1C3A36"/>
                <w:sz w:val="17"/>
              </w:rPr>
              <w:t>555</w:t>
            </w:r>
          </w:p>
        </w:tc>
        <w:tc>
          <w:tcPr>
            <w:tcW w:type="dxa" w:w="1325"/>
          </w:tcPr>
          <w:p>
            <w:pPr>
              <w:spacing w:after="20"/>
              <w:jc w:val="right"/>
            </w:pPr>
            <w:r>
              <w:rPr>
                <w:color w:val="1C3A36"/>
                <w:sz w:val="17"/>
              </w:rPr>
              <w:t>614</w:t>
            </w:r>
          </w:p>
        </w:tc>
      </w:tr>
      <w:tr>
        <w:tc>
          <w:tcPr>
            <w:tcW w:type="dxa" w:w="3024"/>
          </w:tcPr>
          <w:p>
            <w:pPr>
              <w:spacing w:after="20"/>
            </w:pPr>
            <w:r>
              <w:rPr>
                <w:color w:val="1C3A36"/>
                <w:sz w:val="17"/>
              </w:rPr>
              <w:t>EBIT</w:t>
            </w:r>
          </w:p>
        </w:tc>
        <w:tc>
          <w:tcPr>
            <w:tcW w:type="dxa" w:w="1325"/>
          </w:tcPr>
          <w:p>
            <w:pPr>
              <w:spacing w:after="20"/>
              <w:jc w:val="right"/>
            </w:pPr>
            <w:r>
              <w:rPr>
                <w:color w:val="1C3A36"/>
                <w:sz w:val="17"/>
              </w:rPr>
              <w:t>4,679</w:t>
            </w:r>
          </w:p>
        </w:tc>
        <w:tc>
          <w:tcPr>
            <w:tcW w:type="dxa" w:w="1325"/>
          </w:tcPr>
          <w:p>
            <w:pPr>
              <w:spacing w:after="20"/>
              <w:jc w:val="right"/>
            </w:pPr>
            <w:r>
              <w:rPr>
                <w:color w:val="1C3A36"/>
                <w:sz w:val="17"/>
              </w:rPr>
              <w:t>4,747</w:t>
            </w:r>
          </w:p>
        </w:tc>
        <w:tc>
          <w:tcPr>
            <w:tcW w:type="dxa" w:w="1325"/>
          </w:tcPr>
          <w:p>
            <w:pPr>
              <w:spacing w:after="20"/>
              <w:jc w:val="right"/>
            </w:pPr>
            <w:r>
              <w:rPr>
                <w:color w:val="1C3A36"/>
                <w:sz w:val="17"/>
              </w:rPr>
              <w:t>4,706</w:t>
            </w:r>
          </w:p>
        </w:tc>
        <w:tc>
          <w:tcPr>
            <w:tcW w:type="dxa" w:w="1325"/>
          </w:tcPr>
          <w:p>
            <w:pPr>
              <w:spacing w:after="20"/>
              <w:jc w:val="right"/>
            </w:pPr>
            <w:r>
              <w:rPr>
                <w:color w:val="1C3A36"/>
                <w:sz w:val="17"/>
              </w:rPr>
              <w:t>4,647</w:t>
            </w:r>
          </w:p>
        </w:tc>
        <w:tc>
          <w:tcPr>
            <w:tcW w:type="dxa" w:w="1325"/>
          </w:tcPr>
          <w:p>
            <w:pPr>
              <w:spacing w:after="20"/>
              <w:jc w:val="right"/>
            </w:pPr>
            <w:r>
              <w:rPr>
                <w:color w:val="1C3A36"/>
                <w:sz w:val="17"/>
              </w:rPr>
              <w:t>4,560</w:t>
            </w:r>
          </w:p>
        </w:tc>
      </w:tr>
      <w:tr>
        <w:tc>
          <w:tcPr>
            <w:tcW w:type="dxa" w:w="3024"/>
          </w:tcPr>
          <w:p>
            <w:pPr>
              <w:spacing w:after="20"/>
            </w:pPr>
            <w:r>
              <w:rPr>
                <w:color w:val="1C3A36"/>
                <w:sz w:val="17"/>
              </w:rPr>
              <w:t>Tax rate (effective, 29.4%)</w:t>
            </w:r>
          </w:p>
        </w:tc>
        <w:tc>
          <w:tcPr>
            <w:tcW w:type="dxa" w:w="1325"/>
          </w:tcPr>
          <w:p>
            <w:pPr>
              <w:spacing w:after="20"/>
              <w:jc w:val="right"/>
            </w:pPr>
            <w:r>
              <w:rPr>
                <w:color w:val="1C3A36"/>
                <w:sz w:val="17"/>
              </w:rPr>
              <w:t>29.4%</w:t>
            </w:r>
          </w:p>
        </w:tc>
        <w:tc>
          <w:tcPr>
            <w:tcW w:type="dxa" w:w="1325"/>
          </w:tcPr>
          <w:p>
            <w:pPr>
              <w:spacing w:after="20"/>
              <w:jc w:val="right"/>
            </w:pPr>
            <w:r>
              <w:rPr>
                <w:color w:val="1C3A36"/>
                <w:sz w:val="17"/>
              </w:rPr>
              <w:t>29.4%</w:t>
            </w:r>
          </w:p>
        </w:tc>
        <w:tc>
          <w:tcPr>
            <w:tcW w:type="dxa" w:w="1325"/>
          </w:tcPr>
          <w:p>
            <w:pPr>
              <w:spacing w:after="20"/>
              <w:jc w:val="right"/>
            </w:pPr>
            <w:r>
              <w:rPr>
                <w:color w:val="1C3A36"/>
                <w:sz w:val="17"/>
              </w:rPr>
              <w:t>29.4%</w:t>
            </w:r>
          </w:p>
        </w:tc>
        <w:tc>
          <w:tcPr>
            <w:tcW w:type="dxa" w:w="1325"/>
          </w:tcPr>
          <w:p>
            <w:pPr>
              <w:spacing w:after="20"/>
              <w:jc w:val="right"/>
            </w:pPr>
            <w:r>
              <w:rPr>
                <w:color w:val="1C3A36"/>
                <w:sz w:val="17"/>
              </w:rPr>
              <w:t>29.4%</w:t>
            </w:r>
          </w:p>
        </w:tc>
        <w:tc>
          <w:tcPr>
            <w:tcW w:type="dxa" w:w="1325"/>
          </w:tcPr>
          <w:p>
            <w:pPr>
              <w:spacing w:after="20"/>
              <w:jc w:val="right"/>
            </w:pPr>
            <w:r>
              <w:rPr>
                <w:color w:val="1C3A36"/>
                <w:sz w:val="17"/>
              </w:rPr>
              <w:t>29.4%</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3,302</w:t>
            </w:r>
          </w:p>
        </w:tc>
        <w:tc>
          <w:tcPr>
            <w:tcW w:type="dxa" w:w="1325"/>
          </w:tcPr>
          <w:p>
            <w:pPr>
              <w:spacing w:after="20"/>
              <w:jc w:val="right"/>
            </w:pPr>
            <w:r>
              <w:rPr>
                <w:color w:val="1C3A36"/>
                <w:sz w:val="17"/>
              </w:rPr>
              <w:t>3,350</w:t>
            </w:r>
          </w:p>
        </w:tc>
        <w:tc>
          <w:tcPr>
            <w:tcW w:type="dxa" w:w="1325"/>
          </w:tcPr>
          <w:p>
            <w:pPr>
              <w:spacing w:after="20"/>
              <w:jc w:val="right"/>
            </w:pPr>
            <w:r>
              <w:rPr>
                <w:color w:val="1C3A36"/>
                <w:sz w:val="17"/>
              </w:rPr>
              <w:t>3,321</w:t>
            </w:r>
          </w:p>
        </w:tc>
        <w:tc>
          <w:tcPr>
            <w:tcW w:type="dxa" w:w="1325"/>
          </w:tcPr>
          <w:p>
            <w:pPr>
              <w:spacing w:after="20"/>
              <w:jc w:val="right"/>
            </w:pPr>
            <w:r>
              <w:rPr>
                <w:color w:val="1C3A36"/>
                <w:sz w:val="17"/>
              </w:rPr>
              <w:t>3,280</w:t>
            </w:r>
          </w:p>
        </w:tc>
        <w:tc>
          <w:tcPr>
            <w:tcW w:type="dxa" w:w="1325"/>
          </w:tcPr>
          <w:p>
            <w:pPr>
              <w:spacing w:after="20"/>
              <w:jc w:val="right"/>
            </w:pPr>
            <w:r>
              <w:rPr>
                <w:color w:val="1C3A36"/>
                <w:sz w:val="17"/>
              </w:rPr>
              <w:t>3,218</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339</w:t>
            </w:r>
          </w:p>
        </w:tc>
        <w:tc>
          <w:tcPr>
            <w:tcW w:type="dxa" w:w="1325"/>
          </w:tcPr>
          <w:p>
            <w:pPr>
              <w:spacing w:after="20"/>
              <w:jc w:val="right"/>
            </w:pPr>
            <w:r>
              <w:rPr>
                <w:color w:val="1C3A36"/>
                <w:sz w:val="17"/>
              </w:rPr>
              <w:t>408</w:t>
            </w:r>
          </w:p>
        </w:tc>
        <w:tc>
          <w:tcPr>
            <w:tcW w:type="dxa" w:w="1325"/>
          </w:tcPr>
          <w:p>
            <w:pPr>
              <w:spacing w:after="20"/>
              <w:jc w:val="right"/>
            </w:pPr>
            <w:r>
              <w:rPr>
                <w:color w:val="1C3A36"/>
                <w:sz w:val="17"/>
              </w:rPr>
              <w:t>480</w:t>
            </w:r>
          </w:p>
        </w:tc>
        <w:tc>
          <w:tcPr>
            <w:tcW w:type="dxa" w:w="1325"/>
          </w:tcPr>
          <w:p>
            <w:pPr>
              <w:spacing w:after="20"/>
              <w:jc w:val="right"/>
            </w:pPr>
            <w:r>
              <w:rPr>
                <w:color w:val="1C3A36"/>
                <w:sz w:val="17"/>
              </w:rPr>
              <w:t>555</w:t>
            </w:r>
          </w:p>
        </w:tc>
        <w:tc>
          <w:tcPr>
            <w:tcW w:type="dxa" w:w="1325"/>
          </w:tcPr>
          <w:p>
            <w:pPr>
              <w:spacing w:after="20"/>
              <w:jc w:val="right"/>
            </w:pPr>
            <w:r>
              <w:rPr>
                <w:color w:val="1C3A36"/>
                <w:sz w:val="17"/>
              </w:rPr>
              <w:t>614</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(134)</w:t>
            </w:r>
          </w:p>
        </w:tc>
        <w:tc>
          <w:tcPr>
            <w:tcW w:type="dxa" w:w="1325"/>
          </w:tcPr>
          <w:p>
            <w:pPr>
              <w:spacing w:after="20"/>
              <w:jc w:val="right"/>
            </w:pPr>
            <w:r>
              <w:rPr>
                <w:color w:val="1C3A36"/>
                <w:sz w:val="17"/>
              </w:rPr>
              <w:t>(123)</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(89)</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1,041</w:t>
            </w:r>
          </w:p>
        </w:tc>
        <w:tc>
          <w:tcPr>
            <w:tcW w:type="dxa" w:w="1325"/>
            <w:shd w:val="clear" w:color="auto" w:fill="F6F1E6"/>
          </w:tcPr>
          <w:p>
            <w:pPr>
              <w:spacing w:after="20"/>
              <w:jc w:val="right"/>
            </w:pPr>
            <w:r>
              <w:rPr>
                <w:b/>
                <w:color w:val="1C3A36"/>
                <w:sz w:val="17"/>
              </w:rPr>
              <w:t>2,574</w:t>
            </w:r>
          </w:p>
        </w:tc>
        <w:tc>
          <w:tcPr>
            <w:tcW w:type="dxa" w:w="1325"/>
            <w:shd w:val="clear" w:color="auto" w:fill="F6F1E6"/>
          </w:tcPr>
          <w:p>
            <w:pPr>
              <w:spacing w:after="20"/>
              <w:jc w:val="right"/>
            </w:pPr>
            <w:r>
              <w:rPr>
                <w:b/>
                <w:color w:val="1C3A36"/>
                <w:sz w:val="17"/>
              </w:rPr>
              <w:t>2,577</w:t>
            </w:r>
          </w:p>
        </w:tc>
        <w:tc>
          <w:tcPr>
            <w:tcW w:type="dxa" w:w="1325"/>
            <w:shd w:val="clear" w:color="auto" w:fill="F6F1E6"/>
          </w:tcPr>
          <w:p>
            <w:pPr>
              <w:spacing w:after="20"/>
              <w:jc w:val="right"/>
            </w:pPr>
            <w:r>
              <w:rPr>
                <w:b/>
                <w:color w:val="1C3A36"/>
                <w:sz w:val="17"/>
              </w:rPr>
              <w:t>2,562</w:t>
            </w:r>
          </w:p>
        </w:tc>
        <w:tc>
          <w:tcPr>
            <w:tcW w:type="dxa" w:w="1325"/>
            <w:shd w:val="clear" w:color="auto" w:fill="F6F1E6"/>
          </w:tcPr>
          <w:p>
            <w:pPr>
              <w:spacing w:after="20"/>
              <w:jc w:val="right"/>
            </w:pPr>
            <w:r>
              <w:rPr>
                <w:b/>
                <w:color w:val="1C3A36"/>
                <w:sz w:val="17"/>
              </w:rPr>
              <w:t>2,513</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0.9554</w:t>
            </w:r>
          </w:p>
        </w:tc>
        <w:tc>
          <w:tcPr>
            <w:tcW w:type="dxa" w:w="1325"/>
          </w:tcPr>
          <w:p>
            <w:pPr>
              <w:spacing w:after="20"/>
              <w:jc w:val="right"/>
            </w:pPr>
            <w:r>
              <w:rPr>
                <w:color w:val="1C3A36"/>
                <w:sz w:val="17"/>
              </w:rPr>
              <w:t>0.8182</w:t>
            </w:r>
          </w:p>
        </w:tc>
        <w:tc>
          <w:tcPr>
            <w:tcW w:type="dxa" w:w="1325"/>
          </w:tcPr>
          <w:p>
            <w:pPr>
              <w:spacing w:after="20"/>
              <w:jc w:val="right"/>
            </w:pPr>
            <w:r>
              <w:rPr>
                <w:color w:val="1C3A36"/>
                <w:sz w:val="17"/>
              </w:rPr>
              <w:t>0.6726</w:t>
            </w:r>
          </w:p>
        </w:tc>
        <w:tc>
          <w:tcPr>
            <w:tcW w:type="dxa" w:w="1325"/>
          </w:tcPr>
          <w:p>
            <w:pPr>
              <w:spacing w:after="20"/>
              <w:jc w:val="right"/>
            </w:pPr>
            <w:r>
              <w:rPr>
                <w:color w:val="1C3A36"/>
                <w:sz w:val="17"/>
              </w:rPr>
              <w:t>0.5644</w:t>
            </w:r>
          </w:p>
        </w:tc>
        <w:tc>
          <w:tcPr>
            <w:tcW w:type="dxa" w:w="1325"/>
          </w:tcPr>
          <w:p>
            <w:pPr>
              <w:spacing w:after="20"/>
              <w:jc w:val="right"/>
            </w:pPr>
            <w:r>
              <w:rPr>
                <w:color w:val="1C3A36"/>
                <w:sz w:val="17"/>
              </w:rPr>
              <w:t>0.4799</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994</w:t>
            </w:r>
          </w:p>
        </w:tc>
        <w:tc>
          <w:tcPr>
            <w:tcW w:type="dxa" w:w="1325"/>
            <w:shd w:val="clear" w:color="auto" w:fill="F6F1E6"/>
          </w:tcPr>
          <w:p>
            <w:pPr>
              <w:spacing w:after="20"/>
              <w:jc w:val="right"/>
            </w:pPr>
            <w:r>
              <w:rPr>
                <w:b/>
                <w:color w:val="1C3A36"/>
                <w:sz w:val="17"/>
              </w:rPr>
              <w:t>2,106</w:t>
            </w:r>
          </w:p>
        </w:tc>
        <w:tc>
          <w:tcPr>
            <w:tcW w:type="dxa" w:w="1325"/>
            <w:shd w:val="clear" w:color="auto" w:fill="F6F1E6"/>
          </w:tcPr>
          <w:p>
            <w:pPr>
              <w:spacing w:after="20"/>
              <w:jc w:val="right"/>
            </w:pPr>
            <w:r>
              <w:rPr>
                <w:b/>
                <w:color w:val="1C3A36"/>
                <w:sz w:val="17"/>
              </w:rPr>
              <w:t>1,734</w:t>
            </w:r>
          </w:p>
        </w:tc>
        <w:tc>
          <w:tcPr>
            <w:tcW w:type="dxa" w:w="1325"/>
            <w:shd w:val="clear" w:color="auto" w:fill="F6F1E6"/>
          </w:tcPr>
          <w:p>
            <w:pPr>
              <w:spacing w:after="20"/>
              <w:jc w:val="right"/>
            </w:pPr>
            <w:r>
              <w:rPr>
                <w:b/>
                <w:color w:val="1C3A36"/>
                <w:sz w:val="17"/>
              </w:rPr>
              <w:t>1,446</w:t>
            </w:r>
          </w:p>
        </w:tc>
        <w:tc>
          <w:tcPr>
            <w:tcW w:type="dxa" w:w="1325"/>
            <w:shd w:val="clear" w:color="auto" w:fill="F6F1E6"/>
          </w:tcPr>
          <w:p>
            <w:pPr>
              <w:spacing w:after="20"/>
              <w:jc w:val="right"/>
            </w:pPr>
            <w:r>
              <w:rPr>
                <w:b/>
                <w:color w:val="1C3A36"/>
                <w:sz w:val="17"/>
              </w:rPr>
              <w:t>1,206</w:t>
            </w:r>
          </w:p>
        </w:tc>
      </w:tr>
    </w:tbl>
    <w:p>
      <w:pPr>
        <w:spacing w:after="40"/>
      </w:pPr>
    </w:p>
    <w:p>
      <w:pPr>
        <w:spacing w:after="200" w:before="0"/>
      </w:pPr>
      <w:r>
        <w:rPr>
          <w:b w:val="0"/>
          <w:i/>
          <w:color w:val="6E7B77"/>
          <w:sz w:val="17"/>
        </w:rPr>
        <w:t>Table 7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29.4% is above the statutory 22.5%, and it is not chosen. It is what the disclosed accounts imply: operating income of EGP 4,596mn plus net finance income of EGP 504mn against a disclosed profit after tax of EGP 3,599mn leaves that rate and no other. Using the statutory rate instead would have raised every forecast year's after-tax profit by about 9.8% on evidence that points the other way.</w:t>
      </w:r>
    </w:p>
    <w:p>
      <w:pPr>
        <w:spacing w:after="120" w:before="0"/>
      </w:pPr>
      <w:r>
        <w:rPr>
          <w:b w:val="0"/>
          <w:i w:val="0"/>
          <w:color w:val="1C3A36"/>
          <w:sz w:val="21"/>
        </w:rPr>
        <w:t>One reconciliation belongs here rather than in a footnote, because it is the largest single judgement in the model. First-quarter 2026 attributable profit was EGP 943mn on revenue of EGP 2,995mn — a net margin of 31.5%. Four times that quarter is EGP 3,772mn, and holding its margin across the full year would give about EGP 4,271mn. This model forecasts EGP 3,597mn — -4.6% against the simple annualisation and well below the margin-held figure. The forecast is deliberately the conservative one: the first quarter of 2026 still carries the post-quota price spike at close to its peak, and the model assumes it fades as restart capacity arrives and pound cost inflation runs ahead of price. A reader who thinks the current margin holds should read the +2% and +4% columns of the margin sensitivity in section 7, which are worth EGP 53.80 and EGP 58.31 a share against the base EGP 49.29.</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7,485</w:t>
            </w:r>
          </w:p>
        </w:tc>
        <w:tc>
          <w:tcPr>
            <w:tcW w:type="dxa" w:w="2160"/>
          </w:tcPr>
          <w:p>
            <w:pPr>
              <w:spacing w:after="20"/>
              <w:jc w:val="right"/>
            </w:pPr>
            <w:r>
              <w:rPr>
                <w:color w:val="1C3A36"/>
                <w:sz w:val="18"/>
              </w:rPr>
              <w:t>19.97</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7,262</w:t>
            </w:r>
          </w:p>
        </w:tc>
        <w:tc>
          <w:tcPr>
            <w:tcW w:type="dxa" w:w="2160"/>
          </w:tcPr>
          <w:p>
            <w:pPr>
              <w:spacing w:after="20"/>
              <w:jc w:val="right"/>
            </w:pPr>
            <w:r>
              <w:rPr>
                <w:color w:val="1C3A36"/>
                <w:sz w:val="18"/>
              </w:rPr>
              <w:t>19.37</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14,748</w:t>
            </w:r>
          </w:p>
        </w:tc>
        <w:tc>
          <w:tcPr>
            <w:tcW w:type="dxa" w:w="2160"/>
            <w:shd w:val="clear" w:color="auto" w:fill="F6F1E6"/>
          </w:tcPr>
          <w:p>
            <w:pPr>
              <w:spacing w:after="20"/>
              <w:jc w:val="right"/>
            </w:pPr>
            <w:r>
              <w:rPr>
                <w:b/>
                <w:color w:val="1C3A36"/>
                <w:sz w:val="18"/>
              </w:rPr>
              <w:t>39.34</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3,879</w:t>
            </w:r>
          </w:p>
        </w:tc>
        <w:tc>
          <w:tcPr>
            <w:tcW w:type="dxa" w:w="2160"/>
          </w:tcPr>
          <w:p>
            <w:pPr>
              <w:spacing w:after="20"/>
              <w:jc w:val="right"/>
            </w:pPr>
            <w:r>
              <w:rPr>
                <w:color w:val="1C3A36"/>
                <w:sz w:val="18"/>
              </w:rPr>
              <w:t>10.35</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-150</w:t>
            </w:r>
          </w:p>
        </w:tc>
        <w:tc>
          <w:tcPr>
            <w:tcW w:type="dxa" w:w="2160"/>
          </w:tcPr>
          <w:p>
            <w:pPr>
              <w:spacing w:after="20"/>
              <w:jc w:val="right"/>
            </w:pPr>
            <w:r>
              <w:rPr>
                <w:color w:val="1C3A36"/>
                <w:sz w:val="18"/>
              </w:rPr>
              <w:t>-0.40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18,477</w:t>
            </w:r>
          </w:p>
        </w:tc>
        <w:tc>
          <w:tcPr>
            <w:tcW w:type="dxa" w:w="2160"/>
            <w:shd w:val="clear" w:color="auto" w:fill="F6F1E6"/>
          </w:tcPr>
          <w:p>
            <w:pPr>
              <w:spacing w:after="20"/>
              <w:jc w:val="right"/>
            </w:pPr>
            <w:r>
              <w:rPr>
                <w:b/>
                <w:color w:val="1C3A36"/>
                <w:sz w:val="18"/>
              </w:rPr>
              <w:t>49.29</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49.2%</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6 August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59.00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-16.5%</w:t>
            </w:r>
          </w:p>
        </w:tc>
      </w:tr>
    </w:tbl>
    <w:p>
      <w:pPr>
        <w:spacing w:after="40"/>
      </w:pPr>
    </w:p>
    <w:p>
      <w:pPr>
        <w:spacing w:after="200" w:before="0"/>
      </w:pPr>
      <w:r>
        <w:rPr>
          <w:b w:val="0"/>
          <w:i/>
          <w:color w:val="6E7B77"/>
          <w:sz w:val="17"/>
        </w:rPr>
        <w:t>Table 8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company held EGP 3,459mn of cash against EGP 1,035mn of debt on the latest reported balance sheet; rolling that forward on the elapsed part of FY2026 puts net cash at EGP 3,879mn at the valuation date, or EGP 10.35 a share — about 17.5% of the market capitalisation. Minority interests are deducted rather than ignored, at a deliberately non-trivial EGP 150mn; no minority balance is separately retrievable, and the disclosed profit statements imply a small one.</w:t>
      </w:r>
    </w:p>
    <w:p>
      <w:pPr>
        <w:spacing w:after="120" w:before="0"/>
      </w:pPr>
      <w:r>
        <w:rPr>
          <w:b w:val="0"/>
          <w:i w:val="0"/>
          <w:color w:val="1C3A36"/>
          <w:sz w:val="21"/>
        </w:rPr>
        <w:t>At 49.2% of enterprise value, the terminal value is a smaller share of this valuation than in most discounted cash-flow models, and that is a consequence of the high explicit-window discount rate rather than a design choice. It means the answer depends more on the next five years and less on a perpetuity assumption than is usual — which, for a business whose next five years are genuinely forecastable from tonnes and prices, is the right place for the weight to sit.</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5%,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has compounded at about 116% a year since FY2022. Compounded against nominal economic growth of about 18%, a company at 0.069% of Egyptian output today would equal the entire Egyptian economy in roughly 12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The reinvestment rate is terminal growth divided by the return on capital that funds it: 5% over 10.3% gives 48.4% of terminal profit reinvested. That return is struck on REPLACEMENT-COST invested capital — EGP 32,695mn, being 5.0Mt at USD 130 a tonne — rather than on the pre-devaluation book, which would flatter it several times over and let growth through unpaid for.</w:t>
      </w:r>
    </w:p>
    <w:p>
      <w:pPr>
        <w:spacing w:after="120" w:before="0"/>
      </w:pPr>
      <w:r>
        <w:rPr>
          <w:b w:val="0"/>
          <w:i w:val="0"/>
          <w:color w:val="1C3A36"/>
          <w:sz w:val="21"/>
        </w:rPr>
        <w:t>The consequence is worth stating plainly because it inverts the usual intuition: at a terminal return on capital of 10.3% against a terminal rate of 16.5%, GROWTH DESTROYS VALUE. The model shows it rather than hiding it — the cash-flow lens is EGP 52.00 at 3% terminal growth and EGP 45.43 at 7%. A cement plant in a market carrying 76Mt of capacity against 54Mt of consumption cannot earn its cost of capital on new tonnes, and a model that rewarded it for adding them would be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21.46%</w:t>
            </w:r>
          </w:p>
        </w:tc>
        <w:tc>
          <w:tcPr>
            <w:tcW w:type="dxa" w:w="1469"/>
          </w:tcPr>
          <w:p>
            <w:pPr>
              <w:spacing w:after="20"/>
              <w:jc w:val="right"/>
            </w:pPr>
            <w:r>
              <w:rPr>
                <w:color w:val="1C3A36"/>
                <w:sz w:val="18"/>
              </w:rPr>
              <w:t>53.82</w:t>
            </w:r>
          </w:p>
        </w:tc>
        <w:tc>
          <w:tcPr>
            <w:tcW w:type="dxa" w:w="1469"/>
          </w:tcPr>
          <w:p>
            <w:pPr>
              <w:spacing w:after="20"/>
              <w:jc w:val="right"/>
            </w:pPr>
            <w:r>
              <w:rPr>
                <w:color w:val="1C3A36"/>
                <w:sz w:val="18"/>
              </w:rPr>
              <w:t>52.50</w:t>
            </w:r>
          </w:p>
        </w:tc>
        <w:tc>
          <w:tcPr>
            <w:tcW w:type="dxa" w:w="1469"/>
          </w:tcPr>
          <w:p>
            <w:pPr>
              <w:spacing w:after="20"/>
              <w:jc w:val="right"/>
            </w:pPr>
            <w:r>
              <w:rPr>
                <w:color w:val="1C3A36"/>
                <w:sz w:val="18"/>
              </w:rPr>
              <w:t>50.96</w:t>
            </w:r>
          </w:p>
        </w:tc>
        <w:tc>
          <w:tcPr>
            <w:tcW w:type="dxa" w:w="1469"/>
          </w:tcPr>
          <w:p>
            <w:pPr>
              <w:spacing w:after="20"/>
              <w:jc w:val="right"/>
            </w:pPr>
            <w:r>
              <w:rPr>
                <w:color w:val="1C3A36"/>
                <w:sz w:val="18"/>
              </w:rPr>
              <w:t>49.13</w:t>
            </w:r>
          </w:p>
        </w:tc>
        <w:tc>
          <w:tcPr>
            <w:tcW w:type="dxa" w:w="1469"/>
          </w:tcPr>
          <w:p>
            <w:pPr>
              <w:spacing w:after="20"/>
              <w:jc w:val="right"/>
            </w:pPr>
            <w:r>
              <w:rPr>
                <w:color w:val="1C3A36"/>
                <w:sz w:val="18"/>
              </w:rPr>
              <w:t>46.91</w:t>
            </w:r>
          </w:p>
        </w:tc>
      </w:tr>
      <w:tr>
        <w:tc>
          <w:tcPr>
            <w:tcW w:type="dxa" w:w="2477"/>
          </w:tcPr>
          <w:p>
            <w:pPr>
              <w:spacing w:after="20"/>
            </w:pPr>
            <w:r>
              <w:rPr>
                <w:color w:val="1C3A36"/>
                <w:sz w:val="18"/>
              </w:rPr>
              <w:t>22.96%</w:t>
            </w:r>
          </w:p>
        </w:tc>
        <w:tc>
          <w:tcPr>
            <w:tcW w:type="dxa" w:w="1469"/>
          </w:tcPr>
          <w:p>
            <w:pPr>
              <w:spacing w:after="20"/>
              <w:jc w:val="right"/>
            </w:pPr>
            <w:r>
              <w:rPr>
                <w:color w:val="1C3A36"/>
                <w:sz w:val="18"/>
              </w:rPr>
              <w:t>52.90</w:t>
            </w:r>
          </w:p>
        </w:tc>
        <w:tc>
          <w:tcPr>
            <w:tcW w:type="dxa" w:w="1469"/>
          </w:tcPr>
          <w:p>
            <w:pPr>
              <w:spacing w:after="20"/>
              <w:jc w:val="right"/>
            </w:pPr>
            <w:r>
              <w:rPr>
                <w:color w:val="1C3A36"/>
                <w:sz w:val="18"/>
              </w:rPr>
              <w:t>51.62</w:t>
            </w:r>
          </w:p>
        </w:tc>
        <w:tc>
          <w:tcPr>
            <w:tcW w:type="dxa" w:w="1469"/>
          </w:tcPr>
          <w:p>
            <w:pPr>
              <w:spacing w:after="20"/>
              <w:jc w:val="right"/>
            </w:pPr>
            <w:r>
              <w:rPr>
                <w:color w:val="1C3A36"/>
                <w:sz w:val="18"/>
              </w:rPr>
              <w:t>50.11</w:t>
            </w:r>
          </w:p>
        </w:tc>
        <w:tc>
          <w:tcPr>
            <w:tcW w:type="dxa" w:w="1469"/>
          </w:tcPr>
          <w:p>
            <w:pPr>
              <w:spacing w:after="20"/>
              <w:jc w:val="right"/>
            </w:pPr>
            <w:r>
              <w:rPr>
                <w:color w:val="1C3A36"/>
                <w:sz w:val="18"/>
              </w:rPr>
              <w:t>48.32</w:t>
            </w:r>
          </w:p>
        </w:tc>
        <w:tc>
          <w:tcPr>
            <w:tcW w:type="dxa" w:w="1469"/>
          </w:tcPr>
          <w:p>
            <w:pPr>
              <w:spacing w:after="20"/>
              <w:jc w:val="right"/>
            </w:pPr>
            <w:r>
              <w:rPr>
                <w:color w:val="1C3A36"/>
                <w:sz w:val="18"/>
              </w:rPr>
              <w:t>46.16</w:t>
            </w:r>
          </w:p>
        </w:tc>
      </w:tr>
      <w:tr>
        <w:tc>
          <w:tcPr>
            <w:tcW w:type="dxa" w:w="2477"/>
          </w:tcPr>
          <w:p>
            <w:pPr>
              <w:spacing w:after="20"/>
            </w:pPr>
            <w:r>
              <w:rPr>
                <w:color w:val="1C3A36"/>
                <w:sz w:val="18"/>
              </w:rPr>
              <w:t>24.46%</w:t>
            </w:r>
          </w:p>
        </w:tc>
        <w:tc>
          <w:tcPr>
            <w:tcW w:type="dxa" w:w="1469"/>
          </w:tcPr>
          <w:p>
            <w:pPr>
              <w:spacing w:after="20"/>
              <w:jc w:val="right"/>
            </w:pPr>
            <w:r>
              <w:rPr>
                <w:color w:val="1C3A36"/>
                <w:sz w:val="18"/>
              </w:rPr>
              <w:t>52.00</w:t>
            </w:r>
          </w:p>
        </w:tc>
        <w:tc>
          <w:tcPr>
            <w:tcW w:type="dxa" w:w="1469"/>
          </w:tcPr>
          <w:p>
            <w:pPr>
              <w:spacing w:after="20"/>
              <w:jc w:val="right"/>
            </w:pPr>
            <w:r>
              <w:rPr>
                <w:color w:val="1C3A36"/>
                <w:sz w:val="18"/>
              </w:rPr>
              <w:t>50.75</w:t>
            </w:r>
          </w:p>
        </w:tc>
        <w:tc>
          <w:tcPr>
            <w:tcW w:type="dxa" w:w="1469"/>
          </w:tcPr>
          <w:p>
            <w:pPr>
              <w:spacing w:after="20"/>
              <w:jc w:val="right"/>
            </w:pPr>
            <w:r>
              <w:rPr>
                <w:color w:val="1C3A36"/>
                <w:sz w:val="18"/>
              </w:rPr>
              <w:t>49.29</w:t>
            </w:r>
          </w:p>
        </w:tc>
        <w:tc>
          <w:tcPr>
            <w:tcW w:type="dxa" w:w="1469"/>
          </w:tcPr>
          <w:p>
            <w:pPr>
              <w:spacing w:after="20"/>
              <w:jc w:val="right"/>
            </w:pPr>
            <w:r>
              <w:rPr>
                <w:color w:val="1C3A36"/>
                <w:sz w:val="18"/>
              </w:rPr>
              <w:t>47.54</w:t>
            </w:r>
          </w:p>
        </w:tc>
        <w:tc>
          <w:tcPr>
            <w:tcW w:type="dxa" w:w="1469"/>
          </w:tcPr>
          <w:p>
            <w:pPr>
              <w:spacing w:after="20"/>
              <w:jc w:val="right"/>
            </w:pPr>
            <w:r>
              <w:rPr>
                <w:color w:val="1C3A36"/>
                <w:sz w:val="18"/>
              </w:rPr>
              <w:t>45.43</w:t>
            </w:r>
          </w:p>
        </w:tc>
      </w:tr>
      <w:tr>
        <w:tc>
          <w:tcPr>
            <w:tcW w:type="dxa" w:w="2477"/>
          </w:tcPr>
          <w:p>
            <w:pPr>
              <w:spacing w:after="20"/>
            </w:pPr>
            <w:r>
              <w:rPr>
                <w:color w:val="1C3A36"/>
                <w:sz w:val="18"/>
              </w:rPr>
              <w:t>25.96%</w:t>
            </w:r>
          </w:p>
        </w:tc>
        <w:tc>
          <w:tcPr>
            <w:tcW w:type="dxa" w:w="1469"/>
          </w:tcPr>
          <w:p>
            <w:pPr>
              <w:spacing w:after="20"/>
              <w:jc w:val="right"/>
            </w:pPr>
            <w:r>
              <w:rPr>
                <w:color w:val="1C3A36"/>
                <w:sz w:val="18"/>
              </w:rPr>
              <w:t>51.14</w:t>
            </w:r>
          </w:p>
        </w:tc>
        <w:tc>
          <w:tcPr>
            <w:tcW w:type="dxa" w:w="1469"/>
          </w:tcPr>
          <w:p>
            <w:pPr>
              <w:spacing w:after="20"/>
              <w:jc w:val="right"/>
            </w:pPr>
            <w:r>
              <w:rPr>
                <w:color w:val="1C3A36"/>
                <w:sz w:val="18"/>
              </w:rPr>
              <w:t>49.92</w:t>
            </w:r>
          </w:p>
        </w:tc>
        <w:tc>
          <w:tcPr>
            <w:tcW w:type="dxa" w:w="1469"/>
          </w:tcPr>
          <w:p>
            <w:pPr>
              <w:spacing w:after="20"/>
              <w:jc w:val="right"/>
            </w:pPr>
            <w:r>
              <w:rPr>
                <w:color w:val="1C3A36"/>
                <w:sz w:val="18"/>
              </w:rPr>
              <w:t>48.49</w:t>
            </w:r>
          </w:p>
        </w:tc>
        <w:tc>
          <w:tcPr>
            <w:tcW w:type="dxa" w:w="1469"/>
          </w:tcPr>
          <w:p>
            <w:pPr>
              <w:spacing w:after="20"/>
              <w:jc w:val="right"/>
            </w:pPr>
            <w:r>
              <w:rPr>
                <w:color w:val="1C3A36"/>
                <w:sz w:val="18"/>
              </w:rPr>
              <w:t>46.79</w:t>
            </w:r>
          </w:p>
        </w:tc>
        <w:tc>
          <w:tcPr>
            <w:tcW w:type="dxa" w:w="1469"/>
          </w:tcPr>
          <w:p>
            <w:pPr>
              <w:spacing w:after="20"/>
              <w:jc w:val="right"/>
            </w:pPr>
            <w:r>
              <w:rPr>
                <w:color w:val="1C3A36"/>
                <w:sz w:val="18"/>
              </w:rPr>
              <w:t>44.73</w:t>
            </w:r>
          </w:p>
        </w:tc>
      </w:tr>
      <w:tr>
        <w:tc>
          <w:tcPr>
            <w:tcW w:type="dxa" w:w="2477"/>
          </w:tcPr>
          <w:p>
            <w:pPr>
              <w:spacing w:after="20"/>
            </w:pPr>
            <w:r>
              <w:rPr>
                <w:color w:val="1C3A36"/>
                <w:sz w:val="18"/>
              </w:rPr>
              <w:t>27.46%</w:t>
            </w:r>
          </w:p>
        </w:tc>
        <w:tc>
          <w:tcPr>
            <w:tcW w:type="dxa" w:w="1469"/>
          </w:tcPr>
          <w:p>
            <w:pPr>
              <w:spacing w:after="20"/>
              <w:jc w:val="right"/>
            </w:pPr>
            <w:r>
              <w:rPr>
                <w:color w:val="1C3A36"/>
                <w:sz w:val="18"/>
              </w:rPr>
              <w:t>50.30</w:t>
            </w:r>
          </w:p>
        </w:tc>
        <w:tc>
          <w:tcPr>
            <w:tcW w:type="dxa" w:w="1469"/>
          </w:tcPr>
          <w:p>
            <w:pPr>
              <w:spacing w:after="20"/>
              <w:jc w:val="right"/>
            </w:pPr>
            <w:r>
              <w:rPr>
                <w:color w:val="1C3A36"/>
                <w:sz w:val="18"/>
              </w:rPr>
              <w:t>49.11</w:t>
            </w:r>
          </w:p>
        </w:tc>
        <w:tc>
          <w:tcPr>
            <w:tcW w:type="dxa" w:w="1469"/>
          </w:tcPr>
          <w:p>
            <w:pPr>
              <w:spacing w:after="20"/>
              <w:jc w:val="right"/>
            </w:pPr>
            <w:r>
              <w:rPr>
                <w:color w:val="1C3A36"/>
                <w:sz w:val="18"/>
              </w:rPr>
              <w:t>47.72</w:t>
            </w:r>
          </w:p>
        </w:tc>
        <w:tc>
          <w:tcPr>
            <w:tcW w:type="dxa" w:w="1469"/>
          </w:tcPr>
          <w:p>
            <w:pPr>
              <w:spacing w:after="20"/>
              <w:jc w:val="right"/>
            </w:pPr>
            <w:r>
              <w:rPr>
                <w:color w:val="1C3A36"/>
                <w:sz w:val="18"/>
              </w:rPr>
              <w:t>46.06</w:t>
            </w:r>
          </w:p>
        </w:tc>
        <w:tc>
          <w:tcPr>
            <w:tcW w:type="dxa" w:w="1469"/>
          </w:tcPr>
          <w:p>
            <w:pPr>
              <w:spacing w:after="20"/>
              <w:jc w:val="right"/>
            </w:pPr>
            <w:r>
              <w:rPr>
                <w:color w:val="1C3A36"/>
                <w:sz w:val="18"/>
              </w:rPr>
              <w:t>44.05</w:t>
            </w:r>
          </w:p>
        </w:tc>
      </w:tr>
    </w:tbl>
    <w:p>
      <w:pPr>
        <w:spacing w:after="40"/>
      </w:pPr>
    </w:p>
    <w:p>
      <w:pPr>
        <w:spacing w:after="200" w:before="0"/>
      </w:pPr>
      <w:r>
        <w:rPr>
          <w:b w:val="0"/>
          <w:i/>
          <w:color w:val="6E7B77"/>
          <w:sz w:val="17"/>
        </w:rPr>
        <w:t>Table 9 — Fair value per share across the explicit-window cost of capital and terminal growth. Growth is the STRONGER of the two levers here and it points DOWN: across a row the value moves EGP 6.91, against EGP 3.52 down a column.</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Higher growth gives a lower value, which is the model being consistent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14.5%</w:t>
            </w:r>
          </w:p>
        </w:tc>
        <w:tc>
          <w:tcPr>
            <w:tcW w:type="dxa" w:w="1469"/>
            <w:shd w:val="clear" w:color="auto" w:fill="EAF0EE"/>
          </w:tcPr>
          <w:p>
            <w:pPr>
              <w:spacing w:after="20"/>
            </w:pPr>
            <w:r>
              <w:rPr>
                <w:b/>
                <w:color w:val="1C3A36"/>
                <w:sz w:val="18"/>
              </w:rPr>
              <w:t>15.5%</w:t>
            </w:r>
          </w:p>
        </w:tc>
        <w:tc>
          <w:tcPr>
            <w:tcW w:type="dxa" w:w="1469"/>
            <w:shd w:val="clear" w:color="auto" w:fill="EAF0EE"/>
          </w:tcPr>
          <w:p>
            <w:pPr>
              <w:spacing w:after="20"/>
            </w:pPr>
            <w:r>
              <w:rPr>
                <w:b/>
                <w:color w:val="1C3A36"/>
                <w:sz w:val="18"/>
              </w:rPr>
              <w:t>16.5%</w:t>
            </w:r>
          </w:p>
        </w:tc>
        <w:tc>
          <w:tcPr>
            <w:tcW w:type="dxa" w:w="1469"/>
            <w:shd w:val="clear" w:color="auto" w:fill="EAF0EE"/>
          </w:tcPr>
          <w:p>
            <w:pPr>
              <w:spacing w:after="20"/>
            </w:pPr>
            <w:r>
              <w:rPr>
                <w:b/>
                <w:color w:val="1C3A36"/>
                <w:sz w:val="18"/>
              </w:rPr>
              <w:t>17.5%</w:t>
            </w:r>
          </w:p>
        </w:tc>
        <w:tc>
          <w:tcPr>
            <w:tcW w:type="dxa" w:w="1469"/>
            <w:shd w:val="clear" w:color="auto" w:fill="EAF0EE"/>
          </w:tcPr>
          <w:p>
            <w:pPr>
              <w:spacing w:after="20"/>
            </w:pPr>
            <w:r>
              <w:rPr>
                <w:b/>
                <w:color w:val="1C3A36"/>
                <w:sz w:val="18"/>
              </w:rPr>
              <w:t>18.5%</w:t>
            </w:r>
          </w:p>
        </w:tc>
      </w:tr>
      <w:tr>
        <w:tc>
          <w:tcPr>
            <w:tcW w:type="dxa" w:w="2477"/>
          </w:tcPr>
          <w:p>
            <w:pPr>
              <w:spacing w:after="20"/>
            </w:pPr>
            <w:r>
              <w:rPr>
                <w:color w:val="1C3A36"/>
                <w:sz w:val="18"/>
              </w:rPr>
              <w:t>21.46%</w:t>
            </w:r>
          </w:p>
        </w:tc>
        <w:tc>
          <w:tcPr>
            <w:tcW w:type="dxa" w:w="1469"/>
          </w:tcPr>
          <w:p>
            <w:pPr>
              <w:spacing w:after="20"/>
              <w:jc w:val="right"/>
            </w:pPr>
            <w:r>
              <w:rPr>
                <w:color w:val="1C3A36"/>
                <w:sz w:val="18"/>
              </w:rPr>
              <w:t>56.26</w:t>
            </w:r>
          </w:p>
        </w:tc>
        <w:tc>
          <w:tcPr>
            <w:tcW w:type="dxa" w:w="1469"/>
          </w:tcPr>
          <w:p>
            <w:pPr>
              <w:spacing w:after="20"/>
              <w:jc w:val="right"/>
            </w:pPr>
            <w:r>
              <w:rPr>
                <w:color w:val="1C3A36"/>
                <w:sz w:val="18"/>
              </w:rPr>
              <w:t>53.36</w:t>
            </w:r>
          </w:p>
        </w:tc>
        <w:tc>
          <w:tcPr>
            <w:tcW w:type="dxa" w:w="1469"/>
          </w:tcPr>
          <w:p>
            <w:pPr>
              <w:spacing w:after="20"/>
              <w:jc w:val="right"/>
            </w:pPr>
            <w:r>
              <w:rPr>
                <w:color w:val="1C3A36"/>
                <w:sz w:val="18"/>
              </w:rPr>
              <w:t>50.96</w:t>
            </w:r>
          </w:p>
        </w:tc>
        <w:tc>
          <w:tcPr>
            <w:tcW w:type="dxa" w:w="1469"/>
          </w:tcPr>
          <w:p>
            <w:pPr>
              <w:spacing w:after="20"/>
              <w:jc w:val="right"/>
            </w:pPr>
            <w:r>
              <w:rPr>
                <w:color w:val="1C3A36"/>
                <w:sz w:val="18"/>
              </w:rPr>
              <w:t>48.94</w:t>
            </w:r>
          </w:p>
        </w:tc>
        <w:tc>
          <w:tcPr>
            <w:tcW w:type="dxa" w:w="1469"/>
          </w:tcPr>
          <w:p>
            <w:pPr>
              <w:spacing w:after="20"/>
              <w:jc w:val="right"/>
            </w:pPr>
            <w:r>
              <w:rPr>
                <w:color w:val="1C3A36"/>
                <w:sz w:val="18"/>
              </w:rPr>
              <w:t>47.21</w:t>
            </w:r>
          </w:p>
        </w:tc>
      </w:tr>
      <w:tr>
        <w:tc>
          <w:tcPr>
            <w:tcW w:type="dxa" w:w="2477"/>
          </w:tcPr>
          <w:p>
            <w:pPr>
              <w:spacing w:after="20"/>
            </w:pPr>
            <w:r>
              <w:rPr>
                <w:color w:val="1C3A36"/>
                <w:sz w:val="18"/>
              </w:rPr>
              <w:t>22.96%</w:t>
            </w:r>
          </w:p>
        </w:tc>
        <w:tc>
          <w:tcPr>
            <w:tcW w:type="dxa" w:w="1469"/>
          </w:tcPr>
          <w:p>
            <w:pPr>
              <w:spacing w:after="20"/>
              <w:jc w:val="right"/>
            </w:pPr>
            <w:r>
              <w:rPr>
                <w:color w:val="1C3A36"/>
                <w:sz w:val="18"/>
              </w:rPr>
              <w:t>55.27</w:t>
            </w:r>
          </w:p>
        </w:tc>
        <w:tc>
          <w:tcPr>
            <w:tcW w:type="dxa" w:w="1469"/>
          </w:tcPr>
          <w:p>
            <w:pPr>
              <w:spacing w:after="20"/>
              <w:jc w:val="right"/>
            </w:pPr>
            <w:r>
              <w:rPr>
                <w:color w:val="1C3A36"/>
                <w:sz w:val="18"/>
              </w:rPr>
              <w:t>52.45</w:t>
            </w:r>
          </w:p>
        </w:tc>
        <w:tc>
          <w:tcPr>
            <w:tcW w:type="dxa" w:w="1469"/>
          </w:tcPr>
          <w:p>
            <w:pPr>
              <w:spacing w:after="20"/>
              <w:jc w:val="right"/>
            </w:pPr>
            <w:r>
              <w:rPr>
                <w:color w:val="1C3A36"/>
                <w:sz w:val="18"/>
              </w:rPr>
              <w:t>50.11</w:t>
            </w:r>
          </w:p>
        </w:tc>
        <w:tc>
          <w:tcPr>
            <w:tcW w:type="dxa" w:w="1469"/>
          </w:tcPr>
          <w:p>
            <w:pPr>
              <w:spacing w:after="20"/>
              <w:jc w:val="right"/>
            </w:pPr>
            <w:r>
              <w:rPr>
                <w:color w:val="1C3A36"/>
                <w:sz w:val="18"/>
              </w:rPr>
              <w:t>48.14</w:t>
            </w:r>
          </w:p>
        </w:tc>
        <w:tc>
          <w:tcPr>
            <w:tcW w:type="dxa" w:w="1469"/>
          </w:tcPr>
          <w:p>
            <w:pPr>
              <w:spacing w:after="20"/>
              <w:jc w:val="right"/>
            </w:pPr>
            <w:r>
              <w:rPr>
                <w:color w:val="1C3A36"/>
                <w:sz w:val="18"/>
              </w:rPr>
              <w:t>46.45</w:t>
            </w:r>
          </w:p>
        </w:tc>
      </w:tr>
      <w:tr>
        <w:tc>
          <w:tcPr>
            <w:tcW w:type="dxa" w:w="2477"/>
          </w:tcPr>
          <w:p>
            <w:pPr>
              <w:spacing w:after="20"/>
            </w:pPr>
            <w:r>
              <w:rPr>
                <w:color w:val="1C3A36"/>
                <w:sz w:val="18"/>
              </w:rPr>
              <w:t>24.46%</w:t>
            </w:r>
          </w:p>
        </w:tc>
        <w:tc>
          <w:tcPr>
            <w:tcW w:type="dxa" w:w="1469"/>
          </w:tcPr>
          <w:p>
            <w:pPr>
              <w:spacing w:after="20"/>
              <w:jc w:val="right"/>
            </w:pPr>
            <w:r>
              <w:rPr>
                <w:color w:val="1C3A36"/>
                <w:sz w:val="18"/>
              </w:rPr>
              <w:t>54.31</w:t>
            </w:r>
          </w:p>
        </w:tc>
        <w:tc>
          <w:tcPr>
            <w:tcW w:type="dxa" w:w="1469"/>
          </w:tcPr>
          <w:p>
            <w:pPr>
              <w:spacing w:after="20"/>
              <w:jc w:val="right"/>
            </w:pPr>
            <w:r>
              <w:rPr>
                <w:color w:val="1C3A36"/>
                <w:sz w:val="18"/>
              </w:rPr>
              <w:t>51.57</w:t>
            </w:r>
          </w:p>
        </w:tc>
        <w:tc>
          <w:tcPr>
            <w:tcW w:type="dxa" w:w="1469"/>
          </w:tcPr>
          <w:p>
            <w:pPr>
              <w:spacing w:after="20"/>
              <w:jc w:val="right"/>
            </w:pPr>
            <w:r>
              <w:rPr>
                <w:color w:val="1C3A36"/>
                <w:sz w:val="18"/>
              </w:rPr>
              <w:t>49.29</w:t>
            </w:r>
          </w:p>
        </w:tc>
        <w:tc>
          <w:tcPr>
            <w:tcW w:type="dxa" w:w="1469"/>
          </w:tcPr>
          <w:p>
            <w:pPr>
              <w:spacing w:after="20"/>
              <w:jc w:val="right"/>
            </w:pPr>
            <w:r>
              <w:rPr>
                <w:color w:val="1C3A36"/>
                <w:sz w:val="18"/>
              </w:rPr>
              <w:t>47.37</w:t>
            </w:r>
          </w:p>
        </w:tc>
        <w:tc>
          <w:tcPr>
            <w:tcW w:type="dxa" w:w="1469"/>
          </w:tcPr>
          <w:p>
            <w:pPr>
              <w:spacing w:after="20"/>
              <w:jc w:val="right"/>
            </w:pPr>
            <w:r>
              <w:rPr>
                <w:color w:val="1C3A36"/>
                <w:sz w:val="18"/>
              </w:rPr>
              <w:t>45.72</w:t>
            </w:r>
          </w:p>
        </w:tc>
      </w:tr>
      <w:tr>
        <w:tc>
          <w:tcPr>
            <w:tcW w:type="dxa" w:w="2477"/>
          </w:tcPr>
          <w:p>
            <w:pPr>
              <w:spacing w:after="20"/>
            </w:pPr>
            <w:r>
              <w:rPr>
                <w:color w:val="1C3A36"/>
                <w:sz w:val="18"/>
              </w:rPr>
              <w:t>25.96%</w:t>
            </w:r>
          </w:p>
        </w:tc>
        <w:tc>
          <w:tcPr>
            <w:tcW w:type="dxa" w:w="1469"/>
          </w:tcPr>
          <w:p>
            <w:pPr>
              <w:spacing w:after="20"/>
              <w:jc w:val="right"/>
            </w:pPr>
            <w:r>
              <w:rPr>
                <w:color w:val="1C3A36"/>
                <w:sz w:val="18"/>
              </w:rPr>
              <w:t>53.39</w:t>
            </w:r>
          </w:p>
        </w:tc>
        <w:tc>
          <w:tcPr>
            <w:tcW w:type="dxa" w:w="1469"/>
          </w:tcPr>
          <w:p>
            <w:pPr>
              <w:spacing w:after="20"/>
              <w:jc w:val="right"/>
            </w:pPr>
            <w:r>
              <w:rPr>
                <w:color w:val="1C3A36"/>
                <w:sz w:val="18"/>
              </w:rPr>
              <w:t>50.71</w:t>
            </w:r>
          </w:p>
        </w:tc>
        <w:tc>
          <w:tcPr>
            <w:tcW w:type="dxa" w:w="1469"/>
          </w:tcPr>
          <w:p>
            <w:pPr>
              <w:spacing w:after="20"/>
              <w:jc w:val="right"/>
            </w:pPr>
            <w:r>
              <w:rPr>
                <w:color w:val="1C3A36"/>
                <w:sz w:val="18"/>
              </w:rPr>
              <w:t>48.49</w:t>
            </w:r>
          </w:p>
        </w:tc>
        <w:tc>
          <w:tcPr>
            <w:tcW w:type="dxa" w:w="1469"/>
          </w:tcPr>
          <w:p>
            <w:pPr>
              <w:spacing w:after="20"/>
              <w:jc w:val="right"/>
            </w:pPr>
            <w:r>
              <w:rPr>
                <w:color w:val="1C3A36"/>
                <w:sz w:val="18"/>
              </w:rPr>
              <w:t>46.62</w:t>
            </w:r>
          </w:p>
        </w:tc>
        <w:tc>
          <w:tcPr>
            <w:tcW w:type="dxa" w:w="1469"/>
          </w:tcPr>
          <w:p>
            <w:pPr>
              <w:spacing w:after="20"/>
              <w:jc w:val="right"/>
            </w:pPr>
            <w:r>
              <w:rPr>
                <w:color w:val="1C3A36"/>
                <w:sz w:val="18"/>
              </w:rPr>
              <w:t>45.01</w:t>
            </w:r>
          </w:p>
        </w:tc>
      </w:tr>
      <w:tr>
        <w:tc>
          <w:tcPr>
            <w:tcW w:type="dxa" w:w="2477"/>
          </w:tcPr>
          <w:p>
            <w:pPr>
              <w:spacing w:after="20"/>
            </w:pPr>
            <w:r>
              <w:rPr>
                <w:color w:val="1C3A36"/>
                <w:sz w:val="18"/>
              </w:rPr>
              <w:t>27.46%</w:t>
            </w:r>
          </w:p>
        </w:tc>
        <w:tc>
          <w:tcPr>
            <w:tcW w:type="dxa" w:w="1469"/>
          </w:tcPr>
          <w:p>
            <w:pPr>
              <w:spacing w:after="20"/>
              <w:jc w:val="right"/>
            </w:pPr>
            <w:r>
              <w:rPr>
                <w:color w:val="1C3A36"/>
                <w:sz w:val="18"/>
              </w:rPr>
              <w:t>52.49</w:t>
            </w:r>
          </w:p>
        </w:tc>
        <w:tc>
          <w:tcPr>
            <w:tcW w:type="dxa" w:w="1469"/>
          </w:tcPr>
          <w:p>
            <w:pPr>
              <w:spacing w:after="20"/>
              <w:jc w:val="right"/>
            </w:pPr>
            <w:r>
              <w:rPr>
                <w:color w:val="1C3A36"/>
                <w:sz w:val="18"/>
              </w:rPr>
              <w:t>49.88</w:t>
            </w:r>
          </w:p>
        </w:tc>
        <w:tc>
          <w:tcPr>
            <w:tcW w:type="dxa" w:w="1469"/>
          </w:tcPr>
          <w:p>
            <w:pPr>
              <w:spacing w:after="20"/>
              <w:jc w:val="right"/>
            </w:pPr>
            <w:r>
              <w:rPr>
                <w:color w:val="1C3A36"/>
                <w:sz w:val="18"/>
              </w:rPr>
              <w:t>47.72</w:t>
            </w:r>
          </w:p>
        </w:tc>
        <w:tc>
          <w:tcPr>
            <w:tcW w:type="dxa" w:w="1469"/>
          </w:tcPr>
          <w:p>
            <w:pPr>
              <w:spacing w:after="20"/>
              <w:jc w:val="right"/>
            </w:pPr>
            <w:r>
              <w:rPr>
                <w:color w:val="1C3A36"/>
                <w:sz w:val="18"/>
              </w:rPr>
              <w:t>45.89</w:t>
            </w:r>
          </w:p>
        </w:tc>
        <w:tc>
          <w:tcPr>
            <w:tcW w:type="dxa" w:w="1469"/>
          </w:tcPr>
          <w:p>
            <w:pPr>
              <w:spacing w:after="20"/>
              <w:jc w:val="right"/>
            </w:pPr>
            <w:r>
              <w:rPr>
                <w:color w:val="1C3A36"/>
                <w:sz w:val="18"/>
              </w:rPr>
              <w:t>44.33</w:t>
            </w:r>
          </w:p>
        </w:tc>
      </w:tr>
    </w:tbl>
    <w:p>
      <w:pPr>
        <w:spacing w:after="40"/>
      </w:pPr>
    </w:p>
    <w:p>
      <w:pPr>
        <w:spacing w:after="200" w:before="0"/>
      </w:pPr>
      <w:r>
        <w:rPr>
          <w:b w:val="0"/>
          <w:i/>
          <w:color w:val="6E7B77"/>
          <w:sz w:val="17"/>
        </w:rPr>
        <w:t>Table 10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3,604mn — the FY2025 revenue base cut 6% and a mid-cycle margin of 30.8%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2,331mn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73.1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Beta: contemporaneous regression (adopted) vs Dimson lead-lag sum-beta</w:t>
            </w:r>
          </w:p>
        </w:tc>
        <w:tc>
          <w:tcPr>
            <w:tcW w:type="dxa" w:w="1512"/>
          </w:tcPr>
          <w:p>
            <w:pPr>
              <w:spacing w:after="20"/>
              <w:jc w:val="right"/>
            </w:pPr>
            <w:r>
              <w:rPr>
                <w:color w:val="1C3A36"/>
                <w:sz w:val="17"/>
              </w:rPr>
              <w:t>0.628</w:t>
            </w:r>
          </w:p>
        </w:tc>
        <w:tc>
          <w:tcPr>
            <w:tcW w:type="dxa" w:w="1728"/>
          </w:tcPr>
          <w:p>
            <w:pPr>
              <w:spacing w:after="20"/>
              <w:jc w:val="right"/>
            </w:pPr>
            <w:r>
              <w:rPr>
                <w:color w:val="1C3A36"/>
                <w:sz w:val="17"/>
              </w:rPr>
              <w:t>0.919</w:t>
            </w:r>
          </w:p>
        </w:tc>
        <w:tc>
          <w:tcPr>
            <w:tcW w:type="dxa" w:w="2448"/>
          </w:tcPr>
          <w:p>
            <w:pPr>
              <w:spacing w:after="20"/>
              <w:jc w:val="right"/>
            </w:pPr>
            <w:r>
              <w:rPr>
                <w:color w:val="1C3A36"/>
                <w:sz w:val="17"/>
              </w:rPr>
              <w:t>44.58  (-9.5%)</w:t>
            </w:r>
          </w:p>
        </w:tc>
      </w:tr>
      <w:tr>
        <w:tc>
          <w:tcPr>
            <w:tcW w:type="dxa" w:w="3672"/>
          </w:tcPr>
          <w:p>
            <w:pPr>
              <w:spacing w:after="20"/>
            </w:pPr>
            <w:r>
              <w:rPr>
                <w:color w:val="1C3A36"/>
                <w:sz w:val="17"/>
              </w:rPr>
              <w:t>Capital-structure weights: gross debt (adopted) vs net debt</w:t>
            </w:r>
          </w:p>
        </w:tc>
        <w:tc>
          <w:tcPr>
            <w:tcW w:type="dxa" w:w="1512"/>
          </w:tcPr>
          <w:p>
            <w:pPr>
              <w:spacing w:after="20"/>
              <w:jc w:val="right"/>
            </w:pPr>
            <w:r>
              <w:rPr>
                <w:color w:val="1C3A36"/>
                <w:sz w:val="17"/>
              </w:rPr>
              <w:t>4.47%</w:t>
            </w:r>
          </w:p>
        </w:tc>
        <w:tc>
          <w:tcPr>
            <w:tcW w:type="dxa" w:w="1728"/>
          </w:tcPr>
          <w:p>
            <w:pPr>
              <w:spacing w:after="20"/>
              <w:jc w:val="right"/>
            </w:pPr>
            <w:r>
              <w:rPr>
                <w:color w:val="1C3A36"/>
                <w:sz w:val="17"/>
              </w:rPr>
              <w:t>-12.31%</w:t>
            </w:r>
          </w:p>
        </w:tc>
        <w:tc>
          <w:tcPr>
            <w:tcW w:type="dxa" w:w="2448"/>
          </w:tcPr>
          <w:p>
            <w:pPr>
              <w:spacing w:after="20"/>
              <w:jc w:val="right"/>
            </w:pPr>
            <w:r>
              <w:rPr>
                <w:color w:val="1C3A36"/>
                <w:sz w:val="17"/>
              </w:rPr>
              <w:t>48.56  (-1.5%)</w:t>
            </w:r>
          </w:p>
        </w:tc>
      </w:tr>
      <w:tr>
        <w:tc>
          <w:tcPr>
            <w:tcW w:type="dxa" w:w="3672"/>
          </w:tcPr>
          <w:p>
            <w:pPr>
              <w:spacing w:after="20"/>
            </w:pPr>
            <w:r>
              <w:rPr>
                <w:color w:val="1C3A36"/>
                <w:sz w:val="17"/>
              </w:rPr>
              <w:t>Minority interests: EGP 150mn deducted (adopted) vs none</w:t>
            </w:r>
          </w:p>
        </w:tc>
        <w:tc>
          <w:tcPr>
            <w:tcW w:type="dxa" w:w="1512"/>
          </w:tcPr>
          <w:p>
            <w:pPr>
              <w:spacing w:after="20"/>
              <w:jc w:val="right"/>
            </w:pPr>
            <w:r>
              <w:rPr>
                <w:color w:val="1C3A36"/>
                <w:sz w:val="17"/>
              </w:rPr>
              <w:t>150</w:t>
            </w:r>
          </w:p>
        </w:tc>
        <w:tc>
          <w:tcPr>
            <w:tcW w:type="dxa" w:w="1728"/>
          </w:tcPr>
          <w:p>
            <w:pPr>
              <w:spacing w:after="20"/>
              <w:jc w:val="right"/>
            </w:pPr>
            <w:r>
              <w:rPr>
                <w:color w:val="1C3A36"/>
                <w:sz w:val="17"/>
              </w:rPr>
              <w:t>0</w:t>
            </w:r>
          </w:p>
        </w:tc>
        <w:tc>
          <w:tcPr>
            <w:tcW w:type="dxa" w:w="2448"/>
          </w:tcPr>
          <w:p>
            <w:pPr>
              <w:spacing w:after="20"/>
              <w:jc w:val="right"/>
            </w:pPr>
            <w:r>
              <w:rPr>
                <w:color w:val="1C3A36"/>
                <w:sz w:val="17"/>
              </w:rPr>
              <w:t>49.69  (+0.8%)</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4.00/t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54.28  (+10.1%)</w:t>
            </w:r>
          </w:p>
        </w:tc>
      </w:tr>
    </w:tbl>
    <w:p>
      <w:pPr>
        <w:spacing w:after="40"/>
      </w:pPr>
    </w:p>
    <w:p>
      <w:pPr>
        <w:spacing w:after="200" w:before="0"/>
      </w:pPr>
      <w:r>
        <w:rPr>
          <w:b w:val="0"/>
          <w:i/>
          <w:color w:val="6E7B77"/>
          <w:sz w:val="17"/>
        </w:rPr>
        <w:t>Table 11 — Every contested choice computed as a value rather than argued in prose. None of these alternatives is hidden; each is a full re-run of the model.</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12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4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13 — Percentiles in EGP per share, from a 50,000-path simulation anchored on the 6 August 2026 close of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cone.</w:t>
      </w:r>
    </w:p>
    <w:p>
      <w:pPr>
        <w:spacing w:after="40"/>
        <w:jc w:val="center"/>
      </w:pPr>
      <w:r>
        <w:drawing>
          <wp:inline xmlns:a="http://schemas.openxmlformats.org/drawingml/2006/main" xmlns:pic="http://schemas.openxmlformats.org/drawingml/2006/picture">
            <wp:extent cx="5852160" cy="2381693"/>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6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037"/>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r>
      <w:tr>
        <w:tc>
          <w:tcPr>
            <w:tcW w:type="dxa" w:w="2880"/>
          </w:tcPr>
          <w:p>
            <w:pPr>
              <w:spacing w:after="20"/>
            </w:pPr>
            <w:r>
              <w:rPr>
                <w:color w:val="1C3A36"/>
                <w:sz w:val="18"/>
              </w:rPr>
              <w:t>DCF (cash flow)</w:t>
            </w:r>
          </w:p>
        </w:tc>
        <w:tc>
          <w:tcPr>
            <w:tcW w:type="dxa" w:w="1440"/>
          </w:tcPr>
          <w:p>
            <w:pPr>
              <w:spacing w:after="20"/>
              <w:jc w:val="right"/>
            </w:pPr>
            <w:r>
              <w:rPr>
                <w:color w:val="1C3A36"/>
                <w:sz w:val="18"/>
              </w:rPr>
              <w:t>44.08</w:t>
            </w:r>
          </w:p>
        </w:tc>
        <w:tc>
          <w:tcPr>
            <w:tcW w:type="dxa" w:w="1440"/>
          </w:tcPr>
          <w:p>
            <w:pPr>
              <w:spacing w:after="20"/>
              <w:jc w:val="right"/>
            </w:pPr>
            <w:r>
              <w:rPr>
                <w:color w:val="1C3A36"/>
                <w:sz w:val="18"/>
              </w:rPr>
              <w:t>49.29</w:t>
            </w:r>
          </w:p>
        </w:tc>
        <w:tc>
          <w:tcPr>
            <w:tcW w:type="dxa" w:w="1440"/>
          </w:tcPr>
          <w:p>
            <w:pPr>
              <w:spacing w:after="20"/>
              <w:jc w:val="right"/>
            </w:pPr>
            <w:r>
              <w:rPr>
                <w:color w:val="1C3A36"/>
                <w:sz w:val="18"/>
              </w:rPr>
              <w:t>54.72</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-16.5%</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47.89</w:t>
            </w:r>
          </w:p>
        </w:tc>
        <w:tc>
          <w:tcPr>
            <w:tcW w:type="dxa" w:w="1440"/>
          </w:tcPr>
          <w:p>
            <w:pPr>
              <w:spacing w:after="20"/>
              <w:jc w:val="right"/>
            </w:pPr>
            <w:r>
              <w:rPr>
                <w:color w:val="1C3A36"/>
                <w:sz w:val="18"/>
              </w:rPr>
              <w:t>53.21</w:t>
            </w:r>
          </w:p>
        </w:tc>
        <w:tc>
          <w:tcPr>
            <w:tcW w:type="dxa" w:w="1440"/>
          </w:tcPr>
          <w:p>
            <w:pPr>
              <w:spacing w:after="20"/>
              <w:jc w:val="right"/>
            </w:pPr>
            <w:r>
              <w:rPr>
                <w:color w:val="1C3A36"/>
                <w:sz w:val="18"/>
              </w:rPr>
              <w:t>58.53</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-9.8%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48.12</w:t>
            </w:r>
          </w:p>
        </w:tc>
        <w:tc>
          <w:tcPr>
            <w:tcW w:type="dxa" w:w="1440"/>
          </w:tcPr>
          <w:p>
            <w:pPr>
              <w:spacing w:after="20"/>
              <w:jc w:val="right"/>
            </w:pPr>
            <w:r>
              <w:rPr>
                <w:color w:val="1C3A36"/>
                <w:sz w:val="18"/>
              </w:rPr>
              <w:t>53.47</w:t>
            </w:r>
          </w:p>
        </w:tc>
        <w:tc>
          <w:tcPr>
            <w:tcW w:type="dxa" w:w="1440"/>
          </w:tcPr>
          <w:p>
            <w:pPr>
              <w:spacing w:after="20"/>
              <w:jc w:val="right"/>
            </w:pPr>
            <w:r>
              <w:rPr>
                <w:color w:val="1C3A36"/>
                <w:sz w:val="18"/>
              </w:rPr>
              <w:t>58.81</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-9.4%</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66.31</w:t>
            </w:r>
          </w:p>
        </w:tc>
        <w:tc>
          <w:tcPr>
            <w:tcW w:type="dxa" w:w="1440"/>
          </w:tcPr>
          <w:p>
            <w:pPr>
              <w:spacing w:after="20"/>
              <w:jc w:val="right"/>
            </w:pPr>
            <w:r>
              <w:rPr>
                <w:color w:val="1C3A36"/>
                <w:sz w:val="18"/>
              </w:rPr>
              <w:t>73.68</w:t>
            </w:r>
          </w:p>
        </w:tc>
        <w:tc>
          <w:tcPr>
            <w:tcW w:type="dxa" w:w="1440"/>
          </w:tcPr>
          <w:p>
            <w:pPr>
              <w:spacing w:after="20"/>
              <w:jc w:val="right"/>
            </w:pPr>
            <w:r>
              <w:rPr>
                <w:color w:val="1C3A36"/>
                <w:sz w:val="18"/>
              </w:rPr>
              <w:t>81.05</w:t>
            </w:r>
          </w:p>
        </w:tc>
        <w:tc>
          <w:tcPr>
            <w:tcW w:type="dxa" w:w="1037"/>
          </w:tcPr>
          <w:p>
            <w:pPr>
              <w:spacing w:after="20"/>
              <w:jc w:val="right"/>
            </w:pPr>
            <w:r>
              <w:rPr>
                <w:color w:val="1C3A36"/>
                <w:sz w:val="18"/>
              </w:rPr>
              <w:t>8%</w:t>
            </w:r>
          </w:p>
        </w:tc>
        <w:tc>
          <w:tcPr>
            <w:tcW w:type="dxa" w:w="1469"/>
          </w:tcPr>
          <w:p>
            <w:pPr>
              <w:spacing w:after="20"/>
              <w:jc w:val="right"/>
            </w:pPr>
            <w:r>
              <w:rPr>
                <w:color w:val="1C3A36"/>
                <w:sz w:val="18"/>
              </w:rPr>
              <w:t>+24.9%</w:t>
            </w:r>
          </w:p>
        </w:tc>
      </w:tr>
      <w:tr>
        <w:tc>
          <w:tcPr>
            <w:tcW w:type="dxa" w:w="2880"/>
            <w:shd w:val="clear" w:color="auto" w:fill="F6F1E6"/>
          </w:tcPr>
          <w:p>
            <w:pPr>
              <w:spacing w:after="20"/>
            </w:pPr>
            <w:r>
              <w:rPr>
                <w:b/>
                <w:color w:val="1C3A36"/>
                <w:sz w:val="18"/>
              </w:rPr>
              <w:t>Weighted central</w:t>
            </w:r>
          </w:p>
        </w:tc>
        <w:tc>
          <w:tcPr>
            <w:tcW w:type="dxa" w:w="1440"/>
            <w:shd w:val="clear" w:color="auto" w:fill="F6F1E6"/>
          </w:tcPr>
          <w:p>
            <w:pPr>
              <w:spacing w:after="20"/>
              <w:jc w:val="right"/>
            </w:pPr>
            <w:r>
              <w:rPr>
                <w:b/>
                <w:color w:val="1C3A36"/>
                <w:sz w:val="18"/>
              </w:rPr>
              <w:t>47.51</w:t>
            </w:r>
          </w:p>
        </w:tc>
        <w:tc>
          <w:tcPr>
            <w:tcW w:type="dxa" w:w="1440"/>
            <w:shd w:val="clear" w:color="auto" w:fill="F6F1E6"/>
          </w:tcPr>
          <w:p>
            <w:pPr>
              <w:spacing w:after="20"/>
              <w:jc w:val="right"/>
            </w:pPr>
            <w:r>
              <w:rPr>
                <w:b/>
                <w:color w:val="1C3A36"/>
                <w:sz w:val="18"/>
              </w:rPr>
              <w:t>52.94</w:t>
            </w:r>
          </w:p>
        </w:tc>
        <w:tc>
          <w:tcPr>
            <w:tcW w:type="dxa" w:w="1440"/>
            <w:shd w:val="clear" w:color="auto" w:fill="F6F1E6"/>
          </w:tcPr>
          <w:p>
            <w:pPr>
              <w:spacing w:after="20"/>
              <w:jc w:val="right"/>
            </w:pPr>
            <w:r>
              <w:rPr>
                <w:b/>
                <w:color w:val="1C3A36"/>
                <w:sz w:val="18"/>
              </w:rPr>
              <w:t>58.49</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-10.3%</w:t>
            </w:r>
          </w:p>
        </w:tc>
      </w:tr>
    </w:tbl>
    <w:p>
      <w:pPr>
        <w:spacing w:after="40"/>
      </w:pPr>
    </w:p>
    <w:p>
      <w:pPr>
        <w:spacing w:after="200" w:before="0"/>
      </w:pPr>
      <w:r>
        <w:rPr>
          <w:b w:val="0"/>
          <w:i/>
          <w:color w:val="6E7B77"/>
          <w:sz w:val="17"/>
        </w:rPr>
        <w:t>Table 14 — Each lens as a range. The disagreement between them is information, not noise.</w:t>
      </w:r>
    </w:p>
    <w:p>
      <w:pPr>
        <w:spacing w:after="120" w:before="0"/>
      </w:pPr>
      <w:r>
        <w:rPr>
          <w:b w:val="0"/>
          <w:i w:val="0"/>
          <w:color w:val="1C3A36"/>
          <w:sz w:val="21"/>
        </w:rPr>
        <w:t>The four lenses do not agree, and the pattern of their disagreement is the most useful thing in this study. The three earnings-based lenses cluster between EGP 49.29 and EGP 53.47, all below the market price. The asset lens sits at EGP 73.68, well above it. That is the whole argument about this company in one line: the plant is worth more than the market is paying for it, and the earnings it can be expected to produce are worth less.</w:t>
      </w:r>
    </w:p>
    <w:p>
      <w:pPr>
        <w:spacing w:after="120" w:before="0"/>
      </w:pPr>
      <w:r>
        <w:rPr>
          <w:b w:val="0"/>
          <w:i w:val="0"/>
          <w:color w:val="1C3A36"/>
          <w:sz w:val="21"/>
        </w:rPr>
        <w:t>The weighting resolves that in favour of earnings, at 50%/20%/22%/8%, and gives a central EGP 52.94 against EGP 59.00 — -10.3%. A reader who believes replacement cost is a floor rather than a ceiling would weight the asset lens far more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the way to a 52-week high, while the earnings lenses put fair value below the current price. Momentum and value disagree here,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3,600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52% to 64%.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paid EGP 2,000mn for FY2025, about 56% of attributable profit, on top of EGP 1,100mn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15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audited statements were not obtainable. </w:t>
      </w:r>
      <w:r>
        <w:rPr>
          <w:color w:val="1C3A36"/>
          <w:sz w:val="21"/>
        </w:rPr>
        <w:t>Revenue, attributable profit, operating income, the balance-sheet totals and both dividend distributions are carried as disclosed via reporting of the exchange filings and via aggregations of commercial financial data. Every line between them is derived and labelled as derived. A reader with the audited accounts should reconcile the depreciation and working-capital lines first, since those are the weakest.</w:t>
      </w:r>
    </w:p>
    <w:p>
      <w:pPr>
        <w:pStyle w:val="ListBullet"/>
        <w:spacing w:after="60"/>
      </w:pPr>
      <w:r>
        <w:rPr>
          <w:b/>
          <w:color w:val="1C3A36"/>
          <w:sz w:val="21"/>
        </w:rPr>
        <w:t xml:space="preserve">The balance sheet does not close across sources. </w:t>
      </w:r>
      <w:r>
        <w:rPr>
          <w:color w:val="1C3A36"/>
          <w:sz w:val="21"/>
        </w:rPr>
        <w:t>Total assets of EGP 8,784mn less reported equity of EGP 4,643mn implies liabilities of EGP 4,141mn; a separate aggregation prints EGP 2,894mn, a gap of EGP 1,247mn or 14.2% of total assets. The figure that closes against total assets is carried and the disagreement is shown rather than averaged away.</w:t>
      </w:r>
    </w:p>
    <w:p>
      <w:pPr>
        <w:pStyle w:val="ListBullet"/>
        <w:spacing w:after="60"/>
      </w:pPr>
      <w:r>
        <w:rPr>
          <w:b/>
          <w:color w:val="1C3A36"/>
          <w:sz w:val="21"/>
        </w:rPr>
        <w:t xml:space="preserve">Depreciation is a triangulation, not a disclosure. </w:t>
      </w:r>
      <w:r>
        <w:rPr>
          <w:color w:val="1C3A36"/>
          <w:sz w:val="21"/>
        </w:rPr>
        <w:t>The three methods span EGP 160mn to EGP 558mn. The average is adopted. Anyone with the real number should substitute it — but note that raising it in the terminal year LOWERS this valuation rather than raising it, because capital spending here is set at economic replacement and does not follow the book charge.</w:t>
      </w:r>
    </w:p>
    <w:p>
      <w:pPr>
        <w:pStyle w:val="ListBullet"/>
        <w:spacing w:after="60"/>
      </w:pPr>
      <w:r>
        <w:rPr>
          <w:b/>
          <w:color w:val="1C3A36"/>
          <w:sz w:val="21"/>
        </w:rPr>
        <w:t xml:space="preserve">Cash and debt are not clean one-way levers. </w:t>
      </w:r>
      <w:r>
        <w:rPr>
          <w:color w:val="1C3A36"/>
          <w:sz w:val="21"/>
        </w:rPr>
        <w:t>Because the effective tax rate is inferred from the disclosed FY2025 closure, changing the cash balance changes the imputed finance income and therefore the imputed tax rate on the operating business. Adding EGP 1bn of cash adds to net cash and subtracts almost exactly as much from enterprise value. The clean net-cash sensitivity — the tax rate held and the balance varied — is shown below.</w:t>
      </w:r>
    </w:p>
    <w:p>
      <w:pPr>
        <w:pStyle w:val="ListBullet"/>
        <w:spacing w:after="60"/>
      </w:pPr>
      <w:r>
        <w:rPr>
          <w:b/>
          <w:color w:val="1C3A36"/>
          <w:sz w:val="21"/>
        </w:rPr>
        <w:t xml:space="preserve">The beta is weak. </w:t>
      </w:r>
      <w:r>
        <w:rPr>
          <w:color w:val="1C3A36"/>
          <w:sz w:val="21"/>
        </w:rPr>
        <w:t>R-squared of 9.1% and a 90% interval of [0.42, 0.83]. The valuation is shown across a beta range for exactly this reason, and the lead-lag correction is published as a value.</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w:t>
      </w:r>
      <w:r>
        <w:rPr>
          <w:color w:val="1C3A36"/>
          <w:sz w:val="21"/>
        </w:rPr>
        <w:t>The float sits under a long-standing controlling shareholder. No control premium or discount is applied anywhere in this valuation, in either direction.</w:t>
      </w:r>
    </w:p>
    <w:p>
      <w:pPr>
        <w:pStyle w:val="ListBullet"/>
        <w:spacing w:after="60"/>
      </w:pPr>
      <w:r>
        <w:rPr>
          <w:b/>
          <w:color w:val="1C3A36"/>
          <w:sz w:val="21"/>
        </w:rPr>
        <w:t xml:space="preserve">Currency. </w:t>
      </w:r>
      <w:r>
        <w:rPr>
          <w:color w:val="1C3A36"/>
          <w:sz w:val="21"/>
        </w:rPr>
        <w:t>Revenue and most costs are in Egyptian pounds, but fuel, spares and any future capacity are priced in hard currency. The model carries one currency path and lets it act on both the import cost and the export revenue, because the two legs partly offset.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2,379</w:t>
            </w:r>
          </w:p>
        </w:tc>
        <w:tc>
          <w:tcPr>
            <w:tcW w:type="dxa" w:w="1325"/>
            <w:shd w:val="clear" w:color="auto" w:fill="EAF0EE"/>
          </w:tcPr>
          <w:p>
            <w:pPr>
              <w:spacing w:after="20"/>
            </w:pPr>
            <w:r>
              <w:rPr>
                <w:b/>
                <w:color w:val="1C3A36"/>
                <w:sz w:val="17"/>
              </w:rPr>
              <w:t>3,129</w:t>
            </w:r>
          </w:p>
        </w:tc>
        <w:tc>
          <w:tcPr>
            <w:tcW w:type="dxa" w:w="1325"/>
            <w:shd w:val="clear" w:color="auto" w:fill="EAF0EE"/>
          </w:tcPr>
          <w:p>
            <w:pPr>
              <w:spacing w:after="20"/>
            </w:pPr>
            <w:r>
              <w:rPr>
                <w:b/>
                <w:color w:val="1C3A36"/>
                <w:sz w:val="17"/>
              </w:rPr>
              <w:t>3,879</w:t>
            </w:r>
          </w:p>
        </w:tc>
        <w:tc>
          <w:tcPr>
            <w:tcW w:type="dxa" w:w="1325"/>
            <w:shd w:val="clear" w:color="auto" w:fill="EAF0EE"/>
          </w:tcPr>
          <w:p>
            <w:pPr>
              <w:spacing w:after="20"/>
            </w:pPr>
            <w:r>
              <w:rPr>
                <w:b/>
                <w:color w:val="1C3A36"/>
                <w:sz w:val="17"/>
              </w:rPr>
              <w:t>4,629</w:t>
            </w:r>
          </w:p>
        </w:tc>
        <w:tc>
          <w:tcPr>
            <w:tcW w:type="dxa" w:w="1325"/>
            <w:shd w:val="clear" w:color="auto" w:fill="EAF0EE"/>
          </w:tcPr>
          <w:p>
            <w:pPr>
              <w:spacing w:after="20"/>
            </w:pPr>
            <w:r>
              <w:rPr>
                <w:b/>
                <w:color w:val="1C3A36"/>
                <w:sz w:val="17"/>
              </w:rPr>
              <w:t>5,379</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45.29</w:t>
            </w:r>
          </w:p>
        </w:tc>
        <w:tc>
          <w:tcPr>
            <w:tcW w:type="dxa" w:w="1325"/>
          </w:tcPr>
          <w:p>
            <w:pPr>
              <w:spacing w:after="20"/>
              <w:jc w:val="right"/>
            </w:pPr>
            <w:r>
              <w:rPr>
                <w:color w:val="1C3A36"/>
                <w:sz w:val="17"/>
              </w:rPr>
              <w:t>47.29</w:t>
            </w:r>
          </w:p>
        </w:tc>
        <w:tc>
          <w:tcPr>
            <w:tcW w:type="dxa" w:w="1325"/>
          </w:tcPr>
          <w:p>
            <w:pPr>
              <w:spacing w:after="20"/>
              <w:jc w:val="right"/>
            </w:pPr>
            <w:r>
              <w:rPr>
                <w:color w:val="1C3A36"/>
                <w:sz w:val="17"/>
              </w:rPr>
              <w:t>49.29</w:t>
            </w:r>
          </w:p>
        </w:tc>
        <w:tc>
          <w:tcPr>
            <w:tcW w:type="dxa" w:w="1325"/>
          </w:tcPr>
          <w:p>
            <w:pPr>
              <w:spacing w:after="20"/>
              <w:jc w:val="right"/>
            </w:pPr>
            <w:r>
              <w:rPr>
                <w:color w:val="1C3A36"/>
                <w:sz w:val="17"/>
              </w:rPr>
              <w:t>51.29</w:t>
            </w:r>
          </w:p>
        </w:tc>
        <w:tc>
          <w:tcPr>
            <w:tcW w:type="dxa" w:w="1325"/>
          </w:tcPr>
          <w:p>
            <w:pPr>
              <w:spacing w:after="20"/>
              <w:jc w:val="right"/>
            </w:pPr>
            <w:r>
              <w:rPr>
                <w:color w:val="1C3A36"/>
                <w:sz w:val="17"/>
              </w:rPr>
              <w:t>53.29</w:t>
            </w:r>
          </w:p>
        </w:tc>
      </w:tr>
    </w:tbl>
    <w:p>
      <w:pPr>
        <w:spacing w:after="40"/>
      </w:pPr>
    </w:p>
    <w:p>
      <w:pPr>
        <w:spacing w:after="200" w:before="0"/>
      </w:pPr>
      <w:r>
        <w:rPr>
          <w:b w:val="0"/>
          <w:i/>
          <w:color w:val="6E7B77"/>
          <w:sz w:val="17"/>
        </w:rPr>
        <w:t>Table 16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40.27</w:t>
            </w:r>
          </w:p>
        </w:tc>
        <w:tc>
          <w:tcPr>
            <w:tcW w:type="dxa" w:w="1325"/>
          </w:tcPr>
          <w:p>
            <w:pPr>
              <w:spacing w:after="20"/>
              <w:jc w:val="right"/>
            </w:pPr>
            <w:r>
              <w:rPr>
                <w:color w:val="1C3A36"/>
                <w:sz w:val="17"/>
              </w:rPr>
              <w:t>44.78</w:t>
            </w:r>
          </w:p>
        </w:tc>
        <w:tc>
          <w:tcPr>
            <w:tcW w:type="dxa" w:w="1325"/>
          </w:tcPr>
          <w:p>
            <w:pPr>
              <w:spacing w:after="20"/>
              <w:jc w:val="right"/>
            </w:pPr>
            <w:r>
              <w:rPr>
                <w:color w:val="1C3A36"/>
                <w:sz w:val="17"/>
              </w:rPr>
              <w:t>49.29</w:t>
            </w:r>
          </w:p>
        </w:tc>
        <w:tc>
          <w:tcPr>
            <w:tcW w:type="dxa" w:w="1325"/>
          </w:tcPr>
          <w:p>
            <w:pPr>
              <w:spacing w:after="20"/>
              <w:jc w:val="right"/>
            </w:pPr>
            <w:r>
              <w:rPr>
                <w:color w:val="1C3A36"/>
                <w:sz w:val="17"/>
              </w:rPr>
              <w:t>53.80</w:t>
            </w:r>
          </w:p>
        </w:tc>
        <w:tc>
          <w:tcPr>
            <w:tcW w:type="dxa" w:w="1325"/>
          </w:tcPr>
          <w:p>
            <w:pPr>
              <w:spacing w:after="20"/>
              <w:jc w:val="right"/>
            </w:pPr>
            <w:r>
              <w:rPr>
                <w:color w:val="1C3A36"/>
                <w:sz w:val="17"/>
              </w:rPr>
              <w:t>58.31</w:t>
            </w:r>
          </w:p>
        </w:tc>
      </w:tr>
    </w:tbl>
    <w:p>
      <w:pPr>
        <w:spacing w:after="40"/>
      </w:pPr>
    </w:p>
    <w:p>
      <w:pPr>
        <w:spacing w:after="200" w:before="0"/>
      </w:pPr>
      <w:r>
        <w:rPr>
          <w:b w:val="0"/>
          <w:i/>
          <w:color w:val="6E7B77"/>
          <w:sz w:val="17"/>
        </w:rPr>
        <w:t>Table 17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tcPr>
          <w:p>
            <w:pPr>
              <w:spacing w:after="20"/>
            </w:pPr>
            <w:r>
              <w:rPr>
                <w:color w:val="1C3A36"/>
                <w:sz w:val="16"/>
              </w:rPr>
              <w:t>Revenue</w:t>
            </w:r>
          </w:p>
        </w:tc>
        <w:tc>
          <w:tcPr>
            <w:tcW w:type="dxa" w:w="1037"/>
          </w:tcPr>
          <w:p>
            <w:pPr>
              <w:spacing w:after="20"/>
              <w:jc w:val="right"/>
            </w:pPr>
            <w:r>
              <w:rPr>
                <w:color w:val="1C3A36"/>
                <w:sz w:val="16"/>
              </w:rPr>
              <w:t>6,040</w:t>
            </w:r>
          </w:p>
        </w:tc>
        <w:tc>
          <w:tcPr>
            <w:tcW w:type="dxa" w:w="1037"/>
          </w:tcPr>
          <w:p>
            <w:pPr>
              <w:spacing w:after="20"/>
              <w:jc w:val="right"/>
            </w:pPr>
            <w:r>
              <w:rPr>
                <w:color w:val="1C3A36"/>
                <w:sz w:val="16"/>
              </w:rPr>
              <w:t>8,729</w:t>
            </w:r>
          </w:p>
        </w:tc>
        <w:tc>
          <w:tcPr>
            <w:tcW w:type="dxa" w:w="1037"/>
          </w:tcPr>
          <w:p>
            <w:pPr>
              <w:spacing w:after="20"/>
              <w:jc w:val="right"/>
            </w:pPr>
            <w:r>
              <w:rPr>
                <w:color w:val="1C3A36"/>
                <w:sz w:val="16"/>
              </w:rPr>
              <w:t>12,447</w:t>
            </w:r>
          </w:p>
        </w:tc>
        <w:tc>
          <w:tcPr>
            <w:tcW w:type="dxa" w:w="1037"/>
          </w:tcPr>
          <w:p>
            <w:pPr>
              <w:spacing w:after="20"/>
              <w:jc w:val="right"/>
            </w:pPr>
            <w:r>
              <w:rPr>
                <w:color w:val="1C3A36"/>
                <w:sz w:val="16"/>
              </w:rPr>
              <w:t>13,564</w:t>
            </w:r>
          </w:p>
        </w:tc>
        <w:tc>
          <w:tcPr>
            <w:tcW w:type="dxa" w:w="1037"/>
          </w:tcPr>
          <w:p>
            <w:pPr>
              <w:spacing w:after="20"/>
              <w:jc w:val="right"/>
            </w:pPr>
            <w:r>
              <w:rPr>
                <w:color w:val="1C3A36"/>
                <w:sz w:val="16"/>
              </w:rPr>
              <w:t>14,585</w:t>
            </w:r>
          </w:p>
        </w:tc>
        <w:tc>
          <w:tcPr>
            <w:tcW w:type="dxa" w:w="1037"/>
          </w:tcPr>
          <w:p>
            <w:pPr>
              <w:spacing w:after="20"/>
              <w:jc w:val="right"/>
            </w:pPr>
            <w:r>
              <w:rPr>
                <w:color w:val="1C3A36"/>
                <w:sz w:val="16"/>
              </w:rPr>
              <w:t>15,481</w:t>
            </w:r>
          </w:p>
        </w:tc>
        <w:tc>
          <w:tcPr>
            <w:tcW w:type="dxa" w:w="1037"/>
          </w:tcPr>
          <w:p>
            <w:pPr>
              <w:spacing w:after="20"/>
              <w:jc w:val="right"/>
            </w:pPr>
            <w:r>
              <w:rPr>
                <w:color w:val="1C3A36"/>
                <w:sz w:val="16"/>
              </w:rPr>
              <w:t>16,322</w:t>
            </w:r>
          </w:p>
        </w:tc>
        <w:tc>
          <w:tcPr>
            <w:tcW w:type="dxa" w:w="1037"/>
          </w:tcPr>
          <w:p>
            <w:pPr>
              <w:spacing w:after="20"/>
              <w:jc w:val="right"/>
            </w:pPr>
            <w:r>
              <w:rPr>
                <w:color w:val="1C3A36"/>
                <w:sz w:val="16"/>
              </w:rPr>
              <w:t>17,066</w:t>
            </w:r>
          </w:p>
        </w:tc>
      </w:tr>
      <w:tr>
        <w:tc>
          <w:tcPr>
            <w:tcW w:type="dxa" w:w="2189"/>
          </w:tcPr>
          <w:p>
            <w:pPr>
              <w:spacing w:after="20"/>
            </w:pPr>
            <w:r>
              <w:rPr>
                <w:color w:val="1C3A36"/>
                <w:sz w:val="16"/>
              </w:rPr>
              <w:t>EBITDA</w:t>
            </w:r>
          </w:p>
        </w:tc>
        <w:tc>
          <w:tcPr>
            <w:tcW w:type="dxa" w:w="1037"/>
          </w:tcPr>
          <w:p>
            <w:pPr>
              <w:spacing w:after="20"/>
              <w:jc w:val="right"/>
            </w:pPr>
            <w:r>
              <w:rPr>
                <w:color w:val="1C3A36"/>
                <w:sz w:val="16"/>
              </w:rPr>
              <w:t>1,264</w:t>
            </w:r>
          </w:p>
        </w:tc>
        <w:tc>
          <w:tcPr>
            <w:tcW w:type="dxa" w:w="1037"/>
          </w:tcPr>
          <w:p>
            <w:pPr>
              <w:spacing w:after="20"/>
              <w:jc w:val="right"/>
            </w:pPr>
            <w:r>
              <w:rPr>
                <w:color w:val="1C3A36"/>
                <w:sz w:val="16"/>
              </w:rPr>
              <w:t>1,930</w:t>
            </w:r>
          </w:p>
        </w:tc>
        <w:tc>
          <w:tcPr>
            <w:tcW w:type="dxa" w:w="1037"/>
          </w:tcPr>
          <w:p>
            <w:pPr>
              <w:spacing w:after="20"/>
              <w:jc w:val="right"/>
            </w:pPr>
            <w:r>
              <w:rPr>
                <w:color w:val="1C3A36"/>
                <w:sz w:val="16"/>
              </w:rPr>
              <w:t>4,897</w:t>
            </w:r>
          </w:p>
        </w:tc>
        <w:tc>
          <w:tcPr>
            <w:tcW w:type="dxa" w:w="1037"/>
          </w:tcPr>
          <w:p>
            <w:pPr>
              <w:spacing w:after="20"/>
              <w:jc w:val="right"/>
            </w:pPr>
            <w:r>
              <w:rPr>
                <w:color w:val="1C3A36"/>
                <w:sz w:val="16"/>
              </w:rPr>
              <w:t>5,018</w:t>
            </w:r>
          </w:p>
        </w:tc>
        <w:tc>
          <w:tcPr>
            <w:tcW w:type="dxa" w:w="1037"/>
          </w:tcPr>
          <w:p>
            <w:pPr>
              <w:spacing w:after="20"/>
              <w:jc w:val="right"/>
            </w:pPr>
            <w:r>
              <w:rPr>
                <w:color w:val="1C3A36"/>
                <w:sz w:val="16"/>
              </w:rPr>
              <w:t>5,155</w:t>
            </w:r>
          </w:p>
        </w:tc>
        <w:tc>
          <w:tcPr>
            <w:tcW w:type="dxa" w:w="1037"/>
          </w:tcPr>
          <w:p>
            <w:pPr>
              <w:spacing w:after="20"/>
              <w:jc w:val="right"/>
            </w:pPr>
            <w:r>
              <w:rPr>
                <w:color w:val="1C3A36"/>
                <w:sz w:val="16"/>
              </w:rPr>
              <w:t>5,186</w:t>
            </w:r>
          </w:p>
        </w:tc>
        <w:tc>
          <w:tcPr>
            <w:tcW w:type="dxa" w:w="1037"/>
          </w:tcPr>
          <w:p>
            <w:pPr>
              <w:spacing w:after="20"/>
              <w:jc w:val="right"/>
            </w:pPr>
            <w:r>
              <w:rPr>
                <w:color w:val="1C3A36"/>
                <w:sz w:val="16"/>
              </w:rPr>
              <w:t>5,202</w:t>
            </w:r>
          </w:p>
        </w:tc>
        <w:tc>
          <w:tcPr>
            <w:tcW w:type="dxa" w:w="1037"/>
          </w:tcPr>
          <w:p>
            <w:pPr>
              <w:spacing w:after="20"/>
              <w:jc w:val="right"/>
            </w:pPr>
            <w:r>
              <w:rPr>
                <w:color w:val="1C3A36"/>
                <w:sz w:val="16"/>
              </w:rPr>
              <w:t>5,174</w:t>
            </w:r>
          </w:p>
        </w:tc>
      </w:tr>
      <w:tr>
        <w:tc>
          <w:tcPr>
            <w:tcW w:type="dxa" w:w="2189"/>
          </w:tcPr>
          <w:p>
            <w:pPr>
              <w:spacing w:after="20"/>
            </w:pPr>
            <w:r>
              <w:rPr>
                <w:color w:val="1C3A36"/>
                <w:sz w:val="16"/>
              </w:rPr>
              <w:t>EBITDA margin</w:t>
            </w:r>
          </w:p>
        </w:tc>
        <w:tc>
          <w:tcPr>
            <w:tcW w:type="dxa" w:w="1037"/>
          </w:tcPr>
          <w:p>
            <w:pPr>
              <w:spacing w:after="20"/>
              <w:jc w:val="right"/>
            </w:pPr>
            <w:r>
              <w:rPr>
                <w:color w:val="1C3A36"/>
                <w:sz w:val="16"/>
              </w:rPr>
              <w:t>20.9%</w:t>
            </w:r>
          </w:p>
        </w:tc>
        <w:tc>
          <w:tcPr>
            <w:tcW w:type="dxa" w:w="1037"/>
          </w:tcPr>
          <w:p>
            <w:pPr>
              <w:spacing w:after="20"/>
              <w:jc w:val="right"/>
            </w:pPr>
            <w:r>
              <w:rPr>
                <w:color w:val="1C3A36"/>
                <w:sz w:val="16"/>
              </w:rPr>
              <w:t>22.1%</w:t>
            </w:r>
          </w:p>
        </w:tc>
        <w:tc>
          <w:tcPr>
            <w:tcW w:type="dxa" w:w="1037"/>
          </w:tcPr>
          <w:p>
            <w:pPr>
              <w:spacing w:after="20"/>
              <w:jc w:val="right"/>
            </w:pPr>
            <w:r>
              <w:rPr>
                <w:color w:val="1C3A36"/>
                <w:sz w:val="16"/>
              </w:rPr>
              <w:t>39.3%</w:t>
            </w:r>
          </w:p>
        </w:tc>
        <w:tc>
          <w:tcPr>
            <w:tcW w:type="dxa" w:w="1037"/>
          </w:tcPr>
          <w:p>
            <w:pPr>
              <w:spacing w:after="20"/>
              <w:jc w:val="right"/>
            </w:pPr>
            <w:r>
              <w:rPr>
                <w:color w:val="1C3A36"/>
                <w:sz w:val="16"/>
              </w:rPr>
              <w:t>37.0%</w:t>
            </w:r>
          </w:p>
        </w:tc>
        <w:tc>
          <w:tcPr>
            <w:tcW w:type="dxa" w:w="1037"/>
          </w:tcPr>
          <w:p>
            <w:pPr>
              <w:spacing w:after="20"/>
              <w:jc w:val="right"/>
            </w:pPr>
            <w:r>
              <w:rPr>
                <w:color w:val="1C3A36"/>
                <w:sz w:val="16"/>
              </w:rPr>
              <w:t>35.3%</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31.9%</w:t>
            </w:r>
          </w:p>
        </w:tc>
        <w:tc>
          <w:tcPr>
            <w:tcW w:type="dxa" w:w="1037"/>
          </w:tcPr>
          <w:p>
            <w:pPr>
              <w:spacing w:after="20"/>
              <w:jc w:val="right"/>
            </w:pPr>
            <w:r>
              <w:rPr>
                <w:color w:val="1C3A36"/>
                <w:sz w:val="16"/>
              </w:rPr>
              <w:t>30.3%</w:t>
            </w:r>
          </w:p>
        </w:tc>
      </w:tr>
      <w:tr>
        <w:tc>
          <w:tcPr>
            <w:tcW w:type="dxa" w:w="2189"/>
          </w:tcPr>
          <w:p>
            <w:pPr>
              <w:spacing w:after="20"/>
            </w:pPr>
            <w:r>
              <w:rPr>
                <w:color w:val="1C3A36"/>
                <w:sz w:val="16"/>
              </w:rPr>
              <w:t>Depreciation and amortisation</w:t>
            </w:r>
          </w:p>
        </w:tc>
        <w:tc>
          <w:tcPr>
            <w:tcW w:type="dxa" w:w="1037"/>
          </w:tcPr>
          <w:p>
            <w:pPr>
              <w:spacing w:after="20"/>
              <w:jc w:val="right"/>
            </w:pPr>
            <w:r>
              <w:rPr>
                <w:color w:val="1C3A36"/>
                <w:sz w:val="16"/>
              </w:rPr>
              <w:t>276</w:t>
            </w:r>
          </w:p>
        </w:tc>
        <w:tc>
          <w:tcPr>
            <w:tcW w:type="dxa" w:w="1037"/>
          </w:tcPr>
          <w:p>
            <w:pPr>
              <w:spacing w:after="20"/>
              <w:jc w:val="right"/>
            </w:pPr>
            <w:r>
              <w:rPr>
                <w:color w:val="1C3A36"/>
                <w:sz w:val="16"/>
              </w:rPr>
              <w:t>286</w:t>
            </w:r>
          </w:p>
        </w:tc>
        <w:tc>
          <w:tcPr>
            <w:tcW w:type="dxa" w:w="1037"/>
          </w:tcPr>
          <w:p>
            <w:pPr>
              <w:spacing w:after="20"/>
              <w:jc w:val="right"/>
            </w:pPr>
            <w:r>
              <w:rPr>
                <w:color w:val="1C3A36"/>
                <w:sz w:val="16"/>
              </w:rPr>
              <w:t>301</w:t>
            </w:r>
          </w:p>
        </w:tc>
        <w:tc>
          <w:tcPr>
            <w:tcW w:type="dxa" w:w="1037"/>
          </w:tcPr>
          <w:p>
            <w:pPr>
              <w:spacing w:after="20"/>
              <w:jc w:val="right"/>
            </w:pPr>
            <w:r>
              <w:rPr>
                <w:color w:val="1C3A36"/>
                <w:sz w:val="16"/>
              </w:rPr>
              <w:t>339</w:t>
            </w:r>
          </w:p>
        </w:tc>
        <w:tc>
          <w:tcPr>
            <w:tcW w:type="dxa" w:w="1037"/>
          </w:tcPr>
          <w:p>
            <w:pPr>
              <w:spacing w:after="20"/>
              <w:jc w:val="right"/>
            </w:pPr>
            <w:r>
              <w:rPr>
                <w:color w:val="1C3A36"/>
                <w:sz w:val="16"/>
              </w:rPr>
              <w:t>408</w:t>
            </w:r>
          </w:p>
        </w:tc>
        <w:tc>
          <w:tcPr>
            <w:tcW w:type="dxa" w:w="1037"/>
          </w:tcPr>
          <w:p>
            <w:pPr>
              <w:spacing w:after="20"/>
              <w:jc w:val="right"/>
            </w:pPr>
            <w:r>
              <w:rPr>
                <w:color w:val="1C3A36"/>
                <w:sz w:val="16"/>
              </w:rPr>
              <w:t>480</w:t>
            </w:r>
          </w:p>
        </w:tc>
        <w:tc>
          <w:tcPr>
            <w:tcW w:type="dxa" w:w="1037"/>
          </w:tcPr>
          <w:p>
            <w:pPr>
              <w:spacing w:after="20"/>
              <w:jc w:val="right"/>
            </w:pPr>
            <w:r>
              <w:rPr>
                <w:color w:val="1C3A36"/>
                <w:sz w:val="16"/>
              </w:rPr>
              <w:t>555</w:t>
            </w:r>
          </w:p>
        </w:tc>
        <w:tc>
          <w:tcPr>
            <w:tcW w:type="dxa" w:w="1037"/>
          </w:tcPr>
          <w:p>
            <w:pPr>
              <w:spacing w:after="20"/>
              <w:jc w:val="right"/>
            </w:pPr>
            <w:r>
              <w:rPr>
                <w:color w:val="1C3A36"/>
                <w:sz w:val="16"/>
              </w:rPr>
              <w:t>614</w:t>
            </w:r>
          </w:p>
        </w:tc>
      </w:tr>
      <w:tr>
        <w:tc>
          <w:tcPr>
            <w:tcW w:type="dxa" w:w="2189"/>
          </w:tcPr>
          <w:p>
            <w:pPr>
              <w:spacing w:after="20"/>
            </w:pPr>
            <w:r>
              <w:rPr>
                <w:color w:val="1C3A36"/>
                <w:sz w:val="16"/>
              </w:rPr>
              <w:t>EBIT</w:t>
            </w:r>
          </w:p>
        </w:tc>
        <w:tc>
          <w:tcPr>
            <w:tcW w:type="dxa" w:w="1037"/>
          </w:tcPr>
          <w:p>
            <w:pPr>
              <w:spacing w:after="20"/>
              <w:jc w:val="right"/>
            </w:pPr>
            <w:r>
              <w:rPr>
                <w:color w:val="1C3A36"/>
                <w:sz w:val="16"/>
              </w:rPr>
              <w:t>988</w:t>
            </w:r>
          </w:p>
        </w:tc>
        <w:tc>
          <w:tcPr>
            <w:tcW w:type="dxa" w:w="1037"/>
          </w:tcPr>
          <w:p>
            <w:pPr>
              <w:spacing w:after="20"/>
              <w:jc w:val="right"/>
            </w:pPr>
            <w:r>
              <w:rPr>
                <w:color w:val="1C3A36"/>
                <w:sz w:val="16"/>
              </w:rPr>
              <w:t>1,644</w:t>
            </w:r>
          </w:p>
        </w:tc>
        <w:tc>
          <w:tcPr>
            <w:tcW w:type="dxa" w:w="1037"/>
          </w:tcPr>
          <w:p>
            <w:pPr>
              <w:spacing w:after="20"/>
              <w:jc w:val="right"/>
            </w:pPr>
            <w:r>
              <w:rPr>
                <w:color w:val="1C3A36"/>
                <w:sz w:val="16"/>
              </w:rPr>
              <w:t>4,596</w:t>
            </w:r>
          </w:p>
        </w:tc>
        <w:tc>
          <w:tcPr>
            <w:tcW w:type="dxa" w:w="1037"/>
          </w:tcPr>
          <w:p>
            <w:pPr>
              <w:spacing w:after="20"/>
              <w:jc w:val="right"/>
            </w:pPr>
            <w:r>
              <w:rPr>
                <w:color w:val="1C3A36"/>
                <w:sz w:val="16"/>
              </w:rPr>
              <w:t>4,679</w:t>
            </w:r>
          </w:p>
        </w:tc>
        <w:tc>
          <w:tcPr>
            <w:tcW w:type="dxa" w:w="1037"/>
          </w:tcPr>
          <w:p>
            <w:pPr>
              <w:spacing w:after="20"/>
              <w:jc w:val="right"/>
            </w:pPr>
            <w:r>
              <w:rPr>
                <w:color w:val="1C3A36"/>
                <w:sz w:val="16"/>
              </w:rPr>
              <w:t>4,747</w:t>
            </w:r>
          </w:p>
        </w:tc>
        <w:tc>
          <w:tcPr>
            <w:tcW w:type="dxa" w:w="1037"/>
          </w:tcPr>
          <w:p>
            <w:pPr>
              <w:spacing w:after="20"/>
              <w:jc w:val="right"/>
            </w:pPr>
            <w:r>
              <w:rPr>
                <w:color w:val="1C3A36"/>
                <w:sz w:val="16"/>
              </w:rPr>
              <w:t>4,706</w:t>
            </w:r>
          </w:p>
        </w:tc>
        <w:tc>
          <w:tcPr>
            <w:tcW w:type="dxa" w:w="1037"/>
          </w:tcPr>
          <w:p>
            <w:pPr>
              <w:spacing w:after="20"/>
              <w:jc w:val="right"/>
            </w:pPr>
            <w:r>
              <w:rPr>
                <w:color w:val="1C3A36"/>
                <w:sz w:val="16"/>
              </w:rPr>
              <w:t>4,647</w:t>
            </w:r>
          </w:p>
        </w:tc>
        <w:tc>
          <w:tcPr>
            <w:tcW w:type="dxa" w:w="1037"/>
          </w:tcPr>
          <w:p>
            <w:pPr>
              <w:spacing w:after="20"/>
              <w:jc w:val="right"/>
            </w:pPr>
            <w:r>
              <w:rPr>
                <w:color w:val="1C3A36"/>
                <w:sz w:val="16"/>
              </w:rPr>
              <w:t>4,560</w:t>
            </w:r>
          </w:p>
        </w:tc>
      </w:tr>
      <w:tr>
        <w:tc>
          <w:tcPr>
            <w:tcW w:type="dxa" w:w="2189"/>
          </w:tcPr>
          <w:p>
            <w:pPr>
              <w:spacing w:after="20"/>
            </w:pPr>
            <w:r>
              <w:rPr>
                <w:color w:val="1C3A36"/>
                <w:sz w:val="16"/>
              </w:rPr>
              <w:t>Net finance income</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504</w:t>
            </w:r>
          </w:p>
        </w:tc>
        <w:tc>
          <w:tcPr>
            <w:tcW w:type="dxa" w:w="1037"/>
          </w:tcPr>
          <w:p>
            <w:pPr>
              <w:spacing w:after="20"/>
              <w:jc w:val="right"/>
            </w:pPr>
            <w:r>
              <w:rPr>
                <w:color w:val="1C3A36"/>
                <w:sz w:val="16"/>
              </w:rPr>
              <w:t>417</w:t>
            </w:r>
          </w:p>
        </w:tc>
        <w:tc>
          <w:tcPr>
            <w:tcW w:type="dxa" w:w="1037"/>
          </w:tcPr>
          <w:p>
            <w:pPr>
              <w:spacing w:after="20"/>
              <w:jc w:val="right"/>
            </w:pPr>
            <w:r>
              <w:rPr>
                <w:color w:val="1C3A36"/>
                <w:sz w:val="16"/>
              </w:rPr>
              <w:t>481</w:t>
            </w:r>
          </w:p>
        </w:tc>
        <w:tc>
          <w:tcPr>
            <w:tcW w:type="dxa" w:w="1037"/>
          </w:tcPr>
          <w:p>
            <w:pPr>
              <w:spacing w:after="20"/>
              <w:jc w:val="right"/>
            </w:pPr>
            <w:r>
              <w:rPr>
                <w:color w:val="1C3A36"/>
                <w:sz w:val="16"/>
              </w:rPr>
              <w:t>561</w:t>
            </w:r>
          </w:p>
        </w:tc>
        <w:tc>
          <w:tcPr>
            <w:tcW w:type="dxa" w:w="1037"/>
          </w:tcPr>
          <w:p>
            <w:pPr>
              <w:spacing w:after="20"/>
              <w:jc w:val="right"/>
            </w:pPr>
            <w:r>
              <w:rPr>
                <w:color w:val="1C3A36"/>
                <w:sz w:val="16"/>
              </w:rPr>
              <w:t>643</w:t>
            </w:r>
          </w:p>
        </w:tc>
        <w:tc>
          <w:tcPr>
            <w:tcW w:type="dxa" w:w="1037"/>
          </w:tcPr>
          <w:p>
            <w:pPr>
              <w:spacing w:after="20"/>
              <w:jc w:val="right"/>
            </w:pPr>
            <w:r>
              <w:rPr>
                <w:color w:val="1C3A36"/>
                <w:sz w:val="16"/>
              </w:rPr>
              <w:t>742</w:t>
            </w:r>
          </w:p>
        </w:tc>
      </w:tr>
      <w:tr>
        <w:tc>
          <w:tcPr>
            <w:tcW w:type="dxa" w:w="2189"/>
          </w:tcPr>
          <w:p>
            <w:pPr>
              <w:spacing w:after="20"/>
            </w:pPr>
            <w:r>
              <w:rPr>
                <w:color w:val="1C3A36"/>
                <w:sz w:val="16"/>
              </w:rPr>
              <w:t>Profit before tax</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5,100</w:t>
            </w:r>
          </w:p>
        </w:tc>
        <w:tc>
          <w:tcPr>
            <w:tcW w:type="dxa" w:w="1037"/>
          </w:tcPr>
          <w:p>
            <w:pPr>
              <w:spacing w:after="20"/>
              <w:jc w:val="right"/>
            </w:pPr>
            <w:r>
              <w:rPr>
                <w:color w:val="1C3A36"/>
                <w:sz w:val="16"/>
              </w:rPr>
              <w:t>5,097</w:t>
            </w:r>
          </w:p>
        </w:tc>
        <w:tc>
          <w:tcPr>
            <w:tcW w:type="dxa" w:w="1037"/>
          </w:tcPr>
          <w:p>
            <w:pPr>
              <w:spacing w:after="20"/>
              <w:jc w:val="right"/>
            </w:pPr>
            <w:r>
              <w:rPr>
                <w:color w:val="1C3A36"/>
                <w:sz w:val="16"/>
              </w:rPr>
              <w:t>5,228</w:t>
            </w:r>
          </w:p>
        </w:tc>
        <w:tc>
          <w:tcPr>
            <w:tcW w:type="dxa" w:w="1037"/>
          </w:tcPr>
          <w:p>
            <w:pPr>
              <w:spacing w:after="20"/>
              <w:jc w:val="right"/>
            </w:pPr>
            <w:r>
              <w:rPr>
                <w:color w:val="1C3A36"/>
                <w:sz w:val="16"/>
              </w:rPr>
              <w:t>5,267</w:t>
            </w:r>
          </w:p>
        </w:tc>
        <w:tc>
          <w:tcPr>
            <w:tcW w:type="dxa" w:w="1037"/>
          </w:tcPr>
          <w:p>
            <w:pPr>
              <w:spacing w:after="20"/>
              <w:jc w:val="right"/>
            </w:pPr>
            <w:r>
              <w:rPr>
                <w:color w:val="1C3A36"/>
                <w:sz w:val="16"/>
              </w:rPr>
              <w:t>5,290</w:t>
            </w:r>
          </w:p>
        </w:tc>
        <w:tc>
          <w:tcPr>
            <w:tcW w:type="dxa" w:w="1037"/>
          </w:tcPr>
          <w:p>
            <w:pPr>
              <w:spacing w:after="20"/>
              <w:jc w:val="right"/>
            </w:pPr>
            <w:r>
              <w:rPr>
                <w:color w:val="1C3A36"/>
                <w:sz w:val="16"/>
              </w:rPr>
              <w:t>5,301</w:t>
            </w:r>
          </w:p>
        </w:tc>
      </w:tr>
      <w:tr>
        <w:tc>
          <w:tcPr>
            <w:tcW w:type="dxa" w:w="2189"/>
            <w:shd w:val="clear" w:color="auto" w:fill="F6F1E6"/>
          </w:tcPr>
          <w:p>
            <w:pPr>
              <w:spacing w:after="20"/>
            </w:pPr>
            <w:r>
              <w:rPr>
                <w:b/>
                <w:color w:val="1C3A36"/>
                <w:sz w:val="16"/>
              </w:rPr>
              <w:t>Attributable profit</w:t>
            </w:r>
          </w:p>
        </w:tc>
        <w:tc>
          <w:tcPr>
            <w:tcW w:type="dxa" w:w="1037"/>
            <w:shd w:val="clear" w:color="auto" w:fill="F6F1E6"/>
          </w:tcPr>
          <w:p>
            <w:pPr>
              <w:spacing w:after="20"/>
              <w:jc w:val="right"/>
            </w:pPr>
            <w:r>
              <w:rPr>
                <w:b/>
                <w:color w:val="1C3A36"/>
                <w:sz w:val="16"/>
              </w:rPr>
              <w:t>697</w:t>
            </w:r>
          </w:p>
        </w:tc>
        <w:tc>
          <w:tcPr>
            <w:tcW w:type="dxa" w:w="1037"/>
            <w:shd w:val="clear" w:color="auto" w:fill="F6F1E6"/>
          </w:tcPr>
          <w:p>
            <w:pPr>
              <w:spacing w:after="20"/>
              <w:jc w:val="right"/>
            </w:pPr>
            <w:r>
              <w:rPr>
                <w:b/>
                <w:color w:val="1C3A36"/>
                <w:sz w:val="16"/>
              </w:rPr>
              <w:t>1,160</w:t>
            </w:r>
          </w:p>
        </w:tc>
        <w:tc>
          <w:tcPr>
            <w:tcW w:type="dxa" w:w="1037"/>
            <w:shd w:val="clear" w:color="auto" w:fill="F6F1E6"/>
          </w:tcPr>
          <w:p>
            <w:pPr>
              <w:spacing w:after="20"/>
              <w:jc w:val="right"/>
            </w:pPr>
            <w:r>
              <w:rPr>
                <w:b/>
                <w:color w:val="1C3A36"/>
                <w:sz w:val="16"/>
              </w:rPr>
              <w:t>3,599</w:t>
            </w:r>
          </w:p>
        </w:tc>
        <w:tc>
          <w:tcPr>
            <w:tcW w:type="dxa" w:w="1037"/>
            <w:shd w:val="clear" w:color="auto" w:fill="F6F1E6"/>
          </w:tcPr>
          <w:p>
            <w:pPr>
              <w:spacing w:after="20"/>
              <w:jc w:val="right"/>
            </w:pPr>
            <w:r>
              <w:rPr>
                <w:b/>
                <w:color w:val="1C3A36"/>
                <w:sz w:val="16"/>
              </w:rPr>
              <w:t>3,597</w:t>
            </w:r>
          </w:p>
        </w:tc>
        <w:tc>
          <w:tcPr>
            <w:tcW w:type="dxa" w:w="1037"/>
            <w:shd w:val="clear" w:color="auto" w:fill="F6F1E6"/>
          </w:tcPr>
          <w:p>
            <w:pPr>
              <w:spacing w:after="20"/>
              <w:jc w:val="right"/>
            </w:pPr>
            <w:r>
              <w:rPr>
                <w:b/>
                <w:color w:val="1C3A36"/>
                <w:sz w:val="16"/>
              </w:rPr>
              <w:t>3,689</w:t>
            </w:r>
          </w:p>
        </w:tc>
        <w:tc>
          <w:tcPr>
            <w:tcW w:type="dxa" w:w="1037"/>
            <w:shd w:val="clear" w:color="auto" w:fill="F6F1E6"/>
          </w:tcPr>
          <w:p>
            <w:pPr>
              <w:spacing w:after="20"/>
              <w:jc w:val="right"/>
            </w:pPr>
            <w:r>
              <w:rPr>
                <w:b/>
                <w:color w:val="1C3A36"/>
                <w:sz w:val="16"/>
              </w:rPr>
              <w:t>3,717</w:t>
            </w:r>
          </w:p>
        </w:tc>
        <w:tc>
          <w:tcPr>
            <w:tcW w:type="dxa" w:w="1037"/>
            <w:shd w:val="clear" w:color="auto" w:fill="F6F1E6"/>
          </w:tcPr>
          <w:p>
            <w:pPr>
              <w:spacing w:after="20"/>
              <w:jc w:val="right"/>
            </w:pPr>
            <w:r>
              <w:rPr>
                <w:b/>
                <w:color w:val="1C3A36"/>
                <w:sz w:val="16"/>
              </w:rPr>
              <w:t>3,733</w:t>
            </w:r>
          </w:p>
        </w:tc>
        <w:tc>
          <w:tcPr>
            <w:tcW w:type="dxa" w:w="1037"/>
            <w:shd w:val="clear" w:color="auto" w:fill="F6F1E6"/>
          </w:tcPr>
          <w:p>
            <w:pPr>
              <w:spacing w:after="20"/>
              <w:jc w:val="right"/>
            </w:pPr>
            <w:r>
              <w:rPr>
                <w:b/>
                <w:color w:val="1C3A36"/>
                <w:sz w:val="16"/>
              </w:rPr>
              <w:t>3,741</w:t>
            </w:r>
          </w:p>
        </w:tc>
      </w:tr>
      <w:tr>
        <w:tc>
          <w:tcPr>
            <w:tcW w:type="dxa" w:w="2189"/>
          </w:tcPr>
          <w:p>
            <w:pPr>
              <w:spacing w:after="20"/>
            </w:pPr>
            <w:r>
              <w:rPr>
                <w:color w:val="1C3A36"/>
                <w:sz w:val="16"/>
              </w:rPr>
              <w:t>Earnings per share (EGP)</w:t>
            </w:r>
          </w:p>
        </w:tc>
        <w:tc>
          <w:tcPr>
            <w:tcW w:type="dxa" w:w="1037"/>
          </w:tcPr>
          <w:p>
            <w:pPr>
              <w:spacing w:after="20"/>
              <w:jc w:val="right"/>
            </w:pPr>
            <w:r>
              <w:rPr>
                <w:color w:val="1C3A36"/>
                <w:sz w:val="16"/>
              </w:rPr>
              <w:t>1.86</w:t>
            </w:r>
          </w:p>
        </w:tc>
        <w:tc>
          <w:tcPr>
            <w:tcW w:type="dxa" w:w="1037"/>
          </w:tcPr>
          <w:p>
            <w:pPr>
              <w:spacing w:after="20"/>
              <w:jc w:val="right"/>
            </w:pPr>
            <w:r>
              <w:rPr>
                <w:color w:val="1C3A36"/>
                <w:sz w:val="16"/>
              </w:rPr>
              <w:t>3.09</w:t>
            </w:r>
          </w:p>
        </w:tc>
        <w:tc>
          <w:tcPr>
            <w:tcW w:type="dxa" w:w="1037"/>
          </w:tcPr>
          <w:p>
            <w:pPr>
              <w:spacing w:after="20"/>
              <w:jc w:val="right"/>
            </w:pPr>
            <w:r>
              <w:rPr>
                <w:color w:val="1C3A36"/>
                <w:sz w:val="16"/>
              </w:rPr>
              <w:t>9.60</w:t>
            </w:r>
          </w:p>
        </w:tc>
        <w:tc>
          <w:tcPr>
            <w:tcW w:type="dxa" w:w="1037"/>
          </w:tcPr>
          <w:p>
            <w:pPr>
              <w:spacing w:after="20"/>
              <w:jc w:val="right"/>
            </w:pPr>
            <w:r>
              <w:rPr>
                <w:color w:val="1C3A36"/>
                <w:sz w:val="16"/>
              </w:rPr>
              <w:t>9.60</w:t>
            </w:r>
          </w:p>
        </w:tc>
        <w:tc>
          <w:tcPr>
            <w:tcW w:type="dxa" w:w="1037"/>
          </w:tcPr>
          <w:p>
            <w:pPr>
              <w:spacing w:after="20"/>
              <w:jc w:val="right"/>
            </w:pPr>
            <w:r>
              <w:rPr>
                <w:color w:val="1C3A36"/>
                <w:sz w:val="16"/>
              </w:rPr>
              <w:t>9.84</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9.96</w:t>
            </w:r>
          </w:p>
        </w:tc>
        <w:tc>
          <w:tcPr>
            <w:tcW w:type="dxa" w:w="1037"/>
          </w:tcPr>
          <w:p>
            <w:pPr>
              <w:spacing w:after="20"/>
              <w:jc w:val="right"/>
            </w:pPr>
            <w:r>
              <w:rPr>
                <w:color w:val="1C3A36"/>
                <w:sz w:val="16"/>
              </w:rPr>
              <w:t>9.98</w:t>
            </w:r>
          </w:p>
        </w:tc>
      </w:tr>
      <w:tr>
        <w:tc>
          <w:tcPr>
            <w:tcW w:type="dxa" w:w="2189"/>
          </w:tcPr>
          <w:p>
            <w:pPr>
              <w:spacing w:after="20"/>
            </w:pPr>
            <w:r>
              <w:rPr>
                <w:color w:val="1C3A36"/>
                <w:sz w:val="16"/>
              </w:rPr>
              <w:t>Despatched volume (Mt)</w:t>
            </w:r>
          </w:p>
        </w:tc>
        <w:tc>
          <w:tcPr>
            <w:tcW w:type="dxa" w:w="1037"/>
          </w:tcPr>
          <w:p>
            <w:pPr>
              <w:spacing w:after="20"/>
              <w:jc w:val="right"/>
            </w:pPr>
            <w:r>
              <w:rPr>
                <w:color w:val="1C3A36"/>
                <w:sz w:val="16"/>
              </w:rPr>
              <w:t>3.300</w:t>
            </w:r>
          </w:p>
        </w:tc>
        <w:tc>
          <w:tcPr>
            <w:tcW w:type="dxa" w:w="1037"/>
          </w:tcPr>
          <w:p>
            <w:pPr>
              <w:spacing w:after="20"/>
              <w:jc w:val="right"/>
            </w:pPr>
            <w:r>
              <w:rPr>
                <w:color w:val="1C3A36"/>
                <w:sz w:val="16"/>
              </w:rPr>
              <w:t>3.420</w:t>
            </w:r>
          </w:p>
        </w:tc>
        <w:tc>
          <w:tcPr>
            <w:tcW w:type="dxa" w:w="1037"/>
          </w:tcPr>
          <w:p>
            <w:pPr>
              <w:spacing w:after="20"/>
              <w:jc w:val="right"/>
            </w:pPr>
            <w:r>
              <w:rPr>
                <w:color w:val="1C3A36"/>
                <w:sz w:val="16"/>
              </w:rPr>
              <w:t>3.600</w:t>
            </w:r>
          </w:p>
        </w:tc>
        <w:tc>
          <w:tcPr>
            <w:tcW w:type="dxa" w:w="1037"/>
          </w:tcPr>
          <w:p>
            <w:pPr>
              <w:spacing w:after="20"/>
              <w:jc w:val="right"/>
            </w:pPr>
            <w:r>
              <w:rPr>
                <w:color w:val="1C3A36"/>
                <w:sz w:val="16"/>
              </w:rPr>
              <w:t>3.840</w:t>
            </w:r>
          </w:p>
        </w:tc>
        <w:tc>
          <w:tcPr>
            <w:tcW w:type="dxa" w:w="1037"/>
          </w:tcPr>
          <w:p>
            <w:pPr>
              <w:spacing w:after="20"/>
              <w:jc w:val="right"/>
            </w:pPr>
            <w:r>
              <w:rPr>
                <w:color w:val="1C3A36"/>
                <w:sz w:val="16"/>
              </w:rPr>
              <w:t>3.950</w:t>
            </w:r>
          </w:p>
        </w:tc>
        <w:tc>
          <w:tcPr>
            <w:tcW w:type="dxa" w:w="1037"/>
          </w:tcPr>
          <w:p>
            <w:pPr>
              <w:spacing w:after="20"/>
              <w:jc w:val="right"/>
            </w:pPr>
            <w:r>
              <w:rPr>
                <w:color w:val="1C3A36"/>
                <w:sz w:val="16"/>
              </w:rPr>
              <w:t>4.025</w:t>
            </w:r>
          </w:p>
        </w:tc>
        <w:tc>
          <w:tcPr>
            <w:tcW w:type="dxa" w:w="1037"/>
          </w:tcPr>
          <w:p>
            <w:pPr>
              <w:spacing w:after="20"/>
              <w:jc w:val="right"/>
            </w:pPr>
            <w:r>
              <w:rPr>
                <w:color w:val="1C3A36"/>
                <w:sz w:val="16"/>
              </w:rPr>
              <w:t>4.075</w:t>
            </w:r>
          </w:p>
        </w:tc>
        <w:tc>
          <w:tcPr>
            <w:tcW w:type="dxa" w:w="1037"/>
          </w:tcPr>
          <w:p>
            <w:pPr>
              <w:spacing w:after="20"/>
              <w:jc w:val="right"/>
            </w:pPr>
            <w:r>
              <w:rPr>
                <w:color w:val="1C3A36"/>
                <w:sz w:val="16"/>
              </w:rPr>
              <w:t>4.110</w:t>
            </w:r>
          </w:p>
        </w:tc>
      </w:tr>
      <w:tr>
        <w:tc>
          <w:tcPr>
            <w:tcW w:type="dxa" w:w="2189"/>
          </w:tcPr>
          <w:p>
            <w:pPr>
              <w:spacing w:after="20"/>
            </w:pPr>
            <w:r>
              <w:rPr>
                <w:color w:val="1C3A36"/>
                <w:sz w:val="16"/>
              </w:rPr>
              <w:t>Realised price (EGP/t)</w:t>
            </w:r>
          </w:p>
        </w:tc>
        <w:tc>
          <w:tcPr>
            <w:tcW w:type="dxa" w:w="1037"/>
          </w:tcPr>
          <w:p>
            <w:pPr>
              <w:spacing w:after="20"/>
              <w:jc w:val="right"/>
            </w:pPr>
            <w:r>
              <w:rPr>
                <w:color w:val="1C3A36"/>
                <w:sz w:val="16"/>
              </w:rPr>
              <w:t>1,830</w:t>
            </w:r>
          </w:p>
        </w:tc>
        <w:tc>
          <w:tcPr>
            <w:tcW w:type="dxa" w:w="1037"/>
          </w:tcPr>
          <w:p>
            <w:pPr>
              <w:spacing w:after="20"/>
              <w:jc w:val="right"/>
            </w:pPr>
            <w:r>
              <w:rPr>
                <w:color w:val="1C3A36"/>
                <w:sz w:val="16"/>
              </w:rPr>
              <w:t>2,552</w:t>
            </w:r>
          </w:p>
        </w:tc>
        <w:tc>
          <w:tcPr>
            <w:tcW w:type="dxa" w:w="1037"/>
          </w:tcPr>
          <w:p>
            <w:pPr>
              <w:spacing w:after="20"/>
              <w:jc w:val="right"/>
            </w:pPr>
            <w:r>
              <w:rPr>
                <w:color w:val="1C3A36"/>
                <w:sz w:val="16"/>
              </w:rPr>
              <w:t>3,458</w:t>
            </w:r>
          </w:p>
        </w:tc>
        <w:tc>
          <w:tcPr>
            <w:tcW w:type="dxa" w:w="1037"/>
          </w:tcPr>
          <w:p>
            <w:pPr>
              <w:spacing w:after="20"/>
              <w:jc w:val="right"/>
            </w:pPr>
            <w:r>
              <w:rPr>
                <w:color w:val="1C3A36"/>
                <w:sz w:val="16"/>
              </w:rPr>
              <w:t>3,532</w:t>
            </w:r>
          </w:p>
        </w:tc>
        <w:tc>
          <w:tcPr>
            <w:tcW w:type="dxa" w:w="1037"/>
          </w:tcPr>
          <w:p>
            <w:pPr>
              <w:spacing w:after="20"/>
              <w:jc w:val="right"/>
            </w:pPr>
            <w:r>
              <w:rPr>
                <w:color w:val="1C3A36"/>
                <w:sz w:val="16"/>
              </w:rPr>
              <w:t>3,692</w:t>
            </w:r>
          </w:p>
        </w:tc>
        <w:tc>
          <w:tcPr>
            <w:tcW w:type="dxa" w:w="1037"/>
          </w:tcPr>
          <w:p>
            <w:pPr>
              <w:spacing w:after="20"/>
              <w:jc w:val="right"/>
            </w:pPr>
            <w:r>
              <w:rPr>
                <w:color w:val="1C3A36"/>
                <w:sz w:val="16"/>
              </w:rPr>
              <w:t>3,846</w:t>
            </w:r>
          </w:p>
        </w:tc>
        <w:tc>
          <w:tcPr>
            <w:tcW w:type="dxa" w:w="1037"/>
          </w:tcPr>
          <w:p>
            <w:pPr>
              <w:spacing w:after="20"/>
              <w:jc w:val="right"/>
            </w:pPr>
            <w:r>
              <w:rPr>
                <w:color w:val="1C3A36"/>
                <w:sz w:val="16"/>
              </w:rPr>
              <w:t>4,005</w:t>
            </w:r>
          </w:p>
        </w:tc>
        <w:tc>
          <w:tcPr>
            <w:tcW w:type="dxa" w:w="1037"/>
          </w:tcPr>
          <w:p>
            <w:pPr>
              <w:spacing w:after="20"/>
              <w:jc w:val="right"/>
            </w:pPr>
            <w:r>
              <w:rPr>
                <w:color w:val="1C3A36"/>
                <w:sz w:val="16"/>
              </w:rPr>
              <w:t>4,152</w:t>
            </w:r>
          </w:p>
        </w:tc>
      </w:tr>
    </w:tbl>
    <w:p>
      <w:pPr>
        <w:spacing w:after="40"/>
      </w:pPr>
    </w:p>
    <w:p>
      <w:pPr>
        <w:spacing w:after="200" w:before="0"/>
      </w:pPr>
      <w:r>
        <w:rPr>
          <w:b w:val="0"/>
          <w:i/>
          <w:color w:val="6E7B77"/>
          <w:sz w:val="17"/>
        </w:rPr>
        <w:t>Table A1 — Three years historical and five forecast. Revenue and attributable profit for FY2023-FY2025 and FY2025 operating income are as disclosed; every other historical line is derived by closing the disclosed profit. Earnings per share here is attributable profit over the current share count and so reads EGP 9.60 for FY2025; the company's own published figure is EGP 9.49, the difference of about 1.2% being the statutory employees' and directors' share of profit.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96"/>
        <w:gridCol w:w="1296"/>
        <w:gridCol w:w="1296"/>
        <w:gridCol w:w="1296"/>
        <w:gridCol w:w="1296"/>
        <w:gridCol w:w="1296"/>
      </w:tblGrid>
      <w:tr>
        <w:tc>
          <w:tcPr>
            <w:tcW w:type="dxa" w:w="2736"/>
            <w:shd w:val="clear" w:color="auto" w:fill="EAF0EE"/>
          </w:tcPr>
          <w:p>
            <w:pPr>
              <w:spacing w:after="20"/>
            </w:pPr>
            <w:r>
              <w:rPr>
                <w:b/>
                <w:color w:val="1C3A36"/>
                <w:sz w:val="16"/>
              </w:rPr>
              <w:t>EGP mn</w:t>
            </w:r>
          </w:p>
        </w:tc>
        <w:tc>
          <w:tcPr>
            <w:tcW w:type="dxa" w:w="1296"/>
            <w:shd w:val="clear" w:color="auto" w:fill="EAF0EE"/>
          </w:tcPr>
          <w:p>
            <w:pPr>
              <w:spacing w:after="20"/>
            </w:pPr>
            <w:r>
              <w:rPr>
                <w:b/>
                <w:color w:val="1C3A36"/>
                <w:sz w:val="16"/>
              </w:rPr>
              <w:t>FY2025</w:t>
            </w:r>
          </w:p>
        </w:tc>
        <w:tc>
          <w:tcPr>
            <w:tcW w:type="dxa" w:w="1296"/>
            <w:shd w:val="clear" w:color="auto" w:fill="EAF0EE"/>
          </w:tcPr>
          <w:p>
            <w:pPr>
              <w:spacing w:after="20"/>
            </w:pPr>
            <w:r>
              <w:rPr>
                <w:b/>
                <w:color w:val="1C3A36"/>
                <w:sz w:val="16"/>
              </w:rPr>
              <w:t>FY2026E</w:t>
            </w:r>
          </w:p>
        </w:tc>
        <w:tc>
          <w:tcPr>
            <w:tcW w:type="dxa" w:w="1296"/>
            <w:shd w:val="clear" w:color="auto" w:fill="EAF0EE"/>
          </w:tcPr>
          <w:p>
            <w:pPr>
              <w:spacing w:after="20"/>
            </w:pPr>
            <w:r>
              <w:rPr>
                <w:b/>
                <w:color w:val="1C3A36"/>
                <w:sz w:val="16"/>
              </w:rPr>
              <w:t>FY2027E</w:t>
            </w:r>
          </w:p>
        </w:tc>
        <w:tc>
          <w:tcPr>
            <w:tcW w:type="dxa" w:w="1296"/>
            <w:shd w:val="clear" w:color="auto" w:fill="EAF0EE"/>
          </w:tcPr>
          <w:p>
            <w:pPr>
              <w:spacing w:after="20"/>
            </w:pPr>
            <w:r>
              <w:rPr>
                <w:b/>
                <w:color w:val="1C3A36"/>
                <w:sz w:val="16"/>
              </w:rPr>
              <w:t>FY2028E</w:t>
            </w:r>
          </w:p>
        </w:tc>
        <w:tc>
          <w:tcPr>
            <w:tcW w:type="dxa" w:w="1296"/>
            <w:shd w:val="clear" w:color="auto" w:fill="EAF0EE"/>
          </w:tcPr>
          <w:p>
            <w:pPr>
              <w:spacing w:after="20"/>
            </w:pPr>
            <w:r>
              <w:rPr>
                <w:b/>
                <w:color w:val="1C3A36"/>
                <w:sz w:val="16"/>
              </w:rPr>
              <w:t>FY2029E</w:t>
            </w:r>
          </w:p>
        </w:tc>
        <w:tc>
          <w:tcPr>
            <w:tcW w:type="dxa" w:w="1296"/>
            <w:shd w:val="clear" w:color="auto" w:fill="EAF0EE"/>
          </w:tcPr>
          <w:p>
            <w:pPr>
              <w:spacing w:after="20"/>
            </w:pPr>
            <w:r>
              <w:rPr>
                <w:b/>
                <w:color w:val="1C3A36"/>
                <w:sz w:val="16"/>
              </w:rPr>
              <w:t>FY2030E</w:t>
            </w:r>
          </w:p>
        </w:tc>
      </w:tr>
      <w:tr>
        <w:tc>
          <w:tcPr>
            <w:tcW w:type="dxa" w:w="2736"/>
          </w:tcPr>
          <w:p>
            <w:pPr>
              <w:spacing w:after="20"/>
            </w:pPr>
            <w:r>
              <w:rPr>
                <w:color w:val="1C3A36"/>
                <w:sz w:val="16"/>
              </w:rPr>
              <w:t>Net property, plant and equipment</w:t>
            </w:r>
          </w:p>
        </w:tc>
        <w:tc>
          <w:tcPr>
            <w:tcW w:type="dxa" w:w="1296"/>
          </w:tcPr>
          <w:p>
            <w:pPr>
              <w:spacing w:after="20"/>
              <w:jc w:val="right"/>
            </w:pPr>
            <w:r>
              <w:rPr>
                <w:color w:val="1C3A36"/>
                <w:sz w:val="16"/>
              </w:rPr>
              <w:t>3,089</w:t>
            </w:r>
          </w:p>
        </w:tc>
        <w:tc>
          <w:tcPr>
            <w:tcW w:type="dxa" w:w="1296"/>
          </w:tcPr>
          <w:p>
            <w:pPr>
              <w:spacing w:after="20"/>
              <w:jc w:val="right"/>
            </w:pPr>
            <w:r>
              <w:rPr>
                <w:color w:val="1C3A36"/>
                <w:sz w:val="16"/>
              </w:rPr>
              <w:t>3,762</w:t>
            </w:r>
          </w:p>
        </w:tc>
        <w:tc>
          <w:tcPr>
            <w:tcW w:type="dxa" w:w="1296"/>
          </w:tcPr>
          <w:p>
            <w:pPr>
              <w:spacing w:after="20"/>
              <w:jc w:val="right"/>
            </w:pPr>
            <w:r>
              <w:rPr>
                <w:color w:val="1C3A36"/>
                <w:sz w:val="16"/>
              </w:rPr>
              <w:t>4,416</w:t>
            </w:r>
          </w:p>
        </w:tc>
        <w:tc>
          <w:tcPr>
            <w:tcW w:type="dxa" w:w="1296"/>
          </w:tcPr>
          <w:p>
            <w:pPr>
              <w:spacing w:after="20"/>
              <w:jc w:val="right"/>
            </w:pPr>
            <w:r>
              <w:rPr>
                <w:color w:val="1C3A36"/>
                <w:sz w:val="16"/>
              </w:rPr>
              <w:t>5,052</w:t>
            </w:r>
          </w:p>
        </w:tc>
        <w:tc>
          <w:tcPr>
            <w:tcW w:type="dxa" w:w="1296"/>
          </w:tcPr>
          <w:p>
            <w:pPr>
              <w:spacing w:after="20"/>
              <w:jc w:val="right"/>
            </w:pPr>
            <w:r>
              <w:rPr>
                <w:color w:val="1C3A36"/>
                <w:sz w:val="16"/>
              </w:rPr>
              <w:t>5,669</w:t>
            </w:r>
          </w:p>
        </w:tc>
        <w:tc>
          <w:tcPr>
            <w:tcW w:type="dxa" w:w="1296"/>
          </w:tcPr>
          <w:p>
            <w:pPr>
              <w:spacing w:after="20"/>
              <w:jc w:val="right"/>
            </w:pPr>
            <w:r>
              <w:rPr>
                <w:color w:val="1C3A36"/>
                <w:sz w:val="16"/>
              </w:rPr>
              <w:t>6,285</w:t>
            </w:r>
          </w:p>
        </w:tc>
      </w:tr>
      <w:tr>
        <w:tc>
          <w:tcPr>
            <w:tcW w:type="dxa" w:w="2736"/>
          </w:tcPr>
          <w:p>
            <w:pPr>
              <w:spacing w:after="20"/>
            </w:pPr>
            <w:r>
              <w:rPr>
                <w:color w:val="1C3A36"/>
                <w:sz w:val="16"/>
              </w:rPr>
              <w:t>Working capital</w:t>
            </w:r>
          </w:p>
        </w:tc>
        <w:tc>
          <w:tcPr>
            <w:tcW w:type="dxa" w:w="1296"/>
          </w:tcPr>
          <w:p>
            <w:pPr>
              <w:spacing w:after="20"/>
              <w:jc w:val="right"/>
            </w:pPr>
            <w:r>
              <w:rPr>
                <w:color w:val="1C3A36"/>
                <w:sz w:val="16"/>
              </w:rPr>
              <w:t>2,235</w:t>
            </w:r>
          </w:p>
        </w:tc>
        <w:tc>
          <w:tcPr>
            <w:tcW w:type="dxa" w:w="1296"/>
          </w:tcPr>
          <w:p>
            <w:pPr>
              <w:spacing w:after="20"/>
              <w:jc w:val="right"/>
            </w:pPr>
            <w:r>
              <w:rPr>
                <w:color w:val="1C3A36"/>
                <w:sz w:val="16"/>
              </w:rPr>
              <w:t>2,369</w:t>
            </w:r>
          </w:p>
        </w:tc>
        <w:tc>
          <w:tcPr>
            <w:tcW w:type="dxa" w:w="1296"/>
          </w:tcPr>
          <w:p>
            <w:pPr>
              <w:spacing w:after="20"/>
              <w:jc w:val="right"/>
            </w:pPr>
            <w:r>
              <w:rPr>
                <w:color w:val="1C3A36"/>
                <w:sz w:val="16"/>
              </w:rPr>
              <w:t>2,492</w:t>
            </w:r>
          </w:p>
        </w:tc>
        <w:tc>
          <w:tcPr>
            <w:tcW w:type="dxa" w:w="1296"/>
          </w:tcPr>
          <w:p>
            <w:pPr>
              <w:spacing w:after="20"/>
              <w:jc w:val="right"/>
            </w:pPr>
            <w:r>
              <w:rPr>
                <w:color w:val="1C3A36"/>
                <w:sz w:val="16"/>
              </w:rPr>
              <w:t>2,599</w:t>
            </w:r>
          </w:p>
        </w:tc>
        <w:tc>
          <w:tcPr>
            <w:tcW w:type="dxa" w:w="1296"/>
          </w:tcPr>
          <w:p>
            <w:pPr>
              <w:spacing w:after="20"/>
              <w:jc w:val="right"/>
            </w:pPr>
            <w:r>
              <w:rPr>
                <w:color w:val="1C3A36"/>
                <w:sz w:val="16"/>
              </w:rPr>
              <w:t>2,700</w:t>
            </w:r>
          </w:p>
        </w:tc>
        <w:tc>
          <w:tcPr>
            <w:tcW w:type="dxa" w:w="1296"/>
          </w:tcPr>
          <w:p>
            <w:pPr>
              <w:spacing w:after="20"/>
              <w:jc w:val="right"/>
            </w:pPr>
            <w:r>
              <w:rPr>
                <w:color w:val="1C3A36"/>
                <w:sz w:val="16"/>
              </w:rPr>
              <w:t>2,789</w:t>
            </w:r>
          </w:p>
        </w:tc>
      </w:tr>
      <w:tr>
        <w:tc>
          <w:tcPr>
            <w:tcW w:type="dxa" w:w="2736"/>
          </w:tcPr>
          <w:p>
            <w:pPr>
              <w:spacing w:after="20"/>
            </w:pPr>
            <w:r>
              <w:rPr>
                <w:color w:val="1C3A36"/>
                <w:sz w:val="16"/>
              </w:rPr>
              <w:t>Cash and equivalents</w:t>
            </w:r>
          </w:p>
        </w:tc>
        <w:tc>
          <w:tcPr>
            <w:tcW w:type="dxa" w:w="1296"/>
          </w:tcPr>
          <w:p>
            <w:pPr>
              <w:spacing w:after="20"/>
              <w:jc w:val="right"/>
            </w:pPr>
            <w:r>
              <w:rPr>
                <w:color w:val="1C3A36"/>
                <w:sz w:val="16"/>
              </w:rPr>
              <w:t>3,459</w:t>
            </w:r>
          </w:p>
        </w:tc>
        <w:tc>
          <w:tcPr>
            <w:tcW w:type="dxa" w:w="1296"/>
          </w:tcPr>
          <w:p>
            <w:pPr>
              <w:spacing w:after="20"/>
              <w:jc w:val="right"/>
            </w:pPr>
            <w:r>
              <w:rPr>
                <w:color w:val="1C3A36"/>
                <w:sz w:val="16"/>
              </w:rPr>
              <w:t>4,235</w:t>
            </w:r>
          </w:p>
        </w:tc>
        <w:tc>
          <w:tcPr>
            <w:tcW w:type="dxa" w:w="1296"/>
          </w:tcPr>
          <w:p>
            <w:pPr>
              <w:spacing w:after="20"/>
              <w:jc w:val="right"/>
            </w:pPr>
            <w:r>
              <w:rPr>
                <w:color w:val="1C3A36"/>
                <w:sz w:val="16"/>
              </w:rPr>
              <w:t>5,082</w:t>
            </w:r>
          </w:p>
        </w:tc>
        <w:tc>
          <w:tcPr>
            <w:tcW w:type="dxa" w:w="1296"/>
          </w:tcPr>
          <w:p>
            <w:pPr>
              <w:spacing w:after="20"/>
              <w:jc w:val="right"/>
            </w:pPr>
            <w:r>
              <w:rPr>
                <w:color w:val="1C3A36"/>
                <w:sz w:val="16"/>
              </w:rPr>
              <w:t>5,974</w:t>
            </w:r>
          </w:p>
        </w:tc>
        <w:tc>
          <w:tcPr>
            <w:tcW w:type="dxa" w:w="1296"/>
          </w:tcPr>
          <w:p>
            <w:pPr>
              <w:spacing w:after="20"/>
              <w:jc w:val="right"/>
            </w:pPr>
            <w:r>
              <w:rPr>
                <w:color w:val="1C3A36"/>
                <w:sz w:val="16"/>
              </w:rPr>
              <w:t>6,899</w:t>
            </w:r>
          </w:p>
        </w:tc>
        <w:tc>
          <w:tcPr>
            <w:tcW w:type="dxa" w:w="1296"/>
          </w:tcPr>
          <w:p>
            <w:pPr>
              <w:spacing w:after="20"/>
              <w:jc w:val="right"/>
            </w:pPr>
            <w:r>
              <w:rPr>
                <w:color w:val="1C3A36"/>
                <w:sz w:val="16"/>
              </w:rPr>
              <w:t>7,840</w:t>
            </w:r>
          </w:p>
        </w:tc>
      </w:tr>
      <w:tr>
        <w:tc>
          <w:tcPr>
            <w:tcW w:type="dxa" w:w="2736"/>
            <w:shd w:val="clear" w:color="auto" w:fill="F6F1E6"/>
          </w:tcPr>
          <w:p>
            <w:pPr>
              <w:spacing w:after="20"/>
            </w:pPr>
            <w:r>
              <w:rPr>
                <w:b/>
                <w:color w:val="1C3A36"/>
                <w:sz w:val="16"/>
              </w:rPr>
              <w:t>Total assets</w:t>
            </w:r>
          </w:p>
        </w:tc>
        <w:tc>
          <w:tcPr>
            <w:tcW w:type="dxa" w:w="1296"/>
            <w:shd w:val="clear" w:color="auto" w:fill="F6F1E6"/>
          </w:tcPr>
          <w:p>
            <w:pPr>
              <w:spacing w:after="20"/>
              <w:jc w:val="right"/>
            </w:pPr>
            <w:r>
              <w:rPr>
                <w:b/>
                <w:color w:val="1C3A36"/>
                <w:sz w:val="16"/>
              </w:rPr>
              <w:t>8,784</w:t>
            </w:r>
          </w:p>
        </w:tc>
        <w:tc>
          <w:tcPr>
            <w:tcW w:type="dxa" w:w="1296"/>
            <w:shd w:val="clear" w:color="auto" w:fill="F6F1E6"/>
          </w:tcPr>
          <w:p>
            <w:pPr>
              <w:spacing w:after="20"/>
              <w:jc w:val="right"/>
            </w:pPr>
            <w:r>
              <w:rPr>
                <w:b/>
                <w:color w:val="1C3A36"/>
                <w:sz w:val="16"/>
              </w:rPr>
              <w:t>10,366</w:t>
            </w:r>
          </w:p>
        </w:tc>
        <w:tc>
          <w:tcPr>
            <w:tcW w:type="dxa" w:w="1296"/>
            <w:shd w:val="clear" w:color="auto" w:fill="F6F1E6"/>
          </w:tcPr>
          <w:p>
            <w:pPr>
              <w:spacing w:after="20"/>
              <w:jc w:val="right"/>
            </w:pPr>
            <w:r>
              <w:rPr>
                <w:b/>
                <w:color w:val="1C3A36"/>
                <w:sz w:val="16"/>
              </w:rPr>
              <w:t>11,990</w:t>
            </w:r>
          </w:p>
        </w:tc>
        <w:tc>
          <w:tcPr>
            <w:tcW w:type="dxa" w:w="1296"/>
            <w:shd w:val="clear" w:color="auto" w:fill="F6F1E6"/>
          </w:tcPr>
          <w:p>
            <w:pPr>
              <w:spacing w:after="20"/>
              <w:jc w:val="right"/>
            </w:pPr>
            <w:r>
              <w:rPr>
                <w:b/>
                <w:color w:val="1C3A36"/>
                <w:sz w:val="16"/>
              </w:rPr>
              <w:t>13,625</w:t>
            </w:r>
          </w:p>
        </w:tc>
        <w:tc>
          <w:tcPr>
            <w:tcW w:type="dxa" w:w="1296"/>
            <w:shd w:val="clear" w:color="auto" w:fill="F6F1E6"/>
          </w:tcPr>
          <w:p>
            <w:pPr>
              <w:spacing w:after="20"/>
              <w:jc w:val="right"/>
            </w:pPr>
            <w:r>
              <w:rPr>
                <w:b/>
                <w:color w:val="1C3A36"/>
                <w:sz w:val="16"/>
              </w:rPr>
              <w:t>15,268</w:t>
            </w:r>
          </w:p>
        </w:tc>
        <w:tc>
          <w:tcPr>
            <w:tcW w:type="dxa" w:w="1296"/>
            <w:shd w:val="clear" w:color="auto" w:fill="F6F1E6"/>
          </w:tcPr>
          <w:p>
            <w:pPr>
              <w:spacing w:after="20"/>
              <w:jc w:val="right"/>
            </w:pPr>
            <w:r>
              <w:rPr>
                <w:b/>
                <w:color w:val="1C3A36"/>
                <w:sz w:val="16"/>
              </w:rPr>
              <w:t>16,914</w:t>
            </w:r>
          </w:p>
        </w:tc>
      </w:tr>
      <w:tr>
        <w:tc>
          <w:tcPr>
            <w:tcW w:type="dxa" w:w="2736"/>
          </w:tcPr>
          <w:p>
            <w:pPr>
              <w:spacing w:after="20"/>
            </w:pPr>
            <w:r>
              <w:rPr>
                <w:color w:val="1C3A36"/>
                <w:sz w:val="16"/>
              </w:rPr>
              <w:t>Total debt</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r>
      <w:tr>
        <w:tc>
          <w:tcPr>
            <w:tcW w:type="dxa" w:w="2736"/>
          </w:tcPr>
          <w:p>
            <w:pPr>
              <w:spacing w:after="20"/>
            </w:pPr>
            <w:r>
              <w:rPr>
                <w:color w:val="1C3A36"/>
                <w:sz w:val="16"/>
              </w:rPr>
              <w:t>Total equity</w:t>
            </w:r>
          </w:p>
        </w:tc>
        <w:tc>
          <w:tcPr>
            <w:tcW w:type="dxa" w:w="1296"/>
          </w:tcPr>
          <w:p>
            <w:pPr>
              <w:spacing w:after="20"/>
              <w:jc w:val="right"/>
            </w:pPr>
            <w:r>
              <w:rPr>
                <w:color w:val="1C3A36"/>
                <w:sz w:val="16"/>
              </w:rPr>
              <w:t>4,643</w:t>
            </w:r>
          </w:p>
        </w:tc>
        <w:tc>
          <w:tcPr>
            <w:tcW w:type="dxa" w:w="1296"/>
          </w:tcPr>
          <w:p>
            <w:pPr>
              <w:spacing w:after="20"/>
              <w:jc w:val="right"/>
            </w:pPr>
            <w:r>
              <w:rPr>
                <w:color w:val="1C3A36"/>
                <w:sz w:val="16"/>
              </w:rPr>
              <w:t>6,225</w:t>
            </w:r>
          </w:p>
        </w:tc>
        <w:tc>
          <w:tcPr>
            <w:tcW w:type="dxa" w:w="1296"/>
          </w:tcPr>
          <w:p>
            <w:pPr>
              <w:spacing w:after="20"/>
              <w:jc w:val="right"/>
            </w:pPr>
            <w:r>
              <w:rPr>
                <w:color w:val="1C3A36"/>
                <w:sz w:val="16"/>
              </w:rPr>
              <w:t>7,849</w:t>
            </w:r>
          </w:p>
        </w:tc>
        <w:tc>
          <w:tcPr>
            <w:tcW w:type="dxa" w:w="1296"/>
          </w:tcPr>
          <w:p>
            <w:pPr>
              <w:spacing w:after="20"/>
              <w:jc w:val="right"/>
            </w:pPr>
            <w:r>
              <w:rPr>
                <w:color w:val="1C3A36"/>
                <w:sz w:val="16"/>
              </w:rPr>
              <w:t>9,484</w:t>
            </w:r>
          </w:p>
        </w:tc>
        <w:tc>
          <w:tcPr>
            <w:tcW w:type="dxa" w:w="1296"/>
          </w:tcPr>
          <w:p>
            <w:pPr>
              <w:spacing w:after="20"/>
              <w:jc w:val="right"/>
            </w:pPr>
            <w:r>
              <w:rPr>
                <w:color w:val="1C3A36"/>
                <w:sz w:val="16"/>
              </w:rPr>
              <w:t>11,127</w:t>
            </w:r>
          </w:p>
        </w:tc>
        <w:tc>
          <w:tcPr>
            <w:tcW w:type="dxa" w:w="1296"/>
          </w:tcPr>
          <w:p>
            <w:pPr>
              <w:spacing w:after="20"/>
              <w:jc w:val="right"/>
            </w:pPr>
            <w:r>
              <w:rPr>
                <w:color w:val="1C3A36"/>
                <w:sz w:val="16"/>
              </w:rPr>
              <w:t>12,773</w:t>
            </w:r>
          </w:p>
        </w:tc>
      </w:tr>
      <w:tr>
        <w:tc>
          <w:tcPr>
            <w:tcW w:type="dxa" w:w="2736"/>
          </w:tcPr>
          <w:p>
            <w:pPr>
              <w:spacing w:after="20"/>
            </w:pPr>
            <w:r>
              <w:rPr>
                <w:color w:val="1C3A36"/>
                <w:sz w:val="16"/>
              </w:rPr>
              <w:t>Net (cash) / debt</w:t>
            </w:r>
          </w:p>
        </w:tc>
        <w:tc>
          <w:tcPr>
            <w:tcW w:type="dxa" w:w="1296"/>
          </w:tcPr>
          <w:p>
            <w:pPr>
              <w:spacing w:after="20"/>
              <w:jc w:val="right"/>
            </w:pPr>
            <w:r>
              <w:rPr>
                <w:color w:val="1C3A36"/>
                <w:sz w:val="16"/>
              </w:rPr>
              <w:t>-2,424</w:t>
            </w:r>
          </w:p>
        </w:tc>
        <w:tc>
          <w:tcPr>
            <w:tcW w:type="dxa" w:w="1296"/>
          </w:tcPr>
          <w:p>
            <w:pPr>
              <w:spacing w:after="20"/>
              <w:jc w:val="right"/>
            </w:pPr>
            <w:r>
              <w:rPr>
                <w:color w:val="1C3A36"/>
                <w:sz w:val="16"/>
              </w:rPr>
              <w:t>-3,200</w:t>
            </w:r>
          </w:p>
        </w:tc>
        <w:tc>
          <w:tcPr>
            <w:tcW w:type="dxa" w:w="1296"/>
          </w:tcPr>
          <w:p>
            <w:pPr>
              <w:spacing w:after="20"/>
              <w:jc w:val="right"/>
            </w:pPr>
            <w:r>
              <w:rPr>
                <w:color w:val="1C3A36"/>
                <w:sz w:val="16"/>
              </w:rPr>
              <w:t>-4,047</w:t>
            </w:r>
          </w:p>
        </w:tc>
        <w:tc>
          <w:tcPr>
            <w:tcW w:type="dxa" w:w="1296"/>
          </w:tcPr>
          <w:p>
            <w:pPr>
              <w:spacing w:after="20"/>
              <w:jc w:val="right"/>
            </w:pPr>
            <w:r>
              <w:rPr>
                <w:color w:val="1C3A36"/>
                <w:sz w:val="16"/>
              </w:rPr>
              <w:t>-4,939</w:t>
            </w:r>
          </w:p>
        </w:tc>
        <w:tc>
          <w:tcPr>
            <w:tcW w:type="dxa" w:w="1296"/>
          </w:tcPr>
          <w:p>
            <w:pPr>
              <w:spacing w:after="20"/>
              <w:jc w:val="right"/>
            </w:pPr>
            <w:r>
              <w:rPr>
                <w:color w:val="1C3A36"/>
                <w:sz w:val="16"/>
              </w:rPr>
              <w:t>-5,864</w:t>
            </w:r>
          </w:p>
        </w:tc>
        <w:tc>
          <w:tcPr>
            <w:tcW w:type="dxa" w:w="1296"/>
          </w:tcPr>
          <w:p>
            <w:pPr>
              <w:spacing w:after="20"/>
              <w:jc w:val="right"/>
            </w:pPr>
            <w:r>
              <w:rPr>
                <w:color w:val="1C3A36"/>
                <w:sz w:val="16"/>
              </w:rPr>
              <w:t>-6,805</w:t>
            </w:r>
          </w:p>
        </w:tc>
      </w:tr>
      <w:tr>
        <w:tc>
          <w:tcPr>
            <w:tcW w:type="dxa" w:w="2736"/>
          </w:tcPr>
          <w:p>
            <w:pPr>
              <w:spacing w:after="20"/>
            </w:pPr>
            <w:r>
              <w:rPr>
                <w:color w:val="1C3A36"/>
                <w:sz w:val="16"/>
              </w:rPr>
              <w:t>Book value per share (EGP)</w:t>
            </w:r>
          </w:p>
        </w:tc>
        <w:tc>
          <w:tcPr>
            <w:tcW w:type="dxa" w:w="1296"/>
          </w:tcPr>
          <w:p>
            <w:pPr>
              <w:spacing w:after="20"/>
              <w:jc w:val="right"/>
            </w:pPr>
            <w:r>
              <w:rPr>
                <w:color w:val="1C3A36"/>
                <w:sz w:val="16"/>
              </w:rPr>
              <w:t>12.38</w:t>
            </w:r>
          </w:p>
        </w:tc>
        <w:tc>
          <w:tcPr>
            <w:tcW w:type="dxa" w:w="1296"/>
          </w:tcPr>
          <w:p>
            <w:pPr>
              <w:spacing w:after="20"/>
              <w:jc w:val="right"/>
            </w:pPr>
            <w:r>
              <w:rPr>
                <w:color w:val="1C3A36"/>
                <w:sz w:val="16"/>
              </w:rPr>
              <w:t>16.61</w:t>
            </w:r>
          </w:p>
        </w:tc>
        <w:tc>
          <w:tcPr>
            <w:tcW w:type="dxa" w:w="1296"/>
          </w:tcPr>
          <w:p>
            <w:pPr>
              <w:spacing w:after="20"/>
              <w:jc w:val="right"/>
            </w:pPr>
            <w:r>
              <w:rPr>
                <w:color w:val="1C3A36"/>
                <w:sz w:val="16"/>
              </w:rPr>
              <w:t>20.94</w:t>
            </w:r>
          </w:p>
        </w:tc>
        <w:tc>
          <w:tcPr>
            <w:tcW w:type="dxa" w:w="1296"/>
          </w:tcPr>
          <w:p>
            <w:pPr>
              <w:spacing w:after="20"/>
              <w:jc w:val="right"/>
            </w:pPr>
            <w:r>
              <w:rPr>
                <w:color w:val="1C3A36"/>
                <w:sz w:val="16"/>
              </w:rPr>
              <w:t>25.30</w:t>
            </w:r>
          </w:p>
        </w:tc>
        <w:tc>
          <w:tcPr>
            <w:tcW w:type="dxa" w:w="1296"/>
          </w:tcPr>
          <w:p>
            <w:pPr>
              <w:spacing w:after="20"/>
              <w:jc w:val="right"/>
            </w:pPr>
            <w:r>
              <w:rPr>
                <w:color w:val="1C3A36"/>
                <w:sz w:val="16"/>
              </w:rPr>
              <w:t>29.68</w:t>
            </w:r>
          </w:p>
        </w:tc>
        <w:tc>
          <w:tcPr>
            <w:tcW w:type="dxa" w:w="1296"/>
          </w:tcPr>
          <w:p>
            <w:pPr>
              <w:spacing w:after="20"/>
              <w:jc w:val="right"/>
            </w:pPr>
            <w:r>
              <w:rPr>
                <w:color w:val="1C3A36"/>
                <w:sz w:val="16"/>
              </w:rPr>
              <w:t>34.07</w:t>
            </w:r>
          </w:p>
        </w:tc>
      </w:tr>
    </w:tbl>
    <w:p>
      <w:pPr>
        <w:spacing w:after="40"/>
      </w:pPr>
    </w:p>
    <w:p>
      <w:pPr>
        <w:spacing w:after="200" w:before="0"/>
      </w:pPr>
      <w:r>
        <w:rPr>
          <w:b w:val="0"/>
          <w:i/>
          <w:color w:val="6E7B77"/>
          <w:sz w:val="17"/>
        </w:rPr>
        <w:t>Table A2 — FY2023 and FY2024 balance sheets are not retrievable at the evidentiary standard used elsewhere and are left blank rather than reconstructed.</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3,597</w:t>
            </w:r>
          </w:p>
        </w:tc>
        <w:tc>
          <w:tcPr>
            <w:tcW w:type="dxa" w:w="1325"/>
          </w:tcPr>
          <w:p>
            <w:pPr>
              <w:spacing w:after="20"/>
              <w:jc w:val="right"/>
            </w:pPr>
            <w:r>
              <w:rPr>
                <w:color w:val="1C3A36"/>
                <w:sz w:val="17"/>
              </w:rPr>
              <w:t>3,689</w:t>
            </w:r>
          </w:p>
        </w:tc>
        <w:tc>
          <w:tcPr>
            <w:tcW w:type="dxa" w:w="1325"/>
          </w:tcPr>
          <w:p>
            <w:pPr>
              <w:spacing w:after="20"/>
              <w:jc w:val="right"/>
            </w:pPr>
            <w:r>
              <w:rPr>
                <w:color w:val="1C3A36"/>
                <w:sz w:val="17"/>
              </w:rPr>
              <w:t>3,717</w:t>
            </w:r>
          </w:p>
        </w:tc>
        <w:tc>
          <w:tcPr>
            <w:tcW w:type="dxa" w:w="1325"/>
          </w:tcPr>
          <w:p>
            <w:pPr>
              <w:spacing w:after="20"/>
              <w:jc w:val="right"/>
            </w:pPr>
            <w:r>
              <w:rPr>
                <w:color w:val="1C3A36"/>
                <w:sz w:val="17"/>
              </w:rPr>
              <w:t>3,733</w:t>
            </w:r>
          </w:p>
        </w:tc>
        <w:tc>
          <w:tcPr>
            <w:tcW w:type="dxa" w:w="1325"/>
          </w:tcPr>
          <w:p>
            <w:pPr>
              <w:spacing w:after="20"/>
              <w:jc w:val="right"/>
            </w:pPr>
            <w:r>
              <w:rPr>
                <w:color w:val="1C3A36"/>
                <w:sz w:val="17"/>
              </w:rPr>
              <w:t>3,741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339</w:t>
            </w:r>
          </w:p>
        </w:tc>
        <w:tc>
          <w:tcPr>
            <w:tcW w:type="dxa" w:w="1325"/>
          </w:tcPr>
          <w:p>
            <w:pPr>
              <w:spacing w:after="20"/>
              <w:jc w:val="right"/>
            </w:pPr>
            <w:r>
              <w:rPr>
                <w:color w:val="1C3A36"/>
                <w:sz w:val="17"/>
              </w:rPr>
              <w:t>408</w:t>
            </w:r>
          </w:p>
        </w:tc>
        <w:tc>
          <w:tcPr>
            <w:tcW w:type="dxa" w:w="1325"/>
          </w:tcPr>
          <w:p>
            <w:pPr>
              <w:spacing w:after="20"/>
              <w:jc w:val="right"/>
            </w:pPr>
            <w:r>
              <w:rPr>
                <w:color w:val="1C3A36"/>
                <w:sz w:val="17"/>
              </w:rPr>
              <w:t>480</w:t>
            </w:r>
          </w:p>
        </w:tc>
        <w:tc>
          <w:tcPr>
            <w:tcW w:type="dxa" w:w="1325"/>
          </w:tcPr>
          <w:p>
            <w:pPr>
              <w:spacing w:after="20"/>
              <w:jc w:val="right"/>
            </w:pPr>
            <w:r>
              <w:rPr>
                <w:color w:val="1C3A36"/>
                <w:sz w:val="17"/>
              </w:rPr>
              <w:t>555</w:t>
            </w:r>
          </w:p>
        </w:tc>
        <w:tc>
          <w:tcPr>
            <w:tcW w:type="dxa" w:w="1325"/>
          </w:tcPr>
          <w:p>
            <w:pPr>
              <w:spacing w:after="20"/>
              <w:jc w:val="right"/>
            </w:pPr>
            <w:r>
              <w:rPr>
                <w:color w:val="1C3A36"/>
                <w:sz w:val="17"/>
              </w:rPr>
              <w:t>614</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-134</w:t>
            </w:r>
          </w:p>
        </w:tc>
        <w:tc>
          <w:tcPr>
            <w:tcW w:type="dxa" w:w="1325"/>
          </w:tcPr>
          <w:p>
            <w:pPr>
              <w:spacing w:after="20"/>
              <w:jc w:val="right"/>
            </w:pPr>
            <w:r>
              <w:rPr>
                <w:color w:val="1C3A36"/>
                <w:sz w:val="17"/>
              </w:rPr>
              <w:t>-123</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-89</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-2,014</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-2,081</w:t>
            </w:r>
          </w:p>
        </w:tc>
        <w:tc>
          <w:tcPr>
            <w:tcW w:type="dxa" w:w="1325"/>
          </w:tcPr>
          <w:p>
            <w:pPr>
              <w:spacing w:after="20"/>
              <w:jc w:val="right"/>
            </w:pPr>
            <w:r>
              <w:rPr>
                <w:color w:val="1C3A36"/>
                <w:sz w:val="17"/>
              </w:rPr>
              <w:t>-2,091</w:t>
            </w:r>
          </w:p>
        </w:tc>
        <w:tc>
          <w:tcPr>
            <w:tcW w:type="dxa" w:w="1325"/>
          </w:tcPr>
          <w:p>
            <w:pPr>
              <w:spacing w:after="20"/>
              <w:jc w:val="right"/>
            </w:pPr>
            <w:r>
              <w:rPr>
                <w:color w:val="1C3A36"/>
                <w:sz w:val="17"/>
              </w:rPr>
              <w:t>-2,095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4,235</w:t>
            </w:r>
          </w:p>
        </w:tc>
        <w:tc>
          <w:tcPr>
            <w:tcW w:type="dxa" w:w="1325"/>
            <w:shd w:val="clear" w:color="auto" w:fill="F6F1E6"/>
          </w:tcPr>
          <w:p>
            <w:pPr>
              <w:spacing w:after="20"/>
              <w:jc w:val="right"/>
            </w:pPr>
            <w:r>
              <w:rPr>
                <w:b/>
                <w:color w:val="1C3A36"/>
                <w:sz w:val="17"/>
              </w:rPr>
              <w:t>5,082</w:t>
            </w:r>
          </w:p>
        </w:tc>
        <w:tc>
          <w:tcPr>
            <w:tcW w:type="dxa" w:w="1325"/>
            <w:shd w:val="clear" w:color="auto" w:fill="F6F1E6"/>
          </w:tcPr>
          <w:p>
            <w:pPr>
              <w:spacing w:after="20"/>
              <w:jc w:val="right"/>
            </w:pPr>
            <w:r>
              <w:rPr>
                <w:b/>
                <w:color w:val="1C3A36"/>
                <w:sz w:val="17"/>
              </w:rPr>
              <w:t>5,974</w:t>
            </w:r>
          </w:p>
        </w:tc>
        <w:tc>
          <w:tcPr>
            <w:tcW w:type="dxa" w:w="1325"/>
            <w:shd w:val="clear" w:color="auto" w:fill="F6F1E6"/>
          </w:tcPr>
          <w:p>
            <w:pPr>
              <w:spacing w:after="20"/>
              <w:jc w:val="right"/>
            </w:pPr>
            <w:r>
              <w:rPr>
                <w:b/>
                <w:color w:val="1C3A36"/>
                <w:sz w:val="17"/>
              </w:rPr>
              <w:t>6,899</w:t>
            </w:r>
          </w:p>
        </w:tc>
        <w:tc>
          <w:tcPr>
            <w:tcW w:type="dxa" w:w="1325"/>
            <w:shd w:val="clear" w:color="auto" w:fill="F6F1E6"/>
          </w:tcPr>
          <w:p>
            <w:pPr>
              <w:spacing w:after="20"/>
              <w:jc w:val="right"/>
            </w:pPr>
            <w:r>
              <w:rPr>
                <w:b/>
                <w:color w:val="1C3A36"/>
                <w:sz w:val="17"/>
              </w:rPr>
              <w:t>7,840</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1,041</w:t>
            </w:r>
          </w:p>
        </w:tc>
        <w:tc>
          <w:tcPr>
            <w:tcW w:type="dxa" w:w="1325"/>
          </w:tcPr>
          <w:p>
            <w:pPr>
              <w:spacing w:after="20"/>
              <w:jc w:val="right"/>
            </w:pPr>
            <w:r>
              <w:rPr>
                <w:color w:val="1C3A36"/>
                <w:sz w:val="17"/>
              </w:rPr>
              <w:t>2,574</w:t>
            </w:r>
          </w:p>
        </w:tc>
        <w:tc>
          <w:tcPr>
            <w:tcW w:type="dxa" w:w="1325"/>
          </w:tcPr>
          <w:p>
            <w:pPr>
              <w:spacing w:after="20"/>
              <w:jc w:val="right"/>
            </w:pPr>
            <w:r>
              <w:rPr>
                <w:color w:val="1C3A36"/>
                <w:sz w:val="17"/>
              </w:rPr>
              <w:t>2,577</w:t>
            </w:r>
          </w:p>
        </w:tc>
        <w:tc>
          <w:tcPr>
            <w:tcW w:type="dxa" w:w="1325"/>
          </w:tcPr>
          <w:p>
            <w:pPr>
              <w:spacing w:after="20"/>
              <w:jc w:val="right"/>
            </w:pPr>
            <w:r>
              <w:rPr>
                <w:color w:val="1C3A36"/>
                <w:sz w:val="17"/>
              </w:rPr>
              <w:t>2,562</w:t>
            </w:r>
          </w:p>
        </w:tc>
        <w:tc>
          <w:tcPr>
            <w:tcW w:type="dxa" w:w="1325"/>
          </w:tcPr>
          <w:p>
            <w:pPr>
              <w:spacing w:after="20"/>
              <w:jc w:val="right"/>
            </w:pPr>
            <w:r>
              <w:rPr>
                <w:color w:val="1C3A36"/>
                <w:sz w:val="17"/>
              </w:rPr>
              <w:t>2,513</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1512"/>
        <w:gridCol w:w="1728"/>
        <w:gridCol w:w="1368"/>
        <w:gridCol w:w="1224"/>
      </w:tblGrid>
      <w:tr>
        <w:tc>
          <w:tcPr>
            <w:tcW w:type="dxa" w:w="2664"/>
            <w:shd w:val="clear" w:color="auto" w:fill="EAF0EE"/>
          </w:tcPr>
          <w:p>
            <w:pPr>
              <w:spacing w:after="20"/>
            </w:pPr>
            <w:r>
              <w:rPr>
                <w:b/>
                <w:color w:val="1C3A36"/>
                <w:sz w:val="17"/>
              </w:rPr>
            </w:r>
          </w:p>
        </w:tc>
        <w:tc>
          <w:tcPr>
            <w:tcW w:type="dxa" w:w="1656"/>
            <w:shd w:val="clear" w:color="auto" w:fill="EAF0EE"/>
          </w:tcPr>
          <w:p>
            <w:pPr>
              <w:spacing w:after="20"/>
            </w:pPr>
            <w:r>
              <w:rPr>
                <w:b/>
                <w:color w:val="1C3A36"/>
                <w:sz w:val="17"/>
              </w:rPr>
              <w:t>Revenue (EGP mn)</w:t>
            </w:r>
          </w:p>
        </w:tc>
        <w:tc>
          <w:tcPr>
            <w:tcW w:type="dxa" w:w="1512"/>
            <w:shd w:val="clear" w:color="auto" w:fill="EAF0EE"/>
          </w:tcPr>
          <w:p>
            <w:pPr>
              <w:spacing w:after="20"/>
            </w:pPr>
            <w:r>
              <w:rPr>
                <w:b/>
                <w:color w:val="1C3A36"/>
                <w:sz w:val="17"/>
              </w:rPr>
              <w:t>Profit (EGP mn)</w:t>
            </w:r>
          </w:p>
        </w:tc>
        <w:tc>
          <w:tcPr>
            <w:tcW w:type="dxa" w:w="1728"/>
            <w:shd w:val="clear" w:color="auto" w:fill="EAF0EE"/>
          </w:tcPr>
          <w:p>
            <w:pPr>
              <w:spacing w:after="20"/>
            </w:pPr>
            <w:r>
              <w:rPr>
                <w:b/>
                <w:color w:val="1C3A36"/>
                <w:sz w:val="17"/>
              </w:rPr>
              <w:t>Market cap (EGP mn)</w:t>
            </w:r>
          </w:p>
        </w:tc>
        <w:tc>
          <w:tcPr>
            <w:tcW w:type="dxa" w:w="1368"/>
            <w:shd w:val="clear" w:color="auto" w:fill="EAF0EE"/>
          </w:tcPr>
          <w:p>
            <w:pPr>
              <w:spacing w:after="20"/>
            </w:pPr>
            <w:r>
              <w:rPr>
                <w:b/>
                <w:color w:val="1C3A36"/>
                <w:sz w:val="17"/>
              </w:rPr>
              <w:t>Price / earnings</w:t>
            </w:r>
          </w:p>
        </w:tc>
        <w:tc>
          <w:tcPr>
            <w:tcW w:type="dxa" w:w="1224"/>
            <w:shd w:val="clear" w:color="auto" w:fill="EAF0EE"/>
          </w:tcPr>
          <w:p>
            <w:pPr>
              <w:spacing w:after="20"/>
            </w:pPr>
            <w:r>
              <w:rPr>
                <w:b/>
                <w:color w:val="1C3A36"/>
                <w:sz w:val="17"/>
              </w:rPr>
              <w:t>Net margin</w:t>
            </w:r>
          </w:p>
        </w:tc>
      </w:tr>
      <w:tr>
        <w:tc>
          <w:tcPr>
            <w:tcW w:type="dxa" w:w="2664"/>
          </w:tcPr>
          <w:p>
            <w:pPr>
              <w:spacing w:after="20"/>
            </w:pPr>
            <w:r>
              <w:rPr>
                <w:color w:val="1C3A36"/>
                <w:sz w:val="17"/>
              </w:rPr>
              <w:t>Arabian Cement (ARCC)</w:t>
            </w:r>
          </w:p>
        </w:tc>
        <w:tc>
          <w:tcPr>
            <w:tcW w:type="dxa" w:w="1656"/>
          </w:tcPr>
          <w:p>
            <w:pPr>
              <w:spacing w:after="20"/>
              <w:jc w:val="right"/>
            </w:pPr>
            <w:r>
              <w:rPr>
                <w:color w:val="1C3A36"/>
                <w:sz w:val="17"/>
              </w:rPr>
              <w:t>12,447</w:t>
            </w:r>
          </w:p>
        </w:tc>
        <w:tc>
          <w:tcPr>
            <w:tcW w:type="dxa" w:w="1512"/>
          </w:tcPr>
          <w:p>
            <w:pPr>
              <w:spacing w:after="20"/>
              <w:jc w:val="right"/>
            </w:pPr>
            <w:r>
              <w:rPr>
                <w:color w:val="1C3A36"/>
                <w:sz w:val="17"/>
              </w:rPr>
              <w:t>3,599</w:t>
            </w:r>
          </w:p>
        </w:tc>
        <w:tc>
          <w:tcPr>
            <w:tcW w:type="dxa" w:w="1728"/>
          </w:tcPr>
          <w:p>
            <w:pPr>
              <w:spacing w:after="20"/>
              <w:jc w:val="right"/>
            </w:pPr>
            <w:r>
              <w:rPr>
                <w:color w:val="1C3A36"/>
                <w:sz w:val="17"/>
              </w:rPr>
              <w:t>22,117</w:t>
            </w:r>
          </w:p>
        </w:tc>
        <w:tc>
          <w:tcPr>
            <w:tcW w:type="dxa" w:w="1368"/>
          </w:tcPr>
          <w:p>
            <w:pPr>
              <w:spacing w:after="20"/>
              <w:jc w:val="right"/>
            </w:pPr>
            <w:r>
              <w:rPr>
                <w:color w:val="1C3A36"/>
                <w:sz w:val="17"/>
              </w:rPr>
              <w:t>6.15x</w:t>
            </w:r>
          </w:p>
        </w:tc>
        <w:tc>
          <w:tcPr>
            <w:tcW w:type="dxa" w:w="1224"/>
          </w:tcPr>
          <w:p>
            <w:pPr>
              <w:spacing w:after="20"/>
              <w:jc w:val="right"/>
            </w:pPr>
            <w:r>
              <w:rPr>
                <w:color w:val="1C3A36"/>
                <w:sz w:val="17"/>
              </w:rPr>
              <w:t>28.9%</w:t>
            </w:r>
          </w:p>
        </w:tc>
      </w:tr>
      <w:tr>
        <w:tc>
          <w:tcPr>
            <w:tcW w:type="dxa" w:w="2664"/>
          </w:tcPr>
          <w:p>
            <w:pPr>
              <w:spacing w:after="20"/>
            </w:pPr>
            <w:r>
              <w:rPr>
                <w:color w:val="1C3A36"/>
                <w:sz w:val="17"/>
              </w:rPr>
              <w:t>Sinai Cement (SCEM)</w:t>
            </w:r>
          </w:p>
        </w:tc>
        <w:tc>
          <w:tcPr>
            <w:tcW w:type="dxa" w:w="1656"/>
          </w:tcPr>
          <w:p>
            <w:pPr>
              <w:spacing w:after="20"/>
              <w:jc w:val="right"/>
            </w:pPr>
            <w:r>
              <w:rPr>
                <w:color w:val="1C3A36"/>
                <w:sz w:val="17"/>
              </w:rPr>
              <w:t>9,090</w:t>
            </w:r>
          </w:p>
        </w:tc>
        <w:tc>
          <w:tcPr>
            <w:tcW w:type="dxa" w:w="1512"/>
          </w:tcPr>
          <w:p>
            <w:pPr>
              <w:spacing w:after="20"/>
              <w:jc w:val="right"/>
            </w:pPr>
            <w:r>
              <w:rPr>
                <w:color w:val="1C3A36"/>
                <w:sz w:val="17"/>
              </w:rPr>
              <w:t>2,290</w:t>
            </w:r>
          </w:p>
        </w:tc>
        <w:tc>
          <w:tcPr>
            <w:tcW w:type="dxa" w:w="1728"/>
          </w:tcPr>
          <w:p>
            <w:pPr>
              <w:spacing w:after="20"/>
              <w:jc w:val="right"/>
            </w:pPr>
            <w:r>
              <w:rPr>
                <w:color w:val="1C3A36"/>
                <w:sz w:val="17"/>
              </w:rPr>
              <w:t>20,604</w:t>
            </w:r>
          </w:p>
        </w:tc>
        <w:tc>
          <w:tcPr>
            <w:tcW w:type="dxa" w:w="1368"/>
          </w:tcPr>
          <w:p>
            <w:pPr>
              <w:spacing w:after="20"/>
              <w:jc w:val="right"/>
            </w:pPr>
            <w:r>
              <w:rPr>
                <w:color w:val="1C3A36"/>
                <w:sz w:val="17"/>
              </w:rPr>
              <w:t>9.00x</w:t>
            </w:r>
          </w:p>
        </w:tc>
        <w:tc>
          <w:tcPr>
            <w:tcW w:type="dxa" w:w="1224"/>
          </w:tcPr>
          <w:p>
            <w:pPr>
              <w:spacing w:after="20"/>
              <w:jc w:val="right"/>
            </w:pPr>
            <w:r>
              <w:rPr>
                <w:color w:val="1C3A36"/>
                <w:sz w:val="17"/>
              </w:rPr>
              <w:t>25.2%</w:t>
            </w:r>
          </w:p>
        </w:tc>
      </w:tr>
      <w:tr>
        <w:tc>
          <w:tcPr>
            <w:tcW w:type="dxa" w:w="2664"/>
          </w:tcPr>
          <w:p>
            <w:pPr>
              <w:spacing w:after="20"/>
            </w:pPr>
            <w:r>
              <w:rPr>
                <w:color w:val="1C3A36"/>
                <w:sz w:val="17"/>
              </w:rPr>
              <w:t>Misr Beni Suef Cement (MBSC)</w:t>
            </w:r>
          </w:p>
        </w:tc>
        <w:tc>
          <w:tcPr>
            <w:tcW w:type="dxa" w:w="1656"/>
          </w:tcPr>
          <w:p>
            <w:pPr>
              <w:spacing w:after="20"/>
              <w:jc w:val="right"/>
            </w:pPr>
            <w:r>
              <w:rPr>
                <w:color w:val="1C3A36"/>
                <w:sz w:val="17"/>
              </w:rPr>
              <w:t>5,700</w:t>
            </w:r>
          </w:p>
        </w:tc>
        <w:tc>
          <w:tcPr>
            <w:tcW w:type="dxa" w:w="1512"/>
          </w:tcPr>
          <w:p>
            <w:pPr>
              <w:spacing w:after="20"/>
              <w:jc w:val="right"/>
            </w:pPr>
            <w:r>
              <w:rPr>
                <w:color w:val="1C3A36"/>
                <w:sz w:val="17"/>
              </w:rPr>
              <w:t>3,946</w:t>
            </w:r>
          </w:p>
        </w:tc>
        <w:tc>
          <w:tcPr>
            <w:tcW w:type="dxa" w:w="1728"/>
          </w:tcPr>
          <w:p>
            <w:pPr>
              <w:spacing w:after="20"/>
              <w:jc w:val="right"/>
            </w:pPr>
            <w:r>
              <w:rPr>
                <w:color w:val="1C3A36"/>
                <w:sz w:val="17"/>
              </w:rPr>
              <w:t>13,730</w:t>
            </w:r>
          </w:p>
        </w:tc>
        <w:tc>
          <w:tcPr>
            <w:tcW w:type="dxa" w:w="1368"/>
          </w:tcPr>
          <w:p>
            <w:pPr>
              <w:spacing w:after="20"/>
              <w:jc w:val="right"/>
            </w:pPr>
            <w:r>
              <w:rPr>
                <w:color w:val="1C3A36"/>
                <w:sz w:val="17"/>
              </w:rPr>
              <w:t>3.48x</w:t>
            </w:r>
          </w:p>
        </w:tc>
        <w:tc>
          <w:tcPr>
            <w:tcW w:type="dxa" w:w="1224"/>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7" name="Picture 7"/>
            <wp:cNvGraphicFramePr>
              <a:graphicFrameLocks noChangeAspect="1"/>
            </wp:cNvGraphicFramePr>
            <a:graphic>
              <a:graphicData uri="http://schemas.openxmlformats.org/drawingml/2006/picture">
                <pic:pic>
                  <pic:nvPicPr>
                    <pic:cNvPr id="0" name="fig8_sector.png"/>
                    <pic:cNvPicPr/>
                  </pic:nvPicPr>
                  <pic:blipFill>
                    <a:blip r:embed="rId15"/>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65Mt of production — a utilisation rate near 86%. Exports of about 18.5Mt absorb part of the difference.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A structurally over-supplied market whose main price-support mechanism has just been removed. This is the dominant risk and it is why the forecast price path grows below cost inflation.</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This producer is better placed than most Egyptian peers, but better placed is not unaffected.</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63.62 to EGP 83.75, central EGP 73.68 (+24.9% against the market price of EGP 59.00).</w:t>
      </w:r>
    </w:p>
    <w:p>
      <w:pPr>
        <w:spacing w:after="120" w:before="0"/>
      </w:pPr>
      <w:r>
        <w:rPr>
          <w:b w:val="0"/>
          <w:i w:val="0"/>
          <w:color w:val="1C3A36"/>
          <w:sz w:val="21"/>
        </w:rPr>
        <w:t>Values the plant, not the earnings stream. Five million tonnes of grey cement capacity costs about USD 130 per annual tonne to build. Nobody pays replacement cost for capacity in a market carrying 76Mt of it against 54Mt of consumption, so the justified figure is marked down to USD 95. Against that, the market is paying USD 73 per annual tonne — the plant is on sale relative to the cost of putting one there, which is the whole of this case.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exactly why this valuation is a ceiling and not a floor, and why it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47.25 to EGP 59.68, central EGP 53.47 (-9.4% against the market price of EGP 59.00).</w:t>
      </w:r>
    </w:p>
    <w:p>
      <w:pPr>
        <w:spacing w:after="120" w:before="0"/>
      </w:pPr>
      <w:r>
        <w:rPr>
          <w:b w:val="0"/>
          <w:i w:val="0"/>
          <w:color w:val="1C3A36"/>
          <w:sz w:val="21"/>
        </w:rPr>
        <w:t>Refuses to capitalise a peak, and refuses it on BOTH legs. FY2025 was the best year the Egyptian cement industry has had in over a decade: the margin is normalised to 30.8% against the 39.3% actually earned, and the revenue base is cut 6% because that revenue embeds the post-quota price spike. What is left is capitalised at 7 times, with the cash added back at face rather than capitalised at the same multiple as the operating business — cash is worth cash.</w:t>
      </w:r>
    </w:p>
    <w:p>
      <w:pPr>
        <w:spacing w:after="120" w:before="0"/>
      </w:pPr>
      <w:r>
        <w:rPr>
          <w:b/>
          <w:i w:val="0"/>
          <w:color w:val="896F36"/>
          <w:sz w:val="21"/>
        </w:rPr>
        <w:t xml:space="preserve">What would prove this wrong: </w:t>
      </w:r>
      <w:r>
        <w:rPr>
          <w:b w:val="0"/>
          <w:i w:val="0"/>
          <w:color w:val="1C3A36"/>
          <w:sz w:val="21"/>
        </w:rPr>
        <w:t>Two consecutive years of realised prices above EGP 4,200 per tonne WITH the 12.6Mt revival actually proceeding would prove the mid-cycle base too low. Equally, a single year in which the alternative-fuel programme stalls and the fuel bill reverts to a fossil-only stack would prove it too high.</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44.05 to EGP 55.41, central EGP 48.92 (-17.1% against the market price of EGP 59.00).</w:t>
      </w:r>
    </w:p>
    <w:p>
      <w:pPr>
        <w:spacing w:after="120" w:before="0"/>
      </w:pPr>
      <w:r>
        <w:rPr>
          <w:b w:val="0"/>
          <w:i w:val="0"/>
          <w:color w:val="1C3A36"/>
          <w:sz w:val="21"/>
        </w:rPr>
        <w:t>Ignores the terminal value entirely and asks what the cash stream is worth to someone who has to be paid in cash. Average free cash flow to the firm across FY2027-FY2030 is EGP 2557mn; required at a 17.5% cash return — the level a pound-denominated investor can obtain from government paper once disinflation is priced — that is a business worth EGP 14609mn before the net cash of EGP 3879mn is added back. The company already distributes 56% of profit, so this is not a hypothetical claim on retained value.</w:t>
      </w:r>
    </w:p>
    <w:p>
      <w:pPr>
        <w:spacing w:after="120" w:before="0"/>
      </w:pPr>
      <w:r>
        <w:rPr>
          <w:b/>
          <w:i w:val="0"/>
          <w:color w:val="896F36"/>
          <w:sz w:val="21"/>
        </w:rPr>
        <w:t xml:space="preserve">What would prove this wrong: </w:t>
      </w:r>
      <w:r>
        <w:rPr>
          <w:b w:val="0"/>
          <w:i w:val="0"/>
          <w:color w:val="1C3A36"/>
          <w:sz w:val="21"/>
        </w:rPr>
        <w:t>A required cash return above 20% — which is what a failure of the disinflation path would produce — takes this valuation to EGP 44.05 and below the market price. So would any year in which maintenance capital spending has to rise materially above the USD 4.00 per tonne of capacity assumed here, which is the number to watch in the cash flow statement rather than in the earnings release.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63.62</w:t>
            </w:r>
          </w:p>
        </w:tc>
        <w:tc>
          <w:tcPr>
            <w:tcW w:type="dxa" w:w="1656"/>
          </w:tcPr>
          <w:p>
            <w:pPr>
              <w:spacing w:after="20"/>
              <w:jc w:val="right"/>
            </w:pPr>
            <w:r>
              <w:rPr>
                <w:color w:val="1C3A36"/>
                <w:sz w:val="18"/>
              </w:rPr>
              <w:t>73.68</w:t>
            </w:r>
          </w:p>
        </w:tc>
        <w:tc>
          <w:tcPr>
            <w:tcW w:type="dxa" w:w="1469"/>
          </w:tcPr>
          <w:p>
            <w:pPr>
              <w:spacing w:after="20"/>
              <w:jc w:val="right"/>
            </w:pPr>
            <w:r>
              <w:rPr>
                <w:color w:val="1C3A36"/>
                <w:sz w:val="18"/>
              </w:rPr>
              <w:t>83.75</w:t>
            </w:r>
          </w:p>
        </w:tc>
        <w:tc>
          <w:tcPr>
            <w:tcW w:type="dxa" w:w="1354"/>
          </w:tcPr>
          <w:p>
            <w:pPr>
              <w:spacing w:after="20"/>
              <w:jc w:val="right"/>
            </w:pPr>
            <w:r>
              <w:rPr>
                <w:color w:val="1C3A36"/>
                <w:sz w:val="18"/>
              </w:rPr>
              <w:t>+24.9%</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47.25</w:t>
            </w:r>
          </w:p>
        </w:tc>
        <w:tc>
          <w:tcPr>
            <w:tcW w:type="dxa" w:w="1656"/>
          </w:tcPr>
          <w:p>
            <w:pPr>
              <w:spacing w:after="20"/>
              <w:jc w:val="right"/>
            </w:pPr>
            <w:r>
              <w:rPr>
                <w:color w:val="1C3A36"/>
                <w:sz w:val="18"/>
              </w:rPr>
              <w:t>53.47</w:t>
            </w:r>
          </w:p>
        </w:tc>
        <w:tc>
          <w:tcPr>
            <w:tcW w:type="dxa" w:w="1469"/>
          </w:tcPr>
          <w:p>
            <w:pPr>
              <w:spacing w:after="20"/>
              <w:jc w:val="right"/>
            </w:pPr>
            <w:r>
              <w:rPr>
                <w:color w:val="1C3A36"/>
                <w:sz w:val="18"/>
              </w:rPr>
              <w:t>59.68</w:t>
            </w:r>
          </w:p>
        </w:tc>
        <w:tc>
          <w:tcPr>
            <w:tcW w:type="dxa" w:w="1354"/>
          </w:tcPr>
          <w:p>
            <w:pPr>
              <w:spacing w:after="20"/>
              <w:jc w:val="right"/>
            </w:pPr>
            <w:r>
              <w:rPr>
                <w:color w:val="1C3A36"/>
                <w:sz w:val="18"/>
              </w:rPr>
              <w:t>-9.4%</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44.05</w:t>
            </w:r>
          </w:p>
        </w:tc>
        <w:tc>
          <w:tcPr>
            <w:tcW w:type="dxa" w:w="1656"/>
          </w:tcPr>
          <w:p>
            <w:pPr>
              <w:spacing w:after="20"/>
              <w:jc w:val="right"/>
            </w:pPr>
            <w:r>
              <w:rPr>
                <w:color w:val="1C3A36"/>
                <w:sz w:val="18"/>
              </w:rPr>
              <w:t>48.92</w:t>
            </w:r>
          </w:p>
        </w:tc>
        <w:tc>
          <w:tcPr>
            <w:tcW w:type="dxa" w:w="1469"/>
          </w:tcPr>
          <w:p>
            <w:pPr>
              <w:spacing w:after="20"/>
              <w:jc w:val="right"/>
            </w:pPr>
            <w:r>
              <w:rPr>
                <w:color w:val="1C3A36"/>
                <w:sz w:val="18"/>
              </w:rPr>
              <w:t>55.41</w:t>
            </w:r>
          </w:p>
        </w:tc>
        <w:tc>
          <w:tcPr>
            <w:tcW w:type="dxa" w:w="1354"/>
          </w:tcPr>
          <w:p>
            <w:pPr>
              <w:spacing w:after="20"/>
              <w:jc w:val="right"/>
            </w:pPr>
            <w:r>
              <w:rPr>
                <w:color w:val="1C3A36"/>
                <w:sz w:val="18"/>
              </w:rPr>
              <w:t>-17.1%</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53.47</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-9.4%</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