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38"/>
        </w:rPr>
        <w:t>Palm Hills Developments (EGX:PHDC)</w:t>
      </w:r>
    </w:p>
    <w:p>
      <w:pPr>
        <w:spacing w:after="200" w:before="0"/>
      </w:pPr>
      <w:r>
        <w:rPr>
          <w:b w:val="0"/>
          <w:i w:val="0"/>
          <w:color w:val="896F36"/>
          <w:sz w:val="23"/>
        </w:rPr>
        <w:t>Bibliography, input register and research record — fundamental refresh, 19 August 2026</w:t>
      </w:r>
    </w:p>
    <w:p>
      <w:pPr>
        <w:spacing w:after="120" w:before="0"/>
      </w:pPr>
      <w:r>
        <w:rPr>
          <w:b w:val="0"/>
          <w:i w:val="0"/>
          <w:color w:val="1C3A36"/>
          <w:sz w:val="20"/>
        </w:rPr>
        <w:t>This document accompanies the valuation study of the same date. It exists so that every number in that study can be traced to a document, a date and a layer of research, and so that a reader can see which judgements are load-bearing and what would overturn each of them.</w:t>
      </w:r>
    </w:p>
    <w:p>
      <w:pPr>
        <w:spacing w:after="120" w:before="280"/>
      </w:pPr>
      <w:r>
        <w:rPr>
          <w:b/>
          <w:i w:val="0"/>
          <w:color w:val="1C3A36"/>
          <w:sz w:val="30"/>
        </w:rPr>
        <w:t>1  Primary documents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168"/>
        <w:gridCol w:w="4392"/>
      </w:tblGrid>
      <w:tr>
        <w:tc>
          <w:tcPr>
            <w:tcW w:type="dxa" w:w="2520"/>
            <w:shd w:val="clear" w:color="auto" w:fill="EAF0EE"/>
          </w:tcPr>
          <w:p>
            <w:pPr>
              <w:spacing w:after="20"/>
            </w:pPr>
            <w:r>
              <w:rPr>
                <w:b/>
                <w:color w:val="1C3A36"/>
                <w:sz w:val="16"/>
              </w:rPr>
              <w:t>Document</w:t>
            </w:r>
          </w:p>
        </w:tc>
        <w:tc>
          <w:tcPr>
            <w:tcW w:type="dxa" w:w="3168"/>
            <w:shd w:val="clear" w:color="auto" w:fill="EAF0EE"/>
          </w:tcPr>
          <w:p>
            <w:pPr>
              <w:spacing w:after="20"/>
              <w:jc w:val="left"/>
            </w:pPr>
            <w:r>
              <w:rPr>
                <w:b/>
                <w:color w:val="1C3A36"/>
                <w:sz w:val="16"/>
              </w:rPr>
              <w:t>Issuer and date</w:t>
            </w:r>
          </w:p>
        </w:tc>
        <w:tc>
          <w:tcPr>
            <w:tcW w:type="dxa" w:w="4392"/>
            <w:shd w:val="clear" w:color="auto" w:fill="EAF0EE"/>
          </w:tcPr>
          <w:p>
            <w:pPr>
              <w:spacing w:after="20"/>
              <w:jc w:val="left"/>
            </w:pPr>
            <w:r>
              <w:rPr>
                <w:b/>
                <w:color w:val="1C3A36"/>
                <w:sz w:val="16"/>
              </w:rPr>
              <w:t>What it supplies</w:t>
            </w:r>
          </w:p>
        </w:tc>
      </w:tr>
      <w:tr>
        <w:tc>
          <w:tcPr>
            <w:tcW w:type="dxa" w:w="2520"/>
          </w:tcPr>
          <w:p>
            <w:pPr>
              <w:spacing w:after="20"/>
            </w:pPr>
            <w:r>
              <w:rPr>
                <w:b/>
                <w:color w:val="1C3A36"/>
                <w:sz w:val="16"/>
              </w:rPr>
              <w:t>Interim consolidated financial statements as of 30 June 2026</w:t>
            </w:r>
          </w:p>
        </w:tc>
        <w:tc>
          <w:tcPr>
            <w:tcW w:type="dxa" w:w="3168"/>
          </w:tcPr>
          <w:p>
            <w:pPr>
              <w:spacing w:after="20"/>
              <w:jc w:val="left"/>
            </w:pPr>
            <w:r>
              <w:rPr>
                <w:color w:val="1C3A36"/>
                <w:sz w:val="16"/>
              </w:rPr>
              <w:t>Palm Hills Developments Company S.A.E; limited review report by Forvis Mazars Mostafa Shawki (Khaled Said El Rabat, Financial Regulatory Authority registration 258); board authorisation and review report both dated 17 August 2026</w:t>
            </w:r>
          </w:p>
        </w:tc>
        <w:tc>
          <w:tcPr>
            <w:tcW w:type="dxa" w:w="4392"/>
          </w:tcPr>
          <w:p>
            <w:pPr>
              <w:spacing w:after="20"/>
              <w:jc w:val="left"/>
            </w:pPr>
            <w:r>
              <w:rPr>
                <w:color w:val="1C3A36"/>
                <w:sz w:val="16"/>
              </w:rPr>
              <w:t>The whole of the historical base: the income statement for the half and its comparative, the balance sheet at 30 June 2026 and 31 December 2025, the cash-flow statement, the statement of changes in equity, and notes 34, 41-72 and 76</w:t>
            </w:r>
          </w:p>
        </w:tc>
      </w:tr>
      <w:tr>
        <w:tc>
          <w:tcPr>
            <w:tcW w:type="dxa" w:w="2520"/>
          </w:tcPr>
          <w:p>
            <w:pPr>
              <w:spacing w:after="20"/>
            </w:pPr>
            <w:r>
              <w:rPr>
                <w:b/>
                <w:color w:val="1C3A36"/>
                <w:sz w:val="16"/>
              </w:rPr>
              <w:t>Audited consolidated financial statements for the year ended 31 December 2024, with 2023 comparatives</w:t>
            </w:r>
          </w:p>
        </w:tc>
        <w:tc>
          <w:tcPr>
            <w:tcW w:type="dxa" w:w="3168"/>
          </w:tcPr>
          <w:p>
            <w:pPr>
              <w:spacing w:after="20"/>
              <w:jc w:val="left"/>
            </w:pPr>
            <w:r>
              <w:rPr>
                <w:color w:val="1C3A36"/>
                <w:sz w:val="16"/>
              </w:rPr>
              <w:t>Palm Hills Developments Company S.A.E; retrieved from the company investor-relations asset library</w:t>
            </w:r>
          </w:p>
        </w:tc>
        <w:tc>
          <w:tcPr>
            <w:tcW w:type="dxa" w:w="4392"/>
          </w:tcPr>
          <w:p>
            <w:pPr>
              <w:spacing w:after="20"/>
              <w:jc w:val="left"/>
            </w:pPr>
            <w:r>
              <w:rPr>
                <w:color w:val="1C3A36"/>
                <w:sz w:val="16"/>
              </w:rPr>
              <w:t>Two audited fiscal years from the filing itself: revenue, cost of revenues, gross profit, administrative cost, finance costs, profit before and after tax, depreciation, capital expenditure, operating cash flow and the movement in the Residents' Association balance</w:t>
            </w:r>
          </w:p>
        </w:tc>
      </w:tr>
      <w:tr>
        <w:tc>
          <w:tcPr>
            <w:tcW w:type="dxa" w:w="2520"/>
          </w:tcPr>
          <w:p>
            <w:pPr>
              <w:spacing w:after="20"/>
            </w:pPr>
            <w:r>
              <w:rPr>
                <w:b/>
                <w:color w:val="1C3A36"/>
                <w:sz w:val="16"/>
              </w:rPr>
              <w:t>1Q2026 earnings release</w:t>
            </w:r>
          </w:p>
        </w:tc>
        <w:tc>
          <w:tcPr>
            <w:tcW w:type="dxa" w:w="3168"/>
          </w:tcPr>
          <w:p>
            <w:pPr>
              <w:spacing w:after="20"/>
              <w:jc w:val="left"/>
            </w:pPr>
            <w:r>
              <w:rPr>
                <w:color w:val="1C3A36"/>
                <w:sz w:val="16"/>
              </w:rPr>
              <w:t>Palm Hills Developments, 20 May 2026</w:t>
            </w:r>
          </w:p>
        </w:tc>
        <w:tc>
          <w:tcPr>
            <w:tcW w:type="dxa" w:w="4392"/>
          </w:tcPr>
          <w:p>
            <w:pPr>
              <w:spacing w:after="20"/>
              <w:jc w:val="left"/>
            </w:pPr>
            <w:r>
              <w:rPr>
                <w:color w:val="1C3A36"/>
                <w:sz w:val="16"/>
              </w:rPr>
              <w:t>New sales, backlog, the company's own net-debt figure, construction spending, units due for handover, land bank, and the company's own revenue, EBITDA and profit history for 2022 to 2025</w:t>
            </w:r>
          </w:p>
        </w:tc>
      </w:tr>
      <w:tr>
        <w:tc>
          <w:tcPr>
            <w:tcW w:type="dxa" w:w="2520"/>
          </w:tcPr>
          <w:p>
            <w:pPr>
              <w:spacing w:after="20"/>
            </w:pPr>
            <w:r>
              <w:rPr>
                <w:b/>
                <w:color w:val="1C3A36"/>
                <w:sz w:val="16"/>
              </w:rPr>
              <w:t>9M2025 earnings release</w:t>
            </w:r>
          </w:p>
        </w:tc>
        <w:tc>
          <w:tcPr>
            <w:tcW w:type="dxa" w:w="3168"/>
          </w:tcPr>
          <w:p>
            <w:pPr>
              <w:spacing w:after="20"/>
              <w:jc w:val="left"/>
            </w:pPr>
            <w:r>
              <w:rPr>
                <w:color w:val="1C3A36"/>
                <w:sz w:val="16"/>
              </w:rPr>
              <w:t>Palm Hills Developments, 13 November 2025</w:t>
            </w:r>
          </w:p>
        </w:tc>
        <w:tc>
          <w:tcPr>
            <w:tcW w:type="dxa" w:w="4392"/>
          </w:tcPr>
          <w:p>
            <w:pPr>
              <w:spacing w:after="20"/>
              <w:jc w:val="left"/>
            </w:pPr>
            <w:r>
              <w:rPr>
                <w:color w:val="1C3A36"/>
                <w:sz w:val="16"/>
              </w:rPr>
              <w:t>Nine-month revenue, gross profit, EBITDA, new sales, construction spending, backlog and net debt — which, with the full-year totals, pins the fourth quarter of 2025</w:t>
            </w:r>
          </w:p>
        </w:tc>
      </w:tr>
      <w:tr>
        <w:tc>
          <w:tcPr>
            <w:tcW w:type="dxa" w:w="2520"/>
          </w:tcPr>
          <w:p>
            <w:pPr>
              <w:spacing w:after="20"/>
            </w:pPr>
            <w:r>
              <w:rPr>
                <w:b/>
                <w:color w:val="1C3A36"/>
                <w:sz w:val="16"/>
              </w:rPr>
              <w:t>1H2025 earnings release</w:t>
            </w:r>
          </w:p>
        </w:tc>
        <w:tc>
          <w:tcPr>
            <w:tcW w:type="dxa" w:w="3168"/>
          </w:tcPr>
          <w:p>
            <w:pPr>
              <w:spacing w:after="20"/>
              <w:jc w:val="left"/>
            </w:pPr>
            <w:r>
              <w:rPr>
                <w:color w:val="1C3A36"/>
                <w:sz w:val="16"/>
              </w:rPr>
              <w:t>Palm Hills Developments, 13 August 2025</w:t>
            </w:r>
          </w:p>
        </w:tc>
        <w:tc>
          <w:tcPr>
            <w:tcW w:type="dxa" w:w="4392"/>
          </w:tcPr>
          <w:p>
            <w:pPr>
              <w:spacing w:after="20"/>
              <w:jc w:val="left"/>
            </w:pPr>
            <w:r>
              <w:rPr>
                <w:color w:val="1C3A36"/>
                <w:sz w:val="16"/>
              </w:rPr>
              <w:t>The comparable half-year operating anchors: construction spending, cash collection, backlog</w:t>
            </w:r>
          </w:p>
        </w:tc>
      </w:tr>
      <w:tr>
        <w:tc>
          <w:tcPr>
            <w:tcW w:type="dxa" w:w="2520"/>
          </w:tcPr>
          <w:p>
            <w:pPr>
              <w:spacing w:after="20"/>
            </w:pPr>
            <w:r>
              <w:rPr>
                <w:b/>
                <w:color w:val="1C3A36"/>
                <w:sz w:val="16"/>
              </w:rPr>
              <w:t>Treasury bond and bill auction results</w:t>
            </w:r>
          </w:p>
        </w:tc>
        <w:tc>
          <w:tcPr>
            <w:tcW w:type="dxa" w:w="3168"/>
          </w:tcPr>
          <w:p>
            <w:pPr>
              <w:spacing w:after="20"/>
              <w:jc w:val="left"/>
            </w:pPr>
            <w:r>
              <w:rPr>
                <w:color w:val="1C3A36"/>
                <w:sz w:val="16"/>
              </w:rPr>
              <w:t>Central Bank of Egypt; bond auction 17 August 2026, bill auctions 13 and 16 August 2026</w:t>
            </w:r>
          </w:p>
        </w:tc>
        <w:tc>
          <w:tcPr>
            <w:tcW w:type="dxa" w:w="4392"/>
          </w:tcPr>
          <w:p>
            <w:pPr>
              <w:spacing w:after="20"/>
              <w:jc w:val="left"/>
            </w:pPr>
            <w:r>
              <w:rPr>
                <w:color w:val="1C3A36"/>
                <w:sz w:val="16"/>
              </w:rPr>
              <w:t>The observed risk-free rate and the shape of the local curve</w:t>
            </w:r>
          </w:p>
        </w:tc>
      </w:tr>
      <w:tr>
        <w:tc>
          <w:tcPr>
            <w:tcW w:type="dxa" w:w="2520"/>
          </w:tcPr>
          <w:p>
            <w:pPr>
              <w:spacing w:after="20"/>
            </w:pPr>
            <w:r>
              <w:rPr>
                <w:b/>
                <w:color w:val="1C3A36"/>
                <w:sz w:val="16"/>
              </w:rPr>
              <w:t>Country default spreads and risk premiums, ctrypremJuly26</w:t>
            </w:r>
          </w:p>
        </w:tc>
        <w:tc>
          <w:tcPr>
            <w:tcW w:type="dxa" w:w="3168"/>
          </w:tcPr>
          <w:p>
            <w:pPr>
              <w:spacing w:after="20"/>
              <w:jc w:val="left"/>
            </w:pPr>
            <w:r>
              <w:rPr>
                <w:color w:val="1C3A36"/>
                <w:sz w:val="16"/>
              </w:rPr>
              <w:t>A. Damodaran, Stern School of Business; credit-default-swap spreads as at 30 June 2026</w:t>
            </w:r>
          </w:p>
        </w:tc>
        <w:tc>
          <w:tcPr>
            <w:tcW w:type="dxa" w:w="4392"/>
          </w:tcPr>
          <w:p>
            <w:pPr>
              <w:spacing w:after="20"/>
              <w:jc w:val="left"/>
            </w:pPr>
            <w:r>
              <w:rPr>
                <w:color w:val="1C3A36"/>
                <w:sz w:val="16"/>
              </w:rPr>
              <w:t>The Egypt row: rating, adjusted default spread, country risk premium, total equity risk premium on both bases, corporate tax rate</w:t>
            </w:r>
          </w:p>
        </w:tc>
      </w:tr>
      <w:tr>
        <w:tc>
          <w:tcPr>
            <w:tcW w:type="dxa" w:w="2520"/>
          </w:tcPr>
          <w:p>
            <w:pPr>
              <w:spacing w:after="20"/>
            </w:pPr>
            <w:r>
              <w:rPr>
                <w:b/>
                <w:color w:val="1C3A36"/>
                <w:sz w:val="16"/>
              </w:rPr>
              <w:t>Daily price series for the shares and for the exchange index</w:t>
            </w:r>
          </w:p>
        </w:tc>
        <w:tc>
          <w:tcPr>
            <w:tcW w:type="dxa" w:w="3168"/>
          </w:tcPr>
          <w:p>
            <w:pPr>
              <w:spacing w:after="20"/>
              <w:jc w:val="left"/>
            </w:pPr>
            <w:r>
              <w:rPr>
                <w:color w:val="1C3A36"/>
                <w:sz w:val="16"/>
              </w:rPr>
              <w:t>The house price library for Palm Hills and for the thirty-share Egyptian Exchange index, both as of 22 July 2026</w:t>
            </w:r>
          </w:p>
        </w:tc>
        <w:tc>
          <w:tcPr>
            <w:tcW w:type="dxa" w:w="4392"/>
          </w:tcPr>
          <w:p>
            <w:pPr>
              <w:spacing w:after="20"/>
              <w:jc w:val="left"/>
            </w:pPr>
            <w:r>
              <w:rPr>
                <w:color w:val="1C3A36"/>
                <w:sz w:val="16"/>
              </w:rPr>
              <w:t>The beta regression</w:t>
            </w:r>
          </w:p>
        </w:tc>
      </w:tr>
    </w:tbl>
    <w:p>
      <w:pPr>
        <w:spacing w:after="40"/>
      </w:pPr>
    </w:p>
    <w:p>
      <w:pPr>
        <w:spacing w:after="200" w:before="0"/>
      </w:pPr>
      <w:r>
        <w:rPr>
          <w:b w:val="0"/>
          <w:i/>
          <w:color w:val="6E7B77"/>
          <w:sz w:val="17"/>
        </w:rPr>
        <w:t>Table 1. Every document that supplies a number to the study. Nothing describing what Palm Hills reported comes from anywhere else.</w:t>
      </w:r>
    </w:p>
    <w:p>
      <w:pPr>
        <w:spacing w:after="120" w:before="0"/>
      </w:pPr>
      <w:r>
        <w:rPr>
          <w:b w:val="0"/>
          <w:i w:val="0"/>
          <w:color w:val="1C3A36"/>
          <w:sz w:val="19"/>
        </w:rPr>
        <w:t>Documents sought and NOT obtained. Two, and both matter. The results release for the first half of 2026 is not published on the company's investor-relations site, on the content interface behind it, or on the wire service that carried earlier Palm Hills releases; all three were checked on 19 August 2026 and the newest financial result on any of them is the first-quarter release of 20 May. The 2025 annual audited statements are not published either, and neither is a 2025 results release. The consequence of the first is that the company's own backlog figure, its own net-debt definition, first-half contracted sales and first-half construction spending are carried as unverified press reporting and no model driver reads them. The consequence of the second is that 2025 gross profit, cost of revenues and finance costs are shown blank in the study's three-year history rather than estimated.</w:t>
      </w:r>
    </w:p>
    <w:p>
      <w:pPr>
        <w:spacing w:after="120" w:before="280"/>
      </w:pPr>
      <w:r>
        <w:rPr>
          <w:b/>
          <w:i w:val="0"/>
          <w:color w:val="1C3A36"/>
          <w:sz w:val="30"/>
        </w:rPr>
        <w:t>2  Input register — every input, four fields</w:t>
      </w:r>
    </w:p>
    <w:p>
      <w:pPr>
        <w:spacing w:after="120" w:before="0"/>
      </w:pPr>
      <w:r>
        <w:rPr>
          <w:b w:val="0"/>
          <w:i w:val="0"/>
          <w:color w:val="1C3A36"/>
          <w:sz w:val="19"/>
        </w:rPr>
        <w:t>Every input carries a value, a source, a date and the layer of research it belongs to. The model refuses to emit a number if any of the 296 entries is missing any of the four.</w:t>
      </w:r>
    </w:p>
    <w:p>
      <w:pPr>
        <w:spacing w:after="80" w:before="200"/>
      </w:pPr>
      <w:r>
        <w:rPr>
          <w:b/>
          <w:i w:val="0"/>
          <w:color w:val="1C3A36"/>
          <w:sz w:val="24"/>
        </w:rPr>
        <w:t>2.1  Company layer — 235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368"/>
        <w:gridCol w:w="1037"/>
        <w:gridCol w:w="5875"/>
      </w:tblGrid>
      <w:tr>
        <w:tc>
          <w:tcPr>
            <w:tcW w:type="dxa" w:w="1800"/>
            <w:shd w:val="clear" w:color="auto" w:fill="EAF0EE"/>
          </w:tcPr>
          <w:p>
            <w:pPr>
              <w:spacing w:after="20"/>
            </w:pPr>
            <w:r>
              <w:rPr>
                <w:b/>
                <w:color w:val="1C3A36"/>
                <w:sz w:val="12"/>
              </w:rPr>
              <w:t>Input</w:t>
            </w:r>
          </w:p>
        </w:tc>
        <w:tc>
          <w:tcPr>
            <w:tcW w:type="dxa" w:w="1368"/>
            <w:shd w:val="clear" w:color="auto" w:fill="EAF0EE"/>
          </w:tcPr>
          <w:p>
            <w:pPr>
              <w:spacing w:after="20"/>
            </w:pPr>
            <w:r>
              <w:rPr>
                <w:b/>
                <w:color w:val="1C3A36"/>
                <w:sz w:val="12"/>
              </w:rPr>
              <w:t>Value</w:t>
            </w:r>
          </w:p>
        </w:tc>
        <w:tc>
          <w:tcPr>
            <w:tcW w:type="dxa" w:w="1037"/>
            <w:shd w:val="clear" w:color="auto" w:fill="EAF0EE"/>
          </w:tcPr>
          <w:p>
            <w:pPr>
              <w:spacing w:after="20"/>
            </w:pPr>
            <w:r>
              <w:rPr>
                <w:b/>
                <w:color w:val="1C3A36"/>
                <w:sz w:val="12"/>
              </w:rPr>
              <w:t>Date</w:t>
            </w:r>
          </w:p>
        </w:tc>
        <w:tc>
          <w:tcPr>
            <w:tcW w:type="dxa" w:w="5875"/>
            <w:shd w:val="clear" w:color="auto" w:fill="EAF0EE"/>
          </w:tcPr>
          <w:p>
            <w:pPr>
              <w:spacing w:after="20"/>
              <w:jc w:val="left"/>
            </w:pPr>
            <w:r>
              <w:rPr>
                <w:b/>
                <w:color w:val="1C3A36"/>
                <w:sz w:val="12"/>
              </w:rPr>
              <w:t>Source and construction</w:t>
            </w:r>
          </w:p>
        </w:tc>
      </w:tr>
      <w:tr>
        <w:tc>
          <w:tcPr>
            <w:tcW w:type="dxa" w:w="1800"/>
          </w:tcPr>
          <w:p>
            <w:pPr>
              <w:spacing w:after="20"/>
            </w:pPr>
            <w:r>
              <w:rPr>
                <w:b/>
                <w:color w:val="1C3A36"/>
                <w:sz w:val="12"/>
              </w:rPr>
              <w:t>adm_h125</w:t>
            </w:r>
          </w:p>
        </w:tc>
        <w:tc>
          <w:tcPr>
            <w:tcW w:type="dxa" w:w="1368"/>
          </w:tcPr>
          <w:p>
            <w:pPr>
              <w:spacing w:after="20"/>
              <w:jc w:val="right"/>
            </w:pPr>
            <w:r>
              <w:rPr>
                <w:color w:val="1C3A36"/>
                <w:sz w:val="12"/>
              </w:rPr>
              <w:t>1,724.569</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66, comparative</w:t>
            </w:r>
          </w:p>
        </w:tc>
      </w:tr>
      <w:tr>
        <w:tc>
          <w:tcPr>
            <w:tcW w:type="dxa" w:w="1800"/>
          </w:tcPr>
          <w:p>
            <w:pPr>
              <w:spacing w:after="20"/>
            </w:pPr>
            <w:r>
              <w:rPr>
                <w:b/>
                <w:color w:val="1C3A36"/>
                <w:sz w:val="12"/>
              </w:rPr>
              <w:t>adm_h126</w:t>
            </w:r>
          </w:p>
        </w:tc>
        <w:tc>
          <w:tcPr>
            <w:tcW w:type="dxa" w:w="1368"/>
          </w:tcPr>
          <w:p>
            <w:pPr>
              <w:spacing w:after="20"/>
              <w:jc w:val="right"/>
            </w:pPr>
            <w:r>
              <w:rPr>
                <w:color w:val="1C3A36"/>
                <w:sz w:val="12"/>
              </w:rPr>
              <w:t>2,167.52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66, general administration and marketing expenses</w:t>
            </w:r>
          </w:p>
        </w:tc>
      </w:tr>
      <w:tr>
        <w:tc>
          <w:tcPr>
            <w:tcW w:type="dxa" w:w="1800"/>
          </w:tcPr>
          <w:p>
            <w:pPr>
              <w:spacing w:after="20"/>
            </w:pPr>
            <w:r>
              <w:rPr>
                <w:b/>
                <w:color w:val="1C3A36"/>
                <w:sz w:val="12"/>
              </w:rPr>
              <w:t>adv_dec25</w:t>
            </w:r>
          </w:p>
        </w:tc>
        <w:tc>
          <w:tcPr>
            <w:tcW w:type="dxa" w:w="1368"/>
          </w:tcPr>
          <w:p>
            <w:pPr>
              <w:spacing w:after="20"/>
              <w:jc w:val="right"/>
            </w:pPr>
            <w:r>
              <w:rPr>
                <w:color w:val="1C3A36"/>
                <w:sz w:val="12"/>
              </w:rPr>
              <w:t>69,354.084</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advances from customers</w:t>
            </w:r>
          </w:p>
        </w:tc>
      </w:tr>
      <w:tr>
        <w:tc>
          <w:tcPr>
            <w:tcW w:type="dxa" w:w="1800"/>
          </w:tcPr>
          <w:p>
            <w:pPr>
              <w:spacing w:after="20"/>
            </w:pPr>
            <w:r>
              <w:rPr>
                <w:b/>
                <w:color w:val="1C3A36"/>
                <w:sz w:val="12"/>
              </w:rPr>
              <w:t>adv_jun26</w:t>
            </w:r>
          </w:p>
        </w:tc>
        <w:tc>
          <w:tcPr>
            <w:tcW w:type="dxa" w:w="1368"/>
          </w:tcPr>
          <w:p>
            <w:pPr>
              <w:spacing w:after="20"/>
              <w:jc w:val="right"/>
            </w:pPr>
            <w:r>
              <w:rPr>
                <w:color w:val="1C3A36"/>
                <w:sz w:val="12"/>
              </w:rPr>
              <w:t>83,483.291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advances from customers</w:t>
            </w:r>
          </w:p>
        </w:tc>
      </w:tr>
      <w:tr>
        <w:tc>
          <w:tcPr>
            <w:tcW w:type="dxa" w:w="1800"/>
          </w:tcPr>
          <w:p>
            <w:pPr>
              <w:spacing w:after="20"/>
            </w:pPr>
            <w:r>
              <w:rPr>
                <w:b/>
                <w:color w:val="1C3A36"/>
                <w:sz w:val="12"/>
              </w:rPr>
              <w:t>amort_nr_h125</w:t>
            </w:r>
          </w:p>
        </w:tc>
        <w:tc>
          <w:tcPr>
            <w:tcW w:type="dxa" w:w="1368"/>
          </w:tcPr>
          <w:p>
            <w:pPr>
              <w:spacing w:after="20"/>
              <w:jc w:val="right"/>
            </w:pPr>
            <w:r>
              <w:rPr>
                <w:color w:val="1C3A36"/>
                <w:sz w:val="12"/>
              </w:rPr>
              <w:t>365.9</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same line, comparative</w:t>
            </w:r>
          </w:p>
        </w:tc>
      </w:tr>
      <w:tr>
        <w:tc>
          <w:tcPr>
            <w:tcW w:type="dxa" w:w="1800"/>
          </w:tcPr>
          <w:p>
            <w:pPr>
              <w:spacing w:after="20"/>
            </w:pPr>
            <w:r>
              <w:rPr>
                <w:b/>
                <w:color w:val="1C3A36"/>
                <w:sz w:val="12"/>
              </w:rPr>
              <w:t>amort_nr_h126</w:t>
            </w:r>
          </w:p>
        </w:tc>
        <w:tc>
          <w:tcPr>
            <w:tcW w:type="dxa" w:w="1368"/>
          </w:tcPr>
          <w:p>
            <w:pPr>
              <w:spacing w:after="20"/>
              <w:jc w:val="right"/>
            </w:pPr>
            <w:r>
              <w:rPr>
                <w:color w:val="1C3A36"/>
                <w:sz w:val="12"/>
              </w:rPr>
              <w:t>523.2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amortization of discount on notes receivable (note 69)</w:t>
            </w:r>
          </w:p>
        </w:tc>
      </w:tr>
      <w:tr>
        <w:tc>
          <w:tcPr>
            <w:tcW w:type="dxa" w:w="1800"/>
          </w:tcPr>
          <w:p>
            <w:pPr>
              <w:spacing w:after="20"/>
            </w:pPr>
            <w:r>
              <w:rPr>
                <w:b/>
                <w:color w:val="1C3A36"/>
                <w:sz w:val="12"/>
              </w:rPr>
              <w:t>ar_dec25</w:t>
            </w:r>
          </w:p>
        </w:tc>
        <w:tc>
          <w:tcPr>
            <w:tcW w:type="dxa" w:w="1368"/>
          </w:tcPr>
          <w:p>
            <w:pPr>
              <w:spacing w:after="20"/>
              <w:jc w:val="right"/>
            </w:pPr>
            <w:r>
              <w:rPr>
                <w:color w:val="1C3A36"/>
                <w:sz w:val="12"/>
              </w:rPr>
              <w:t>28,118.116</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accounts receivable</w:t>
            </w:r>
          </w:p>
        </w:tc>
      </w:tr>
      <w:tr>
        <w:tc>
          <w:tcPr>
            <w:tcW w:type="dxa" w:w="1800"/>
          </w:tcPr>
          <w:p>
            <w:pPr>
              <w:spacing w:after="20"/>
            </w:pPr>
            <w:r>
              <w:rPr>
                <w:b/>
                <w:color w:val="1C3A36"/>
                <w:sz w:val="12"/>
              </w:rPr>
              <w:t>ar_jun26</w:t>
            </w:r>
          </w:p>
        </w:tc>
        <w:tc>
          <w:tcPr>
            <w:tcW w:type="dxa" w:w="1368"/>
          </w:tcPr>
          <w:p>
            <w:pPr>
              <w:spacing w:after="20"/>
              <w:jc w:val="right"/>
            </w:pPr>
            <w:r>
              <w:rPr>
                <w:color w:val="1C3A36"/>
                <w:sz w:val="12"/>
              </w:rPr>
              <w:t>35,055.008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accounts receivable</w:t>
            </w:r>
          </w:p>
        </w:tc>
      </w:tr>
      <w:tr>
        <w:tc>
          <w:tcPr>
            <w:tcW w:type="dxa" w:w="1800"/>
          </w:tcPr>
          <w:p>
            <w:pPr>
              <w:spacing w:after="20"/>
            </w:pPr>
            <w:r>
              <w:rPr>
                <w:b/>
                <w:color w:val="1C3A36"/>
                <w:sz w:val="12"/>
              </w:rPr>
              <w:t>assoc_h126</w:t>
            </w:r>
          </w:p>
        </w:tc>
        <w:tc>
          <w:tcPr>
            <w:tcW w:type="dxa" w:w="1368"/>
          </w:tcPr>
          <w:p>
            <w:pPr>
              <w:spacing w:after="20"/>
              <w:jc w:val="right"/>
            </w:pPr>
            <w:r>
              <w:rPr>
                <w:color w:val="1C3A36"/>
                <w:sz w:val="12"/>
              </w:rPr>
              <w:t>-146.8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gain (loss) from associates</w:t>
            </w:r>
          </w:p>
        </w:tc>
      </w:tr>
      <w:tr>
        <w:tc>
          <w:tcPr>
            <w:tcW w:type="dxa" w:w="1800"/>
          </w:tcPr>
          <w:p>
            <w:pPr>
              <w:spacing w:after="20"/>
            </w:pPr>
            <w:r>
              <w:rPr>
                <w:b/>
                <w:color w:val="1C3A36"/>
                <w:sz w:val="12"/>
              </w:rPr>
              <w:t>assoc_inv_dec25</w:t>
            </w:r>
          </w:p>
        </w:tc>
        <w:tc>
          <w:tcPr>
            <w:tcW w:type="dxa" w:w="1368"/>
          </w:tcPr>
          <w:p>
            <w:pPr>
              <w:spacing w:after="20"/>
              <w:jc w:val="right"/>
            </w:pPr>
            <w:r>
              <w:rPr>
                <w:color w:val="1C3A36"/>
                <w:sz w:val="12"/>
              </w:rPr>
              <w:t>3,611.62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investments in associates</w:t>
            </w:r>
          </w:p>
        </w:tc>
      </w:tr>
      <w:tr>
        <w:tc>
          <w:tcPr>
            <w:tcW w:type="dxa" w:w="1800"/>
          </w:tcPr>
          <w:p>
            <w:pPr>
              <w:spacing w:after="20"/>
            </w:pPr>
            <w:r>
              <w:rPr>
                <w:b/>
                <w:color w:val="1C3A36"/>
                <w:sz w:val="12"/>
              </w:rPr>
              <w:t>assoc_inv_jun26</w:t>
            </w:r>
          </w:p>
        </w:tc>
        <w:tc>
          <w:tcPr>
            <w:tcW w:type="dxa" w:w="1368"/>
          </w:tcPr>
          <w:p>
            <w:pPr>
              <w:spacing w:after="20"/>
              <w:jc w:val="right"/>
            </w:pPr>
            <w:r>
              <w:rPr>
                <w:color w:val="1C3A36"/>
                <w:sz w:val="12"/>
              </w:rPr>
              <w:t>3,898.478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investments in associates</w:t>
            </w:r>
          </w:p>
        </w:tc>
      </w:tr>
      <w:tr>
        <w:tc>
          <w:tcPr>
            <w:tcW w:type="dxa" w:w="1800"/>
          </w:tcPr>
          <w:p>
            <w:pPr>
              <w:spacing w:after="20"/>
            </w:pPr>
            <w:r>
              <w:rPr>
                <w:b/>
                <w:color w:val="1C3A36"/>
                <w:sz w:val="12"/>
              </w:rPr>
              <w:t>backlog_1q26</w:t>
            </w:r>
          </w:p>
        </w:tc>
        <w:tc>
          <w:tcPr>
            <w:tcW w:type="dxa" w:w="1368"/>
          </w:tcPr>
          <w:p>
            <w:pPr>
              <w:spacing w:after="20"/>
              <w:jc w:val="right"/>
            </w:pPr>
            <w:r>
              <w:rPr>
                <w:color w:val="1C3A36"/>
                <w:sz w:val="12"/>
              </w:rPr>
              <w:t>263,000.0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backlog of units sold and not yet delivered</w:t>
            </w:r>
          </w:p>
        </w:tc>
      </w:tr>
      <w:tr>
        <w:tc>
          <w:tcPr>
            <w:tcW w:type="dxa" w:w="1800"/>
          </w:tcPr>
          <w:p>
            <w:pPr>
              <w:spacing w:after="20"/>
            </w:pPr>
            <w:r>
              <w:rPr>
                <w:b/>
                <w:color w:val="1C3A36"/>
                <w:sz w:val="12"/>
              </w:rPr>
              <w:t>backlog_9m25</w:t>
            </w:r>
          </w:p>
        </w:tc>
        <w:tc>
          <w:tcPr>
            <w:tcW w:type="dxa" w:w="1368"/>
          </w:tcPr>
          <w:p>
            <w:pPr>
              <w:spacing w:after="20"/>
              <w:jc w:val="right"/>
            </w:pPr>
            <w:r>
              <w:rPr>
                <w:color w:val="1C3A36"/>
                <w:sz w:val="12"/>
              </w:rPr>
              <w:t>225,000.0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backlog</w:t>
            </w:r>
          </w:p>
        </w:tc>
      </w:tr>
      <w:tr>
        <w:tc>
          <w:tcPr>
            <w:tcW w:type="dxa" w:w="1800"/>
          </w:tcPr>
          <w:p>
            <w:pPr>
              <w:spacing w:after="20"/>
            </w:pPr>
            <w:r>
              <w:rPr>
                <w:b/>
                <w:color w:val="1C3A36"/>
                <w:sz w:val="12"/>
              </w:rPr>
              <w:t>bank_cr_dec25</w:t>
            </w:r>
          </w:p>
        </w:tc>
        <w:tc>
          <w:tcPr>
            <w:tcW w:type="dxa" w:w="1368"/>
          </w:tcPr>
          <w:p>
            <w:pPr>
              <w:spacing w:after="20"/>
              <w:jc w:val="right"/>
            </w:pPr>
            <w:r>
              <w:rPr>
                <w:color w:val="1C3A36"/>
                <w:sz w:val="12"/>
              </w:rPr>
              <w:t>938.8</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banks - credit balances</w:t>
            </w:r>
          </w:p>
        </w:tc>
      </w:tr>
      <w:tr>
        <w:tc>
          <w:tcPr>
            <w:tcW w:type="dxa" w:w="1800"/>
          </w:tcPr>
          <w:p>
            <w:pPr>
              <w:spacing w:after="20"/>
            </w:pPr>
            <w:r>
              <w:rPr>
                <w:b/>
                <w:color w:val="1C3A36"/>
                <w:sz w:val="12"/>
              </w:rPr>
              <w:t>bank_cr_jun26</w:t>
            </w:r>
          </w:p>
        </w:tc>
        <w:tc>
          <w:tcPr>
            <w:tcW w:type="dxa" w:w="1368"/>
          </w:tcPr>
          <w:p>
            <w:pPr>
              <w:spacing w:after="20"/>
              <w:jc w:val="right"/>
            </w:pPr>
            <w:r>
              <w:rPr>
                <w:color w:val="1C3A36"/>
                <w:sz w:val="12"/>
              </w:rPr>
              <w:t>1,529.842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banks - credit balances</w:t>
            </w:r>
          </w:p>
        </w:tc>
      </w:tr>
      <w:tr>
        <w:tc>
          <w:tcPr>
            <w:tcW w:type="dxa" w:w="1800"/>
          </w:tcPr>
          <w:p>
            <w:pPr>
              <w:spacing w:after="20"/>
            </w:pPr>
            <w:r>
              <w:rPr>
                <w:b/>
                <w:color w:val="1C3A36"/>
                <w:sz w:val="12"/>
              </w:rPr>
              <w:t>bank_int_h126</w:t>
            </w:r>
          </w:p>
        </w:tc>
        <w:tc>
          <w:tcPr>
            <w:tcW w:type="dxa" w:w="1368"/>
          </w:tcPr>
          <w:p>
            <w:pPr>
              <w:spacing w:after="20"/>
              <w:jc w:val="right"/>
            </w:pPr>
            <w:r>
              <w:rPr>
                <w:color w:val="1C3A36"/>
                <w:sz w:val="12"/>
              </w:rPr>
              <w:t>1,463.475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67, financing costs and interests</w:t>
            </w:r>
          </w:p>
        </w:tc>
      </w:tr>
      <w:tr>
        <w:tc>
          <w:tcPr>
            <w:tcW w:type="dxa" w:w="1800"/>
          </w:tcPr>
          <w:p>
            <w:pPr>
              <w:spacing w:after="20"/>
            </w:pPr>
            <w:r>
              <w:rPr>
                <w:b/>
                <w:color w:val="1C3A36"/>
                <w:sz w:val="12"/>
              </w:rPr>
              <w:t>bankcr_fx</w:t>
            </w:r>
          </w:p>
        </w:tc>
        <w:tc>
          <w:tcPr>
            <w:tcW w:type="dxa" w:w="1368"/>
          </w:tcPr>
          <w:p>
            <w:pPr>
              <w:spacing w:after="20"/>
              <w:jc w:val="right"/>
            </w:pPr>
            <w:r>
              <w:rPr>
                <w:color w:val="1C3A36"/>
                <w:sz w:val="12"/>
              </w:rPr>
              <w:t>120.9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49: banks credit balances denominated in foreign currency</w:t>
            </w:r>
          </w:p>
        </w:tc>
      </w:tr>
      <w:tr>
        <w:tc>
          <w:tcPr>
            <w:tcW w:type="dxa" w:w="1800"/>
          </w:tcPr>
          <w:p>
            <w:pPr>
              <w:spacing w:after="20"/>
            </w:pPr>
            <w:r>
              <w:rPr>
                <w:b/>
                <w:color w:val="1C3A36"/>
                <w:sz w:val="12"/>
              </w:rPr>
              <w:t>bk_contract</w:t>
            </w:r>
          </w:p>
        </w:tc>
        <w:tc>
          <w:tcPr>
            <w:tcW w:type="dxa" w:w="1368"/>
          </w:tcPr>
          <w:p>
            <w:pPr>
              <w:spacing w:after="20"/>
              <w:jc w:val="right"/>
            </w:pPr>
            <w:r>
              <w:rPr>
                <w:color w:val="1C3A36"/>
                <w:sz w:val="12"/>
              </w:rPr>
              <w:t>149,117.775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72: contractual value to customers of undelivered-unit contracts concluded between 1-Jan-2023 and 30-Jun-2026</w:t>
            </w:r>
          </w:p>
        </w:tc>
      </w:tr>
      <w:tr>
        <w:tc>
          <w:tcPr>
            <w:tcW w:type="dxa" w:w="1800"/>
          </w:tcPr>
          <w:p>
            <w:pPr>
              <w:spacing w:after="20"/>
            </w:pPr>
            <w:r>
              <w:rPr>
                <w:b/>
                <w:color w:val="1C3A36"/>
                <w:sz w:val="12"/>
              </w:rPr>
              <w:t>bk_ladder</w:t>
            </w:r>
          </w:p>
        </w:tc>
        <w:tc>
          <w:tcPr>
            <w:tcW w:type="dxa" w:w="1368"/>
          </w:tcPr>
          <w:p>
            <w:pPr>
              <w:spacing w:after="20"/>
              <w:jc w:val="right"/>
            </w:pPr>
            <w:r>
              <w:rPr>
                <w:color w:val="1C3A36"/>
                <w:sz w:val="12"/>
              </w:rPr>
              <w:t>7,958.454, 15,904.032, 16,250.343, 16,319.819, 60,107.423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72 maturity ladder, nominal: due 2026 / 2027 / 2028 / 2029 / 2030 and later</w:t>
            </w:r>
          </w:p>
        </w:tc>
      </w:tr>
      <w:tr>
        <w:tc>
          <w:tcPr>
            <w:tcW w:type="dxa" w:w="1800"/>
          </w:tcPr>
          <w:p>
            <w:pPr>
              <w:spacing w:after="20"/>
            </w:pPr>
            <w:r>
              <w:rPr>
                <w:b/>
                <w:color w:val="1C3A36"/>
                <w:sz w:val="12"/>
              </w:rPr>
              <w:t>bk_ladder_pv</w:t>
            </w:r>
          </w:p>
        </w:tc>
        <w:tc>
          <w:tcPr>
            <w:tcW w:type="dxa" w:w="1368"/>
          </w:tcPr>
          <w:p>
            <w:pPr>
              <w:spacing w:after="20"/>
              <w:jc w:val="right"/>
            </w:pPr>
            <w:r>
              <w:rPr>
                <w:color w:val="1C3A36"/>
                <w:sz w:val="12"/>
              </w:rPr>
              <w:t>7,484.722, 12,896.814, 10,798.765, 8,879.312, 19,338.715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72 maturity ladder, net present value</w:t>
            </w:r>
          </w:p>
        </w:tc>
      </w:tr>
      <w:tr>
        <w:tc>
          <w:tcPr>
            <w:tcW w:type="dxa" w:w="1800"/>
          </w:tcPr>
          <w:p>
            <w:pPr>
              <w:spacing w:after="20"/>
            </w:pPr>
            <w:r>
              <w:rPr>
                <w:b/>
                <w:color w:val="1C3A36"/>
                <w:sz w:val="12"/>
              </w:rPr>
              <w:t>bk_nominal</w:t>
            </w:r>
          </w:p>
        </w:tc>
        <w:tc>
          <w:tcPr>
            <w:tcW w:type="dxa" w:w="1368"/>
          </w:tcPr>
          <w:p>
            <w:pPr>
              <w:spacing w:after="20"/>
              <w:jc w:val="right"/>
            </w:pPr>
            <w:r>
              <w:rPr>
                <w:color w:val="1C3A36"/>
                <w:sz w:val="12"/>
              </w:rPr>
              <w:t>116,540.071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72: nominal value of the notes receivable behind those contracts, not included in the financial statements</w:t>
            </w:r>
          </w:p>
        </w:tc>
      </w:tr>
      <w:tr>
        <w:tc>
          <w:tcPr>
            <w:tcW w:type="dxa" w:w="1800"/>
          </w:tcPr>
          <w:p>
            <w:pPr>
              <w:spacing w:after="20"/>
            </w:pPr>
            <w:r>
              <w:rPr>
                <w:b/>
                <w:color w:val="1C3A36"/>
                <w:sz w:val="12"/>
              </w:rPr>
              <w:t>bk_pv</w:t>
            </w:r>
          </w:p>
        </w:tc>
        <w:tc>
          <w:tcPr>
            <w:tcW w:type="dxa" w:w="1368"/>
          </w:tcPr>
          <w:p>
            <w:pPr>
              <w:spacing w:after="20"/>
              <w:jc w:val="right"/>
            </w:pPr>
            <w:r>
              <w:rPr>
                <w:color w:val="1C3A36"/>
                <w:sz w:val="12"/>
              </w:rPr>
              <w:t>59,398.328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72: present value of those checks</w:t>
            </w:r>
          </w:p>
        </w:tc>
      </w:tr>
      <w:tr>
        <w:tc>
          <w:tcPr>
            <w:tcW w:type="dxa" w:w="1800"/>
          </w:tcPr>
          <w:p>
            <w:pPr>
              <w:spacing w:after="20"/>
            </w:pPr>
            <w:r>
              <w:rPr>
                <w:b/>
                <w:color w:val="1C3A36"/>
                <w:sz w:val="12"/>
              </w:rPr>
              <w:t>capex_cip_h126</w:t>
            </w:r>
          </w:p>
        </w:tc>
        <w:tc>
          <w:tcPr>
            <w:tcW w:type="dxa" w:w="1368"/>
          </w:tcPr>
          <w:p>
            <w:pPr>
              <w:spacing w:after="20"/>
              <w:jc w:val="right"/>
            </w:pPr>
            <w:r>
              <w:rPr>
                <w:color w:val="1C3A36"/>
                <w:sz w:val="12"/>
              </w:rPr>
              <w:t>20.6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payments for projects under construction</w:t>
            </w:r>
          </w:p>
        </w:tc>
      </w:tr>
      <w:tr>
        <w:tc>
          <w:tcPr>
            <w:tcW w:type="dxa" w:w="1800"/>
          </w:tcPr>
          <w:p>
            <w:pPr>
              <w:spacing w:after="20"/>
            </w:pPr>
            <w:r>
              <w:rPr>
                <w:b/>
                <w:color w:val="1C3A36"/>
                <w:sz w:val="12"/>
              </w:rPr>
              <w:t>capex_fy24</w:t>
            </w:r>
          </w:p>
        </w:tc>
        <w:tc>
          <w:tcPr>
            <w:tcW w:type="dxa" w:w="1368"/>
          </w:tcPr>
          <w:p>
            <w:pPr>
              <w:spacing w:after="20"/>
              <w:jc w:val="right"/>
            </w:pPr>
            <w:r>
              <w:rPr>
                <w:color w:val="1C3A36"/>
                <w:sz w:val="12"/>
              </w:rPr>
              <w:t>587.6</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payments for purchase of fixed assets</w:t>
            </w:r>
          </w:p>
        </w:tc>
      </w:tr>
      <w:tr>
        <w:tc>
          <w:tcPr>
            <w:tcW w:type="dxa" w:w="1800"/>
          </w:tcPr>
          <w:p>
            <w:pPr>
              <w:spacing w:after="20"/>
            </w:pPr>
            <w:r>
              <w:rPr>
                <w:b/>
                <w:color w:val="1C3A36"/>
                <w:sz w:val="12"/>
              </w:rPr>
              <w:t>capex_h126</w:t>
            </w:r>
          </w:p>
        </w:tc>
        <w:tc>
          <w:tcPr>
            <w:tcW w:type="dxa" w:w="1368"/>
          </w:tcPr>
          <w:p>
            <w:pPr>
              <w:spacing w:after="20"/>
              <w:jc w:val="right"/>
            </w:pPr>
            <w:r>
              <w:rPr>
                <w:color w:val="1C3A36"/>
                <w:sz w:val="12"/>
              </w:rPr>
              <w:t>311.8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payments for purchase of fixed assets</w:t>
            </w:r>
          </w:p>
        </w:tc>
      </w:tr>
      <w:tr>
        <w:tc>
          <w:tcPr>
            <w:tcW w:type="dxa" w:w="1800"/>
          </w:tcPr>
          <w:p>
            <w:pPr>
              <w:spacing w:after="20"/>
            </w:pPr>
            <w:r>
              <w:rPr>
                <w:b/>
                <w:color w:val="1C3A36"/>
                <w:sz w:val="12"/>
              </w:rPr>
              <w:t>capint_h126</w:t>
            </w:r>
          </w:p>
        </w:tc>
        <w:tc>
          <w:tcPr>
            <w:tcW w:type="dxa" w:w="1368"/>
          </w:tcPr>
          <w:p>
            <w:pPr>
              <w:spacing w:after="20"/>
              <w:jc w:val="right"/>
            </w:pPr>
            <w:r>
              <w:rPr>
                <w:color w:val="1C3A36"/>
                <w:sz w:val="12"/>
              </w:rPr>
              <w:t>1,191.508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footnote, interest on loans capitalised into works under implementation</w:t>
            </w:r>
          </w:p>
        </w:tc>
      </w:tr>
      <w:tr>
        <w:tc>
          <w:tcPr>
            <w:tcW w:type="dxa" w:w="1800"/>
          </w:tcPr>
          <w:p>
            <w:pPr>
              <w:spacing w:after="20"/>
            </w:pPr>
            <w:r>
              <w:rPr>
                <w:b/>
                <w:color w:val="1C3A36"/>
                <w:sz w:val="12"/>
              </w:rPr>
              <w:t>cash_dec25</w:t>
            </w:r>
          </w:p>
        </w:tc>
        <w:tc>
          <w:tcPr>
            <w:tcW w:type="dxa" w:w="1368"/>
          </w:tcPr>
          <w:p>
            <w:pPr>
              <w:spacing w:after="20"/>
              <w:jc w:val="right"/>
            </w:pPr>
            <w:r>
              <w:rPr>
                <w:color w:val="1C3A36"/>
                <w:sz w:val="12"/>
              </w:rPr>
              <w:t>9,419.526</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cash and cash equivalents</w:t>
            </w:r>
          </w:p>
        </w:tc>
      </w:tr>
      <w:tr>
        <w:tc>
          <w:tcPr>
            <w:tcW w:type="dxa" w:w="1800"/>
          </w:tcPr>
          <w:p>
            <w:pPr>
              <w:spacing w:after="20"/>
            </w:pPr>
            <w:r>
              <w:rPr>
                <w:b/>
                <w:color w:val="1C3A36"/>
                <w:sz w:val="12"/>
              </w:rPr>
              <w:t>cash_fx_jun26</w:t>
            </w:r>
          </w:p>
        </w:tc>
        <w:tc>
          <w:tcPr>
            <w:tcW w:type="dxa" w:w="1368"/>
          </w:tcPr>
          <w:p>
            <w:pPr>
              <w:spacing w:after="20"/>
              <w:jc w:val="right"/>
            </w:pPr>
            <w:r>
              <w:rPr>
                <w:color w:val="1C3A36"/>
                <w:sz w:val="12"/>
              </w:rPr>
              <w:t>2,569.233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48: banks current accounts foreign currency 524.696277 + banks deposits foreign currency 2,044.537113</w:t>
            </w:r>
          </w:p>
        </w:tc>
      </w:tr>
      <w:tr>
        <w:tc>
          <w:tcPr>
            <w:tcW w:type="dxa" w:w="1800"/>
          </w:tcPr>
          <w:p>
            <w:pPr>
              <w:spacing w:after="20"/>
            </w:pPr>
            <w:r>
              <w:rPr>
                <w:b/>
                <w:color w:val="1C3A36"/>
                <w:sz w:val="12"/>
              </w:rPr>
              <w:t>cash_jun26</w:t>
            </w:r>
          </w:p>
        </w:tc>
        <w:tc>
          <w:tcPr>
            <w:tcW w:type="dxa" w:w="1368"/>
          </w:tcPr>
          <w:p>
            <w:pPr>
              <w:spacing w:after="20"/>
              <w:jc w:val="right"/>
            </w:pPr>
            <w:r>
              <w:rPr>
                <w:color w:val="1C3A36"/>
                <w:sz w:val="12"/>
              </w:rPr>
              <w:t>7,804.247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cash and cash equivalents</w:t>
            </w:r>
          </w:p>
        </w:tc>
      </w:tr>
      <w:tr>
        <w:tc>
          <w:tcPr>
            <w:tcW w:type="dxa" w:w="1800"/>
          </w:tcPr>
          <w:p>
            <w:pPr>
              <w:spacing w:after="20"/>
            </w:pPr>
            <w:r>
              <w:rPr>
                <w:b/>
                <w:color w:val="1C3A36"/>
                <w:sz w:val="12"/>
              </w:rPr>
              <w:t>cashdisc_h125</w:t>
            </w:r>
          </w:p>
        </w:tc>
        <w:tc>
          <w:tcPr>
            <w:tcW w:type="dxa" w:w="1368"/>
          </w:tcPr>
          <w:p>
            <w:pPr>
              <w:spacing w:after="20"/>
              <w:jc w:val="right"/>
            </w:pPr>
            <w:r>
              <w:rPr>
                <w:color w:val="1C3A36"/>
                <w:sz w:val="12"/>
              </w:rPr>
              <w:t>54.55</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cash discount, comparative</w:t>
            </w:r>
          </w:p>
        </w:tc>
      </w:tr>
      <w:tr>
        <w:tc>
          <w:tcPr>
            <w:tcW w:type="dxa" w:w="1800"/>
          </w:tcPr>
          <w:p>
            <w:pPr>
              <w:spacing w:after="20"/>
            </w:pPr>
            <w:r>
              <w:rPr>
                <w:b/>
                <w:color w:val="1C3A36"/>
                <w:sz w:val="12"/>
              </w:rPr>
              <w:t>cashdisc_h126</w:t>
            </w:r>
          </w:p>
        </w:tc>
        <w:tc>
          <w:tcPr>
            <w:tcW w:type="dxa" w:w="1368"/>
          </w:tcPr>
          <w:p>
            <w:pPr>
              <w:spacing w:after="20"/>
              <w:jc w:val="right"/>
            </w:pPr>
            <w:r>
              <w:rPr>
                <w:color w:val="1C3A36"/>
                <w:sz w:val="12"/>
              </w:rPr>
              <w:t>62.82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cash discount</w:t>
            </w:r>
          </w:p>
        </w:tc>
      </w:tr>
      <w:tr>
        <w:tc>
          <w:tcPr>
            <w:tcW w:type="dxa" w:w="1800"/>
          </w:tcPr>
          <w:p>
            <w:pPr>
              <w:spacing w:after="20"/>
            </w:pPr>
            <w:r>
              <w:rPr>
                <w:b/>
                <w:color w:val="1C3A36"/>
                <w:sz w:val="12"/>
              </w:rPr>
              <w:t>cf_dec25</w:t>
            </w:r>
          </w:p>
        </w:tc>
        <w:tc>
          <w:tcPr>
            <w:tcW w:type="dxa" w:w="1368"/>
          </w:tcPr>
          <w:p>
            <w:pPr>
              <w:spacing w:after="20"/>
              <w:jc w:val="right"/>
            </w:pPr>
            <w:r>
              <w:rPr>
                <w:color w:val="1C3A36"/>
                <w:sz w:val="12"/>
              </w:rPr>
              <w:t>11,337.532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credit facilities</w:t>
            </w:r>
          </w:p>
        </w:tc>
      </w:tr>
      <w:tr>
        <w:tc>
          <w:tcPr>
            <w:tcW w:type="dxa" w:w="1800"/>
          </w:tcPr>
          <w:p>
            <w:pPr>
              <w:spacing w:after="20"/>
            </w:pPr>
            <w:r>
              <w:rPr>
                <w:b/>
                <w:color w:val="1C3A36"/>
                <w:sz w:val="12"/>
              </w:rPr>
              <w:t>cf_jun26</w:t>
            </w:r>
          </w:p>
        </w:tc>
        <w:tc>
          <w:tcPr>
            <w:tcW w:type="dxa" w:w="1368"/>
          </w:tcPr>
          <w:p>
            <w:pPr>
              <w:spacing w:after="20"/>
              <w:jc w:val="right"/>
            </w:pPr>
            <w:r>
              <w:rPr>
                <w:color w:val="1C3A36"/>
                <w:sz w:val="12"/>
              </w:rPr>
              <w:t>13,922.423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credit facilities</w:t>
            </w:r>
          </w:p>
        </w:tc>
      </w:tr>
      <w:tr>
        <w:tc>
          <w:tcPr>
            <w:tcW w:type="dxa" w:w="1800"/>
          </w:tcPr>
          <w:p>
            <w:pPr>
              <w:spacing w:after="20"/>
            </w:pPr>
            <w:r>
              <w:rPr>
                <w:b/>
                <w:color w:val="1C3A36"/>
                <w:sz w:val="12"/>
              </w:rPr>
              <w:t>chkund_dec25</w:t>
            </w:r>
          </w:p>
        </w:tc>
        <w:tc>
          <w:tcPr>
            <w:tcW w:type="dxa" w:w="1368"/>
          </w:tcPr>
          <w:p>
            <w:pPr>
              <w:spacing w:after="20"/>
              <w:jc w:val="right"/>
            </w:pPr>
            <w:r>
              <w:rPr>
                <w:color w:val="1C3A36"/>
                <w:sz w:val="12"/>
              </w:rPr>
              <w:t>2,453.75</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liabilities for checks for undelivered units</w:t>
            </w:r>
          </w:p>
        </w:tc>
      </w:tr>
      <w:tr>
        <w:tc>
          <w:tcPr>
            <w:tcW w:type="dxa" w:w="1800"/>
          </w:tcPr>
          <w:p>
            <w:pPr>
              <w:spacing w:after="20"/>
            </w:pPr>
            <w:r>
              <w:rPr>
                <w:b/>
                <w:color w:val="1C3A36"/>
                <w:sz w:val="12"/>
              </w:rPr>
              <w:t>chkund_jun26</w:t>
            </w:r>
          </w:p>
        </w:tc>
        <w:tc>
          <w:tcPr>
            <w:tcW w:type="dxa" w:w="1368"/>
          </w:tcPr>
          <w:p>
            <w:pPr>
              <w:spacing w:after="20"/>
              <w:jc w:val="right"/>
            </w:pPr>
            <w:r>
              <w:rPr>
                <w:color w:val="1C3A36"/>
                <w:sz w:val="12"/>
              </w:rPr>
              <w:t>1,728.981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liabilities for checks for undelivered units</w:t>
            </w:r>
          </w:p>
        </w:tc>
      </w:tr>
      <w:tr>
        <w:tc>
          <w:tcPr>
            <w:tcW w:type="dxa" w:w="1800"/>
          </w:tcPr>
          <w:p>
            <w:pPr>
              <w:spacing w:after="20"/>
            </w:pPr>
            <w:r>
              <w:rPr>
                <w:b/>
                <w:color w:val="1C3A36"/>
                <w:sz w:val="12"/>
              </w:rPr>
              <w:t>cip_dec25</w:t>
            </w:r>
          </w:p>
        </w:tc>
        <w:tc>
          <w:tcPr>
            <w:tcW w:type="dxa" w:w="1368"/>
          </w:tcPr>
          <w:p>
            <w:pPr>
              <w:spacing w:after="20"/>
              <w:jc w:val="right"/>
            </w:pPr>
            <w:r>
              <w:rPr>
                <w:color w:val="1C3A36"/>
                <w:sz w:val="12"/>
              </w:rPr>
              <w:t>182.6</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projects under construction</w:t>
            </w:r>
          </w:p>
        </w:tc>
      </w:tr>
      <w:tr>
        <w:tc>
          <w:tcPr>
            <w:tcW w:type="dxa" w:w="1800"/>
          </w:tcPr>
          <w:p>
            <w:pPr>
              <w:spacing w:after="20"/>
            </w:pPr>
            <w:r>
              <w:rPr>
                <w:b/>
                <w:color w:val="1C3A36"/>
                <w:sz w:val="12"/>
              </w:rPr>
              <w:t>cip_jun26</w:t>
            </w:r>
          </w:p>
        </w:tc>
        <w:tc>
          <w:tcPr>
            <w:tcW w:type="dxa" w:w="1368"/>
          </w:tcPr>
          <w:p>
            <w:pPr>
              <w:spacing w:after="20"/>
              <w:jc w:val="right"/>
            </w:pPr>
            <w:r>
              <w:rPr>
                <w:color w:val="1C3A36"/>
                <w:sz w:val="12"/>
              </w:rPr>
              <w:t>203.2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projects under construction</w:t>
            </w:r>
          </w:p>
        </w:tc>
      </w:tr>
      <w:tr>
        <w:tc>
          <w:tcPr>
            <w:tcW w:type="dxa" w:w="1800"/>
          </w:tcPr>
          <w:p>
            <w:pPr>
              <w:spacing w:after="20"/>
            </w:pPr>
            <w:r>
              <w:rPr>
                <w:b/>
                <w:color w:val="1C3A36"/>
                <w:sz w:val="12"/>
              </w:rPr>
              <w:t>cogs_fy23</w:t>
            </w:r>
          </w:p>
        </w:tc>
        <w:tc>
          <w:tcPr>
            <w:tcW w:type="dxa" w:w="1368"/>
          </w:tcPr>
          <w:p>
            <w:pPr>
              <w:spacing w:after="20"/>
              <w:jc w:val="right"/>
            </w:pPr>
            <w:r>
              <w:rPr>
                <w:color w:val="1C3A36"/>
                <w:sz w:val="12"/>
              </w:rPr>
              <w:t>11,907.224</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cogs_fy24</w:t>
            </w:r>
          </w:p>
        </w:tc>
        <w:tc>
          <w:tcPr>
            <w:tcW w:type="dxa" w:w="1368"/>
          </w:tcPr>
          <w:p>
            <w:pPr>
              <w:spacing w:after="20"/>
              <w:jc w:val="right"/>
            </w:pPr>
            <w:r>
              <w:rPr>
                <w:color w:val="1C3A36"/>
                <w:sz w:val="12"/>
              </w:rPr>
              <w:t>17,739.914</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cost of revenues</w:t>
            </w:r>
          </w:p>
        </w:tc>
      </w:tr>
      <w:tr>
        <w:tc>
          <w:tcPr>
            <w:tcW w:type="dxa" w:w="1800"/>
          </w:tcPr>
          <w:p>
            <w:pPr>
              <w:spacing w:after="20"/>
            </w:pPr>
            <w:r>
              <w:rPr>
                <w:b/>
                <w:color w:val="1C3A36"/>
                <w:sz w:val="12"/>
              </w:rPr>
              <w:t>cogs_h125</w:t>
            </w:r>
          </w:p>
        </w:tc>
        <w:tc>
          <w:tcPr>
            <w:tcW w:type="dxa" w:w="1368"/>
          </w:tcPr>
          <w:p>
            <w:pPr>
              <w:spacing w:after="20"/>
              <w:jc w:val="right"/>
            </w:pPr>
            <w:r>
              <w:rPr>
                <w:color w:val="1C3A36"/>
                <w:sz w:val="12"/>
              </w:rPr>
              <w:t>8,859.894</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cost of revenues, comparative</w:t>
            </w:r>
          </w:p>
        </w:tc>
      </w:tr>
      <w:tr>
        <w:tc>
          <w:tcPr>
            <w:tcW w:type="dxa" w:w="1800"/>
          </w:tcPr>
          <w:p>
            <w:pPr>
              <w:spacing w:after="20"/>
            </w:pPr>
            <w:r>
              <w:rPr>
                <w:b/>
                <w:color w:val="1C3A36"/>
                <w:sz w:val="12"/>
              </w:rPr>
              <w:t>cogs_h126</w:t>
            </w:r>
          </w:p>
        </w:tc>
        <w:tc>
          <w:tcPr>
            <w:tcW w:type="dxa" w:w="1368"/>
          </w:tcPr>
          <w:p>
            <w:pPr>
              <w:spacing w:after="20"/>
              <w:jc w:val="right"/>
            </w:pPr>
            <w:r>
              <w:rPr>
                <w:color w:val="1C3A36"/>
                <w:sz w:val="12"/>
              </w:rPr>
              <w:t>12,539.272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cost of revenues</w:t>
            </w:r>
          </w:p>
        </w:tc>
      </w:tr>
      <w:tr>
        <w:tc>
          <w:tcPr>
            <w:tcW w:type="dxa" w:w="1800"/>
          </w:tcPr>
          <w:p>
            <w:pPr>
              <w:spacing w:after="20"/>
            </w:pPr>
            <w:r>
              <w:rPr>
                <w:b/>
                <w:color w:val="1C3A36"/>
                <w:sz w:val="12"/>
              </w:rPr>
              <w:t>coll_1h25</w:t>
            </w:r>
          </w:p>
        </w:tc>
        <w:tc>
          <w:tcPr>
            <w:tcW w:type="dxa" w:w="1368"/>
          </w:tcPr>
          <w:p>
            <w:pPr>
              <w:spacing w:after="20"/>
              <w:jc w:val="right"/>
            </w:pPr>
            <w:r>
              <w:rPr>
                <w:color w:val="1C3A36"/>
                <w:sz w:val="12"/>
              </w:rPr>
              <w:t>16,600.0</w:t>
            </w:r>
          </w:p>
        </w:tc>
        <w:tc>
          <w:tcPr>
            <w:tcW w:type="dxa" w:w="1037"/>
          </w:tcPr>
          <w:p>
            <w:pPr>
              <w:spacing w:after="20"/>
              <w:jc w:val="right"/>
            </w:pPr>
            <w:r>
              <w:rPr>
                <w:color w:val="1C3A36"/>
                <w:sz w:val="12"/>
              </w:rPr>
              <w:t>13-Aug-2025</w:t>
            </w:r>
          </w:p>
        </w:tc>
        <w:tc>
          <w:tcPr>
            <w:tcW w:type="dxa" w:w="5875"/>
          </w:tcPr>
          <w:p>
            <w:pPr>
              <w:spacing w:after="20"/>
              <w:jc w:val="left"/>
            </w:pPr>
            <w:r>
              <w:rPr>
                <w:color w:val="1C3A36"/>
                <w:sz w:val="12"/>
              </w:rPr>
              <w:t>Palm Hills Developments 1H2025 Earnings Release, 13-Aug-2025, same CDN (COMPANY_IR) — cash collection from receivables and new sales</w:t>
            </w:r>
          </w:p>
        </w:tc>
      </w:tr>
      <w:tr>
        <w:tc>
          <w:tcPr>
            <w:tcW w:type="dxa" w:w="1800"/>
          </w:tcPr>
          <w:p>
            <w:pPr>
              <w:spacing w:after="20"/>
            </w:pPr>
            <w:r>
              <w:rPr>
                <w:b/>
                <w:color w:val="1C3A36"/>
                <w:sz w:val="12"/>
              </w:rPr>
              <w:t>constr_1h25</w:t>
            </w:r>
          </w:p>
        </w:tc>
        <w:tc>
          <w:tcPr>
            <w:tcW w:type="dxa" w:w="1368"/>
          </w:tcPr>
          <w:p>
            <w:pPr>
              <w:spacing w:after="20"/>
              <w:jc w:val="right"/>
            </w:pPr>
            <w:r>
              <w:rPr>
                <w:color w:val="1C3A36"/>
                <w:sz w:val="12"/>
              </w:rPr>
              <w:t>6,400.0</w:t>
            </w:r>
          </w:p>
        </w:tc>
        <w:tc>
          <w:tcPr>
            <w:tcW w:type="dxa" w:w="1037"/>
          </w:tcPr>
          <w:p>
            <w:pPr>
              <w:spacing w:after="20"/>
              <w:jc w:val="right"/>
            </w:pPr>
            <w:r>
              <w:rPr>
                <w:color w:val="1C3A36"/>
                <w:sz w:val="12"/>
              </w:rPr>
              <w:t>13-Aug-2025</w:t>
            </w:r>
          </w:p>
        </w:tc>
        <w:tc>
          <w:tcPr>
            <w:tcW w:type="dxa" w:w="5875"/>
          </w:tcPr>
          <w:p>
            <w:pPr>
              <w:spacing w:after="20"/>
              <w:jc w:val="left"/>
            </w:pPr>
            <w:r>
              <w:rPr>
                <w:color w:val="1C3A36"/>
                <w:sz w:val="12"/>
              </w:rPr>
              <w:t>Palm Hills Developments 1H2025 Earnings Release, 13-Aug-2025, same CDN (COMPANY_IR) — construction spending, up 55% year on year</w:t>
            </w:r>
          </w:p>
        </w:tc>
      </w:tr>
      <w:tr>
        <w:tc>
          <w:tcPr>
            <w:tcW w:type="dxa" w:w="1800"/>
          </w:tcPr>
          <w:p>
            <w:pPr>
              <w:spacing w:after="20"/>
            </w:pPr>
            <w:r>
              <w:rPr>
                <w:b/>
                <w:color w:val="1C3A36"/>
                <w:sz w:val="12"/>
              </w:rPr>
              <w:t>constr_1q26</w:t>
            </w:r>
          </w:p>
        </w:tc>
        <w:tc>
          <w:tcPr>
            <w:tcW w:type="dxa" w:w="1368"/>
          </w:tcPr>
          <w:p>
            <w:pPr>
              <w:spacing w:after="20"/>
              <w:jc w:val="right"/>
            </w:pPr>
            <w:r>
              <w:rPr>
                <w:color w:val="1C3A36"/>
                <w:sz w:val="12"/>
              </w:rPr>
              <w:t>4,600.0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construction spending in 1Q2026, up 60% year on year</w:t>
            </w:r>
          </w:p>
        </w:tc>
      </w:tr>
      <w:tr>
        <w:tc>
          <w:tcPr>
            <w:tcW w:type="dxa" w:w="1800"/>
          </w:tcPr>
          <w:p>
            <w:pPr>
              <w:spacing w:after="20"/>
            </w:pPr>
            <w:r>
              <w:rPr>
                <w:b/>
                <w:color w:val="1C3A36"/>
                <w:sz w:val="12"/>
              </w:rPr>
              <w:t>constr_9m25</w:t>
            </w:r>
          </w:p>
        </w:tc>
        <w:tc>
          <w:tcPr>
            <w:tcW w:type="dxa" w:w="1368"/>
          </w:tcPr>
          <w:p>
            <w:pPr>
              <w:spacing w:after="20"/>
              <w:jc w:val="right"/>
            </w:pPr>
            <w:r>
              <w:rPr>
                <w:color w:val="1C3A36"/>
                <w:sz w:val="12"/>
              </w:rPr>
              <w:t>10,500.0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construction spending, up 71% year on year</w:t>
            </w:r>
          </w:p>
        </w:tc>
      </w:tr>
      <w:tr>
        <w:tc>
          <w:tcPr>
            <w:tcW w:type="dxa" w:w="1800"/>
          </w:tcPr>
          <w:p>
            <w:pPr>
              <w:spacing w:after="20"/>
            </w:pPr>
            <w:r>
              <w:rPr>
                <w:b/>
                <w:color w:val="1C3A36"/>
                <w:sz w:val="12"/>
              </w:rPr>
              <w:t>cost_clb_h125</w:t>
            </w:r>
          </w:p>
        </w:tc>
        <w:tc>
          <w:tcPr>
            <w:tcW w:type="dxa" w:w="1368"/>
          </w:tcPr>
          <w:p>
            <w:pPr>
              <w:spacing w:after="20"/>
              <w:jc w:val="right"/>
            </w:pPr>
            <w:r>
              <w:rPr>
                <w:color w:val="1C3A36"/>
                <w:sz w:val="12"/>
              </w:rPr>
              <w:t>101.1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comparative, Palm Hills club operation</w:t>
            </w:r>
          </w:p>
        </w:tc>
      </w:tr>
      <w:tr>
        <w:tc>
          <w:tcPr>
            <w:tcW w:type="dxa" w:w="1800"/>
          </w:tcPr>
          <w:p>
            <w:pPr>
              <w:spacing w:after="20"/>
            </w:pPr>
            <w:r>
              <w:rPr>
                <w:b/>
                <w:color w:val="1C3A36"/>
                <w:sz w:val="12"/>
              </w:rPr>
              <w:t>cost_clb_h126</w:t>
            </w:r>
          </w:p>
        </w:tc>
        <w:tc>
          <w:tcPr>
            <w:tcW w:type="dxa" w:w="1368"/>
          </w:tcPr>
          <w:p>
            <w:pPr>
              <w:spacing w:after="20"/>
              <w:jc w:val="right"/>
            </w:pPr>
            <w:r>
              <w:rPr>
                <w:color w:val="1C3A36"/>
                <w:sz w:val="12"/>
              </w:rPr>
              <w:t>121.7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cost of Palm Hills club operation</w:t>
            </w:r>
          </w:p>
        </w:tc>
      </w:tr>
      <w:tr>
        <w:tc>
          <w:tcPr>
            <w:tcW w:type="dxa" w:w="1800"/>
          </w:tcPr>
          <w:p>
            <w:pPr>
              <w:spacing w:after="20"/>
            </w:pPr>
            <w:r>
              <w:rPr>
                <w:b/>
                <w:color w:val="1C3A36"/>
                <w:sz w:val="12"/>
              </w:rPr>
              <w:t>cost_com_h125</w:t>
            </w:r>
          </w:p>
        </w:tc>
        <w:tc>
          <w:tcPr>
            <w:tcW w:type="dxa" w:w="1368"/>
          </w:tcPr>
          <w:p>
            <w:pPr>
              <w:spacing w:after="20"/>
              <w:jc w:val="right"/>
            </w:pPr>
            <w:r>
              <w:rPr>
                <w:color w:val="1C3A36"/>
                <w:sz w:val="12"/>
              </w:rPr>
              <w:t>204</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comparative, commercial and service activity</w:t>
            </w:r>
          </w:p>
        </w:tc>
      </w:tr>
      <w:tr>
        <w:tc>
          <w:tcPr>
            <w:tcW w:type="dxa" w:w="1800"/>
          </w:tcPr>
          <w:p>
            <w:pPr>
              <w:spacing w:after="20"/>
            </w:pPr>
            <w:r>
              <w:rPr>
                <w:b/>
                <w:color w:val="1C3A36"/>
                <w:sz w:val="12"/>
              </w:rPr>
              <w:t>cost_com_h126</w:t>
            </w:r>
          </w:p>
        </w:tc>
        <w:tc>
          <w:tcPr>
            <w:tcW w:type="dxa" w:w="1368"/>
          </w:tcPr>
          <w:p>
            <w:pPr>
              <w:spacing w:after="20"/>
              <w:jc w:val="right"/>
            </w:pPr>
            <w:r>
              <w:rPr>
                <w:color w:val="1C3A36"/>
                <w:sz w:val="12"/>
              </w:rPr>
              <w:t>250.3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cost of commercial and service activity</w:t>
            </w:r>
          </w:p>
        </w:tc>
      </w:tr>
      <w:tr>
        <w:tc>
          <w:tcPr>
            <w:tcW w:type="dxa" w:w="1800"/>
          </w:tcPr>
          <w:p>
            <w:pPr>
              <w:spacing w:after="20"/>
            </w:pPr>
            <w:r>
              <w:rPr>
                <w:b/>
                <w:color w:val="1C3A36"/>
                <w:sz w:val="12"/>
              </w:rPr>
              <w:t>cost_re_h125</w:t>
            </w:r>
          </w:p>
        </w:tc>
        <w:tc>
          <w:tcPr>
            <w:tcW w:type="dxa" w:w="1368"/>
          </w:tcPr>
          <w:p>
            <w:pPr>
              <w:spacing w:after="20"/>
              <w:jc w:val="right"/>
            </w:pPr>
            <w:r>
              <w:rPr>
                <w:color w:val="1C3A36"/>
                <w:sz w:val="12"/>
              </w:rPr>
              <w:t>8,530.839</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comparative</w:t>
            </w:r>
          </w:p>
        </w:tc>
      </w:tr>
      <w:tr>
        <w:tc>
          <w:tcPr>
            <w:tcW w:type="dxa" w:w="1800"/>
          </w:tcPr>
          <w:p>
            <w:pPr>
              <w:spacing w:after="20"/>
            </w:pPr>
            <w:r>
              <w:rPr>
                <w:b/>
                <w:color w:val="1C3A36"/>
                <w:sz w:val="12"/>
              </w:rPr>
              <w:t>cost_re_h126</w:t>
            </w:r>
          </w:p>
        </w:tc>
        <w:tc>
          <w:tcPr>
            <w:tcW w:type="dxa" w:w="1368"/>
          </w:tcPr>
          <w:p>
            <w:pPr>
              <w:spacing w:after="20"/>
              <w:jc w:val="right"/>
            </w:pPr>
            <w:r>
              <w:rPr>
                <w:color w:val="1C3A36"/>
                <w:sz w:val="12"/>
              </w:rPr>
              <w:t>12,132.983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cost of real estate development</w:t>
            </w:r>
          </w:p>
        </w:tc>
      </w:tr>
      <w:tr>
        <w:tc>
          <w:tcPr>
            <w:tcW w:type="dxa" w:w="1800"/>
          </w:tcPr>
          <w:p>
            <w:pPr>
              <w:spacing w:after="20"/>
            </w:pPr>
            <w:r>
              <w:rPr>
                <w:b/>
                <w:color w:val="1C3A36"/>
                <w:sz w:val="12"/>
              </w:rPr>
              <w:t>cred_dec25</w:t>
            </w:r>
          </w:p>
        </w:tc>
        <w:tc>
          <w:tcPr>
            <w:tcW w:type="dxa" w:w="1368"/>
          </w:tcPr>
          <w:p>
            <w:pPr>
              <w:spacing w:after="20"/>
              <w:jc w:val="right"/>
            </w:pPr>
            <w:r>
              <w:rPr>
                <w:color w:val="1C3A36"/>
                <w:sz w:val="12"/>
              </w:rPr>
              <w:t>5,121.712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creditors &amp; other credit balances</w:t>
            </w:r>
          </w:p>
        </w:tc>
      </w:tr>
      <w:tr>
        <w:tc>
          <w:tcPr>
            <w:tcW w:type="dxa" w:w="1800"/>
          </w:tcPr>
          <w:p>
            <w:pPr>
              <w:spacing w:after="20"/>
            </w:pPr>
            <w:r>
              <w:rPr>
                <w:b/>
                <w:color w:val="1C3A36"/>
                <w:sz w:val="12"/>
              </w:rPr>
              <w:t>cred_jun26</w:t>
            </w:r>
          </w:p>
        </w:tc>
        <w:tc>
          <w:tcPr>
            <w:tcW w:type="dxa" w:w="1368"/>
          </w:tcPr>
          <w:p>
            <w:pPr>
              <w:spacing w:after="20"/>
              <w:jc w:val="right"/>
            </w:pPr>
            <w:r>
              <w:rPr>
                <w:color w:val="1C3A36"/>
                <w:sz w:val="12"/>
              </w:rPr>
              <w:t>6,608.427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creditors &amp; other credit balances</w:t>
            </w:r>
          </w:p>
        </w:tc>
      </w:tr>
      <w:tr>
        <w:tc>
          <w:tcPr>
            <w:tcW w:type="dxa" w:w="1800"/>
          </w:tcPr>
          <w:p>
            <w:pPr>
              <w:spacing w:after="20"/>
            </w:pPr>
            <w:r>
              <w:rPr>
                <w:b/>
                <w:color w:val="1C3A36"/>
                <w:sz w:val="12"/>
              </w:rPr>
              <w:t>cumrelief_dec25</w:t>
            </w:r>
          </w:p>
        </w:tc>
        <w:tc>
          <w:tcPr>
            <w:tcW w:type="dxa" w:w="1368"/>
          </w:tcPr>
          <w:p>
            <w:pPr>
              <w:spacing w:after="20"/>
              <w:jc w:val="right"/>
            </w:pPr>
            <w:r>
              <w:rPr>
                <w:color w:val="1C3A36"/>
                <w:sz w:val="12"/>
              </w:rPr>
              <w:t>61,354.421</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comparative</w:t>
            </w:r>
          </w:p>
        </w:tc>
      </w:tr>
      <w:tr>
        <w:tc>
          <w:tcPr>
            <w:tcW w:type="dxa" w:w="1800"/>
          </w:tcPr>
          <w:p>
            <w:pPr>
              <w:spacing w:after="20"/>
            </w:pPr>
            <w:r>
              <w:rPr>
                <w:b/>
                <w:color w:val="1C3A36"/>
                <w:sz w:val="12"/>
              </w:rPr>
              <w:t>cumrelief_jun26</w:t>
            </w:r>
          </w:p>
        </w:tc>
        <w:tc>
          <w:tcPr>
            <w:tcW w:type="dxa" w:w="1368"/>
          </w:tcPr>
          <w:p>
            <w:pPr>
              <w:spacing w:after="20"/>
              <w:jc w:val="right"/>
            </w:pPr>
            <w:r>
              <w:rPr>
                <w:color w:val="1C3A36"/>
                <w:sz w:val="12"/>
              </w:rPr>
              <w:t>66,980.8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cumulative cost excluded from (i.e. taken to) the income statement to 30-Jun-2026</w:t>
            </w:r>
          </w:p>
        </w:tc>
      </w:tr>
      <w:tr>
        <w:tc>
          <w:tcPr>
            <w:tcW w:type="dxa" w:w="1800"/>
          </w:tcPr>
          <w:p>
            <w:pPr>
              <w:spacing w:after="20"/>
            </w:pPr>
            <w:r>
              <w:rPr>
                <w:b/>
                <w:color w:val="1C3A36"/>
                <w:sz w:val="12"/>
              </w:rPr>
              <w:t>cumwork_dec25</w:t>
            </w:r>
          </w:p>
        </w:tc>
        <w:tc>
          <w:tcPr>
            <w:tcW w:type="dxa" w:w="1368"/>
          </w:tcPr>
          <w:p>
            <w:pPr>
              <w:spacing w:after="20"/>
              <w:jc w:val="right"/>
            </w:pPr>
            <w:r>
              <w:rPr>
                <w:color w:val="1C3A36"/>
                <w:sz w:val="12"/>
              </w:rPr>
              <w:t>78,925.33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total works executed until 1-Jan-2026</w:t>
            </w:r>
          </w:p>
        </w:tc>
      </w:tr>
      <w:tr>
        <w:tc>
          <w:tcPr>
            <w:tcW w:type="dxa" w:w="1800"/>
          </w:tcPr>
          <w:p>
            <w:pPr>
              <w:spacing w:after="20"/>
            </w:pPr>
            <w:r>
              <w:rPr>
                <w:b/>
                <w:color w:val="1C3A36"/>
                <w:sz w:val="12"/>
              </w:rPr>
              <w:t>cumwork_jun26</w:t>
            </w:r>
          </w:p>
        </w:tc>
        <w:tc>
          <w:tcPr>
            <w:tcW w:type="dxa" w:w="1368"/>
          </w:tcPr>
          <w:p>
            <w:pPr>
              <w:spacing w:after="20"/>
              <w:jc w:val="right"/>
            </w:pPr>
            <w:r>
              <w:rPr>
                <w:color w:val="1C3A36"/>
                <w:sz w:val="12"/>
              </w:rPr>
              <w:t>90,896.731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total works executed until 30-Jun-2026</w:t>
            </w:r>
          </w:p>
        </w:tc>
      </w:tr>
      <w:tr>
        <w:tc>
          <w:tcPr>
            <w:tcW w:type="dxa" w:w="1800"/>
          </w:tcPr>
          <w:p>
            <w:pPr>
              <w:spacing w:after="20"/>
            </w:pPr>
            <w:r>
              <w:rPr>
                <w:b/>
                <w:color w:val="1C3A36"/>
                <w:sz w:val="12"/>
              </w:rPr>
              <w:t>curtax_h126</w:t>
            </w:r>
          </w:p>
        </w:tc>
        <w:tc>
          <w:tcPr>
            <w:tcW w:type="dxa" w:w="1368"/>
          </w:tcPr>
          <w:p>
            <w:pPr>
              <w:spacing w:after="20"/>
              <w:jc w:val="right"/>
            </w:pPr>
            <w:r>
              <w:rPr>
                <w:color w:val="1C3A36"/>
                <w:sz w:val="12"/>
              </w:rPr>
              <w:t>844.1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current income tax (note 70a)</w:t>
            </w:r>
          </w:p>
        </w:tc>
      </w:tr>
      <w:tr>
        <w:tc>
          <w:tcPr>
            <w:tcW w:type="dxa" w:w="1800"/>
          </w:tcPr>
          <w:p>
            <w:pPr>
              <w:spacing w:after="20"/>
            </w:pPr>
            <w:r>
              <w:rPr>
                <w:b/>
                <w:color w:val="1C3A36"/>
                <w:sz w:val="12"/>
              </w:rPr>
              <w:t>d_ra_fy23</w:t>
            </w:r>
          </w:p>
        </w:tc>
        <w:tc>
          <w:tcPr>
            <w:tcW w:type="dxa" w:w="1368"/>
          </w:tcPr>
          <w:p>
            <w:pPr>
              <w:spacing w:after="20"/>
              <w:jc w:val="right"/>
            </w:pPr>
            <w:r>
              <w:rPr>
                <w:color w:val="1C3A36"/>
                <w:sz w:val="12"/>
              </w:rPr>
              <w:t>3,777.493</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d_ra_fy24</w:t>
            </w:r>
          </w:p>
        </w:tc>
        <w:tc>
          <w:tcPr>
            <w:tcW w:type="dxa" w:w="1368"/>
          </w:tcPr>
          <w:p>
            <w:pPr>
              <w:spacing w:after="20"/>
              <w:jc w:val="right"/>
            </w:pPr>
            <w:r>
              <w:rPr>
                <w:color w:val="1C3A36"/>
                <w:sz w:val="12"/>
              </w:rPr>
              <w:t>10,047.698</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change in long-term liabilities Residents' Association</w:t>
            </w:r>
          </w:p>
        </w:tc>
      </w:tr>
      <w:tr>
        <w:tc>
          <w:tcPr>
            <w:tcW w:type="dxa" w:w="1800"/>
          </w:tcPr>
          <w:p>
            <w:pPr>
              <w:spacing w:after="20"/>
            </w:pPr>
            <w:r>
              <w:rPr>
                <w:b/>
                <w:color w:val="1C3A36"/>
                <w:sz w:val="12"/>
              </w:rPr>
              <w:t>d_ra_h125</w:t>
            </w:r>
          </w:p>
        </w:tc>
        <w:tc>
          <w:tcPr>
            <w:tcW w:type="dxa" w:w="1368"/>
          </w:tcPr>
          <w:p>
            <w:pPr>
              <w:spacing w:after="20"/>
              <w:jc w:val="right"/>
            </w:pPr>
            <w:r>
              <w:rPr>
                <w:color w:val="1C3A36"/>
                <w:sz w:val="12"/>
              </w:rPr>
              <w:t>6,086.711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comparative</w:t>
            </w:r>
          </w:p>
        </w:tc>
      </w:tr>
      <w:tr>
        <w:tc>
          <w:tcPr>
            <w:tcW w:type="dxa" w:w="1800"/>
          </w:tcPr>
          <w:p>
            <w:pPr>
              <w:spacing w:after="20"/>
            </w:pPr>
            <w:r>
              <w:rPr>
                <w:b/>
                <w:color w:val="1C3A36"/>
                <w:sz w:val="12"/>
              </w:rPr>
              <w:t>d_ra_h126</w:t>
            </w:r>
          </w:p>
        </w:tc>
        <w:tc>
          <w:tcPr>
            <w:tcW w:type="dxa" w:w="1368"/>
          </w:tcPr>
          <w:p>
            <w:pPr>
              <w:spacing w:after="20"/>
              <w:jc w:val="right"/>
            </w:pPr>
            <w:r>
              <w:rPr>
                <w:color w:val="1C3A36"/>
                <w:sz w:val="12"/>
              </w:rPr>
              <w:t>5,214.615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cash-flow statement, change in long-term liabilities Residents' Association</w:t>
            </w:r>
          </w:p>
        </w:tc>
      </w:tr>
      <w:tr>
        <w:tc>
          <w:tcPr>
            <w:tcW w:type="dxa" w:w="1800"/>
          </w:tcPr>
          <w:p>
            <w:pPr>
              <w:spacing w:after="20"/>
            </w:pPr>
            <w:r>
              <w:rPr>
                <w:b/>
                <w:color w:val="1C3A36"/>
                <w:sz w:val="12"/>
              </w:rPr>
              <w:t>da_cf_h126</w:t>
            </w:r>
          </w:p>
        </w:tc>
        <w:tc>
          <w:tcPr>
            <w:tcW w:type="dxa" w:w="1368"/>
          </w:tcPr>
          <w:p>
            <w:pPr>
              <w:spacing w:after="20"/>
              <w:jc w:val="right"/>
            </w:pPr>
            <w:r>
              <w:rPr>
                <w:color w:val="1C3A36"/>
                <w:sz w:val="12"/>
              </w:rPr>
              <w:t>279.2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cash-flow statement, depreciation &amp; amortization</w:t>
            </w:r>
          </w:p>
        </w:tc>
      </w:tr>
      <w:tr>
        <w:tc>
          <w:tcPr>
            <w:tcW w:type="dxa" w:w="1800"/>
          </w:tcPr>
          <w:p>
            <w:pPr>
              <w:spacing w:after="20"/>
            </w:pPr>
            <w:r>
              <w:rPr>
                <w:b/>
                <w:color w:val="1C3A36"/>
                <w:sz w:val="12"/>
              </w:rPr>
              <w:t>da_fy24</w:t>
            </w:r>
          </w:p>
        </w:tc>
        <w:tc>
          <w:tcPr>
            <w:tcW w:type="dxa" w:w="1368"/>
          </w:tcPr>
          <w:p>
            <w:pPr>
              <w:spacing w:after="20"/>
              <w:jc w:val="right"/>
            </w:pPr>
            <w:r>
              <w:rPr>
                <w:color w:val="1C3A36"/>
                <w:sz w:val="12"/>
              </w:rPr>
              <w:t>270.1</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cash-flow statement, depreciation &amp; amortization</w:t>
            </w:r>
          </w:p>
        </w:tc>
      </w:tr>
      <w:tr>
        <w:tc>
          <w:tcPr>
            <w:tcW w:type="dxa" w:w="1800"/>
          </w:tcPr>
          <w:p>
            <w:pPr>
              <w:spacing w:after="20"/>
            </w:pPr>
            <w:r>
              <w:rPr>
                <w:b/>
                <w:color w:val="1C3A36"/>
                <w:sz w:val="12"/>
              </w:rPr>
              <w:t>da_is_h126</w:t>
            </w:r>
          </w:p>
        </w:tc>
        <w:tc>
          <w:tcPr>
            <w:tcW w:type="dxa" w:w="1368"/>
          </w:tcPr>
          <w:p>
            <w:pPr>
              <w:spacing w:after="20"/>
              <w:jc w:val="right"/>
            </w:pPr>
            <w:r>
              <w:rPr>
                <w:color w:val="1C3A36"/>
                <w:sz w:val="12"/>
              </w:rPr>
              <w:t>245.9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depreciation &amp; amortization charged below gross profit</w:t>
            </w:r>
          </w:p>
        </w:tc>
      </w:tr>
      <w:tr>
        <w:tc>
          <w:tcPr>
            <w:tcW w:type="dxa" w:w="1800"/>
          </w:tcPr>
          <w:p>
            <w:pPr>
              <w:spacing w:after="20"/>
            </w:pPr>
            <w:r>
              <w:rPr>
                <w:b/>
                <w:color w:val="1C3A36"/>
                <w:sz w:val="12"/>
              </w:rPr>
              <w:t>defrev_dec25</w:t>
            </w:r>
          </w:p>
        </w:tc>
        <w:tc>
          <w:tcPr>
            <w:tcW w:type="dxa" w:w="1368"/>
          </w:tcPr>
          <w:p>
            <w:pPr>
              <w:spacing w:after="20"/>
              <w:jc w:val="right"/>
            </w:pPr>
            <w:r>
              <w:rPr>
                <w:color w:val="1C3A36"/>
                <w:sz w:val="12"/>
              </w:rPr>
              <w:t>731.2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deferred revenue</w:t>
            </w:r>
          </w:p>
        </w:tc>
      </w:tr>
      <w:tr>
        <w:tc>
          <w:tcPr>
            <w:tcW w:type="dxa" w:w="1800"/>
          </w:tcPr>
          <w:p>
            <w:pPr>
              <w:spacing w:after="20"/>
            </w:pPr>
            <w:r>
              <w:rPr>
                <w:b/>
                <w:color w:val="1C3A36"/>
                <w:sz w:val="12"/>
              </w:rPr>
              <w:t>defrev_jun26</w:t>
            </w:r>
          </w:p>
        </w:tc>
        <w:tc>
          <w:tcPr>
            <w:tcW w:type="dxa" w:w="1368"/>
          </w:tcPr>
          <w:p>
            <w:pPr>
              <w:spacing w:after="20"/>
              <w:jc w:val="right"/>
            </w:pPr>
            <w:r>
              <w:rPr>
                <w:color w:val="1C3A36"/>
                <w:sz w:val="12"/>
              </w:rPr>
              <w:t>250.6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deferred revenue</w:t>
            </w:r>
          </w:p>
        </w:tc>
      </w:tr>
      <w:tr>
        <w:tc>
          <w:tcPr>
            <w:tcW w:type="dxa" w:w="1800"/>
          </w:tcPr>
          <w:p>
            <w:pPr>
              <w:spacing w:after="20"/>
            </w:pPr>
            <w:r>
              <w:rPr>
                <w:b/>
                <w:color w:val="1C3A36"/>
                <w:sz w:val="12"/>
              </w:rPr>
              <w:t>deftax_h126</w:t>
            </w:r>
          </w:p>
        </w:tc>
        <w:tc>
          <w:tcPr>
            <w:tcW w:type="dxa" w:w="1368"/>
          </w:tcPr>
          <w:p>
            <w:pPr>
              <w:spacing w:after="20"/>
              <w:jc w:val="right"/>
            </w:pPr>
            <w:r>
              <w:rPr>
                <w:color w:val="1C3A36"/>
                <w:sz w:val="12"/>
              </w:rPr>
              <w:t>1.134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deferred tax (note 70b)</w:t>
            </w:r>
          </w:p>
        </w:tc>
      </w:tr>
      <w:tr>
        <w:tc>
          <w:tcPr>
            <w:tcW w:type="dxa" w:w="1800"/>
          </w:tcPr>
          <w:p>
            <w:pPr>
              <w:spacing w:after="20"/>
            </w:pPr>
            <w:r>
              <w:rPr>
                <w:b/>
                <w:color w:val="1C3A36"/>
                <w:sz w:val="12"/>
              </w:rPr>
              <w:t>dep_clb_h125</w:t>
            </w:r>
          </w:p>
        </w:tc>
        <w:tc>
          <w:tcPr>
            <w:tcW w:type="dxa" w:w="1368"/>
          </w:tcPr>
          <w:p>
            <w:pPr>
              <w:spacing w:after="20"/>
              <w:jc w:val="right"/>
            </w:pPr>
            <w:r>
              <w:rPr>
                <w:color w:val="1C3A36"/>
                <w:sz w:val="12"/>
              </w:rPr>
              <w:t>17.59</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comparative, depreciation of club assets</w:t>
            </w:r>
          </w:p>
        </w:tc>
      </w:tr>
      <w:tr>
        <w:tc>
          <w:tcPr>
            <w:tcW w:type="dxa" w:w="1800"/>
          </w:tcPr>
          <w:p>
            <w:pPr>
              <w:spacing w:after="20"/>
            </w:pPr>
            <w:r>
              <w:rPr>
                <w:b/>
                <w:color w:val="1C3A36"/>
                <w:sz w:val="12"/>
              </w:rPr>
              <w:t>dep_clb_h126</w:t>
            </w:r>
          </w:p>
        </w:tc>
        <w:tc>
          <w:tcPr>
            <w:tcW w:type="dxa" w:w="1368"/>
          </w:tcPr>
          <w:p>
            <w:pPr>
              <w:spacing w:after="20"/>
              <w:jc w:val="right"/>
            </w:pPr>
            <w:r>
              <w:rPr>
                <w:color w:val="1C3A36"/>
                <w:sz w:val="12"/>
              </w:rPr>
              <w:t>23.7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depreciation of club assets</w:t>
            </w:r>
          </w:p>
        </w:tc>
      </w:tr>
      <w:tr>
        <w:tc>
          <w:tcPr>
            <w:tcW w:type="dxa" w:w="1800"/>
          </w:tcPr>
          <w:p>
            <w:pPr>
              <w:spacing w:after="20"/>
            </w:pPr>
            <w:r>
              <w:rPr>
                <w:b/>
                <w:color w:val="1C3A36"/>
                <w:sz w:val="12"/>
              </w:rPr>
              <w:t>dep_mac_h125</w:t>
            </w:r>
          </w:p>
        </w:tc>
        <w:tc>
          <w:tcPr>
            <w:tcW w:type="dxa" w:w="1368"/>
          </w:tcPr>
          <w:p>
            <w:pPr>
              <w:spacing w:after="20"/>
              <w:jc w:val="right"/>
            </w:pPr>
            <w:r>
              <w:rPr>
                <w:color w:val="1C3A36"/>
                <w:sz w:val="12"/>
              </w:rPr>
              <w:t>6.391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comparative, depreciation of fixed assets Macor</w:t>
            </w:r>
          </w:p>
        </w:tc>
      </w:tr>
      <w:tr>
        <w:tc>
          <w:tcPr>
            <w:tcW w:type="dxa" w:w="1800"/>
          </w:tcPr>
          <w:p>
            <w:pPr>
              <w:spacing w:after="20"/>
            </w:pPr>
            <w:r>
              <w:rPr>
                <w:b/>
                <w:color w:val="1C3A36"/>
                <w:sz w:val="12"/>
              </w:rPr>
              <w:t>dep_mac_h126</w:t>
            </w:r>
          </w:p>
        </w:tc>
        <w:tc>
          <w:tcPr>
            <w:tcW w:type="dxa" w:w="1368"/>
          </w:tcPr>
          <w:p>
            <w:pPr>
              <w:spacing w:after="20"/>
              <w:jc w:val="right"/>
            </w:pPr>
            <w:r>
              <w:rPr>
                <w:color w:val="1C3A36"/>
                <w:sz w:val="12"/>
              </w:rPr>
              <w:t>10.58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65, depreciation of fixed assets Macor</w:t>
            </w:r>
          </w:p>
        </w:tc>
      </w:tr>
      <w:tr>
        <w:tc>
          <w:tcPr>
            <w:tcW w:type="dxa" w:w="1800"/>
          </w:tcPr>
          <w:p>
            <w:pPr>
              <w:spacing w:after="20"/>
            </w:pPr>
            <w:r>
              <w:rPr>
                <w:b/>
                <w:color w:val="1C3A36"/>
                <w:sz w:val="12"/>
              </w:rPr>
              <w:t>divs_h126</w:t>
            </w:r>
          </w:p>
        </w:tc>
        <w:tc>
          <w:tcPr>
            <w:tcW w:type="dxa" w:w="1368"/>
          </w:tcPr>
          <w:p>
            <w:pPr>
              <w:spacing w:after="20"/>
              <w:jc w:val="right"/>
            </w:pPr>
            <w:r>
              <w:rPr>
                <w:color w:val="1C3A36"/>
                <w:sz w:val="12"/>
              </w:rPr>
              <w:t>686.1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statement of cash flows, paid dividends</w:t>
            </w:r>
          </w:p>
        </w:tc>
      </w:tr>
      <w:tr>
        <w:tc>
          <w:tcPr>
            <w:tcW w:type="dxa" w:w="1800"/>
          </w:tcPr>
          <w:p>
            <w:pPr>
              <w:spacing w:after="20"/>
            </w:pPr>
            <w:r>
              <w:rPr>
                <w:b/>
                <w:color w:val="1C3A36"/>
                <w:sz w:val="12"/>
              </w:rPr>
              <w:t>dr_dec25</w:t>
            </w:r>
          </w:p>
        </w:tc>
        <w:tc>
          <w:tcPr>
            <w:tcW w:type="dxa" w:w="1368"/>
          </w:tcPr>
          <w:p>
            <w:pPr>
              <w:spacing w:after="20"/>
              <w:jc w:val="right"/>
            </w:pPr>
            <w:r>
              <w:rPr>
                <w:color w:val="1C3A36"/>
                <w:sz w:val="12"/>
              </w:rPr>
              <w:t>12,921.979</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debtors and other debit balances</w:t>
            </w:r>
          </w:p>
        </w:tc>
      </w:tr>
      <w:tr>
        <w:tc>
          <w:tcPr>
            <w:tcW w:type="dxa" w:w="1800"/>
          </w:tcPr>
          <w:p>
            <w:pPr>
              <w:spacing w:after="20"/>
            </w:pPr>
            <w:r>
              <w:rPr>
                <w:b/>
                <w:color w:val="1C3A36"/>
                <w:sz w:val="12"/>
              </w:rPr>
              <w:t>dr_jun26</w:t>
            </w:r>
          </w:p>
        </w:tc>
        <w:tc>
          <w:tcPr>
            <w:tcW w:type="dxa" w:w="1368"/>
          </w:tcPr>
          <w:p>
            <w:pPr>
              <w:spacing w:after="20"/>
              <w:jc w:val="right"/>
            </w:pPr>
            <w:r>
              <w:rPr>
                <w:color w:val="1C3A36"/>
                <w:sz w:val="12"/>
              </w:rPr>
              <w:t>14,932.336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debtors and other debit balances</w:t>
            </w:r>
          </w:p>
        </w:tc>
      </w:tr>
      <w:tr>
        <w:tc>
          <w:tcPr>
            <w:tcW w:type="dxa" w:w="1800"/>
          </w:tcPr>
          <w:p>
            <w:pPr>
              <w:spacing w:after="20"/>
            </w:pPr>
            <w:r>
              <w:rPr>
                <w:b/>
                <w:color w:val="1C3A36"/>
                <w:sz w:val="12"/>
              </w:rPr>
              <w:t>duefrom_dec25</w:t>
            </w:r>
          </w:p>
        </w:tc>
        <w:tc>
          <w:tcPr>
            <w:tcW w:type="dxa" w:w="1368"/>
          </w:tcPr>
          <w:p>
            <w:pPr>
              <w:spacing w:after="20"/>
              <w:jc w:val="right"/>
            </w:pPr>
            <w:r>
              <w:rPr>
                <w:color w:val="1C3A36"/>
                <w:sz w:val="12"/>
              </w:rPr>
              <w:t>335.7</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due from related parties</w:t>
            </w:r>
          </w:p>
        </w:tc>
      </w:tr>
      <w:tr>
        <w:tc>
          <w:tcPr>
            <w:tcW w:type="dxa" w:w="1800"/>
          </w:tcPr>
          <w:p>
            <w:pPr>
              <w:spacing w:after="20"/>
            </w:pPr>
            <w:r>
              <w:rPr>
                <w:b/>
                <w:color w:val="1C3A36"/>
                <w:sz w:val="12"/>
              </w:rPr>
              <w:t>duefrom_jun26</w:t>
            </w:r>
          </w:p>
        </w:tc>
        <w:tc>
          <w:tcPr>
            <w:tcW w:type="dxa" w:w="1368"/>
          </w:tcPr>
          <w:p>
            <w:pPr>
              <w:spacing w:after="20"/>
              <w:jc w:val="right"/>
            </w:pPr>
            <w:r>
              <w:rPr>
                <w:color w:val="1C3A36"/>
                <w:sz w:val="12"/>
              </w:rPr>
              <w:t>346.3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due from related parties</w:t>
            </w:r>
          </w:p>
        </w:tc>
      </w:tr>
      <w:tr>
        <w:tc>
          <w:tcPr>
            <w:tcW w:type="dxa" w:w="1800"/>
          </w:tcPr>
          <w:p>
            <w:pPr>
              <w:spacing w:after="20"/>
            </w:pPr>
            <w:r>
              <w:rPr>
                <w:b/>
                <w:color w:val="1C3A36"/>
                <w:sz w:val="12"/>
              </w:rPr>
              <w:t>ebitda_1q26</w:t>
            </w:r>
          </w:p>
        </w:tc>
        <w:tc>
          <w:tcPr>
            <w:tcW w:type="dxa" w:w="1368"/>
          </w:tcPr>
          <w:p>
            <w:pPr>
              <w:spacing w:after="20"/>
              <w:jc w:val="right"/>
            </w:pPr>
            <w:r>
              <w:rPr>
                <w:color w:val="1C3A36"/>
                <w:sz w:val="12"/>
              </w:rPr>
              <w:t>1,915.527</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financial review table, EBITDA</w:t>
            </w:r>
          </w:p>
        </w:tc>
      </w:tr>
      <w:tr>
        <w:tc>
          <w:tcPr>
            <w:tcW w:type="dxa" w:w="1800"/>
          </w:tcPr>
          <w:p>
            <w:pPr>
              <w:spacing w:after="20"/>
            </w:pPr>
            <w:r>
              <w:rPr>
                <w:b/>
                <w:color w:val="1C3A36"/>
                <w:sz w:val="12"/>
              </w:rPr>
              <w:t>ebitda_9m25</w:t>
            </w:r>
          </w:p>
        </w:tc>
        <w:tc>
          <w:tcPr>
            <w:tcW w:type="dxa" w:w="1368"/>
          </w:tcPr>
          <w:p>
            <w:pPr>
              <w:spacing w:after="20"/>
              <w:jc w:val="right"/>
            </w:pPr>
            <w:r>
              <w:rPr>
                <w:color w:val="1C3A36"/>
                <w:sz w:val="12"/>
              </w:rPr>
              <w:t>6,690.0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financial review table</w:t>
            </w:r>
          </w:p>
        </w:tc>
      </w:tr>
      <w:tr>
        <w:tc>
          <w:tcPr>
            <w:tcW w:type="dxa" w:w="1800"/>
          </w:tcPr>
          <w:p>
            <w:pPr>
              <w:spacing w:after="20"/>
            </w:pPr>
            <w:r>
              <w:rPr>
                <w:b/>
                <w:color w:val="1C3A36"/>
                <w:sz w:val="12"/>
              </w:rPr>
              <w:t>ebitda_fy25_ir</w:t>
            </w:r>
          </w:p>
        </w:tc>
        <w:tc>
          <w:tcPr>
            <w:tcW w:type="dxa" w:w="1368"/>
          </w:tcPr>
          <w:p>
            <w:pPr>
              <w:spacing w:after="20"/>
              <w:jc w:val="right"/>
            </w:pPr>
            <w:r>
              <w:rPr>
                <w:color w:val="1C3A36"/>
                <w:sz w:val="12"/>
              </w:rPr>
              <w:t>8,552.0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EBITDA history chart, FY2025</w:t>
            </w:r>
          </w:p>
        </w:tc>
      </w:tr>
      <w:tr>
        <w:tc>
          <w:tcPr>
            <w:tcW w:type="dxa" w:w="1800"/>
          </w:tcPr>
          <w:p>
            <w:pPr>
              <w:spacing w:after="20"/>
            </w:pPr>
            <w:r>
              <w:rPr>
                <w:b/>
                <w:color w:val="1C3A36"/>
                <w:sz w:val="12"/>
              </w:rPr>
              <w:t>ebitda_h125_pub</w:t>
            </w:r>
          </w:p>
        </w:tc>
        <w:tc>
          <w:tcPr>
            <w:tcW w:type="dxa" w:w="1368"/>
          </w:tcPr>
          <w:p>
            <w:pPr>
              <w:spacing w:after="20"/>
              <w:jc w:val="right"/>
            </w:pPr>
            <w:r>
              <w:rPr>
                <w:color w:val="1C3A36"/>
                <w:sz w:val="12"/>
              </w:rPr>
              <w:t>4,458.517</w:t>
            </w:r>
          </w:p>
        </w:tc>
        <w:tc>
          <w:tcPr>
            <w:tcW w:type="dxa" w:w="1037"/>
          </w:tcPr>
          <w:p>
            <w:pPr>
              <w:spacing w:after="20"/>
              <w:jc w:val="right"/>
            </w:pPr>
            <w:r>
              <w:rPr>
                <w:color w:val="1C3A36"/>
                <w:sz w:val="12"/>
              </w:rPr>
              <w:t>13-Aug-2025</w:t>
            </w:r>
          </w:p>
        </w:tc>
        <w:tc>
          <w:tcPr>
            <w:tcW w:type="dxa" w:w="5875"/>
          </w:tcPr>
          <w:p>
            <w:pPr>
              <w:spacing w:after="20"/>
              <w:jc w:val="left"/>
            </w:pPr>
            <w:r>
              <w:rPr>
                <w:color w:val="1C3A36"/>
                <w:sz w:val="12"/>
              </w:rPr>
              <w:t>Palm Hills Developments 1H2025 Earnings Release, 13-Aug-2025, same CDN (COMPANY_IR) — consolidated income statement, EBITDA (EGP 4,458,517 thousand)</w:t>
            </w:r>
          </w:p>
        </w:tc>
      </w:tr>
      <w:tr>
        <w:tc>
          <w:tcPr>
            <w:tcW w:type="dxa" w:w="1800"/>
          </w:tcPr>
          <w:p>
            <w:pPr>
              <w:spacing w:after="20"/>
            </w:pPr>
            <w:r>
              <w:rPr>
                <w:b/>
                <w:color w:val="1C3A36"/>
                <w:sz w:val="12"/>
              </w:rPr>
              <w:t>ecl_fy23</w:t>
            </w:r>
          </w:p>
        </w:tc>
        <w:tc>
          <w:tcPr>
            <w:tcW w:type="dxa" w:w="1368"/>
          </w:tcPr>
          <w:p>
            <w:pPr>
              <w:spacing w:after="20"/>
              <w:jc w:val="right"/>
            </w:pPr>
            <w:r>
              <w:rPr>
                <w:color w:val="1C3A36"/>
                <w:sz w:val="12"/>
              </w:rPr>
              <w:t>14.1</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ecl_fy24</w:t>
            </w:r>
          </w:p>
        </w:tc>
        <w:tc>
          <w:tcPr>
            <w:tcW w:type="dxa" w:w="1368"/>
          </w:tcPr>
          <w:p>
            <w:pPr>
              <w:spacing w:after="20"/>
              <w:jc w:val="right"/>
            </w:pPr>
            <w:r>
              <w:rPr>
                <w:color w:val="1C3A36"/>
                <w:sz w:val="12"/>
              </w:rPr>
              <w:t>23.48</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expected credit losses</w:t>
            </w:r>
          </w:p>
        </w:tc>
      </w:tr>
      <w:tr>
        <w:tc>
          <w:tcPr>
            <w:tcW w:type="dxa" w:w="1800"/>
          </w:tcPr>
          <w:p>
            <w:pPr>
              <w:spacing w:after="20"/>
            </w:pPr>
            <w:r>
              <w:rPr>
                <w:b/>
                <w:color w:val="1C3A36"/>
                <w:sz w:val="12"/>
              </w:rPr>
              <w:t>ecl_h125</w:t>
            </w:r>
          </w:p>
        </w:tc>
        <w:tc>
          <w:tcPr>
            <w:tcW w:type="dxa" w:w="1368"/>
          </w:tcPr>
          <w:p>
            <w:pPr>
              <w:spacing w:after="20"/>
              <w:jc w:val="right"/>
            </w:pPr>
            <w:r>
              <w:rPr>
                <w:color w:val="1C3A36"/>
                <w:sz w:val="12"/>
              </w:rPr>
              <w:t>14.08</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expected credit losses, comparative</w:t>
            </w:r>
          </w:p>
        </w:tc>
      </w:tr>
      <w:tr>
        <w:tc>
          <w:tcPr>
            <w:tcW w:type="dxa" w:w="1800"/>
          </w:tcPr>
          <w:p>
            <w:pPr>
              <w:spacing w:after="20"/>
            </w:pPr>
            <w:r>
              <w:rPr>
                <w:b/>
                <w:color w:val="1C3A36"/>
                <w:sz w:val="12"/>
              </w:rPr>
              <w:t>ecl_h126</w:t>
            </w:r>
          </w:p>
        </w:tc>
        <w:tc>
          <w:tcPr>
            <w:tcW w:type="dxa" w:w="1368"/>
          </w:tcPr>
          <w:p>
            <w:pPr>
              <w:spacing w:after="20"/>
              <w:jc w:val="right"/>
            </w:pPr>
            <w:r>
              <w:rPr>
                <w:color w:val="1C3A36"/>
                <w:sz w:val="12"/>
              </w:rPr>
              <w:t>13.99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expected credit losses (note 68)</w:t>
            </w:r>
          </w:p>
        </w:tc>
      </w:tr>
      <w:tr>
        <w:tc>
          <w:tcPr>
            <w:tcW w:type="dxa" w:w="1800"/>
          </w:tcPr>
          <w:p>
            <w:pPr>
              <w:spacing w:after="20"/>
            </w:pPr>
            <w:r>
              <w:rPr>
                <w:b/>
                <w:color w:val="1C3A36"/>
                <w:sz w:val="12"/>
              </w:rPr>
              <w:t>eps_h126</w:t>
            </w:r>
          </w:p>
        </w:tc>
        <w:tc>
          <w:tcPr>
            <w:tcW w:type="dxa" w:w="1368"/>
          </w:tcPr>
          <w:p>
            <w:pPr>
              <w:spacing w:after="20"/>
              <w:jc w:val="right"/>
            </w:pPr>
            <w:r>
              <w:rPr>
                <w:color w:val="1C3A36"/>
                <w:sz w:val="12"/>
              </w:rPr>
              <w:t>0.799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basic earnings per share (note 71)</w:t>
            </w:r>
          </w:p>
        </w:tc>
      </w:tr>
      <w:tr>
        <w:tc>
          <w:tcPr>
            <w:tcW w:type="dxa" w:w="1800"/>
          </w:tcPr>
          <w:p>
            <w:pPr>
              <w:spacing w:after="20"/>
            </w:pPr>
            <w:r>
              <w:rPr>
                <w:b/>
                <w:color w:val="1C3A36"/>
                <w:sz w:val="12"/>
              </w:rPr>
              <w:t>eqctl_dec25</w:t>
            </w:r>
          </w:p>
        </w:tc>
        <w:tc>
          <w:tcPr>
            <w:tcW w:type="dxa" w:w="1368"/>
          </w:tcPr>
          <w:p>
            <w:pPr>
              <w:spacing w:after="20"/>
              <w:jc w:val="right"/>
            </w:pPr>
            <w:r>
              <w:rPr>
                <w:color w:val="1C3A36"/>
                <w:sz w:val="12"/>
              </w:rPr>
              <w:t>17,431.42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net controlling equities</w:t>
            </w:r>
          </w:p>
        </w:tc>
      </w:tr>
      <w:tr>
        <w:tc>
          <w:tcPr>
            <w:tcW w:type="dxa" w:w="1800"/>
          </w:tcPr>
          <w:p>
            <w:pPr>
              <w:spacing w:after="20"/>
            </w:pPr>
            <w:r>
              <w:rPr>
                <w:b/>
                <w:color w:val="1C3A36"/>
                <w:sz w:val="12"/>
              </w:rPr>
              <w:t>eqctl_jun26</w:t>
            </w:r>
          </w:p>
        </w:tc>
        <w:tc>
          <w:tcPr>
            <w:tcW w:type="dxa" w:w="1368"/>
          </w:tcPr>
          <w:p>
            <w:pPr>
              <w:spacing w:after="20"/>
              <w:jc w:val="right"/>
            </w:pPr>
            <w:r>
              <w:rPr>
                <w:color w:val="1C3A36"/>
                <w:sz w:val="12"/>
              </w:rPr>
              <w:t>18,910.859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net controlling equities</w:t>
            </w:r>
          </w:p>
        </w:tc>
      </w:tr>
      <w:tr>
        <w:tc>
          <w:tcPr>
            <w:tcW w:type="dxa" w:w="1800"/>
          </w:tcPr>
          <w:p>
            <w:pPr>
              <w:spacing w:after="20"/>
            </w:pPr>
            <w:r>
              <w:rPr>
                <w:b/>
                <w:color w:val="1C3A36"/>
                <w:sz w:val="12"/>
              </w:rPr>
              <w:t>eqnci_dec25</w:t>
            </w:r>
          </w:p>
        </w:tc>
        <w:tc>
          <w:tcPr>
            <w:tcW w:type="dxa" w:w="1368"/>
          </w:tcPr>
          <w:p>
            <w:pPr>
              <w:spacing w:after="20"/>
              <w:jc w:val="right"/>
            </w:pPr>
            <w:r>
              <w:rPr>
                <w:color w:val="1C3A36"/>
                <w:sz w:val="12"/>
              </w:rPr>
              <w:t>1,334.332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non-controlling equities</w:t>
            </w:r>
          </w:p>
        </w:tc>
      </w:tr>
      <w:tr>
        <w:tc>
          <w:tcPr>
            <w:tcW w:type="dxa" w:w="1800"/>
          </w:tcPr>
          <w:p>
            <w:pPr>
              <w:spacing w:after="20"/>
            </w:pPr>
            <w:r>
              <w:rPr>
                <w:b/>
                <w:color w:val="1C3A36"/>
                <w:sz w:val="12"/>
              </w:rPr>
              <w:t>eqnci_jun26</w:t>
            </w:r>
          </w:p>
        </w:tc>
        <w:tc>
          <w:tcPr>
            <w:tcW w:type="dxa" w:w="1368"/>
          </w:tcPr>
          <w:p>
            <w:pPr>
              <w:spacing w:after="20"/>
              <w:jc w:val="right"/>
            </w:pPr>
            <w:r>
              <w:rPr>
                <w:color w:val="1C3A36"/>
                <w:sz w:val="12"/>
              </w:rPr>
              <w:t>1,723.049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non-controlling equities</w:t>
            </w:r>
          </w:p>
        </w:tc>
      </w:tr>
      <w:tr>
        <w:tc>
          <w:tcPr>
            <w:tcW w:type="dxa" w:w="1800"/>
          </w:tcPr>
          <w:p>
            <w:pPr>
              <w:spacing w:after="20"/>
            </w:pPr>
            <w:r>
              <w:rPr>
                <w:b/>
                <w:color w:val="1C3A36"/>
                <w:sz w:val="12"/>
              </w:rPr>
              <w:t>eqtot_dec25</w:t>
            </w:r>
          </w:p>
        </w:tc>
        <w:tc>
          <w:tcPr>
            <w:tcW w:type="dxa" w:w="1368"/>
          </w:tcPr>
          <w:p>
            <w:pPr>
              <w:spacing w:after="20"/>
              <w:jc w:val="right"/>
            </w:pPr>
            <w:r>
              <w:rPr>
                <w:color w:val="1C3A36"/>
                <w:sz w:val="12"/>
              </w:rPr>
              <w:t>18,765.752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total shareholders' equity</w:t>
            </w:r>
          </w:p>
        </w:tc>
      </w:tr>
      <w:tr>
        <w:tc>
          <w:tcPr>
            <w:tcW w:type="dxa" w:w="1800"/>
          </w:tcPr>
          <w:p>
            <w:pPr>
              <w:spacing w:after="20"/>
            </w:pPr>
            <w:r>
              <w:rPr>
                <w:b/>
                <w:color w:val="1C3A36"/>
                <w:sz w:val="12"/>
              </w:rPr>
              <w:t>eqtot_jun26</w:t>
            </w:r>
          </w:p>
        </w:tc>
        <w:tc>
          <w:tcPr>
            <w:tcW w:type="dxa" w:w="1368"/>
          </w:tcPr>
          <w:p>
            <w:pPr>
              <w:spacing w:after="20"/>
              <w:jc w:val="right"/>
            </w:pPr>
            <w:r>
              <w:rPr>
                <w:color w:val="1C3A36"/>
                <w:sz w:val="12"/>
              </w:rPr>
              <w:t>20,633.908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total shareholders' equity</w:t>
            </w:r>
          </w:p>
        </w:tc>
      </w:tr>
      <w:tr>
        <w:tc>
          <w:tcPr>
            <w:tcW w:type="dxa" w:w="1800"/>
          </w:tcPr>
          <w:p>
            <w:pPr>
              <w:spacing w:after="20"/>
            </w:pPr>
            <w:r>
              <w:rPr>
                <w:b/>
                <w:color w:val="1C3A36"/>
                <w:sz w:val="12"/>
              </w:rPr>
              <w:t>esc_labour</w:t>
            </w:r>
          </w:p>
        </w:tc>
        <w:tc>
          <w:tcPr>
            <w:tcW w:type="dxa" w:w="1368"/>
          </w:tcPr>
          <w:p>
            <w:pPr>
              <w:spacing w:after="20"/>
              <w:jc w:val="right"/>
            </w:pPr>
            <w:r>
              <w:rPr>
                <w:color w:val="1C3A36"/>
                <w:sz w:val="12"/>
              </w:rPr>
              <w:t>0.135, 0.12, 0.11, 0.1, 0.09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Site labour and overhead escalator: the consumer-price path plus two percentage points. Conservative against the measured direction — the company's own salaries and wages rose 40.9% year on year in H1-2026 against revenue growth of 25.4%</w:t>
            </w:r>
          </w:p>
        </w:tc>
      </w:tr>
      <w:tr>
        <w:tc>
          <w:tcPr>
            <w:tcW w:type="dxa" w:w="1800"/>
          </w:tcPr>
          <w:p>
            <w:pPr>
              <w:spacing w:after="20"/>
            </w:pPr>
            <w:r>
              <w:rPr>
                <w:b/>
                <w:color w:val="1C3A36"/>
                <w:sz w:val="12"/>
              </w:rPr>
              <w:t>fa_dec25</w:t>
            </w:r>
          </w:p>
        </w:tc>
        <w:tc>
          <w:tcPr>
            <w:tcW w:type="dxa" w:w="1368"/>
          </w:tcPr>
          <w:p>
            <w:pPr>
              <w:spacing w:after="20"/>
              <w:jc w:val="right"/>
            </w:pPr>
            <w:r>
              <w:rPr>
                <w:color w:val="1C3A36"/>
                <w:sz w:val="12"/>
              </w:rPr>
              <w:t>4,521.971</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fixed assets (net)</w:t>
            </w:r>
          </w:p>
        </w:tc>
      </w:tr>
      <w:tr>
        <w:tc>
          <w:tcPr>
            <w:tcW w:type="dxa" w:w="1800"/>
          </w:tcPr>
          <w:p>
            <w:pPr>
              <w:spacing w:after="20"/>
            </w:pPr>
            <w:r>
              <w:rPr>
                <w:b/>
                <w:color w:val="1C3A36"/>
                <w:sz w:val="12"/>
              </w:rPr>
              <w:t>fa_jun26</w:t>
            </w:r>
          </w:p>
        </w:tc>
        <w:tc>
          <w:tcPr>
            <w:tcW w:type="dxa" w:w="1368"/>
          </w:tcPr>
          <w:p>
            <w:pPr>
              <w:spacing w:after="20"/>
              <w:jc w:val="right"/>
            </w:pPr>
            <w:r>
              <w:rPr>
                <w:color w:val="1C3A36"/>
                <w:sz w:val="12"/>
              </w:rPr>
              <w:t>5,637.374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fixed assets (net)</w:t>
            </w:r>
          </w:p>
        </w:tc>
      </w:tr>
      <w:tr>
        <w:tc>
          <w:tcPr>
            <w:tcW w:type="dxa" w:w="1800"/>
          </w:tcPr>
          <w:p>
            <w:pPr>
              <w:spacing w:after="20"/>
            </w:pPr>
            <w:r>
              <w:rPr>
                <w:b/>
                <w:color w:val="1C3A36"/>
                <w:sz w:val="12"/>
              </w:rPr>
              <w:t>fin_fy23</w:t>
            </w:r>
          </w:p>
        </w:tc>
        <w:tc>
          <w:tcPr>
            <w:tcW w:type="dxa" w:w="1368"/>
          </w:tcPr>
          <w:p>
            <w:pPr>
              <w:spacing w:after="20"/>
              <w:jc w:val="right"/>
            </w:pPr>
            <w:r>
              <w:rPr>
                <w:color w:val="1C3A36"/>
                <w:sz w:val="12"/>
              </w:rPr>
              <w:t>1,503.564</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 finance costs and interests</w:t>
            </w:r>
          </w:p>
        </w:tc>
      </w:tr>
      <w:tr>
        <w:tc>
          <w:tcPr>
            <w:tcW w:type="dxa" w:w="1800"/>
          </w:tcPr>
          <w:p>
            <w:pPr>
              <w:spacing w:after="20"/>
            </w:pPr>
            <w:r>
              <w:rPr>
                <w:b/>
                <w:color w:val="1C3A36"/>
                <w:sz w:val="12"/>
              </w:rPr>
              <w:t>fin_fy24</w:t>
            </w:r>
          </w:p>
        </w:tc>
        <w:tc>
          <w:tcPr>
            <w:tcW w:type="dxa" w:w="1368"/>
          </w:tcPr>
          <w:p>
            <w:pPr>
              <w:spacing w:after="20"/>
              <w:jc w:val="right"/>
            </w:pPr>
            <w:r>
              <w:rPr>
                <w:color w:val="1C3A36"/>
                <w:sz w:val="12"/>
              </w:rPr>
              <w:t>2,311.396</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finance costs &amp; interests</w:t>
            </w:r>
          </w:p>
        </w:tc>
      </w:tr>
      <w:tr>
        <w:tc>
          <w:tcPr>
            <w:tcW w:type="dxa" w:w="1800"/>
          </w:tcPr>
          <w:p>
            <w:pPr>
              <w:spacing w:after="20"/>
            </w:pPr>
            <w:r>
              <w:rPr>
                <w:b/>
                <w:color w:val="1C3A36"/>
                <w:sz w:val="12"/>
              </w:rPr>
              <w:t>fin_h125</w:t>
            </w:r>
          </w:p>
        </w:tc>
        <w:tc>
          <w:tcPr>
            <w:tcW w:type="dxa" w:w="1368"/>
          </w:tcPr>
          <w:p>
            <w:pPr>
              <w:spacing w:after="20"/>
              <w:jc w:val="right"/>
            </w:pPr>
            <w:r>
              <w:rPr>
                <w:color w:val="1C3A36"/>
                <w:sz w:val="12"/>
              </w:rPr>
              <w:t>1,337.781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finance costs &amp; interests, comparative</w:t>
            </w:r>
          </w:p>
        </w:tc>
      </w:tr>
      <w:tr>
        <w:tc>
          <w:tcPr>
            <w:tcW w:type="dxa" w:w="1800"/>
          </w:tcPr>
          <w:p>
            <w:pPr>
              <w:spacing w:after="20"/>
            </w:pPr>
            <w:r>
              <w:rPr>
                <w:b/>
                <w:color w:val="1C3A36"/>
                <w:sz w:val="12"/>
              </w:rPr>
              <w:t>fin_h126</w:t>
            </w:r>
          </w:p>
        </w:tc>
        <w:tc>
          <w:tcPr>
            <w:tcW w:type="dxa" w:w="1368"/>
          </w:tcPr>
          <w:p>
            <w:pPr>
              <w:spacing w:after="20"/>
              <w:jc w:val="right"/>
            </w:pPr>
            <w:r>
              <w:rPr>
                <w:color w:val="1C3A36"/>
                <w:sz w:val="12"/>
              </w:rPr>
              <w:t>1,676.543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finance costs &amp; interests (note 67)</w:t>
            </w:r>
          </w:p>
        </w:tc>
      </w:tr>
      <w:tr>
        <w:tc>
          <w:tcPr>
            <w:tcW w:type="dxa" w:w="1800"/>
          </w:tcPr>
          <w:p>
            <w:pPr>
              <w:spacing w:after="20"/>
            </w:pPr>
            <w:r>
              <w:rPr>
                <w:b/>
                <w:color w:val="1C3A36"/>
                <w:sz w:val="12"/>
              </w:rPr>
              <w:t>fvtpl_h126</w:t>
            </w:r>
          </w:p>
        </w:tc>
        <w:tc>
          <w:tcPr>
            <w:tcW w:type="dxa" w:w="1368"/>
          </w:tcPr>
          <w:p>
            <w:pPr>
              <w:spacing w:after="20"/>
              <w:jc w:val="right"/>
            </w:pPr>
            <w:r>
              <w:rPr>
                <w:color w:val="1C3A36"/>
                <w:sz w:val="12"/>
              </w:rPr>
              <w:t>15.25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gains on investments at fair value through profit or loss (note 69)</w:t>
            </w:r>
          </w:p>
        </w:tc>
      </w:tr>
      <w:tr>
        <w:tc>
          <w:tcPr>
            <w:tcW w:type="dxa" w:w="1800"/>
          </w:tcPr>
          <w:p>
            <w:pPr>
              <w:spacing w:after="20"/>
            </w:pPr>
            <w:r>
              <w:rPr>
                <w:b/>
                <w:color w:val="1C3A36"/>
                <w:sz w:val="12"/>
              </w:rPr>
              <w:t>fvtplbs_dec25</w:t>
            </w:r>
          </w:p>
        </w:tc>
        <w:tc>
          <w:tcPr>
            <w:tcW w:type="dxa" w:w="1368"/>
          </w:tcPr>
          <w:p>
            <w:pPr>
              <w:spacing w:after="20"/>
              <w:jc w:val="right"/>
            </w:pPr>
            <w:r>
              <w:rPr>
                <w:color w:val="1C3A36"/>
                <w:sz w:val="12"/>
              </w:rPr>
              <w:t>152.7</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investments at fair value through profit and loss</w:t>
            </w:r>
          </w:p>
        </w:tc>
      </w:tr>
      <w:tr>
        <w:tc>
          <w:tcPr>
            <w:tcW w:type="dxa" w:w="1800"/>
          </w:tcPr>
          <w:p>
            <w:pPr>
              <w:spacing w:after="20"/>
            </w:pPr>
            <w:r>
              <w:rPr>
                <w:b/>
                <w:color w:val="1C3A36"/>
                <w:sz w:val="12"/>
              </w:rPr>
              <w:t>fvtplbs_jun26</w:t>
            </w:r>
          </w:p>
        </w:tc>
        <w:tc>
          <w:tcPr>
            <w:tcW w:type="dxa" w:w="1368"/>
          </w:tcPr>
          <w:p>
            <w:pPr>
              <w:spacing w:after="20"/>
              <w:jc w:val="right"/>
            </w:pPr>
            <w:r>
              <w:rPr>
                <w:color w:val="1C3A36"/>
                <w:sz w:val="12"/>
              </w:rPr>
              <w:t>179.5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investments at fair value through profit and loss</w:t>
            </w:r>
          </w:p>
        </w:tc>
      </w:tr>
      <w:tr>
        <w:tc>
          <w:tcPr>
            <w:tcW w:type="dxa" w:w="1800"/>
          </w:tcPr>
          <w:p>
            <w:pPr>
              <w:spacing w:after="20"/>
            </w:pPr>
            <w:r>
              <w:rPr>
                <w:b/>
                <w:color w:val="1C3A36"/>
                <w:sz w:val="12"/>
              </w:rPr>
              <w:t>fx_net_asset</w:t>
            </w:r>
          </w:p>
        </w:tc>
        <w:tc>
          <w:tcPr>
            <w:tcW w:type="dxa" w:w="1368"/>
          </w:tcPr>
          <w:p>
            <w:pPr>
              <w:spacing w:after="20"/>
              <w:jc w:val="right"/>
            </w:pPr>
            <w:r>
              <w:rPr>
                <w:color w:val="1C3A36"/>
                <w:sz w:val="12"/>
              </w:rPr>
              <w:t>2,448.354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34 (A/2): net foreign-currency balance is an ASSET</w:t>
            </w:r>
          </w:p>
        </w:tc>
      </w:tr>
      <w:tr>
        <w:tc>
          <w:tcPr>
            <w:tcW w:type="dxa" w:w="1800"/>
          </w:tcPr>
          <w:p>
            <w:pPr>
              <w:spacing w:after="20"/>
            </w:pPr>
            <w:r>
              <w:rPr>
                <w:b/>
                <w:color w:val="1C3A36"/>
                <w:sz w:val="12"/>
              </w:rPr>
              <w:t>gp_9m25</w:t>
            </w:r>
          </w:p>
        </w:tc>
        <w:tc>
          <w:tcPr>
            <w:tcW w:type="dxa" w:w="1368"/>
          </w:tcPr>
          <w:p>
            <w:pPr>
              <w:spacing w:after="20"/>
              <w:jc w:val="right"/>
            </w:pPr>
            <w:r>
              <w:rPr>
                <w:color w:val="1C3A36"/>
                <w:sz w:val="12"/>
              </w:rPr>
              <w:t>10,423.0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financial review table</w:t>
            </w:r>
          </w:p>
        </w:tc>
      </w:tr>
      <w:tr>
        <w:tc>
          <w:tcPr>
            <w:tcW w:type="dxa" w:w="1800"/>
          </w:tcPr>
          <w:p>
            <w:pPr>
              <w:spacing w:after="20"/>
            </w:pPr>
            <w:r>
              <w:rPr>
                <w:b/>
                <w:color w:val="1C3A36"/>
                <w:sz w:val="12"/>
              </w:rPr>
              <w:t>gp_fy23</w:t>
            </w:r>
          </w:p>
        </w:tc>
        <w:tc>
          <w:tcPr>
            <w:tcW w:type="dxa" w:w="1368"/>
          </w:tcPr>
          <w:p>
            <w:pPr>
              <w:spacing w:after="20"/>
              <w:jc w:val="right"/>
            </w:pPr>
            <w:r>
              <w:rPr>
                <w:color w:val="1C3A36"/>
                <w:sz w:val="12"/>
              </w:rPr>
              <w:t>5,507.635</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gp_fy24</w:t>
            </w:r>
          </w:p>
        </w:tc>
        <w:tc>
          <w:tcPr>
            <w:tcW w:type="dxa" w:w="1368"/>
          </w:tcPr>
          <w:p>
            <w:pPr>
              <w:spacing w:after="20"/>
              <w:jc w:val="right"/>
            </w:pPr>
            <w:r>
              <w:rPr>
                <w:color w:val="1C3A36"/>
                <w:sz w:val="12"/>
              </w:rPr>
              <w:t>9,330.096</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gross profit</w:t>
            </w:r>
          </w:p>
        </w:tc>
      </w:tr>
      <w:tr>
        <w:tc>
          <w:tcPr>
            <w:tcW w:type="dxa" w:w="1800"/>
          </w:tcPr>
          <w:p>
            <w:pPr>
              <w:spacing w:after="20"/>
            </w:pPr>
            <w:r>
              <w:rPr>
                <w:b/>
                <w:color w:val="1C3A36"/>
                <w:sz w:val="12"/>
              </w:rPr>
              <w:t>gp_h125</w:t>
            </w:r>
          </w:p>
        </w:tc>
        <w:tc>
          <w:tcPr>
            <w:tcW w:type="dxa" w:w="1368"/>
          </w:tcPr>
          <w:p>
            <w:pPr>
              <w:spacing w:after="20"/>
              <w:jc w:val="right"/>
            </w:pPr>
            <w:r>
              <w:rPr>
                <w:color w:val="1C3A36"/>
                <w:sz w:val="12"/>
              </w:rPr>
              <w:t>6,664.688</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gross operating profit, comparative</w:t>
            </w:r>
          </w:p>
        </w:tc>
      </w:tr>
      <w:tr>
        <w:tc>
          <w:tcPr>
            <w:tcW w:type="dxa" w:w="1800"/>
          </w:tcPr>
          <w:p>
            <w:pPr>
              <w:spacing w:after="20"/>
            </w:pPr>
            <w:r>
              <w:rPr>
                <w:b/>
                <w:color w:val="1C3A36"/>
                <w:sz w:val="12"/>
              </w:rPr>
              <w:t>gp_h126</w:t>
            </w:r>
          </w:p>
        </w:tc>
        <w:tc>
          <w:tcPr>
            <w:tcW w:type="dxa" w:w="1368"/>
          </w:tcPr>
          <w:p>
            <w:pPr>
              <w:spacing w:after="20"/>
              <w:jc w:val="right"/>
            </w:pPr>
            <w:r>
              <w:rPr>
                <w:color w:val="1C3A36"/>
                <w:sz w:val="12"/>
              </w:rPr>
              <w:t>6,926.022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gross operating profit</w:t>
            </w:r>
          </w:p>
        </w:tc>
      </w:tr>
      <w:tr>
        <w:tc>
          <w:tcPr>
            <w:tcW w:type="dxa" w:w="1800"/>
          </w:tcPr>
          <w:p>
            <w:pPr>
              <w:spacing w:after="20"/>
            </w:pPr>
            <w:r>
              <w:rPr>
                <w:b/>
                <w:color w:val="1C3A36"/>
                <w:sz w:val="12"/>
              </w:rPr>
              <w:t>hcount_growth</w:t>
            </w:r>
          </w:p>
        </w:tc>
        <w:tc>
          <w:tcPr>
            <w:tcW w:type="dxa" w:w="1368"/>
          </w:tcPr>
          <w:p>
            <w:pPr>
              <w:spacing w:after="20"/>
              <w:jc w:val="right"/>
            </w:pPr>
            <w:r>
              <w:rPr>
                <w:color w:val="1C3A36"/>
                <w:sz w:val="12"/>
              </w:rPr>
              <w:t>0.02</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Real headcount growth carried in the salary line on top of wage escalation</w:t>
            </w:r>
          </w:p>
        </w:tc>
      </w:tr>
      <w:tr>
        <w:tc>
          <w:tcPr>
            <w:tcW w:type="dxa" w:w="1800"/>
          </w:tcPr>
          <w:p>
            <w:pPr>
              <w:spacing w:after="20"/>
            </w:pPr>
            <w:r>
              <w:rPr>
                <w:b/>
                <w:color w:val="1C3A36"/>
                <w:sz w:val="12"/>
              </w:rPr>
              <w:t>intdebt_jun26</w:t>
            </w:r>
          </w:p>
        </w:tc>
        <w:tc>
          <w:tcPr>
            <w:tcW w:type="dxa" w:w="1368"/>
          </w:tcPr>
          <w:p>
            <w:pPr>
              <w:spacing w:after="20"/>
              <w:jc w:val="right"/>
            </w:pPr>
            <w:r>
              <w:rPr>
                <w:color w:val="1C3A36"/>
                <w:sz w:val="12"/>
              </w:rPr>
              <w:t>26,480.291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34 (A/1) interest-rate risk: the company's own schedule of interest-bearing financial obligations = credit facilities 13,922.423 + loans 10,886.432 + credit banks 1,529.842 + lease obligations 141.593</w:t>
            </w:r>
          </w:p>
        </w:tc>
      </w:tr>
      <w:tr>
        <w:tc>
          <w:tcPr>
            <w:tcW w:type="dxa" w:w="1800"/>
          </w:tcPr>
          <w:p>
            <w:pPr>
              <w:spacing w:after="20"/>
            </w:pPr>
            <w:r>
              <w:rPr>
                <w:b/>
                <w:color w:val="1C3A36"/>
                <w:sz w:val="12"/>
              </w:rPr>
              <w:t>invprop_dec25</w:t>
            </w:r>
          </w:p>
        </w:tc>
        <w:tc>
          <w:tcPr>
            <w:tcW w:type="dxa" w:w="1368"/>
          </w:tcPr>
          <w:p>
            <w:pPr>
              <w:spacing w:after="20"/>
              <w:jc w:val="right"/>
            </w:pPr>
            <w:r>
              <w:rPr>
                <w:color w:val="1C3A36"/>
                <w:sz w:val="12"/>
              </w:rPr>
              <w:t>1,032.53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investment property</w:t>
            </w:r>
          </w:p>
        </w:tc>
      </w:tr>
      <w:tr>
        <w:tc>
          <w:tcPr>
            <w:tcW w:type="dxa" w:w="1800"/>
          </w:tcPr>
          <w:p>
            <w:pPr>
              <w:spacing w:after="20"/>
            </w:pPr>
            <w:r>
              <w:rPr>
                <w:b/>
                <w:color w:val="1C3A36"/>
                <w:sz w:val="12"/>
              </w:rPr>
              <w:t>invprop_jun26</w:t>
            </w:r>
          </w:p>
        </w:tc>
        <w:tc>
          <w:tcPr>
            <w:tcW w:type="dxa" w:w="1368"/>
          </w:tcPr>
          <w:p>
            <w:pPr>
              <w:spacing w:after="20"/>
              <w:jc w:val="right"/>
            </w:pPr>
            <w:r>
              <w:rPr>
                <w:color w:val="1C3A36"/>
                <w:sz w:val="12"/>
              </w:rPr>
              <w:t>1,008.42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investment property</w:t>
            </w:r>
          </w:p>
        </w:tc>
      </w:tr>
      <w:tr>
        <w:tc>
          <w:tcPr>
            <w:tcW w:type="dxa" w:w="1800"/>
          </w:tcPr>
          <w:p>
            <w:pPr>
              <w:spacing w:after="20"/>
            </w:pPr>
            <w:r>
              <w:rPr>
                <w:b/>
                <w:color w:val="1C3A36"/>
                <w:sz w:val="12"/>
              </w:rPr>
              <w:t>jsa_lt_dec25</w:t>
            </w:r>
          </w:p>
        </w:tc>
        <w:tc>
          <w:tcPr>
            <w:tcW w:type="dxa" w:w="1368"/>
          </w:tcPr>
          <w:p>
            <w:pPr>
              <w:spacing w:after="20"/>
              <w:jc w:val="right"/>
            </w:pPr>
            <w:r>
              <w:rPr>
                <w:color w:val="1C3A36"/>
                <w:sz w:val="12"/>
              </w:rPr>
              <w:t>3,991.865</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joint shares arrangement - long term</w:t>
            </w:r>
          </w:p>
        </w:tc>
      </w:tr>
      <w:tr>
        <w:tc>
          <w:tcPr>
            <w:tcW w:type="dxa" w:w="1800"/>
          </w:tcPr>
          <w:p>
            <w:pPr>
              <w:spacing w:after="20"/>
            </w:pPr>
            <w:r>
              <w:rPr>
                <w:b/>
                <w:color w:val="1C3A36"/>
                <w:sz w:val="12"/>
              </w:rPr>
              <w:t>jsa_lt_jun26</w:t>
            </w:r>
          </w:p>
        </w:tc>
        <w:tc>
          <w:tcPr>
            <w:tcW w:type="dxa" w:w="1368"/>
          </w:tcPr>
          <w:p>
            <w:pPr>
              <w:spacing w:after="20"/>
              <w:jc w:val="right"/>
            </w:pPr>
            <w:r>
              <w:rPr>
                <w:color w:val="1C3A36"/>
                <w:sz w:val="12"/>
              </w:rPr>
              <w:t>3,530.991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joint shares arrangement - long term</w:t>
            </w:r>
          </w:p>
        </w:tc>
      </w:tr>
      <w:tr>
        <w:tc>
          <w:tcPr>
            <w:tcW w:type="dxa" w:w="1800"/>
          </w:tcPr>
          <w:p>
            <w:pPr>
              <w:spacing w:after="20"/>
            </w:pPr>
            <w:r>
              <w:rPr>
                <w:b/>
                <w:color w:val="1C3A36"/>
                <w:sz w:val="12"/>
              </w:rPr>
              <w:t>jsa_st_dec25</w:t>
            </w:r>
          </w:p>
        </w:tc>
        <w:tc>
          <w:tcPr>
            <w:tcW w:type="dxa" w:w="1368"/>
          </w:tcPr>
          <w:p>
            <w:pPr>
              <w:spacing w:after="20"/>
              <w:jc w:val="right"/>
            </w:pPr>
            <w:r>
              <w:rPr>
                <w:color w:val="1C3A36"/>
                <w:sz w:val="12"/>
              </w:rPr>
              <w:t>2,981.873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joint shares arrangement - short term</w:t>
            </w:r>
          </w:p>
        </w:tc>
      </w:tr>
      <w:tr>
        <w:tc>
          <w:tcPr>
            <w:tcW w:type="dxa" w:w="1800"/>
          </w:tcPr>
          <w:p>
            <w:pPr>
              <w:spacing w:after="20"/>
            </w:pPr>
            <w:r>
              <w:rPr>
                <w:b/>
                <w:color w:val="1C3A36"/>
                <w:sz w:val="12"/>
              </w:rPr>
              <w:t>jsa_st_jun26</w:t>
            </w:r>
          </w:p>
        </w:tc>
        <w:tc>
          <w:tcPr>
            <w:tcW w:type="dxa" w:w="1368"/>
          </w:tcPr>
          <w:p>
            <w:pPr>
              <w:spacing w:after="20"/>
              <w:jc w:val="right"/>
            </w:pPr>
            <w:r>
              <w:rPr>
                <w:color w:val="1C3A36"/>
                <w:sz w:val="12"/>
              </w:rPr>
              <w:t>1,831.706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joint shares arrangement - short term</w:t>
            </w:r>
          </w:p>
        </w:tc>
      </w:tr>
      <w:tr>
        <w:tc>
          <w:tcPr>
            <w:tcW w:type="dxa" w:w="1800"/>
          </w:tcPr>
          <w:p>
            <w:pPr>
              <w:spacing w:after="20"/>
            </w:pPr>
            <w:r>
              <w:rPr>
                <w:b/>
                <w:color w:val="1C3A36"/>
                <w:sz w:val="12"/>
              </w:rPr>
              <w:t>land_int_h126</w:t>
            </w:r>
          </w:p>
        </w:tc>
        <w:tc>
          <w:tcPr>
            <w:tcW w:type="dxa" w:w="1368"/>
          </w:tcPr>
          <w:p>
            <w:pPr>
              <w:spacing w:after="20"/>
              <w:jc w:val="right"/>
            </w:pPr>
            <w:r>
              <w:rPr>
                <w:color w:val="1C3A36"/>
                <w:sz w:val="12"/>
              </w:rPr>
              <w:t>213.1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67, land installment interest</w:t>
            </w:r>
          </w:p>
        </w:tc>
      </w:tr>
      <w:tr>
        <w:tc>
          <w:tcPr>
            <w:tcW w:type="dxa" w:w="1800"/>
          </w:tcPr>
          <w:p>
            <w:pPr>
              <w:spacing w:after="20"/>
            </w:pPr>
            <w:r>
              <w:rPr>
                <w:b/>
                <w:color w:val="1C3A36"/>
                <w:sz w:val="12"/>
              </w:rPr>
              <w:t>landbank_sqm</w:t>
            </w:r>
          </w:p>
        </w:tc>
        <w:tc>
          <w:tcPr>
            <w:tcW w:type="dxa" w:w="1368"/>
          </w:tcPr>
          <w:p>
            <w:pPr>
              <w:spacing w:after="20"/>
              <w:jc w:val="right"/>
            </w:pPr>
            <w:r>
              <w:rPr>
                <w:color w:val="1C3A36"/>
                <w:sz w:val="12"/>
              </w:rPr>
              <w:t>46</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land bank of 46 million square metres across Egypt and Abu Dhabi</w:t>
            </w:r>
          </w:p>
        </w:tc>
      </w:tr>
      <w:tr>
        <w:tc>
          <w:tcPr>
            <w:tcW w:type="dxa" w:w="1800"/>
          </w:tcPr>
          <w:p>
            <w:pPr>
              <w:spacing w:after="20"/>
            </w:pPr>
            <w:r>
              <w:rPr>
                <w:b/>
                <w:color w:val="1C3A36"/>
                <w:sz w:val="12"/>
              </w:rPr>
              <w:t>landliab_lt_dec25</w:t>
            </w:r>
          </w:p>
        </w:tc>
        <w:tc>
          <w:tcPr>
            <w:tcW w:type="dxa" w:w="1368"/>
          </w:tcPr>
          <w:p>
            <w:pPr>
              <w:spacing w:after="20"/>
              <w:jc w:val="right"/>
            </w:pPr>
            <w:r>
              <w:rPr>
                <w:color w:val="1C3A36"/>
                <w:sz w:val="12"/>
              </w:rPr>
              <w:t>0</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land purchase liabilities - long term</w:t>
            </w:r>
          </w:p>
        </w:tc>
      </w:tr>
      <w:tr>
        <w:tc>
          <w:tcPr>
            <w:tcW w:type="dxa" w:w="1800"/>
          </w:tcPr>
          <w:p>
            <w:pPr>
              <w:spacing w:after="20"/>
            </w:pPr>
            <w:r>
              <w:rPr>
                <w:b/>
                <w:color w:val="1C3A36"/>
                <w:sz w:val="12"/>
              </w:rPr>
              <w:t>landliab_lt_jun26</w:t>
            </w:r>
          </w:p>
        </w:tc>
        <w:tc>
          <w:tcPr>
            <w:tcW w:type="dxa" w:w="1368"/>
          </w:tcPr>
          <w:p>
            <w:pPr>
              <w:spacing w:after="20"/>
              <w:jc w:val="right"/>
            </w:pPr>
            <w:r>
              <w:rPr>
                <w:color w:val="1C3A36"/>
                <w:sz w:val="12"/>
              </w:rPr>
              <w:t>47.13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land purchase liabilities - long term</w:t>
            </w:r>
          </w:p>
        </w:tc>
      </w:tr>
      <w:tr>
        <w:tc>
          <w:tcPr>
            <w:tcW w:type="dxa" w:w="1800"/>
          </w:tcPr>
          <w:p>
            <w:pPr>
              <w:spacing w:after="20"/>
            </w:pPr>
            <w:r>
              <w:rPr>
                <w:b/>
                <w:color w:val="1C3A36"/>
                <w:sz w:val="12"/>
              </w:rPr>
              <w:t>landliab_st_dec25</w:t>
            </w:r>
          </w:p>
        </w:tc>
        <w:tc>
          <w:tcPr>
            <w:tcW w:type="dxa" w:w="1368"/>
          </w:tcPr>
          <w:p>
            <w:pPr>
              <w:spacing w:after="20"/>
              <w:jc w:val="right"/>
            </w:pPr>
            <w:r>
              <w:rPr>
                <w:color w:val="1C3A36"/>
                <w:sz w:val="12"/>
              </w:rPr>
              <w:t>0.012225</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current portion of land purchase liabilities</w:t>
            </w:r>
          </w:p>
        </w:tc>
      </w:tr>
      <w:tr>
        <w:tc>
          <w:tcPr>
            <w:tcW w:type="dxa" w:w="1800"/>
          </w:tcPr>
          <w:p>
            <w:pPr>
              <w:spacing w:after="20"/>
            </w:pPr>
            <w:r>
              <w:rPr>
                <w:b/>
                <w:color w:val="1C3A36"/>
                <w:sz w:val="12"/>
              </w:rPr>
              <w:t>landliab_st_jun26</w:t>
            </w:r>
          </w:p>
        </w:tc>
        <w:tc>
          <w:tcPr>
            <w:tcW w:type="dxa" w:w="1368"/>
          </w:tcPr>
          <w:p>
            <w:pPr>
              <w:spacing w:after="20"/>
              <w:jc w:val="right"/>
            </w:pPr>
            <w:r>
              <w:rPr>
                <w:color w:val="1C3A36"/>
                <w:sz w:val="12"/>
              </w:rPr>
              <w:t>29.61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current portion of land purchase liabilities</w:t>
            </w:r>
          </w:p>
        </w:tc>
      </w:tr>
      <w:tr>
        <w:tc>
          <w:tcPr>
            <w:tcW w:type="dxa" w:w="1800"/>
          </w:tcPr>
          <w:p>
            <w:pPr>
              <w:spacing w:after="20"/>
            </w:pPr>
            <w:r>
              <w:rPr>
                <w:b/>
                <w:color w:val="1C3A36"/>
                <w:sz w:val="12"/>
              </w:rPr>
              <w:t>lease_lt_dec25</w:t>
            </w:r>
          </w:p>
        </w:tc>
        <w:tc>
          <w:tcPr>
            <w:tcW w:type="dxa" w:w="1368"/>
          </w:tcPr>
          <w:p>
            <w:pPr>
              <w:spacing w:after="20"/>
              <w:jc w:val="right"/>
            </w:pPr>
            <w:r>
              <w:rPr>
                <w:color w:val="1C3A36"/>
                <w:sz w:val="12"/>
              </w:rPr>
              <w:t>60.7</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lease contract liabilities - long term</w:t>
            </w:r>
          </w:p>
        </w:tc>
      </w:tr>
      <w:tr>
        <w:tc>
          <w:tcPr>
            <w:tcW w:type="dxa" w:w="1800"/>
          </w:tcPr>
          <w:p>
            <w:pPr>
              <w:spacing w:after="20"/>
            </w:pPr>
            <w:r>
              <w:rPr>
                <w:b/>
                <w:color w:val="1C3A36"/>
                <w:sz w:val="12"/>
              </w:rPr>
              <w:t>lease_lt_jun26</w:t>
            </w:r>
          </w:p>
        </w:tc>
        <w:tc>
          <w:tcPr>
            <w:tcW w:type="dxa" w:w="1368"/>
          </w:tcPr>
          <w:p>
            <w:pPr>
              <w:spacing w:after="20"/>
              <w:jc w:val="right"/>
            </w:pPr>
            <w:r>
              <w:rPr>
                <w:color w:val="1C3A36"/>
                <w:sz w:val="12"/>
              </w:rPr>
              <w:t>78.33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lease contract liabilities - long term</w:t>
            </w:r>
          </w:p>
        </w:tc>
      </w:tr>
      <w:tr>
        <w:tc>
          <w:tcPr>
            <w:tcW w:type="dxa" w:w="1800"/>
          </w:tcPr>
          <w:p>
            <w:pPr>
              <w:spacing w:after="20"/>
            </w:pPr>
            <w:r>
              <w:rPr>
                <w:b/>
                <w:color w:val="1C3A36"/>
                <w:sz w:val="12"/>
              </w:rPr>
              <w:t>lease_st_dec25</w:t>
            </w:r>
          </w:p>
        </w:tc>
        <w:tc>
          <w:tcPr>
            <w:tcW w:type="dxa" w:w="1368"/>
          </w:tcPr>
          <w:p>
            <w:pPr>
              <w:spacing w:after="20"/>
              <w:jc w:val="right"/>
            </w:pPr>
            <w:r>
              <w:rPr>
                <w:color w:val="1C3A36"/>
                <w:sz w:val="12"/>
              </w:rPr>
              <w:t>41.92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lease contract liabilities - short term</w:t>
            </w:r>
          </w:p>
        </w:tc>
      </w:tr>
      <w:tr>
        <w:tc>
          <w:tcPr>
            <w:tcW w:type="dxa" w:w="1800"/>
          </w:tcPr>
          <w:p>
            <w:pPr>
              <w:spacing w:after="20"/>
            </w:pPr>
            <w:r>
              <w:rPr>
                <w:b/>
                <w:color w:val="1C3A36"/>
                <w:sz w:val="12"/>
              </w:rPr>
              <w:t>lease_st_jun26</w:t>
            </w:r>
          </w:p>
        </w:tc>
        <w:tc>
          <w:tcPr>
            <w:tcW w:type="dxa" w:w="1368"/>
          </w:tcPr>
          <w:p>
            <w:pPr>
              <w:spacing w:after="20"/>
              <w:jc w:val="right"/>
            </w:pPr>
            <w:r>
              <w:rPr>
                <w:color w:val="1C3A36"/>
                <w:sz w:val="12"/>
              </w:rPr>
              <w:t>63.26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lease contract liabilities - short term</w:t>
            </w:r>
          </w:p>
        </w:tc>
      </w:tr>
      <w:tr>
        <w:tc>
          <w:tcPr>
            <w:tcW w:type="dxa" w:w="1800"/>
          </w:tcPr>
          <w:p>
            <w:pPr>
              <w:spacing w:after="20"/>
            </w:pPr>
            <w:r>
              <w:rPr>
                <w:b/>
                <w:color w:val="1C3A36"/>
                <w:sz w:val="12"/>
              </w:rPr>
              <w:t>loan_lt_dec25</w:t>
            </w:r>
          </w:p>
        </w:tc>
        <w:tc>
          <w:tcPr>
            <w:tcW w:type="dxa" w:w="1368"/>
          </w:tcPr>
          <w:p>
            <w:pPr>
              <w:spacing w:after="20"/>
              <w:jc w:val="right"/>
            </w:pPr>
            <w:r>
              <w:rPr>
                <w:color w:val="1C3A36"/>
                <w:sz w:val="12"/>
              </w:rPr>
              <w:t>10,543.12</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loans - long term</w:t>
            </w:r>
          </w:p>
        </w:tc>
      </w:tr>
      <w:tr>
        <w:tc>
          <w:tcPr>
            <w:tcW w:type="dxa" w:w="1800"/>
          </w:tcPr>
          <w:p>
            <w:pPr>
              <w:spacing w:after="20"/>
            </w:pPr>
            <w:r>
              <w:rPr>
                <w:b/>
                <w:color w:val="1C3A36"/>
                <w:sz w:val="12"/>
              </w:rPr>
              <w:t>loan_lt_jun26</w:t>
            </w:r>
          </w:p>
        </w:tc>
        <w:tc>
          <w:tcPr>
            <w:tcW w:type="dxa" w:w="1368"/>
          </w:tcPr>
          <w:p>
            <w:pPr>
              <w:spacing w:after="20"/>
              <w:jc w:val="right"/>
            </w:pPr>
            <w:r>
              <w:rPr>
                <w:color w:val="1C3A36"/>
                <w:sz w:val="12"/>
              </w:rPr>
              <w:t>10,236.28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loans - long term</w:t>
            </w:r>
          </w:p>
        </w:tc>
      </w:tr>
      <w:tr>
        <w:tc>
          <w:tcPr>
            <w:tcW w:type="dxa" w:w="1800"/>
          </w:tcPr>
          <w:p>
            <w:pPr>
              <w:spacing w:after="20"/>
            </w:pPr>
            <w:r>
              <w:rPr>
                <w:b/>
                <w:color w:val="1C3A36"/>
                <w:sz w:val="12"/>
              </w:rPr>
              <w:t>loan_st_dec25</w:t>
            </w:r>
          </w:p>
        </w:tc>
        <w:tc>
          <w:tcPr>
            <w:tcW w:type="dxa" w:w="1368"/>
          </w:tcPr>
          <w:p>
            <w:pPr>
              <w:spacing w:after="20"/>
              <w:jc w:val="right"/>
            </w:pPr>
            <w:r>
              <w:rPr>
                <w:color w:val="1C3A36"/>
                <w:sz w:val="12"/>
              </w:rPr>
              <w:t>1,250.04</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current portion of short-term loans</w:t>
            </w:r>
          </w:p>
        </w:tc>
      </w:tr>
      <w:tr>
        <w:tc>
          <w:tcPr>
            <w:tcW w:type="dxa" w:w="1800"/>
          </w:tcPr>
          <w:p>
            <w:pPr>
              <w:spacing w:after="20"/>
            </w:pPr>
            <w:r>
              <w:rPr>
                <w:b/>
                <w:color w:val="1C3A36"/>
                <w:sz w:val="12"/>
              </w:rPr>
              <w:t>loan_st_jun26</w:t>
            </w:r>
          </w:p>
        </w:tc>
        <w:tc>
          <w:tcPr>
            <w:tcW w:type="dxa" w:w="1368"/>
          </w:tcPr>
          <w:p>
            <w:pPr>
              <w:spacing w:after="20"/>
              <w:jc w:val="right"/>
            </w:pPr>
            <w:r>
              <w:rPr>
                <w:color w:val="1C3A36"/>
                <w:sz w:val="12"/>
              </w:rPr>
              <w:t>650.2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current portion of short-term loans</w:t>
            </w:r>
          </w:p>
        </w:tc>
      </w:tr>
      <w:tr>
        <w:tc>
          <w:tcPr>
            <w:tcW w:type="dxa" w:w="1800"/>
          </w:tcPr>
          <w:p>
            <w:pPr>
              <w:spacing w:after="20"/>
            </w:pPr>
            <w:r>
              <w:rPr>
                <w:b/>
                <w:color w:val="1C3A36"/>
                <w:sz w:val="12"/>
              </w:rPr>
              <w:t>maint_nr</w:t>
            </w:r>
          </w:p>
        </w:tc>
        <w:tc>
          <w:tcPr>
            <w:tcW w:type="dxa" w:w="1368"/>
          </w:tcPr>
          <w:p>
            <w:pPr>
              <w:spacing w:after="20"/>
              <w:jc w:val="right"/>
            </w:pPr>
            <w:r>
              <w:rPr>
                <w:color w:val="1C3A36"/>
                <w:sz w:val="12"/>
              </w:rPr>
              <w:t>15,014.0</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41 footnote: notes receivable include about EGP 15.014bn of checks received for maintenance deposits whose collected value reverts to the Workers' Union on its establishment</w:t>
            </w:r>
          </w:p>
        </w:tc>
      </w:tr>
      <w:tr>
        <w:tc>
          <w:tcPr>
            <w:tcW w:type="dxa" w:w="1800"/>
          </w:tcPr>
          <w:p>
            <w:pPr>
              <w:spacing w:after="20"/>
            </w:pPr>
            <w:r>
              <w:rPr>
                <w:b/>
                <w:color w:val="1C3A36"/>
                <w:sz w:val="12"/>
              </w:rPr>
              <w:t>maint_share</w:t>
            </w:r>
          </w:p>
        </w:tc>
        <w:tc>
          <w:tcPr>
            <w:tcW w:type="dxa" w:w="1368"/>
          </w:tcPr>
          <w:p>
            <w:pPr>
              <w:spacing w:after="20"/>
              <w:jc w:val="right"/>
            </w:pPr>
            <w:r>
              <w:rPr>
                <w:color w:val="1C3A36"/>
                <w:sz w:val="12"/>
              </w:rPr>
              <w:t>0.437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Share of the Residents' Association balance represented by maintenance-deposit checks rather than collected cash: EGP 15.014bn of notes receivable (note 41 footnote) against the EGP 34.337bn liability (note 63). Disclosed as stocks, not as period movements</w:t>
            </w:r>
          </w:p>
        </w:tc>
      </w:tr>
      <w:tr>
        <w:tc>
          <w:tcPr>
            <w:tcW w:type="dxa" w:w="1800"/>
          </w:tcPr>
          <w:p>
            <w:pPr>
              <w:spacing w:after="20"/>
            </w:pPr>
            <w:r>
              <w:rPr>
                <w:b/>
                <w:color w:val="1C3A36"/>
                <w:sz w:val="12"/>
              </w:rPr>
              <w:t>nca_dec25</w:t>
            </w:r>
          </w:p>
        </w:tc>
        <w:tc>
          <w:tcPr>
            <w:tcW w:type="dxa" w:w="1368"/>
          </w:tcPr>
          <w:p>
            <w:pPr>
              <w:spacing w:after="20"/>
              <w:jc w:val="right"/>
            </w:pPr>
            <w:r>
              <w:rPr>
                <w:color w:val="1C3A36"/>
                <w:sz w:val="12"/>
              </w:rPr>
              <w:t>65,900.163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total non-current assets</w:t>
            </w:r>
          </w:p>
        </w:tc>
      </w:tr>
      <w:tr>
        <w:tc>
          <w:tcPr>
            <w:tcW w:type="dxa" w:w="1800"/>
          </w:tcPr>
          <w:p>
            <w:pPr>
              <w:spacing w:after="20"/>
            </w:pPr>
            <w:r>
              <w:rPr>
                <w:b/>
                <w:color w:val="1C3A36"/>
                <w:sz w:val="12"/>
              </w:rPr>
              <w:t>nca_jun26</w:t>
            </w:r>
          </w:p>
        </w:tc>
        <w:tc>
          <w:tcPr>
            <w:tcW w:type="dxa" w:w="1368"/>
          </w:tcPr>
          <w:p>
            <w:pPr>
              <w:spacing w:after="20"/>
              <w:jc w:val="right"/>
            </w:pPr>
            <w:r>
              <w:rPr>
                <w:color w:val="1C3A36"/>
                <w:sz w:val="12"/>
              </w:rPr>
              <w:t>67,800.794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total non-current assets</w:t>
            </w:r>
          </w:p>
        </w:tc>
      </w:tr>
      <w:tr>
        <w:tc>
          <w:tcPr>
            <w:tcW w:type="dxa" w:w="1800"/>
          </w:tcPr>
          <w:p>
            <w:pPr>
              <w:spacing w:after="20"/>
            </w:pPr>
            <w:r>
              <w:rPr>
                <w:b/>
                <w:color w:val="1C3A36"/>
                <w:sz w:val="12"/>
              </w:rPr>
              <w:t>nci_h126</w:t>
            </w:r>
          </w:p>
        </w:tc>
        <w:tc>
          <w:tcPr>
            <w:tcW w:type="dxa" w:w="1368"/>
          </w:tcPr>
          <w:p>
            <w:pPr>
              <w:spacing w:after="20"/>
              <w:jc w:val="right"/>
            </w:pPr>
            <w:r>
              <w:rPr>
                <w:color w:val="1C3A36"/>
                <w:sz w:val="12"/>
              </w:rPr>
              <w:t>27.7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non-controlling equities share</w:t>
            </w:r>
          </w:p>
        </w:tc>
      </w:tr>
      <w:tr>
        <w:tc>
          <w:tcPr>
            <w:tcW w:type="dxa" w:w="1800"/>
          </w:tcPr>
          <w:p>
            <w:pPr>
              <w:spacing w:after="20"/>
            </w:pPr>
            <w:r>
              <w:rPr>
                <w:b/>
                <w:color w:val="1C3A36"/>
                <w:sz w:val="12"/>
              </w:rPr>
              <w:t>netdebt_1q26</w:t>
            </w:r>
          </w:p>
        </w:tc>
        <w:tc>
          <w:tcPr>
            <w:tcW w:type="dxa" w:w="1368"/>
          </w:tcPr>
          <w:p>
            <w:pPr>
              <w:spacing w:after="20"/>
              <w:jc w:val="right"/>
            </w:pPr>
            <w:r>
              <w:rPr>
                <w:color w:val="1C3A36"/>
                <w:sz w:val="12"/>
              </w:rPr>
              <w:t>3,300.0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the company's own net-debt figure at 31-Mar-2026</w:t>
            </w:r>
          </w:p>
        </w:tc>
      </w:tr>
      <w:tr>
        <w:tc>
          <w:tcPr>
            <w:tcW w:type="dxa" w:w="1800"/>
          </w:tcPr>
          <w:p>
            <w:pPr>
              <w:spacing w:after="20"/>
            </w:pPr>
            <w:r>
              <w:rPr>
                <w:b/>
                <w:color w:val="1C3A36"/>
                <w:sz w:val="12"/>
              </w:rPr>
              <w:t>netdebt_9m25</w:t>
            </w:r>
          </w:p>
        </w:tc>
        <w:tc>
          <w:tcPr>
            <w:tcW w:type="dxa" w:w="1368"/>
          </w:tcPr>
          <w:p>
            <w:pPr>
              <w:spacing w:after="20"/>
              <w:jc w:val="right"/>
            </w:pPr>
            <w:r>
              <w:rPr>
                <w:color w:val="1C3A36"/>
                <w:sz w:val="12"/>
              </w:rPr>
              <w:t>4,200.0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the company's own net-debt figure at 30-Sep-2025</w:t>
            </w:r>
          </w:p>
        </w:tc>
      </w:tr>
      <w:tr>
        <w:tc>
          <w:tcPr>
            <w:tcW w:type="dxa" w:w="1800"/>
          </w:tcPr>
          <w:p>
            <w:pPr>
              <w:spacing w:after="20"/>
            </w:pPr>
            <w:r>
              <w:rPr>
                <w:b/>
                <w:color w:val="1C3A36"/>
                <w:sz w:val="12"/>
              </w:rPr>
              <w:t>np_fy23</w:t>
            </w:r>
          </w:p>
        </w:tc>
        <w:tc>
          <w:tcPr>
            <w:tcW w:type="dxa" w:w="1368"/>
          </w:tcPr>
          <w:p>
            <w:pPr>
              <w:spacing w:after="20"/>
              <w:jc w:val="right"/>
            </w:pPr>
            <w:r>
              <w:rPr>
                <w:color w:val="1C3A36"/>
                <w:sz w:val="12"/>
              </w:rPr>
              <w:t>1,581.512</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np_fy24</w:t>
            </w:r>
          </w:p>
        </w:tc>
        <w:tc>
          <w:tcPr>
            <w:tcW w:type="dxa" w:w="1368"/>
          </w:tcPr>
          <w:p>
            <w:pPr>
              <w:spacing w:after="20"/>
              <w:jc w:val="right"/>
            </w:pPr>
            <w:r>
              <w:rPr>
                <w:color w:val="1C3A36"/>
                <w:sz w:val="12"/>
              </w:rPr>
              <w:t>3,254.945</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net profit after income tax &amp; non-controlling equities</w:t>
            </w:r>
          </w:p>
        </w:tc>
      </w:tr>
      <w:tr>
        <w:tc>
          <w:tcPr>
            <w:tcW w:type="dxa" w:w="1800"/>
          </w:tcPr>
          <w:p>
            <w:pPr>
              <w:spacing w:after="20"/>
            </w:pPr>
            <w:r>
              <w:rPr>
                <w:b/>
                <w:color w:val="1C3A36"/>
                <w:sz w:val="12"/>
              </w:rPr>
              <w:t>np_fy25</w:t>
            </w:r>
          </w:p>
        </w:tc>
        <w:tc>
          <w:tcPr>
            <w:tcW w:type="dxa" w:w="1368"/>
          </w:tcPr>
          <w:p>
            <w:pPr>
              <w:spacing w:after="20"/>
              <w:jc w:val="right"/>
            </w:pPr>
            <w:r>
              <w:rPr>
                <w:color w:val="1C3A36"/>
                <w:sz w:val="12"/>
              </w:rPr>
              <w:t>4,216.658</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statement of changes in equity: net profit for the year 2025 attributable to equity holders of the parent</w:t>
            </w:r>
          </w:p>
        </w:tc>
      </w:tr>
      <w:tr>
        <w:tc>
          <w:tcPr>
            <w:tcW w:type="dxa" w:w="1800"/>
          </w:tcPr>
          <w:p>
            <w:pPr>
              <w:spacing w:after="20"/>
            </w:pPr>
            <w:r>
              <w:rPr>
                <w:b/>
                <w:color w:val="1C3A36"/>
                <w:sz w:val="12"/>
              </w:rPr>
              <w:t>np_fy25_ir</w:t>
            </w:r>
          </w:p>
        </w:tc>
        <w:tc>
          <w:tcPr>
            <w:tcW w:type="dxa" w:w="1368"/>
          </w:tcPr>
          <w:p>
            <w:pPr>
              <w:spacing w:after="20"/>
              <w:jc w:val="right"/>
            </w:pPr>
            <w:r>
              <w:rPr>
                <w:color w:val="1C3A36"/>
                <w:sz w:val="12"/>
              </w:rPr>
              <w:t>4,268.0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net-profit history chart, FY2025 (differs by EGP 51mn from the audited equity statement; the statement figure governs)</w:t>
            </w:r>
          </w:p>
        </w:tc>
      </w:tr>
      <w:tr>
        <w:tc>
          <w:tcPr>
            <w:tcW w:type="dxa" w:w="1800"/>
          </w:tcPr>
          <w:p>
            <w:pPr>
              <w:spacing w:after="20"/>
            </w:pPr>
            <w:r>
              <w:rPr>
                <w:b/>
                <w:color w:val="1C3A36"/>
                <w:sz w:val="12"/>
              </w:rPr>
              <w:t>np_h125</w:t>
            </w:r>
          </w:p>
        </w:tc>
        <w:tc>
          <w:tcPr>
            <w:tcW w:type="dxa" w:w="1368"/>
          </w:tcPr>
          <w:p>
            <w:pPr>
              <w:spacing w:after="20"/>
              <w:jc w:val="right"/>
            </w:pPr>
            <w:r>
              <w:rPr>
                <w:color w:val="1C3A36"/>
                <w:sz w:val="12"/>
              </w:rPr>
              <w:t>2,443.381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same line, comparative</w:t>
            </w:r>
          </w:p>
        </w:tc>
      </w:tr>
      <w:tr>
        <w:tc>
          <w:tcPr>
            <w:tcW w:type="dxa" w:w="1800"/>
          </w:tcPr>
          <w:p>
            <w:pPr>
              <w:spacing w:after="20"/>
            </w:pPr>
            <w:r>
              <w:rPr>
                <w:b/>
                <w:color w:val="1C3A36"/>
                <w:sz w:val="12"/>
              </w:rPr>
              <w:t>np_h126</w:t>
            </w:r>
          </w:p>
        </w:tc>
        <w:tc>
          <w:tcPr>
            <w:tcW w:type="dxa" w:w="1368"/>
          </w:tcPr>
          <w:p>
            <w:pPr>
              <w:spacing w:after="20"/>
              <w:jc w:val="right"/>
            </w:pPr>
            <w:r>
              <w:rPr>
                <w:color w:val="1C3A36"/>
                <w:sz w:val="12"/>
              </w:rPr>
              <w:t>2,264.823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net profit after income tax &amp; non-controlling equities</w:t>
            </w:r>
          </w:p>
        </w:tc>
      </w:tr>
      <w:tr>
        <w:tc>
          <w:tcPr>
            <w:tcW w:type="dxa" w:w="1800"/>
          </w:tcPr>
          <w:p>
            <w:pPr>
              <w:spacing w:after="20"/>
            </w:pPr>
            <w:r>
              <w:rPr>
                <w:b/>
                <w:color w:val="1C3A36"/>
                <w:sz w:val="12"/>
              </w:rPr>
              <w:t>np_lt_dec25</w:t>
            </w:r>
          </w:p>
        </w:tc>
        <w:tc>
          <w:tcPr>
            <w:tcW w:type="dxa" w:w="1368"/>
          </w:tcPr>
          <w:p>
            <w:pPr>
              <w:spacing w:after="20"/>
              <w:jc w:val="right"/>
            </w:pPr>
            <w:r>
              <w:rPr>
                <w:color w:val="1C3A36"/>
                <w:sz w:val="12"/>
              </w:rPr>
              <w:t>4,505.025</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payable - long term</w:t>
            </w:r>
          </w:p>
        </w:tc>
      </w:tr>
      <w:tr>
        <w:tc>
          <w:tcPr>
            <w:tcW w:type="dxa" w:w="1800"/>
          </w:tcPr>
          <w:p>
            <w:pPr>
              <w:spacing w:after="20"/>
            </w:pPr>
            <w:r>
              <w:rPr>
                <w:b/>
                <w:color w:val="1C3A36"/>
                <w:sz w:val="12"/>
              </w:rPr>
              <w:t>np_lt_jun26</w:t>
            </w:r>
          </w:p>
        </w:tc>
        <w:tc>
          <w:tcPr>
            <w:tcW w:type="dxa" w:w="1368"/>
          </w:tcPr>
          <w:p>
            <w:pPr>
              <w:spacing w:after="20"/>
              <w:jc w:val="right"/>
            </w:pPr>
            <w:r>
              <w:rPr>
                <w:color w:val="1C3A36"/>
                <w:sz w:val="12"/>
              </w:rPr>
              <w:t>4,016.715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payable - long term</w:t>
            </w:r>
          </w:p>
        </w:tc>
      </w:tr>
      <w:tr>
        <w:tc>
          <w:tcPr>
            <w:tcW w:type="dxa" w:w="1800"/>
          </w:tcPr>
          <w:p>
            <w:pPr>
              <w:spacing w:after="20"/>
            </w:pPr>
            <w:r>
              <w:rPr>
                <w:b/>
                <w:color w:val="1C3A36"/>
                <w:sz w:val="12"/>
              </w:rPr>
              <w:t>np_st_dec25</w:t>
            </w:r>
          </w:p>
        </w:tc>
        <w:tc>
          <w:tcPr>
            <w:tcW w:type="dxa" w:w="1368"/>
          </w:tcPr>
          <w:p>
            <w:pPr>
              <w:spacing w:after="20"/>
              <w:jc w:val="right"/>
            </w:pPr>
            <w:r>
              <w:rPr>
                <w:color w:val="1C3A36"/>
                <w:sz w:val="12"/>
              </w:rPr>
              <w:t>4,875.674</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payable - short term</w:t>
            </w:r>
          </w:p>
        </w:tc>
      </w:tr>
      <w:tr>
        <w:tc>
          <w:tcPr>
            <w:tcW w:type="dxa" w:w="1800"/>
          </w:tcPr>
          <w:p>
            <w:pPr>
              <w:spacing w:after="20"/>
            </w:pPr>
            <w:r>
              <w:rPr>
                <w:b/>
                <w:color w:val="1C3A36"/>
                <w:sz w:val="12"/>
              </w:rPr>
              <w:t>np_st_jun26</w:t>
            </w:r>
          </w:p>
        </w:tc>
        <w:tc>
          <w:tcPr>
            <w:tcW w:type="dxa" w:w="1368"/>
          </w:tcPr>
          <w:p>
            <w:pPr>
              <w:spacing w:after="20"/>
              <w:jc w:val="right"/>
            </w:pPr>
            <w:r>
              <w:rPr>
                <w:color w:val="1C3A36"/>
                <w:sz w:val="12"/>
              </w:rPr>
              <w:t>4,778.462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payable - short term</w:t>
            </w:r>
          </w:p>
        </w:tc>
      </w:tr>
      <w:tr>
        <w:tc>
          <w:tcPr>
            <w:tcW w:type="dxa" w:w="1800"/>
          </w:tcPr>
          <w:p>
            <w:pPr>
              <w:spacing w:after="20"/>
            </w:pPr>
            <w:r>
              <w:rPr>
                <w:b/>
                <w:color w:val="1C3A36"/>
                <w:sz w:val="12"/>
              </w:rPr>
              <w:t>nr_gross_jun26</w:t>
            </w:r>
          </w:p>
        </w:tc>
        <w:tc>
          <w:tcPr>
            <w:tcW w:type="dxa" w:w="1368"/>
          </w:tcPr>
          <w:p>
            <w:pPr>
              <w:spacing w:after="20"/>
              <w:jc w:val="right"/>
            </w:pPr>
            <w:r>
              <w:rPr>
                <w:color w:val="1C3A36"/>
                <w:sz w:val="12"/>
              </w:rPr>
              <w:t>99,653.638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41: short-term notes receivable 25,282.558061 + long-term 74,371.079444, before present-value discount and partners' share</w:t>
            </w:r>
          </w:p>
        </w:tc>
      </w:tr>
      <w:tr>
        <w:tc>
          <w:tcPr>
            <w:tcW w:type="dxa" w:w="1800"/>
          </w:tcPr>
          <w:p>
            <w:pPr>
              <w:spacing w:after="20"/>
            </w:pPr>
            <w:r>
              <w:rPr>
                <w:b/>
                <w:color w:val="1C3A36"/>
                <w:sz w:val="12"/>
              </w:rPr>
              <w:t>nr_lt_dec25</w:t>
            </w:r>
          </w:p>
        </w:tc>
        <w:tc>
          <w:tcPr>
            <w:tcW w:type="dxa" w:w="1368"/>
          </w:tcPr>
          <w:p>
            <w:pPr>
              <w:spacing w:after="20"/>
              <w:jc w:val="right"/>
            </w:pPr>
            <w:r>
              <w:rPr>
                <w:color w:val="1C3A36"/>
                <w:sz w:val="12"/>
              </w:rPr>
              <w:t>54,801.316</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receivable - long term</w:t>
            </w:r>
          </w:p>
        </w:tc>
      </w:tr>
      <w:tr>
        <w:tc>
          <w:tcPr>
            <w:tcW w:type="dxa" w:w="1800"/>
          </w:tcPr>
          <w:p>
            <w:pPr>
              <w:spacing w:after="20"/>
            </w:pPr>
            <w:r>
              <w:rPr>
                <w:b/>
                <w:color w:val="1C3A36"/>
                <w:sz w:val="12"/>
              </w:rPr>
              <w:t>nr_lt_jun26</w:t>
            </w:r>
          </w:p>
        </w:tc>
        <w:tc>
          <w:tcPr>
            <w:tcW w:type="dxa" w:w="1368"/>
          </w:tcPr>
          <w:p>
            <w:pPr>
              <w:spacing w:after="20"/>
              <w:jc w:val="right"/>
            </w:pPr>
            <w:r>
              <w:rPr>
                <w:color w:val="1C3A36"/>
                <w:sz w:val="12"/>
              </w:rPr>
              <w:t>55,707.502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receivable - long term</w:t>
            </w:r>
          </w:p>
        </w:tc>
      </w:tr>
      <w:tr>
        <w:tc>
          <w:tcPr>
            <w:tcW w:type="dxa" w:w="1800"/>
          </w:tcPr>
          <w:p>
            <w:pPr>
              <w:spacing w:after="20"/>
            </w:pPr>
            <w:r>
              <w:rPr>
                <w:b/>
                <w:color w:val="1C3A36"/>
                <w:sz w:val="12"/>
              </w:rPr>
              <w:t>nr_partner</w:t>
            </w:r>
          </w:p>
        </w:tc>
        <w:tc>
          <w:tcPr>
            <w:tcW w:type="dxa" w:w="1368"/>
          </w:tcPr>
          <w:p>
            <w:pPr>
              <w:spacing w:after="20"/>
              <w:jc w:val="right"/>
            </w:pPr>
            <w:r>
              <w:rPr>
                <w:color w:val="1C3A36"/>
                <w:sz w:val="12"/>
              </w:rPr>
              <w:t>20,411.319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41: share of the partners deducted from notes receivable</w:t>
            </w:r>
          </w:p>
        </w:tc>
      </w:tr>
      <w:tr>
        <w:tc>
          <w:tcPr>
            <w:tcW w:type="dxa" w:w="1800"/>
          </w:tcPr>
          <w:p>
            <w:pPr>
              <w:spacing w:after="20"/>
            </w:pPr>
            <w:r>
              <w:rPr>
                <w:b/>
                <w:color w:val="1C3A36"/>
                <w:sz w:val="12"/>
              </w:rPr>
              <w:t>nr_st_dec25</w:t>
            </w:r>
          </w:p>
        </w:tc>
        <w:tc>
          <w:tcPr>
            <w:tcW w:type="dxa" w:w="1368"/>
          </w:tcPr>
          <w:p>
            <w:pPr>
              <w:spacing w:after="20"/>
              <w:jc w:val="right"/>
            </w:pPr>
            <w:r>
              <w:rPr>
                <w:color w:val="1C3A36"/>
                <w:sz w:val="12"/>
              </w:rPr>
              <w:t>18,137.719</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receivable - short term</w:t>
            </w:r>
          </w:p>
        </w:tc>
      </w:tr>
      <w:tr>
        <w:tc>
          <w:tcPr>
            <w:tcW w:type="dxa" w:w="1800"/>
          </w:tcPr>
          <w:p>
            <w:pPr>
              <w:spacing w:after="20"/>
            </w:pPr>
            <w:r>
              <w:rPr>
                <w:b/>
                <w:color w:val="1C3A36"/>
                <w:sz w:val="12"/>
              </w:rPr>
              <w:t>nr_st_jun26</w:t>
            </w:r>
          </w:p>
        </w:tc>
        <w:tc>
          <w:tcPr>
            <w:tcW w:type="dxa" w:w="1368"/>
          </w:tcPr>
          <w:p>
            <w:pPr>
              <w:spacing w:after="20"/>
              <w:jc w:val="right"/>
            </w:pPr>
            <w:r>
              <w:rPr>
                <w:color w:val="1C3A36"/>
                <w:sz w:val="12"/>
              </w:rPr>
              <w:t>20,530.518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receivable - short term</w:t>
            </w:r>
          </w:p>
        </w:tc>
      </w:tr>
      <w:tr>
        <w:tc>
          <w:tcPr>
            <w:tcW w:type="dxa" w:w="1800"/>
          </w:tcPr>
          <w:p>
            <w:pPr>
              <w:spacing w:after="20"/>
            </w:pPr>
            <w:r>
              <w:rPr>
                <w:b/>
                <w:color w:val="1C3A36"/>
                <w:sz w:val="12"/>
              </w:rPr>
              <w:t>nrund_lt_dec25</w:t>
            </w:r>
          </w:p>
        </w:tc>
        <w:tc>
          <w:tcPr>
            <w:tcW w:type="dxa" w:w="1368"/>
          </w:tcPr>
          <w:p>
            <w:pPr>
              <w:spacing w:after="20"/>
              <w:jc w:val="right"/>
            </w:pPr>
            <w:r>
              <w:rPr>
                <w:color w:val="1C3A36"/>
                <w:sz w:val="12"/>
              </w:rPr>
              <w:t>1,518.49</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receivable - long term for undelivered units</w:t>
            </w:r>
          </w:p>
        </w:tc>
      </w:tr>
      <w:tr>
        <w:tc>
          <w:tcPr>
            <w:tcW w:type="dxa" w:w="1800"/>
          </w:tcPr>
          <w:p>
            <w:pPr>
              <w:spacing w:after="20"/>
            </w:pPr>
            <w:r>
              <w:rPr>
                <w:b/>
                <w:color w:val="1C3A36"/>
                <w:sz w:val="12"/>
              </w:rPr>
              <w:t>nrund_lt_jun26</w:t>
            </w:r>
          </w:p>
        </w:tc>
        <w:tc>
          <w:tcPr>
            <w:tcW w:type="dxa" w:w="1368"/>
          </w:tcPr>
          <w:p>
            <w:pPr>
              <w:spacing w:after="20"/>
              <w:jc w:val="right"/>
            </w:pPr>
            <w:r>
              <w:rPr>
                <w:color w:val="1C3A36"/>
                <w:sz w:val="12"/>
              </w:rPr>
              <w:t>1,033.56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receivable - long term for undelivered units</w:t>
            </w:r>
          </w:p>
        </w:tc>
      </w:tr>
      <w:tr>
        <w:tc>
          <w:tcPr>
            <w:tcW w:type="dxa" w:w="1800"/>
          </w:tcPr>
          <w:p>
            <w:pPr>
              <w:spacing w:after="20"/>
            </w:pPr>
            <w:r>
              <w:rPr>
                <w:b/>
                <w:color w:val="1C3A36"/>
                <w:sz w:val="12"/>
              </w:rPr>
              <w:t>nrund_st_dec25</w:t>
            </w:r>
          </w:p>
        </w:tc>
        <w:tc>
          <w:tcPr>
            <w:tcW w:type="dxa" w:w="1368"/>
          </w:tcPr>
          <w:p>
            <w:pPr>
              <w:spacing w:after="20"/>
              <w:jc w:val="right"/>
            </w:pPr>
            <w:r>
              <w:rPr>
                <w:color w:val="1C3A36"/>
                <w:sz w:val="12"/>
              </w:rPr>
              <w:t>935.3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notes receivable - short term for undelivered units</w:t>
            </w:r>
          </w:p>
        </w:tc>
      </w:tr>
      <w:tr>
        <w:tc>
          <w:tcPr>
            <w:tcW w:type="dxa" w:w="1800"/>
          </w:tcPr>
          <w:p>
            <w:pPr>
              <w:spacing w:after="20"/>
            </w:pPr>
            <w:r>
              <w:rPr>
                <w:b/>
                <w:color w:val="1C3A36"/>
                <w:sz w:val="12"/>
              </w:rPr>
              <w:t>nrund_st_jun26</w:t>
            </w:r>
          </w:p>
        </w:tc>
        <w:tc>
          <w:tcPr>
            <w:tcW w:type="dxa" w:w="1368"/>
          </w:tcPr>
          <w:p>
            <w:pPr>
              <w:spacing w:after="20"/>
              <w:jc w:val="right"/>
            </w:pPr>
            <w:r>
              <w:rPr>
                <w:color w:val="1C3A36"/>
                <w:sz w:val="12"/>
              </w:rPr>
              <w:t>695.4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notes receivable - short term for undelivered units</w:t>
            </w:r>
          </w:p>
        </w:tc>
      </w:tr>
      <w:tr>
        <w:tc>
          <w:tcPr>
            <w:tcW w:type="dxa" w:w="1800"/>
          </w:tcPr>
          <w:p>
            <w:pPr>
              <w:spacing w:after="20"/>
            </w:pPr>
            <w:r>
              <w:rPr>
                <w:b/>
                <w:color w:val="1C3A36"/>
                <w:sz w:val="12"/>
              </w:rPr>
              <w:t>ocf_fy23</w:t>
            </w:r>
          </w:p>
        </w:tc>
        <w:tc>
          <w:tcPr>
            <w:tcW w:type="dxa" w:w="1368"/>
          </w:tcPr>
          <w:p>
            <w:pPr>
              <w:spacing w:after="20"/>
              <w:jc w:val="right"/>
            </w:pPr>
            <w:r>
              <w:rPr>
                <w:color w:val="1C3A36"/>
                <w:sz w:val="12"/>
              </w:rPr>
              <w:t>753.2</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ocf_fy24</w:t>
            </w:r>
          </w:p>
        </w:tc>
        <w:tc>
          <w:tcPr>
            <w:tcW w:type="dxa" w:w="1368"/>
          </w:tcPr>
          <w:p>
            <w:pPr>
              <w:spacing w:after="20"/>
              <w:jc w:val="right"/>
            </w:pPr>
            <w:r>
              <w:rPr>
                <w:color w:val="1C3A36"/>
                <w:sz w:val="12"/>
              </w:rPr>
              <w:t>3,084.378</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net cash from operating activities</w:t>
            </w:r>
          </w:p>
        </w:tc>
      </w:tr>
      <w:tr>
        <w:tc>
          <w:tcPr>
            <w:tcW w:type="dxa" w:w="1800"/>
          </w:tcPr>
          <w:p>
            <w:pPr>
              <w:spacing w:after="20"/>
            </w:pPr>
            <w:r>
              <w:rPr>
                <w:b/>
                <w:color w:val="1C3A36"/>
                <w:sz w:val="12"/>
              </w:rPr>
              <w:t>ocf_h125</w:t>
            </w:r>
          </w:p>
        </w:tc>
        <w:tc>
          <w:tcPr>
            <w:tcW w:type="dxa" w:w="1368"/>
          </w:tcPr>
          <w:p>
            <w:pPr>
              <w:spacing w:after="20"/>
              <w:jc w:val="right"/>
            </w:pPr>
            <w:r>
              <w:rPr>
                <w:color w:val="1C3A36"/>
                <w:sz w:val="12"/>
              </w:rPr>
              <w:t>494.4</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comparative</w:t>
            </w:r>
          </w:p>
        </w:tc>
      </w:tr>
      <w:tr>
        <w:tc>
          <w:tcPr>
            <w:tcW w:type="dxa" w:w="1800"/>
          </w:tcPr>
          <w:p>
            <w:pPr>
              <w:spacing w:after="20"/>
            </w:pPr>
            <w:r>
              <w:rPr>
                <w:b/>
                <w:color w:val="1C3A36"/>
                <w:sz w:val="12"/>
              </w:rPr>
              <w:t>ocf_h126</w:t>
            </w:r>
          </w:p>
        </w:tc>
        <w:tc>
          <w:tcPr>
            <w:tcW w:type="dxa" w:w="1368"/>
          </w:tcPr>
          <w:p>
            <w:pPr>
              <w:spacing w:after="20"/>
              <w:jc w:val="right"/>
            </w:pPr>
            <w:r>
              <w:rPr>
                <w:color w:val="1C3A36"/>
                <w:sz w:val="12"/>
              </w:rPr>
              <w:t>1,499.068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net cash provided by operating activities</w:t>
            </w:r>
          </w:p>
        </w:tc>
      </w:tr>
      <w:tr>
        <w:tc>
          <w:tcPr>
            <w:tcW w:type="dxa" w:w="1800"/>
          </w:tcPr>
          <w:p>
            <w:pPr>
              <w:spacing w:after="20"/>
            </w:pPr>
            <w:r>
              <w:rPr>
                <w:b/>
                <w:color w:val="1C3A36"/>
                <w:sz w:val="12"/>
              </w:rPr>
              <w:t>oneoff_h125</w:t>
            </w:r>
          </w:p>
        </w:tc>
        <w:tc>
          <w:tcPr>
            <w:tcW w:type="dxa" w:w="1368"/>
          </w:tcPr>
          <w:p>
            <w:pPr>
              <w:spacing w:after="20"/>
              <w:jc w:val="right"/>
            </w:pPr>
            <w:r>
              <w:rPr>
                <w:color w:val="1C3A36"/>
                <w:sz w:val="12"/>
              </w:rPr>
              <w:t>661.1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 non-recurring items inside other activities revenues: profits from selling investments 560.793232 + miscellaneous income 94.584186 + gain from selling fixed asset 5.727448</w:t>
            </w:r>
          </w:p>
        </w:tc>
      </w:tr>
      <w:tr>
        <w:tc>
          <w:tcPr>
            <w:tcW w:type="dxa" w:w="1800"/>
          </w:tcPr>
          <w:p>
            <w:pPr>
              <w:spacing w:after="20"/>
            </w:pPr>
            <w:r>
              <w:rPr>
                <w:b/>
                <w:color w:val="1C3A36"/>
                <w:sz w:val="12"/>
              </w:rPr>
              <w:t>pbt_fy23</w:t>
            </w:r>
          </w:p>
        </w:tc>
        <w:tc>
          <w:tcPr>
            <w:tcW w:type="dxa" w:w="1368"/>
          </w:tcPr>
          <w:p>
            <w:pPr>
              <w:spacing w:after="20"/>
              <w:jc w:val="right"/>
            </w:pPr>
            <w:r>
              <w:rPr>
                <w:color w:val="1C3A36"/>
                <w:sz w:val="12"/>
              </w:rPr>
              <w:t>2,300.704</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pbt_fy24</w:t>
            </w:r>
          </w:p>
        </w:tc>
        <w:tc>
          <w:tcPr>
            <w:tcW w:type="dxa" w:w="1368"/>
          </w:tcPr>
          <w:p>
            <w:pPr>
              <w:spacing w:after="20"/>
              <w:jc w:val="right"/>
            </w:pPr>
            <w:r>
              <w:rPr>
                <w:color w:val="1C3A36"/>
                <w:sz w:val="12"/>
              </w:rPr>
              <w:t>4,320.598</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net profit before income tax &amp; non-controlling equities</w:t>
            </w:r>
          </w:p>
        </w:tc>
      </w:tr>
      <w:tr>
        <w:tc>
          <w:tcPr>
            <w:tcW w:type="dxa" w:w="1800"/>
          </w:tcPr>
          <w:p>
            <w:pPr>
              <w:spacing w:after="20"/>
            </w:pPr>
            <w:r>
              <w:rPr>
                <w:b/>
                <w:color w:val="1C3A36"/>
                <w:sz w:val="12"/>
              </w:rPr>
              <w:t>pbt_h125</w:t>
            </w:r>
          </w:p>
        </w:tc>
        <w:tc>
          <w:tcPr>
            <w:tcW w:type="dxa" w:w="1368"/>
          </w:tcPr>
          <w:p>
            <w:pPr>
              <w:spacing w:after="20"/>
              <w:jc w:val="right"/>
            </w:pPr>
            <w:r>
              <w:rPr>
                <w:color w:val="1C3A36"/>
                <w:sz w:val="12"/>
              </w:rPr>
              <w:t>3,587.606</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same line, comparative</w:t>
            </w:r>
          </w:p>
        </w:tc>
      </w:tr>
      <w:tr>
        <w:tc>
          <w:tcPr>
            <w:tcW w:type="dxa" w:w="1800"/>
          </w:tcPr>
          <w:p>
            <w:pPr>
              <w:spacing w:after="20"/>
            </w:pPr>
            <w:r>
              <w:rPr>
                <w:b/>
                <w:color w:val="1C3A36"/>
                <w:sz w:val="12"/>
              </w:rPr>
              <w:t>pbt_h126</w:t>
            </w:r>
          </w:p>
        </w:tc>
        <w:tc>
          <w:tcPr>
            <w:tcW w:type="dxa" w:w="1368"/>
          </w:tcPr>
          <w:p>
            <w:pPr>
              <w:spacing w:after="20"/>
              <w:jc w:val="right"/>
            </w:pPr>
            <w:r>
              <w:rPr>
                <w:color w:val="1C3A36"/>
                <w:sz w:val="12"/>
              </w:rPr>
              <w:t>3,137.778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net profit before income tax &amp; non-controlling equities</w:t>
            </w:r>
          </w:p>
        </w:tc>
      </w:tr>
      <w:tr>
        <w:tc>
          <w:tcPr>
            <w:tcW w:type="dxa" w:w="1800"/>
          </w:tcPr>
          <w:p>
            <w:pPr>
              <w:spacing w:after="20"/>
            </w:pPr>
            <w:r>
              <w:rPr>
                <w:b/>
                <w:color w:val="1C3A36"/>
                <w:sz w:val="12"/>
              </w:rPr>
              <w:t>pi_price</w:t>
            </w:r>
          </w:p>
        </w:tc>
        <w:tc>
          <w:tcPr>
            <w:tcW w:type="dxa" w:w="1368"/>
          </w:tcPr>
          <w:p>
            <w:pPr>
              <w:spacing w:after="20"/>
              <w:jc w:val="right"/>
            </w:pPr>
            <w:r>
              <w:rPr>
                <w:color w:val="1C3A36"/>
                <w:sz w:val="12"/>
              </w:rPr>
              <w:t>0.09, 0.08, 0.075, 0.07, 0.065</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Selling-price escalation for FY2027 to FY2031. The FY2026 anchor is measured, not assumed: the ten largest Egyptian developers sold EGP 670bn in H1-2026 against EGP 651bn a year earlier (+2.9%) on about 39,000 units, down 5% — an implied average-ticket rise of 8.3%. Later years track nominal household income on the central bank disinflation path</w:t>
            </w:r>
          </w:p>
        </w:tc>
      </w:tr>
      <w:tr>
        <w:tc>
          <w:tcPr>
            <w:tcW w:type="dxa" w:w="1800"/>
          </w:tcPr>
          <w:p>
            <w:pPr>
              <w:spacing w:after="20"/>
            </w:pPr>
            <w:r>
              <w:rPr>
                <w:b/>
                <w:color w:val="1C3A36"/>
                <w:sz w:val="12"/>
              </w:rPr>
              <w:t>ra_dec25</w:t>
            </w:r>
          </w:p>
        </w:tc>
        <w:tc>
          <w:tcPr>
            <w:tcW w:type="dxa" w:w="1368"/>
          </w:tcPr>
          <w:p>
            <w:pPr>
              <w:spacing w:after="20"/>
              <w:jc w:val="right"/>
            </w:pPr>
            <w:r>
              <w:rPr>
                <w:color w:val="1C3A36"/>
                <w:sz w:val="12"/>
              </w:rPr>
              <w:t>29,122.77</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other long-term liabilities - Residents' Association</w:t>
            </w:r>
          </w:p>
        </w:tc>
      </w:tr>
      <w:tr>
        <w:tc>
          <w:tcPr>
            <w:tcW w:type="dxa" w:w="1800"/>
          </w:tcPr>
          <w:p>
            <w:pPr>
              <w:spacing w:after="20"/>
            </w:pPr>
            <w:r>
              <w:rPr>
                <w:b/>
                <w:color w:val="1C3A36"/>
                <w:sz w:val="12"/>
              </w:rPr>
              <w:t>ra_jun26</w:t>
            </w:r>
          </w:p>
        </w:tc>
        <w:tc>
          <w:tcPr>
            <w:tcW w:type="dxa" w:w="1368"/>
          </w:tcPr>
          <w:p>
            <w:pPr>
              <w:spacing w:after="20"/>
              <w:jc w:val="right"/>
            </w:pPr>
            <w:r>
              <w:rPr>
                <w:color w:val="1C3A36"/>
                <w:sz w:val="12"/>
              </w:rPr>
              <w:t>34,337.385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other long-term liabilities - Residents' Association</w:t>
            </w:r>
          </w:p>
        </w:tc>
      </w:tr>
      <w:tr>
        <w:tc>
          <w:tcPr>
            <w:tcW w:type="dxa" w:w="1800"/>
          </w:tcPr>
          <w:p>
            <w:pPr>
              <w:spacing w:after="20"/>
            </w:pPr>
            <w:r>
              <w:rPr>
                <w:b/>
                <w:color w:val="1C3A36"/>
                <w:sz w:val="12"/>
              </w:rPr>
              <w:t>ra_target_ratio</w:t>
            </w:r>
          </w:p>
        </w:tc>
        <w:tc>
          <w:tcPr>
            <w:tcW w:type="dxa" w:w="1368"/>
          </w:tcPr>
          <w:p>
            <w:pPr>
              <w:spacing w:after="20"/>
              <w:jc w:val="right"/>
            </w:pPr>
            <w:r>
              <w:rPr>
                <w:color w:val="1C3A36"/>
                <w:sz w:val="12"/>
              </w:rPr>
              <w:t>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Steady-state Residents' Association balance per Egyptian pound of annual revenue. Not asserted: solved from the company's own disclosed movements. Per pound of revenue growth the balance rose 0.98x in FY2023 (EGP 3777mn on EGP 3862mn), 1.04x in FY2024 (EGP 10048mn on EGP 9705mn) and 1.32x in H1-2026 on a like-for-like basis (EGP 5215mn on EGP 3949mn). The study carries the bottom of that measured incremental range, which lets the balance keep building toward 1.0x annual revenue and then hold there — a bounded float rather than an unbounded one</w:t>
            </w:r>
          </w:p>
        </w:tc>
      </w:tr>
      <w:tr>
        <w:tc>
          <w:tcPr>
            <w:tcW w:type="dxa" w:w="1800"/>
          </w:tcPr>
          <w:p>
            <w:pPr>
              <w:spacing w:after="20"/>
            </w:pPr>
            <w:r>
              <w:rPr>
                <w:b/>
                <w:color w:val="1C3A36"/>
                <w:sz w:val="12"/>
              </w:rPr>
              <w:t>rate_sens_2pc</w:t>
            </w:r>
          </w:p>
        </w:tc>
        <w:tc>
          <w:tcPr>
            <w:tcW w:type="dxa" w:w="1368"/>
          </w:tcPr>
          <w:p>
            <w:pPr>
              <w:spacing w:after="20"/>
              <w:jc w:val="right"/>
            </w:pPr>
            <w:r>
              <w:rPr>
                <w:color w:val="1C3A36"/>
                <w:sz w:val="12"/>
              </w:rPr>
              <w:t>428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34 (A/1): a 2% move in interest rates moves profit or loss by approximately EGP 428mn, implying about EGP 21.4bn of floating-rate exposure</w:t>
            </w:r>
          </w:p>
        </w:tc>
      </w:tr>
      <w:tr>
        <w:tc>
          <w:tcPr>
            <w:tcW w:type="dxa" w:w="1800"/>
          </w:tcPr>
          <w:p>
            <w:pPr>
              <w:spacing w:after="20"/>
            </w:pPr>
            <w:r>
              <w:rPr>
                <w:b/>
                <w:color w:val="1C3A36"/>
                <w:sz w:val="12"/>
              </w:rPr>
              <w:t>rev_1q26</w:t>
            </w:r>
          </w:p>
        </w:tc>
        <w:tc>
          <w:tcPr>
            <w:tcW w:type="dxa" w:w="1368"/>
          </w:tcPr>
          <w:p>
            <w:pPr>
              <w:spacing w:after="20"/>
              <w:jc w:val="right"/>
            </w:pPr>
            <w:r>
              <w:rPr>
                <w:color w:val="1C3A36"/>
                <w:sz w:val="12"/>
              </w:rPr>
              <w:t>9,346.133</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consolidated income statement, revenue</w:t>
            </w:r>
          </w:p>
        </w:tc>
      </w:tr>
      <w:tr>
        <w:tc>
          <w:tcPr>
            <w:tcW w:type="dxa" w:w="1800"/>
          </w:tcPr>
          <w:p>
            <w:pPr>
              <w:spacing w:after="20"/>
            </w:pPr>
            <w:r>
              <w:rPr>
                <w:b/>
                <w:color w:val="1C3A36"/>
                <w:sz w:val="12"/>
              </w:rPr>
              <w:t>rev_9m25</w:t>
            </w:r>
          </w:p>
        </w:tc>
        <w:tc>
          <w:tcPr>
            <w:tcW w:type="dxa" w:w="1368"/>
          </w:tcPr>
          <w:p>
            <w:pPr>
              <w:spacing w:after="20"/>
              <w:jc w:val="right"/>
            </w:pPr>
            <w:r>
              <w:rPr>
                <w:color w:val="1C3A36"/>
                <w:sz w:val="12"/>
              </w:rPr>
              <w:t>25,549.0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financial review table</w:t>
            </w:r>
          </w:p>
        </w:tc>
      </w:tr>
      <w:tr>
        <w:tc>
          <w:tcPr>
            <w:tcW w:type="dxa" w:w="1800"/>
          </w:tcPr>
          <w:p>
            <w:pPr>
              <w:spacing w:after="20"/>
            </w:pPr>
            <w:r>
              <w:rPr>
                <w:b/>
                <w:color w:val="1C3A36"/>
                <w:sz w:val="12"/>
              </w:rPr>
              <w:t>rev_clb_h125</w:t>
            </w:r>
          </w:p>
        </w:tc>
        <w:tc>
          <w:tcPr>
            <w:tcW w:type="dxa" w:w="1368"/>
          </w:tcPr>
          <w:p>
            <w:pPr>
              <w:spacing w:after="20"/>
              <w:jc w:val="right"/>
            </w:pPr>
            <w:r>
              <w:rPr>
                <w:color w:val="1C3A36"/>
                <w:sz w:val="12"/>
              </w:rPr>
              <w:t>307.7</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 Palm Hills club</w:t>
            </w:r>
          </w:p>
        </w:tc>
      </w:tr>
      <w:tr>
        <w:tc>
          <w:tcPr>
            <w:tcW w:type="dxa" w:w="1800"/>
          </w:tcPr>
          <w:p>
            <w:pPr>
              <w:spacing w:after="20"/>
            </w:pPr>
            <w:r>
              <w:rPr>
                <w:b/>
                <w:color w:val="1C3A36"/>
                <w:sz w:val="12"/>
              </w:rPr>
              <w:t>rev_clb_h126</w:t>
            </w:r>
          </w:p>
        </w:tc>
        <w:tc>
          <w:tcPr>
            <w:tcW w:type="dxa" w:w="1368"/>
          </w:tcPr>
          <w:p>
            <w:pPr>
              <w:spacing w:after="20"/>
              <w:jc w:val="right"/>
            </w:pPr>
            <w:r>
              <w:rPr>
                <w:color w:val="1C3A36"/>
                <w:sz w:val="12"/>
              </w:rPr>
              <w:t>384.7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revenue from Palm Hills club</w:t>
            </w:r>
          </w:p>
        </w:tc>
      </w:tr>
      <w:tr>
        <w:tc>
          <w:tcPr>
            <w:tcW w:type="dxa" w:w="1800"/>
          </w:tcPr>
          <w:p>
            <w:pPr>
              <w:spacing w:after="20"/>
            </w:pPr>
            <w:r>
              <w:rPr>
                <w:b/>
                <w:color w:val="1C3A36"/>
                <w:sz w:val="12"/>
              </w:rPr>
              <w:t>rev_com_h125</w:t>
            </w:r>
          </w:p>
        </w:tc>
        <w:tc>
          <w:tcPr>
            <w:tcW w:type="dxa" w:w="1368"/>
          </w:tcPr>
          <w:p>
            <w:pPr>
              <w:spacing w:after="20"/>
              <w:jc w:val="right"/>
            </w:pPr>
            <w:r>
              <w:rPr>
                <w:color w:val="1C3A36"/>
                <w:sz w:val="12"/>
              </w:rPr>
              <w:t>286.8</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w:t>
            </w:r>
          </w:p>
        </w:tc>
      </w:tr>
      <w:tr>
        <w:tc>
          <w:tcPr>
            <w:tcW w:type="dxa" w:w="1800"/>
          </w:tcPr>
          <w:p>
            <w:pPr>
              <w:spacing w:after="20"/>
            </w:pPr>
            <w:r>
              <w:rPr>
                <w:b/>
                <w:color w:val="1C3A36"/>
                <w:sz w:val="12"/>
              </w:rPr>
              <w:t>rev_com_h126</w:t>
            </w:r>
          </w:p>
        </w:tc>
        <w:tc>
          <w:tcPr>
            <w:tcW w:type="dxa" w:w="1368"/>
          </w:tcPr>
          <w:p>
            <w:pPr>
              <w:spacing w:after="20"/>
              <w:jc w:val="right"/>
            </w:pPr>
            <w:r>
              <w:rPr>
                <w:color w:val="1C3A36"/>
                <w:sz w:val="12"/>
              </w:rPr>
              <w:t>767.5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commercial and service activities</w:t>
            </w:r>
          </w:p>
        </w:tc>
      </w:tr>
      <w:tr>
        <w:tc>
          <w:tcPr>
            <w:tcW w:type="dxa" w:w="1800"/>
          </w:tcPr>
          <w:p>
            <w:pPr>
              <w:spacing w:after="20"/>
            </w:pPr>
            <w:r>
              <w:rPr>
                <w:b/>
                <w:color w:val="1C3A36"/>
                <w:sz w:val="12"/>
              </w:rPr>
              <w:t>rev_fy22_ir</w:t>
            </w:r>
          </w:p>
        </w:tc>
        <w:tc>
          <w:tcPr>
            <w:tcW w:type="dxa" w:w="1368"/>
          </w:tcPr>
          <w:p>
            <w:pPr>
              <w:spacing w:after="20"/>
              <w:jc w:val="right"/>
            </w:pPr>
            <w:r>
              <w:rPr>
                <w:color w:val="1C3A36"/>
                <w:sz w:val="12"/>
              </w:rPr>
              <w:t>13,600.0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revenue history chart, FY2022 (COMPANY_IR). The audited FY2022 statements are not published, so the only company-issued FY2022 revenue is this chart. It is used for ONE purpose — the FY2023 revenue increment behind the float ratio — and never as a statement line</w:t>
            </w:r>
          </w:p>
        </w:tc>
      </w:tr>
      <w:tr>
        <w:tc>
          <w:tcPr>
            <w:tcW w:type="dxa" w:w="1800"/>
          </w:tcPr>
          <w:p>
            <w:pPr>
              <w:spacing w:after="20"/>
            </w:pPr>
            <w:r>
              <w:rPr>
                <w:b/>
                <w:color w:val="1C3A36"/>
                <w:sz w:val="12"/>
              </w:rPr>
              <w:t>rev_fy23</w:t>
            </w:r>
          </w:p>
        </w:tc>
        <w:tc>
          <w:tcPr>
            <w:tcW w:type="dxa" w:w="1368"/>
          </w:tcPr>
          <w:p>
            <w:pPr>
              <w:spacing w:after="20"/>
              <w:jc w:val="right"/>
            </w:pPr>
            <w:r>
              <w:rPr>
                <w:color w:val="1C3A36"/>
                <w:sz w:val="12"/>
              </w:rPr>
              <w:t>17,462.108</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rev_fy24</w:t>
            </w:r>
          </w:p>
        </w:tc>
        <w:tc>
          <w:tcPr>
            <w:tcW w:type="dxa" w:w="1368"/>
          </w:tcPr>
          <w:p>
            <w:pPr>
              <w:spacing w:after="20"/>
              <w:jc w:val="right"/>
            </w:pPr>
            <w:r>
              <w:rPr>
                <w:color w:val="1C3A36"/>
                <w:sz w:val="12"/>
              </w:rPr>
              <w:t>27,167.304</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consolidated statement of income, revenues</w:t>
            </w:r>
          </w:p>
        </w:tc>
      </w:tr>
      <w:tr>
        <w:tc>
          <w:tcPr>
            <w:tcW w:type="dxa" w:w="1800"/>
          </w:tcPr>
          <w:p>
            <w:pPr>
              <w:spacing w:after="20"/>
            </w:pPr>
            <w:r>
              <w:rPr>
                <w:b/>
                <w:color w:val="1C3A36"/>
                <w:sz w:val="12"/>
              </w:rPr>
              <w:t>rev_fy25_ir</w:t>
            </w:r>
          </w:p>
        </w:tc>
        <w:tc>
          <w:tcPr>
            <w:tcW w:type="dxa" w:w="1368"/>
          </w:tcPr>
          <w:p>
            <w:pPr>
              <w:spacing w:after="20"/>
              <w:jc w:val="right"/>
            </w:pPr>
            <w:r>
              <w:rPr>
                <w:color w:val="1C3A36"/>
                <w:sz w:val="12"/>
              </w:rPr>
              <w:t>36,196.0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revenue history chart, FY2025</w:t>
            </w:r>
          </w:p>
        </w:tc>
      </w:tr>
      <w:tr>
        <w:tc>
          <w:tcPr>
            <w:tcW w:type="dxa" w:w="1800"/>
          </w:tcPr>
          <w:p>
            <w:pPr>
              <w:spacing w:after="20"/>
            </w:pPr>
            <w:r>
              <w:rPr>
                <w:b/>
                <w:color w:val="1C3A36"/>
                <w:sz w:val="12"/>
              </w:rPr>
              <w:t>rev_h125</w:t>
            </w:r>
          </w:p>
        </w:tc>
        <w:tc>
          <w:tcPr>
            <w:tcW w:type="dxa" w:w="1368"/>
          </w:tcPr>
          <w:p>
            <w:pPr>
              <w:spacing w:after="20"/>
              <w:jc w:val="right"/>
            </w:pPr>
            <w:r>
              <w:rPr>
                <w:color w:val="1C3A36"/>
                <w:sz w:val="12"/>
              </w:rPr>
              <w:t>15,579.129</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comparative column</w:t>
            </w:r>
          </w:p>
        </w:tc>
      </w:tr>
      <w:tr>
        <w:tc>
          <w:tcPr>
            <w:tcW w:type="dxa" w:w="1800"/>
          </w:tcPr>
          <w:p>
            <w:pPr>
              <w:spacing w:after="20"/>
            </w:pPr>
            <w:r>
              <w:rPr>
                <w:b/>
                <w:color w:val="1C3A36"/>
                <w:sz w:val="12"/>
              </w:rPr>
              <w:t>rev_h126</w:t>
            </w:r>
          </w:p>
        </w:tc>
        <w:tc>
          <w:tcPr>
            <w:tcW w:type="dxa" w:w="1368"/>
          </w:tcPr>
          <w:p>
            <w:pPr>
              <w:spacing w:after="20"/>
              <w:jc w:val="right"/>
            </w:pPr>
            <w:r>
              <w:rPr>
                <w:color w:val="1C3A36"/>
                <w:sz w:val="12"/>
              </w:rPr>
              <w:t>19,528.118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statement of income, revenues</w:t>
            </w:r>
          </w:p>
        </w:tc>
      </w:tr>
      <w:tr>
        <w:tc>
          <w:tcPr>
            <w:tcW w:type="dxa" w:w="1800"/>
          </w:tcPr>
          <w:p>
            <w:pPr>
              <w:spacing w:after="20"/>
            </w:pPr>
            <w:r>
              <w:rPr>
                <w:b/>
                <w:color w:val="1C3A36"/>
                <w:sz w:val="12"/>
              </w:rPr>
              <w:t>rev_hot_h125</w:t>
            </w:r>
          </w:p>
        </w:tc>
        <w:tc>
          <w:tcPr>
            <w:tcW w:type="dxa" w:w="1368"/>
          </w:tcPr>
          <w:p>
            <w:pPr>
              <w:spacing w:after="20"/>
              <w:jc w:val="right"/>
            </w:pPr>
            <w:r>
              <w:rPr>
                <w:color w:val="1C3A36"/>
                <w:sz w:val="12"/>
              </w:rPr>
              <w:t>92.02</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 owners' share hotels</w:t>
            </w:r>
          </w:p>
        </w:tc>
      </w:tr>
      <w:tr>
        <w:tc>
          <w:tcPr>
            <w:tcW w:type="dxa" w:w="1800"/>
          </w:tcPr>
          <w:p>
            <w:pPr>
              <w:spacing w:after="20"/>
            </w:pPr>
            <w:r>
              <w:rPr>
                <w:b/>
                <w:color w:val="1C3A36"/>
                <w:sz w:val="12"/>
              </w:rPr>
              <w:t>rev_hot_h126</w:t>
            </w:r>
          </w:p>
        </w:tc>
        <w:tc>
          <w:tcPr>
            <w:tcW w:type="dxa" w:w="1368"/>
          </w:tcPr>
          <w:p>
            <w:pPr>
              <w:spacing w:after="20"/>
              <w:jc w:val="right"/>
            </w:pPr>
            <w:r>
              <w:rPr>
                <w:color w:val="1C3A36"/>
                <w:sz w:val="12"/>
              </w:rPr>
              <w:t>128.1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owners' share in the profits of operating the hotels</w:t>
            </w:r>
          </w:p>
        </w:tc>
      </w:tr>
      <w:tr>
        <w:tc>
          <w:tcPr>
            <w:tcW w:type="dxa" w:w="1800"/>
          </w:tcPr>
          <w:p>
            <w:pPr>
              <w:spacing w:after="20"/>
            </w:pPr>
            <w:r>
              <w:rPr>
                <w:b/>
                <w:color w:val="1C3A36"/>
                <w:sz w:val="12"/>
              </w:rPr>
              <w:t>rev_oth_h125</w:t>
            </w:r>
          </w:p>
        </w:tc>
        <w:tc>
          <w:tcPr>
            <w:tcW w:type="dxa" w:w="1368"/>
          </w:tcPr>
          <w:p>
            <w:pPr>
              <w:spacing w:after="20"/>
              <w:jc w:val="right"/>
            </w:pPr>
            <w:r>
              <w:rPr>
                <w:color w:val="1C3A36"/>
                <w:sz w:val="12"/>
              </w:rPr>
              <w:t>1,035.066</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w:t>
            </w:r>
          </w:p>
        </w:tc>
      </w:tr>
      <w:tr>
        <w:tc>
          <w:tcPr>
            <w:tcW w:type="dxa" w:w="1800"/>
          </w:tcPr>
          <w:p>
            <w:pPr>
              <w:spacing w:after="20"/>
            </w:pPr>
            <w:r>
              <w:rPr>
                <w:b/>
                <w:color w:val="1C3A36"/>
                <w:sz w:val="12"/>
              </w:rPr>
              <w:t>rev_oth_h126</w:t>
            </w:r>
          </w:p>
        </w:tc>
        <w:tc>
          <w:tcPr>
            <w:tcW w:type="dxa" w:w="1368"/>
          </w:tcPr>
          <w:p>
            <w:pPr>
              <w:spacing w:after="20"/>
              <w:jc w:val="right"/>
            </w:pPr>
            <w:r>
              <w:rPr>
                <w:color w:val="1C3A36"/>
                <w:sz w:val="12"/>
              </w:rPr>
              <w:t>701.3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other activities revenues</w:t>
            </w:r>
          </w:p>
        </w:tc>
      </w:tr>
      <w:tr>
        <w:tc>
          <w:tcPr>
            <w:tcW w:type="dxa" w:w="1800"/>
          </w:tcPr>
          <w:p>
            <w:pPr>
              <w:spacing w:after="20"/>
            </w:pPr>
            <w:r>
              <w:rPr>
                <w:b/>
                <w:color w:val="1C3A36"/>
                <w:sz w:val="12"/>
              </w:rPr>
              <w:t>rev_q225</w:t>
            </w:r>
          </w:p>
        </w:tc>
        <w:tc>
          <w:tcPr>
            <w:tcW w:type="dxa" w:w="1368"/>
          </w:tcPr>
          <w:p>
            <w:pPr>
              <w:spacing w:after="20"/>
              <w:jc w:val="right"/>
            </w:pPr>
            <w:r>
              <w:rPr>
                <w:color w:val="1C3A36"/>
                <w:sz w:val="12"/>
              </w:rPr>
              <w:t>7,186.576</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comparative quarter</w:t>
            </w:r>
          </w:p>
        </w:tc>
      </w:tr>
      <w:tr>
        <w:tc>
          <w:tcPr>
            <w:tcW w:type="dxa" w:w="1800"/>
          </w:tcPr>
          <w:p>
            <w:pPr>
              <w:spacing w:after="20"/>
            </w:pPr>
            <w:r>
              <w:rPr>
                <w:b/>
                <w:color w:val="1C3A36"/>
                <w:sz w:val="12"/>
              </w:rPr>
              <w:t>rev_q226</w:t>
            </w:r>
          </w:p>
        </w:tc>
        <w:tc>
          <w:tcPr>
            <w:tcW w:type="dxa" w:w="1368"/>
          </w:tcPr>
          <w:p>
            <w:pPr>
              <w:spacing w:after="20"/>
              <w:jc w:val="right"/>
            </w:pPr>
            <w:r>
              <w:rPr>
                <w:color w:val="1C3A36"/>
                <w:sz w:val="12"/>
              </w:rPr>
              <w:t>10,181.984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three months 1-Apr to 30-Jun-2026</w:t>
            </w:r>
          </w:p>
        </w:tc>
      </w:tr>
      <w:tr>
        <w:tc>
          <w:tcPr>
            <w:tcW w:type="dxa" w:w="1800"/>
          </w:tcPr>
          <w:p>
            <w:pPr>
              <w:spacing w:after="20"/>
            </w:pPr>
            <w:r>
              <w:rPr>
                <w:b/>
                <w:color w:val="1C3A36"/>
                <w:sz w:val="12"/>
              </w:rPr>
              <w:t>rev_re_h125</w:t>
            </w:r>
          </w:p>
        </w:tc>
        <w:tc>
          <w:tcPr>
            <w:tcW w:type="dxa" w:w="1368"/>
          </w:tcPr>
          <w:p>
            <w:pPr>
              <w:spacing w:after="20"/>
              <w:jc w:val="right"/>
            </w:pPr>
            <w:r>
              <w:rPr>
                <w:color w:val="1C3A36"/>
                <w:sz w:val="12"/>
              </w:rPr>
              <w:t>13,857.585</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w:t>
            </w:r>
          </w:p>
        </w:tc>
      </w:tr>
      <w:tr>
        <w:tc>
          <w:tcPr>
            <w:tcW w:type="dxa" w:w="1800"/>
          </w:tcPr>
          <w:p>
            <w:pPr>
              <w:spacing w:after="20"/>
            </w:pPr>
            <w:r>
              <w:rPr>
                <w:b/>
                <w:color w:val="1C3A36"/>
                <w:sz w:val="12"/>
              </w:rPr>
              <w:t>rev_re_h126</w:t>
            </w:r>
          </w:p>
        </w:tc>
        <w:tc>
          <w:tcPr>
            <w:tcW w:type="dxa" w:w="1368"/>
          </w:tcPr>
          <w:p>
            <w:pPr>
              <w:spacing w:after="20"/>
              <w:jc w:val="right"/>
            </w:pPr>
            <w:r>
              <w:rPr>
                <w:color w:val="1C3A36"/>
                <w:sz w:val="12"/>
              </w:rPr>
              <w:t>17,546.53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net revenue from real estate development</w:t>
            </w:r>
          </w:p>
        </w:tc>
      </w:tr>
      <w:tr>
        <w:tc>
          <w:tcPr>
            <w:tcW w:type="dxa" w:w="1800"/>
          </w:tcPr>
          <w:p>
            <w:pPr>
              <w:spacing w:after="20"/>
            </w:pPr>
            <w:r>
              <w:rPr>
                <w:b/>
                <w:color w:val="1C3A36"/>
                <w:sz w:val="12"/>
              </w:rPr>
              <w:t>sal_h125</w:t>
            </w:r>
          </w:p>
        </w:tc>
        <w:tc>
          <w:tcPr>
            <w:tcW w:type="dxa" w:w="1368"/>
          </w:tcPr>
          <w:p>
            <w:pPr>
              <w:spacing w:after="20"/>
              <w:jc w:val="right"/>
            </w:pPr>
            <w:r>
              <w:rPr>
                <w:color w:val="1C3A36"/>
                <w:sz w:val="12"/>
              </w:rPr>
              <w:t>481.6</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66, comparative</w:t>
            </w:r>
          </w:p>
        </w:tc>
      </w:tr>
      <w:tr>
        <w:tc>
          <w:tcPr>
            <w:tcW w:type="dxa" w:w="1800"/>
          </w:tcPr>
          <w:p>
            <w:pPr>
              <w:spacing w:after="20"/>
            </w:pPr>
            <w:r>
              <w:rPr>
                <w:b/>
                <w:color w:val="1C3A36"/>
                <w:sz w:val="12"/>
              </w:rPr>
              <w:t>sal_h126</w:t>
            </w:r>
          </w:p>
        </w:tc>
        <w:tc>
          <w:tcPr>
            <w:tcW w:type="dxa" w:w="1368"/>
          </w:tcPr>
          <w:p>
            <w:pPr>
              <w:spacing w:after="20"/>
              <w:jc w:val="right"/>
            </w:pPr>
            <w:r>
              <w:rPr>
                <w:color w:val="1C3A36"/>
                <w:sz w:val="12"/>
              </w:rPr>
              <w:t>678.3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66, salaries and wages</w:t>
            </w:r>
          </w:p>
        </w:tc>
      </w:tr>
      <w:tr>
        <w:tc>
          <w:tcPr>
            <w:tcW w:type="dxa" w:w="1800"/>
          </w:tcPr>
          <w:p>
            <w:pPr>
              <w:spacing w:after="20"/>
            </w:pPr>
            <w:r>
              <w:rPr>
                <w:b/>
                <w:color w:val="1C3A36"/>
                <w:sz w:val="12"/>
              </w:rPr>
              <w:t>sales_1h25</w:t>
            </w:r>
          </w:p>
        </w:tc>
        <w:tc>
          <w:tcPr>
            <w:tcW w:type="dxa" w:w="1368"/>
          </w:tcPr>
          <w:p>
            <w:pPr>
              <w:spacing w:after="20"/>
              <w:jc w:val="right"/>
            </w:pPr>
            <w:r>
              <w:rPr>
                <w:color w:val="1C3A36"/>
                <w:sz w:val="12"/>
              </w:rPr>
              <w:t>143,000.0</w:t>
            </w:r>
          </w:p>
        </w:tc>
        <w:tc>
          <w:tcPr>
            <w:tcW w:type="dxa" w:w="1037"/>
          </w:tcPr>
          <w:p>
            <w:pPr>
              <w:spacing w:after="20"/>
              <w:jc w:val="right"/>
            </w:pPr>
            <w:r>
              <w:rPr>
                <w:color w:val="1C3A36"/>
                <w:sz w:val="12"/>
              </w:rPr>
              <w:t>13-Aug-2025</w:t>
            </w:r>
          </w:p>
        </w:tc>
        <w:tc>
          <w:tcPr>
            <w:tcW w:type="dxa" w:w="5875"/>
          </w:tcPr>
          <w:p>
            <w:pPr>
              <w:spacing w:after="20"/>
              <w:jc w:val="left"/>
            </w:pPr>
            <w:r>
              <w:rPr>
                <w:color w:val="1C3A36"/>
                <w:sz w:val="12"/>
              </w:rPr>
              <w:t>Palm Hills Developments 1H2025 Earnings Release, 13-Aug-2025, same CDN (COMPANY_IR) — new sales in 1H2025</w:t>
            </w:r>
          </w:p>
        </w:tc>
      </w:tr>
      <w:tr>
        <w:tc>
          <w:tcPr>
            <w:tcW w:type="dxa" w:w="1800"/>
          </w:tcPr>
          <w:p>
            <w:pPr>
              <w:spacing w:after="20"/>
            </w:pPr>
            <w:r>
              <w:rPr>
                <w:b/>
                <w:color w:val="1C3A36"/>
                <w:sz w:val="12"/>
              </w:rPr>
              <w:t>sales_1q26</w:t>
            </w:r>
          </w:p>
        </w:tc>
        <w:tc>
          <w:tcPr>
            <w:tcW w:type="dxa" w:w="1368"/>
          </w:tcPr>
          <w:p>
            <w:pPr>
              <w:spacing w:after="20"/>
              <w:jc w:val="right"/>
            </w:pPr>
            <w:r>
              <w:rPr>
                <w:color w:val="1C3A36"/>
                <w:sz w:val="12"/>
              </w:rPr>
              <w:t>52,059.0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new sales, all regions</w:t>
            </w:r>
          </w:p>
        </w:tc>
      </w:tr>
      <w:tr>
        <w:tc>
          <w:tcPr>
            <w:tcW w:type="dxa" w:w="1800"/>
          </w:tcPr>
          <w:p>
            <w:pPr>
              <w:spacing w:after="20"/>
            </w:pPr>
            <w:r>
              <w:rPr>
                <w:b/>
                <w:color w:val="1C3A36"/>
                <w:sz w:val="12"/>
              </w:rPr>
              <w:t>sales_9m25</w:t>
            </w:r>
          </w:p>
        </w:tc>
        <w:tc>
          <w:tcPr>
            <w:tcW w:type="dxa" w:w="1368"/>
          </w:tcPr>
          <w:p>
            <w:pPr>
              <w:spacing w:after="20"/>
              <w:jc w:val="right"/>
            </w:pPr>
            <w:r>
              <w:rPr>
                <w:color w:val="1C3A36"/>
                <w:sz w:val="12"/>
              </w:rPr>
              <w:t>182,000.0</w:t>
            </w:r>
          </w:p>
        </w:tc>
        <w:tc>
          <w:tcPr>
            <w:tcW w:type="dxa" w:w="1037"/>
          </w:tcPr>
          <w:p>
            <w:pPr>
              <w:spacing w:after="20"/>
              <w:jc w:val="right"/>
            </w:pPr>
            <w:r>
              <w:rPr>
                <w:color w:val="1C3A36"/>
                <w:sz w:val="12"/>
              </w:rPr>
              <w:t>13-Nov-2025</w:t>
            </w:r>
          </w:p>
        </w:tc>
        <w:tc>
          <w:tcPr>
            <w:tcW w:type="dxa" w:w="5875"/>
          </w:tcPr>
          <w:p>
            <w:pPr>
              <w:spacing w:after="20"/>
              <w:jc w:val="left"/>
            </w:pPr>
            <w:r>
              <w:rPr>
                <w:color w:val="1C3A36"/>
                <w:sz w:val="12"/>
              </w:rPr>
              <w:t>Palm Hills Developments 9M2025 Earnings Release, 13-Nov-2025, same CDN (COMPANY_IR) — new sales in 9M2025</w:t>
            </w:r>
          </w:p>
        </w:tc>
      </w:tr>
      <w:tr>
        <w:tc>
          <w:tcPr>
            <w:tcW w:type="dxa" w:w="1800"/>
          </w:tcPr>
          <w:p>
            <w:pPr>
              <w:spacing w:after="20"/>
            </w:pPr>
            <w:r>
              <w:rPr>
                <w:b/>
                <w:color w:val="1C3A36"/>
                <w:sz w:val="12"/>
              </w:rPr>
              <w:t>sales_fy25</w:t>
            </w:r>
          </w:p>
        </w:tc>
        <w:tc>
          <w:tcPr>
            <w:tcW w:type="dxa" w:w="1368"/>
          </w:tcPr>
          <w:p>
            <w:pPr>
              <w:spacing w:after="20"/>
              <w:jc w:val="right"/>
            </w:pPr>
            <w:r>
              <w:rPr>
                <w:color w:val="1C3A36"/>
                <w:sz w:val="12"/>
              </w:rPr>
              <w:t>215,384.0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new sales history chart, FY2025</w:t>
            </w:r>
          </w:p>
        </w:tc>
      </w:tr>
      <w:tr>
        <w:tc>
          <w:tcPr>
            <w:tcW w:type="dxa" w:w="1800"/>
          </w:tcPr>
          <w:p>
            <w:pPr>
              <w:spacing w:after="20"/>
            </w:pPr>
            <w:r>
              <w:rPr>
                <w:b/>
                <w:color w:val="1C3A36"/>
                <w:sz w:val="12"/>
              </w:rPr>
              <w:t>sga_fy23</w:t>
            </w:r>
          </w:p>
        </w:tc>
        <w:tc>
          <w:tcPr>
            <w:tcW w:type="dxa" w:w="1368"/>
          </w:tcPr>
          <w:p>
            <w:pPr>
              <w:spacing w:after="20"/>
              <w:jc w:val="right"/>
            </w:pPr>
            <w:r>
              <w:rPr>
                <w:color w:val="1C3A36"/>
                <w:sz w:val="12"/>
              </w:rPr>
              <w:t>2,060.462</w:t>
            </w:r>
          </w:p>
        </w:tc>
        <w:tc>
          <w:tcPr>
            <w:tcW w:type="dxa" w:w="1037"/>
          </w:tcPr>
          <w:p>
            <w:pPr>
              <w:spacing w:after="20"/>
              <w:jc w:val="right"/>
            </w:pPr>
            <w:r>
              <w:rPr>
                <w:color w:val="1C3A36"/>
                <w:sz w:val="12"/>
              </w:rPr>
              <w:t>31-Dec-2023</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comparative</w:t>
            </w:r>
          </w:p>
        </w:tc>
      </w:tr>
      <w:tr>
        <w:tc>
          <w:tcPr>
            <w:tcW w:type="dxa" w:w="1800"/>
          </w:tcPr>
          <w:p>
            <w:pPr>
              <w:spacing w:after="20"/>
            </w:pPr>
            <w:r>
              <w:rPr>
                <w:b/>
                <w:color w:val="1C3A36"/>
                <w:sz w:val="12"/>
              </w:rPr>
              <w:t>sga_fy24</w:t>
            </w:r>
          </w:p>
        </w:tc>
        <w:tc>
          <w:tcPr>
            <w:tcW w:type="dxa" w:w="1368"/>
          </w:tcPr>
          <w:p>
            <w:pPr>
              <w:spacing w:after="20"/>
              <w:jc w:val="right"/>
            </w:pPr>
            <w:r>
              <w:rPr>
                <w:color w:val="1C3A36"/>
                <w:sz w:val="12"/>
              </w:rPr>
              <w:t>3,435.755</w:t>
            </w:r>
          </w:p>
        </w:tc>
        <w:tc>
          <w:tcPr>
            <w:tcW w:type="dxa" w:w="1037"/>
          </w:tcPr>
          <w:p>
            <w:pPr>
              <w:spacing w:after="20"/>
              <w:jc w:val="right"/>
            </w:pPr>
            <w:r>
              <w:rPr>
                <w:color w:val="1C3A36"/>
                <w:sz w:val="12"/>
              </w:rPr>
              <w:t>31-Dec-2024</w:t>
            </w:r>
          </w:p>
        </w:tc>
        <w:tc>
          <w:tcPr>
            <w:tcW w:type="dxa" w:w="5875"/>
          </w:tcPr>
          <w:p>
            <w:pPr>
              <w:spacing w:after="20"/>
              <w:jc w:val="left"/>
            </w:pPr>
            <w:r>
              <w:rPr>
                <w:color w:val="1C3A36"/>
                <w:sz w:val="12"/>
              </w:rPr>
              <w:t>Audited consolidated financial statements for the year ended 31 Dec 2024 with 31 Dec 2023 comparatives, palmhillsdevelopments.com investor-relations asset library (COMPANY_OFFICIAL) — general administrative, selling and marketing expenses</w:t>
            </w:r>
          </w:p>
        </w:tc>
      </w:tr>
      <w:tr>
        <w:tc>
          <w:tcPr>
            <w:tcW w:type="dxa" w:w="1800"/>
          </w:tcPr>
          <w:p>
            <w:pPr>
              <w:spacing w:after="20"/>
            </w:pPr>
            <w:r>
              <w:rPr>
                <w:b/>
                <w:color w:val="1C3A36"/>
                <w:sz w:val="12"/>
              </w:rPr>
              <w:t>sga_h125</w:t>
            </w:r>
          </w:p>
        </w:tc>
        <w:tc>
          <w:tcPr>
            <w:tcW w:type="dxa" w:w="1368"/>
          </w:tcPr>
          <w:p>
            <w:pPr>
              <w:spacing w:after="20"/>
              <w:jc w:val="right"/>
            </w:pPr>
            <w:r>
              <w:rPr>
                <w:color w:val="1C3A36"/>
                <w:sz w:val="12"/>
              </w:rPr>
              <w:t>2,206.171</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same line, comparative</w:t>
            </w:r>
          </w:p>
        </w:tc>
      </w:tr>
      <w:tr>
        <w:tc>
          <w:tcPr>
            <w:tcW w:type="dxa" w:w="1800"/>
          </w:tcPr>
          <w:p>
            <w:pPr>
              <w:spacing w:after="20"/>
            </w:pPr>
            <w:r>
              <w:rPr>
                <w:b/>
                <w:color w:val="1C3A36"/>
                <w:sz w:val="12"/>
              </w:rPr>
              <w:t>sga_h126</w:t>
            </w:r>
          </w:p>
        </w:tc>
        <w:tc>
          <w:tcPr>
            <w:tcW w:type="dxa" w:w="1368"/>
          </w:tcPr>
          <w:p>
            <w:pPr>
              <w:spacing w:after="20"/>
              <w:jc w:val="right"/>
            </w:pPr>
            <w:r>
              <w:rPr>
                <w:color w:val="1C3A36"/>
                <w:sz w:val="12"/>
              </w:rPr>
              <w:t>2,845.852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general administrative, selling and marketing expenses (note 66)</w:t>
            </w:r>
          </w:p>
        </w:tc>
      </w:tr>
      <w:tr>
        <w:tc>
          <w:tcPr>
            <w:tcW w:type="dxa" w:w="1800"/>
          </w:tcPr>
          <w:p>
            <w:pPr>
              <w:spacing w:after="20"/>
            </w:pPr>
            <w:r>
              <w:rPr>
                <w:b/>
                <w:color w:val="1C3A36"/>
                <w:sz w:val="12"/>
              </w:rPr>
              <w:t>sh_issued</w:t>
            </w:r>
          </w:p>
        </w:tc>
        <w:tc>
          <w:tcPr>
            <w:tcW w:type="dxa" w:w="1368"/>
          </w:tcPr>
          <w:p>
            <w:pPr>
              <w:spacing w:after="20"/>
              <w:jc w:val="right"/>
            </w:pPr>
            <w:r>
              <w:rPr>
                <w:color w:val="1C3A36"/>
                <w:sz w:val="12"/>
              </w:rPr>
              <w:t>2,859.914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60: 2,859,914,173 shares of EGP 2 nominal</w:t>
            </w:r>
          </w:p>
        </w:tc>
      </w:tr>
      <w:tr>
        <w:tc>
          <w:tcPr>
            <w:tcW w:type="dxa" w:w="1800"/>
          </w:tcPr>
          <w:p>
            <w:pPr>
              <w:spacing w:after="20"/>
            </w:pPr>
            <w:r>
              <w:rPr>
                <w:b/>
                <w:color w:val="1C3A36"/>
                <w:sz w:val="12"/>
              </w:rPr>
              <w:t>sh_out</w:t>
            </w:r>
          </w:p>
        </w:tc>
        <w:tc>
          <w:tcPr>
            <w:tcW w:type="dxa" w:w="1368"/>
          </w:tcPr>
          <w:p>
            <w:pPr>
              <w:spacing w:after="20"/>
              <w:jc w:val="right"/>
            </w:pPr>
            <w:r>
              <w:rPr>
                <w:color w:val="1C3A36"/>
                <w:sz w:val="12"/>
              </w:rPr>
              <w:t>2,824.47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62: outstanding shares after treasury</w:t>
            </w:r>
          </w:p>
        </w:tc>
      </w:tr>
      <w:tr>
        <w:tc>
          <w:tcPr>
            <w:tcW w:type="dxa" w:w="1800"/>
          </w:tcPr>
          <w:p>
            <w:pPr>
              <w:spacing w:after="20"/>
            </w:pPr>
            <w:r>
              <w:rPr>
                <w:b/>
                <w:color w:val="1C3A36"/>
                <w:sz w:val="12"/>
              </w:rPr>
              <w:t>sh_treasury</w:t>
            </w:r>
          </w:p>
        </w:tc>
        <w:tc>
          <w:tcPr>
            <w:tcW w:type="dxa" w:w="1368"/>
          </w:tcPr>
          <w:p>
            <w:pPr>
              <w:spacing w:after="20"/>
              <w:jc w:val="right"/>
            </w:pPr>
            <w:r>
              <w:rPr>
                <w:color w:val="1C3A36"/>
                <w:sz w:val="12"/>
              </w:rPr>
              <w:t>35.44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62: treasury shares at cost, 35,444,009 shares</w:t>
            </w:r>
          </w:p>
        </w:tc>
      </w:tr>
      <w:tr>
        <w:tc>
          <w:tcPr>
            <w:tcW w:type="dxa" w:w="1800"/>
          </w:tcPr>
          <w:p>
            <w:pPr>
              <w:spacing w:after="20"/>
            </w:pPr>
            <w:r>
              <w:rPr>
                <w:b/>
                <w:color w:val="1C3A36"/>
                <w:sz w:val="12"/>
              </w:rPr>
              <w:t>supadv_dec25</w:t>
            </w:r>
          </w:p>
        </w:tc>
        <w:tc>
          <w:tcPr>
            <w:tcW w:type="dxa" w:w="1368"/>
          </w:tcPr>
          <w:p>
            <w:pPr>
              <w:spacing w:after="20"/>
              <w:jc w:val="right"/>
            </w:pPr>
            <w:r>
              <w:rPr>
                <w:color w:val="1C3A36"/>
                <w:sz w:val="12"/>
              </w:rPr>
              <w:t>9,056.245</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suppliers - advance payments</w:t>
            </w:r>
          </w:p>
        </w:tc>
      </w:tr>
      <w:tr>
        <w:tc>
          <w:tcPr>
            <w:tcW w:type="dxa" w:w="1800"/>
          </w:tcPr>
          <w:p>
            <w:pPr>
              <w:spacing w:after="20"/>
            </w:pPr>
            <w:r>
              <w:rPr>
                <w:b/>
                <w:color w:val="1C3A36"/>
                <w:sz w:val="12"/>
              </w:rPr>
              <w:t>supadv_jun26</w:t>
            </w:r>
          </w:p>
        </w:tc>
        <w:tc>
          <w:tcPr>
            <w:tcW w:type="dxa" w:w="1368"/>
          </w:tcPr>
          <w:p>
            <w:pPr>
              <w:spacing w:after="20"/>
              <w:jc w:val="right"/>
            </w:pPr>
            <w:r>
              <w:rPr>
                <w:color w:val="1C3A36"/>
                <w:sz w:val="12"/>
              </w:rPr>
              <w:t>10,490.853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suppliers - advance payments</w:t>
            </w:r>
          </w:p>
        </w:tc>
      </w:tr>
      <w:tr>
        <w:tc>
          <w:tcPr>
            <w:tcW w:type="dxa" w:w="1800"/>
          </w:tcPr>
          <w:p>
            <w:pPr>
              <w:spacing w:after="20"/>
            </w:pPr>
            <w:r>
              <w:rPr>
                <w:b/>
                <w:color w:val="1C3A36"/>
                <w:sz w:val="12"/>
              </w:rPr>
              <w:t>supcon_dec25</w:t>
            </w:r>
          </w:p>
        </w:tc>
        <w:tc>
          <w:tcPr>
            <w:tcW w:type="dxa" w:w="1368"/>
          </w:tcPr>
          <w:p>
            <w:pPr>
              <w:spacing w:after="20"/>
              <w:jc w:val="right"/>
            </w:pPr>
            <w:r>
              <w:rPr>
                <w:color w:val="1C3A36"/>
                <w:sz w:val="12"/>
              </w:rPr>
              <w:t>3,807.043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suppliers and contractors</w:t>
            </w:r>
          </w:p>
        </w:tc>
      </w:tr>
      <w:tr>
        <w:tc>
          <w:tcPr>
            <w:tcW w:type="dxa" w:w="1800"/>
          </w:tcPr>
          <w:p>
            <w:pPr>
              <w:spacing w:after="20"/>
            </w:pPr>
            <w:r>
              <w:rPr>
                <w:b/>
                <w:color w:val="1C3A36"/>
                <w:sz w:val="12"/>
              </w:rPr>
              <w:t>supcon_jun26</w:t>
            </w:r>
          </w:p>
        </w:tc>
        <w:tc>
          <w:tcPr>
            <w:tcW w:type="dxa" w:w="1368"/>
          </w:tcPr>
          <w:p>
            <w:pPr>
              <w:spacing w:after="20"/>
              <w:jc w:val="right"/>
            </w:pPr>
            <w:r>
              <w:rPr>
                <w:color w:val="1C3A36"/>
                <w:sz w:val="12"/>
              </w:rPr>
              <w:t>5,740.13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suppliers and contractors</w:t>
            </w:r>
          </w:p>
        </w:tc>
      </w:tr>
      <w:tr>
        <w:tc>
          <w:tcPr>
            <w:tcW w:type="dxa" w:w="1800"/>
          </w:tcPr>
          <w:p>
            <w:pPr>
              <w:spacing w:after="20"/>
            </w:pPr>
            <w:r>
              <w:rPr>
                <w:b/>
                <w:color w:val="1C3A36"/>
                <w:sz w:val="12"/>
              </w:rPr>
              <w:t>ta_dec25</w:t>
            </w:r>
          </w:p>
        </w:tc>
        <w:tc>
          <w:tcPr>
            <w:tcW w:type="dxa" w:w="1368"/>
          </w:tcPr>
          <w:p>
            <w:pPr>
              <w:spacing w:after="20"/>
              <w:jc w:val="right"/>
            </w:pPr>
            <w:r>
              <w:rPr>
                <w:color w:val="1C3A36"/>
                <w:sz w:val="12"/>
              </w:rPr>
              <w:t>172,129.813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total assets</w:t>
            </w:r>
          </w:p>
        </w:tc>
      </w:tr>
      <w:tr>
        <w:tc>
          <w:tcPr>
            <w:tcW w:type="dxa" w:w="1800"/>
          </w:tcPr>
          <w:p>
            <w:pPr>
              <w:spacing w:after="20"/>
            </w:pPr>
            <w:r>
              <w:rPr>
                <w:b/>
                <w:color w:val="1C3A36"/>
                <w:sz w:val="12"/>
              </w:rPr>
              <w:t>ta_jun26</w:t>
            </w:r>
          </w:p>
        </w:tc>
        <w:tc>
          <w:tcPr>
            <w:tcW w:type="dxa" w:w="1368"/>
          </w:tcPr>
          <w:p>
            <w:pPr>
              <w:spacing w:after="20"/>
              <w:jc w:val="right"/>
            </w:pPr>
            <w:r>
              <w:rPr>
                <w:color w:val="1C3A36"/>
                <w:sz w:val="12"/>
              </w:rPr>
              <w:t>194,767.287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total assets</w:t>
            </w:r>
          </w:p>
        </w:tc>
      </w:tr>
      <w:tr>
        <w:tc>
          <w:tcPr>
            <w:tcW w:type="dxa" w:w="1800"/>
          </w:tcPr>
          <w:p>
            <w:pPr>
              <w:spacing w:after="20"/>
            </w:pPr>
            <w:r>
              <w:rPr>
                <w:b/>
                <w:color w:val="1C3A36"/>
                <w:sz w:val="12"/>
              </w:rPr>
              <w:t>tax_payable_dec25</w:t>
            </w:r>
          </w:p>
        </w:tc>
        <w:tc>
          <w:tcPr>
            <w:tcW w:type="dxa" w:w="1368"/>
          </w:tcPr>
          <w:p>
            <w:pPr>
              <w:spacing w:after="20"/>
              <w:jc w:val="right"/>
            </w:pPr>
            <w:r>
              <w:rPr>
                <w:color w:val="1C3A36"/>
                <w:sz w:val="12"/>
              </w:rPr>
              <w:t>1,976.558</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income tax payable, comparative</w:t>
            </w:r>
          </w:p>
        </w:tc>
      </w:tr>
      <w:tr>
        <w:tc>
          <w:tcPr>
            <w:tcW w:type="dxa" w:w="1800"/>
          </w:tcPr>
          <w:p>
            <w:pPr>
              <w:spacing w:after="20"/>
            </w:pPr>
            <w:r>
              <w:rPr>
                <w:b/>
                <w:color w:val="1C3A36"/>
                <w:sz w:val="12"/>
              </w:rPr>
              <w:t>tax_payable_jun26</w:t>
            </w:r>
          </w:p>
        </w:tc>
        <w:tc>
          <w:tcPr>
            <w:tcW w:type="dxa" w:w="1368"/>
          </w:tcPr>
          <w:p>
            <w:pPr>
              <w:spacing w:after="20"/>
              <w:jc w:val="right"/>
            </w:pPr>
            <w:r>
              <w:rPr>
                <w:color w:val="1C3A36"/>
                <w:sz w:val="12"/>
              </w:rPr>
              <w:t>986.5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income tax payable</w:t>
            </w:r>
          </w:p>
        </w:tc>
      </w:tr>
      <w:tr>
        <w:tc>
          <w:tcPr>
            <w:tcW w:type="dxa" w:w="1800"/>
          </w:tcPr>
          <w:p>
            <w:pPr>
              <w:spacing w:after="20"/>
            </w:pPr>
            <w:r>
              <w:rPr>
                <w:b/>
                <w:color w:val="1C3A36"/>
                <w:sz w:val="12"/>
              </w:rPr>
              <w:t>taxpaid_h126</w:t>
            </w:r>
          </w:p>
        </w:tc>
        <w:tc>
          <w:tcPr>
            <w:tcW w:type="dxa" w:w="1368"/>
          </w:tcPr>
          <w:p>
            <w:pPr>
              <w:spacing w:after="20"/>
              <w:jc w:val="right"/>
            </w:pPr>
            <w:r>
              <w:rPr>
                <w:color w:val="1C3A36"/>
                <w:sz w:val="12"/>
              </w:rPr>
              <w:t>1,834.207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income taxes paid</w:t>
            </w:r>
          </w:p>
        </w:tc>
      </w:tr>
      <w:tr>
        <w:tc>
          <w:tcPr>
            <w:tcW w:type="dxa" w:w="1800"/>
          </w:tcPr>
          <w:p>
            <w:pPr>
              <w:spacing w:after="20"/>
            </w:pPr>
            <w:r>
              <w:rPr>
                <w:b/>
                <w:color w:val="1C3A36"/>
                <w:sz w:val="12"/>
              </w:rPr>
              <w:t>tbill_dec25</w:t>
            </w:r>
          </w:p>
        </w:tc>
        <w:tc>
          <w:tcPr>
            <w:tcW w:type="dxa" w:w="1368"/>
          </w:tcPr>
          <w:p>
            <w:pPr>
              <w:spacing w:after="20"/>
              <w:jc w:val="right"/>
            </w:pPr>
            <w:r>
              <w:rPr>
                <w:color w:val="1C3A36"/>
                <w:sz w:val="12"/>
              </w:rPr>
              <w:t>9,581.528</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financial investments at amortized cost</w:t>
            </w:r>
          </w:p>
        </w:tc>
      </w:tr>
      <w:tr>
        <w:tc>
          <w:tcPr>
            <w:tcW w:type="dxa" w:w="1800"/>
          </w:tcPr>
          <w:p>
            <w:pPr>
              <w:spacing w:after="20"/>
            </w:pPr>
            <w:r>
              <w:rPr>
                <w:b/>
                <w:color w:val="1C3A36"/>
                <w:sz w:val="12"/>
              </w:rPr>
              <w:t>tbill_face</w:t>
            </w:r>
          </w:p>
        </w:tc>
        <w:tc>
          <w:tcPr>
            <w:tcW w:type="dxa" w:w="1368"/>
          </w:tcPr>
          <w:p>
            <w:pPr>
              <w:spacing w:after="20"/>
              <w:jc w:val="right"/>
            </w:pPr>
            <w:r>
              <w:rPr>
                <w:color w:val="1C3A36"/>
                <w:sz w:val="12"/>
              </w:rPr>
              <w:t>15,475.517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47: face value of treasury bills and bonds held</w:t>
            </w:r>
          </w:p>
        </w:tc>
      </w:tr>
      <w:tr>
        <w:tc>
          <w:tcPr>
            <w:tcW w:type="dxa" w:w="1800"/>
          </w:tcPr>
          <w:p>
            <w:pPr>
              <w:spacing w:after="20"/>
            </w:pPr>
            <w:r>
              <w:rPr>
                <w:b/>
                <w:color w:val="1C3A36"/>
                <w:sz w:val="12"/>
              </w:rPr>
              <w:t>tbill_jun26</w:t>
            </w:r>
          </w:p>
        </w:tc>
        <w:tc>
          <w:tcPr>
            <w:tcW w:type="dxa" w:w="1368"/>
          </w:tcPr>
          <w:p>
            <w:pPr>
              <w:spacing w:after="20"/>
              <w:jc w:val="right"/>
            </w:pPr>
            <w:r>
              <w:rPr>
                <w:color w:val="1C3A36"/>
                <w:sz w:val="12"/>
              </w:rPr>
              <w:t>13,016.407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financial investments at amortized cost</w:t>
            </w:r>
          </w:p>
        </w:tc>
      </w:tr>
      <w:tr>
        <w:tc>
          <w:tcPr>
            <w:tcW w:type="dxa" w:w="1800"/>
          </w:tcPr>
          <w:p>
            <w:pPr>
              <w:spacing w:after="20"/>
            </w:pPr>
            <w:r>
              <w:rPr>
                <w:b/>
                <w:color w:val="1C3A36"/>
                <w:sz w:val="12"/>
              </w:rPr>
              <w:t>tbill_wavg_yld</w:t>
            </w:r>
          </w:p>
        </w:tc>
        <w:tc>
          <w:tcPr>
            <w:tcW w:type="dxa" w:w="1368"/>
          </w:tcPr>
          <w:p>
            <w:pPr>
              <w:spacing w:after="20"/>
              <w:jc w:val="right"/>
            </w:pPr>
            <w:r>
              <w:rPr>
                <w:color w:val="1C3A36"/>
                <w:sz w:val="12"/>
              </w:rPr>
              <w:t>0.191033</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47: face-value-weighted average return rate across the thirteen holding entities (range 18.41%-19.33%)</w:t>
            </w:r>
          </w:p>
        </w:tc>
      </w:tr>
      <w:tr>
        <w:tc>
          <w:tcPr>
            <w:tcW w:type="dxa" w:w="1800"/>
          </w:tcPr>
          <w:p>
            <w:pPr>
              <w:spacing w:after="20"/>
            </w:pPr>
            <w:r>
              <w:rPr>
                <w:b/>
                <w:color w:val="1C3A36"/>
                <w:sz w:val="12"/>
              </w:rPr>
              <w:t>tbillinc_h126</w:t>
            </w:r>
          </w:p>
        </w:tc>
        <w:tc>
          <w:tcPr>
            <w:tcW w:type="dxa" w:w="1368"/>
          </w:tcPr>
          <w:p>
            <w:pPr>
              <w:spacing w:after="20"/>
              <w:jc w:val="right"/>
            </w:pPr>
            <w:r>
              <w:rPr>
                <w:color w:val="1C3A36"/>
                <w:sz w:val="12"/>
              </w:rPr>
              <w:t>455.6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credit interest and returns on investments measured at amortized cost (note d31)</w:t>
            </w:r>
          </w:p>
        </w:tc>
      </w:tr>
      <w:tr>
        <w:tc>
          <w:tcPr>
            <w:tcW w:type="dxa" w:w="1800"/>
          </w:tcPr>
          <w:p>
            <w:pPr>
              <w:spacing w:after="20"/>
            </w:pPr>
            <w:r>
              <w:rPr>
                <w:b/>
                <w:color w:val="1C3A36"/>
                <w:sz w:val="12"/>
              </w:rPr>
              <w:t>tl_dec25</w:t>
            </w:r>
          </w:p>
        </w:tc>
        <w:tc>
          <w:tcPr>
            <w:tcW w:type="dxa" w:w="1368"/>
          </w:tcPr>
          <w:p>
            <w:pPr>
              <w:spacing w:after="20"/>
              <w:jc w:val="right"/>
            </w:pPr>
            <w:r>
              <w:rPr>
                <w:color w:val="1C3A36"/>
                <w:sz w:val="12"/>
              </w:rPr>
              <w:t>153,364.061</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comparative: total liabilities</w:t>
            </w:r>
          </w:p>
        </w:tc>
      </w:tr>
      <w:tr>
        <w:tc>
          <w:tcPr>
            <w:tcW w:type="dxa" w:w="1800"/>
          </w:tcPr>
          <w:p>
            <w:pPr>
              <w:spacing w:after="20"/>
            </w:pPr>
            <w:r>
              <w:rPr>
                <w:b/>
                <w:color w:val="1C3A36"/>
                <w:sz w:val="12"/>
              </w:rPr>
              <w:t>tl_jun26</w:t>
            </w:r>
          </w:p>
        </w:tc>
        <w:tc>
          <w:tcPr>
            <w:tcW w:type="dxa" w:w="1368"/>
          </w:tcPr>
          <w:p>
            <w:pPr>
              <w:spacing w:after="20"/>
              <w:jc w:val="right"/>
            </w:pPr>
            <w:r>
              <w:rPr>
                <w:color w:val="1C3A36"/>
                <w:sz w:val="12"/>
              </w:rPr>
              <w:t>174,133.379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consolidated financial position: total liabilities</w:t>
            </w:r>
          </w:p>
        </w:tc>
      </w:tr>
      <w:tr>
        <w:tc>
          <w:tcPr>
            <w:tcW w:type="dxa" w:w="1800"/>
          </w:tcPr>
          <w:p>
            <w:pPr>
              <w:spacing w:after="20"/>
            </w:pPr>
            <w:r>
              <w:rPr>
                <w:b/>
                <w:color w:val="1C3A36"/>
                <w:sz w:val="12"/>
              </w:rPr>
              <w:t>tourism_share</w:t>
            </w:r>
          </w:p>
        </w:tc>
        <w:tc>
          <w:tcPr>
            <w:tcW w:type="dxa" w:w="1368"/>
          </w:tcPr>
          <w:p>
            <w:pPr>
              <w:spacing w:after="20"/>
              <w:jc w:val="right"/>
            </w:pPr>
            <w:r>
              <w:rPr>
                <w:color w:val="1C3A36"/>
                <w:sz w:val="12"/>
              </w:rPr>
              <w:t>0.33</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Share of the group construction-volume driver exposed to North Coast and coastal demand. ESTIMATED from the disclosed project list; the filings do not publish a volume split by region</w:t>
            </w:r>
          </w:p>
        </w:tc>
      </w:tr>
      <w:tr>
        <w:tc>
          <w:tcPr>
            <w:tcW w:type="dxa" w:w="1800"/>
          </w:tcPr>
          <w:p>
            <w:pPr>
              <w:spacing w:after="20"/>
            </w:pPr>
            <w:r>
              <w:rPr>
                <w:b/>
                <w:color w:val="1C3A36"/>
                <w:sz w:val="12"/>
              </w:rPr>
              <w:t>transfer_h125</w:t>
            </w:r>
          </w:p>
        </w:tc>
        <w:tc>
          <w:tcPr>
            <w:tcW w:type="dxa" w:w="1368"/>
          </w:tcPr>
          <w:p>
            <w:pPr>
              <w:spacing w:after="20"/>
              <w:jc w:val="right"/>
            </w:pPr>
            <w:r>
              <w:rPr>
                <w:color w:val="1C3A36"/>
                <w:sz w:val="12"/>
              </w:rPr>
              <w:t>315.6</w:t>
            </w:r>
          </w:p>
        </w:tc>
        <w:tc>
          <w:tcPr>
            <w:tcW w:type="dxa" w:w="1037"/>
          </w:tcPr>
          <w:p>
            <w:pPr>
              <w:spacing w:after="20"/>
              <w:jc w:val="right"/>
            </w:pPr>
            <w:r>
              <w:rPr>
                <w:color w:val="1C3A36"/>
                <w:sz w:val="12"/>
              </w:rPr>
              <w:t>30-Jun-2025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comparative</w:t>
            </w:r>
          </w:p>
        </w:tc>
      </w:tr>
      <w:tr>
        <w:tc>
          <w:tcPr>
            <w:tcW w:type="dxa" w:w="1800"/>
          </w:tcPr>
          <w:p>
            <w:pPr>
              <w:spacing w:after="20"/>
            </w:pPr>
            <w:r>
              <w:rPr>
                <w:b/>
                <w:color w:val="1C3A36"/>
                <w:sz w:val="12"/>
              </w:rPr>
              <w:t>transfer_h126</w:t>
            </w:r>
          </w:p>
        </w:tc>
        <w:tc>
          <w:tcPr>
            <w:tcW w:type="dxa" w:w="1368"/>
          </w:tcPr>
          <w:p>
            <w:pPr>
              <w:spacing w:after="20"/>
              <w:jc w:val="right"/>
            </w:pPr>
            <w:r>
              <w:rPr>
                <w:color w:val="1C3A36"/>
                <w:sz w:val="12"/>
              </w:rPr>
              <w:t>547.8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transfer fees and delay penalties</w:t>
            </w:r>
          </w:p>
        </w:tc>
      </w:tr>
      <w:tr>
        <w:tc>
          <w:tcPr>
            <w:tcW w:type="dxa" w:w="1800"/>
          </w:tcPr>
          <w:p>
            <w:pPr>
              <w:spacing w:after="20"/>
            </w:pPr>
            <w:r>
              <w:rPr>
                <w:b/>
                <w:color w:val="1C3A36"/>
                <w:sz w:val="12"/>
              </w:rPr>
              <w:t>treas_buy_h126</w:t>
            </w:r>
          </w:p>
        </w:tc>
        <w:tc>
          <w:tcPr>
            <w:tcW w:type="dxa" w:w="1368"/>
          </w:tcPr>
          <w:p>
            <w:pPr>
              <w:spacing w:after="20"/>
              <w:jc w:val="right"/>
            </w:pPr>
            <w:r>
              <w:rPr>
                <w:color w:val="1C3A36"/>
                <w:sz w:val="12"/>
              </w:rPr>
              <w:t>225.9</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62: 23,510,000 shares bought in H1-2026 at an average EGP 9.61</w:t>
            </w:r>
          </w:p>
        </w:tc>
      </w:tr>
      <w:tr>
        <w:tc>
          <w:tcPr>
            <w:tcW w:type="dxa" w:w="1800"/>
          </w:tcPr>
          <w:p>
            <w:pPr>
              <w:spacing w:after="20"/>
            </w:pPr>
            <w:r>
              <w:rPr>
                <w:b/>
                <w:color w:val="1C3A36"/>
                <w:sz w:val="12"/>
              </w:rPr>
              <w:t>treas_cost</w:t>
            </w:r>
          </w:p>
        </w:tc>
        <w:tc>
          <w:tcPr>
            <w:tcW w:type="dxa" w:w="1368"/>
          </w:tcPr>
          <w:p>
            <w:pPr>
              <w:spacing w:after="20"/>
              <w:jc w:val="right"/>
            </w:pPr>
            <w:r>
              <w:rPr>
                <w:color w:val="1C3A36"/>
                <w:sz w:val="12"/>
              </w:rPr>
              <w:t>327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62: treasury shares at cost</w:t>
            </w:r>
          </w:p>
        </w:tc>
      </w:tr>
      <w:tr>
        <w:tc>
          <w:tcPr>
            <w:tcW w:type="dxa" w:w="1800"/>
          </w:tcPr>
          <w:p>
            <w:pPr>
              <w:spacing w:after="20"/>
            </w:pPr>
            <w:r>
              <w:rPr>
                <w:b/>
                <w:color w:val="1C3A36"/>
                <w:sz w:val="12"/>
              </w:rPr>
              <w:t>units_fy26</w:t>
            </w:r>
          </w:p>
        </w:tc>
        <w:tc>
          <w:tcPr>
            <w:tcW w:type="dxa" w:w="1368"/>
          </w:tcPr>
          <w:p>
            <w:pPr>
              <w:spacing w:after="20"/>
              <w:jc w:val="right"/>
            </w:pPr>
            <w:r>
              <w:rPr>
                <w:color w:val="1C3A36"/>
                <w:sz w:val="12"/>
              </w:rPr>
              <w:t>1,200.0</w:t>
            </w:r>
          </w:p>
        </w:tc>
        <w:tc>
          <w:tcPr>
            <w:tcW w:type="dxa" w:w="1037"/>
          </w:tcPr>
          <w:p>
            <w:pPr>
              <w:spacing w:after="20"/>
              <w:jc w:val="right"/>
            </w:pPr>
            <w:r>
              <w:rPr>
                <w:color w:val="1C3A36"/>
                <w:sz w:val="12"/>
              </w:rPr>
              <w:t>20-May-2026</w:t>
            </w:r>
          </w:p>
        </w:tc>
        <w:tc>
          <w:tcPr>
            <w:tcW w:type="dxa" w:w="5875"/>
          </w:tcPr>
          <w:p>
            <w:pPr>
              <w:spacing w:after="20"/>
              <w:jc w:val="left"/>
            </w:pPr>
            <w:r>
              <w:rPr>
                <w:color w:val="1C3A36"/>
                <w:sz w:val="12"/>
              </w:rPr>
              <w:t>Palm Hills Developments 1Q2026 Earnings Release, 20-May-2026, palmhillsdevelopments.com investor-relations asset library (COMPANY_IR) — contractual units ready to be handed over in FY2026</w:t>
            </w:r>
          </w:p>
        </w:tc>
      </w:tr>
      <w:tr>
        <w:tc>
          <w:tcPr>
            <w:tcW w:type="dxa" w:w="1800"/>
          </w:tcPr>
          <w:p>
            <w:pPr>
              <w:spacing w:after="20"/>
            </w:pPr>
            <w:r>
              <w:rPr>
                <w:b/>
                <w:color w:val="1C3A36"/>
                <w:sz w:val="12"/>
              </w:rPr>
              <w:t>util_h126</w:t>
            </w:r>
          </w:p>
        </w:tc>
        <w:tc>
          <w:tcPr>
            <w:tcW w:type="dxa" w:w="1368"/>
          </w:tcPr>
          <w:p>
            <w:pPr>
              <w:spacing w:after="20"/>
              <w:jc w:val="right"/>
            </w:pPr>
            <w:r>
              <w:rPr>
                <w:color w:val="1C3A36"/>
                <w:sz w:val="12"/>
              </w:rPr>
              <w:t>6.734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64, retrieve the value of the utilities</w:t>
            </w:r>
          </w:p>
        </w:tc>
      </w:tr>
      <w:tr>
        <w:tc>
          <w:tcPr>
            <w:tcW w:type="dxa" w:w="1800"/>
          </w:tcPr>
          <w:p>
            <w:pPr>
              <w:spacing w:after="20"/>
            </w:pPr>
            <w:r>
              <w:rPr>
                <w:b/>
                <w:color w:val="1C3A36"/>
                <w:sz w:val="12"/>
              </w:rPr>
              <w:t>vol_growth</w:t>
            </w:r>
          </w:p>
        </w:tc>
        <w:tc>
          <w:tcPr>
            <w:tcW w:type="dxa" w:w="1368"/>
          </w:tcPr>
          <w:p>
            <w:pPr>
              <w:spacing w:after="20"/>
              <w:jc w:val="right"/>
            </w:pPr>
            <w:r>
              <w:rPr>
                <w:color w:val="1C3A36"/>
                <w:sz w:val="12"/>
              </w:rPr>
              <w:t>0.12, 0.09, 0.06, 0.04, 0.03</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Real construction-volume growth for FY2027 to FY2031. Anchored on measured execution: work carried out annualises to EGP 23,943mn in 2026 against EGP 18,015mn in FY2025 (+32.9% nominal, about +18.7% real at the measured cost path), and the company reported construction spending up 60% year on year in 1Q2026 and up 71% in 9M2025. The path decelerates because the constraint is execution and working capital, not demand: the undelivered contracted book of EGP 149.1bn (note 72) covers roughly two years of build at the 2026 rate. ESTIMATED PATH, recorded as such</w:t>
            </w:r>
          </w:p>
        </w:tc>
      </w:tr>
      <w:tr>
        <w:tc>
          <w:tcPr>
            <w:tcW w:type="dxa" w:w="1800"/>
          </w:tcPr>
          <w:p>
            <w:pPr>
              <w:spacing w:after="20"/>
            </w:pPr>
            <w:r>
              <w:rPr>
                <w:b/>
                <w:color w:val="1C3A36"/>
                <w:sz w:val="12"/>
              </w:rPr>
              <w:t>wavg_sh_h126</w:t>
            </w:r>
          </w:p>
        </w:tc>
        <w:tc>
          <w:tcPr>
            <w:tcW w:type="dxa" w:w="1368"/>
          </w:tcPr>
          <w:p>
            <w:pPr>
              <w:spacing w:after="20"/>
              <w:jc w:val="right"/>
            </w:pPr>
            <w:r>
              <w:rPr>
                <w:color w:val="1C3A36"/>
                <w:sz w:val="12"/>
              </w:rPr>
              <w:t>2,835.542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71, weighted average shares (mn)</w:t>
            </w:r>
          </w:p>
        </w:tc>
      </w:tr>
      <w:tr>
        <w:tc>
          <w:tcPr>
            <w:tcW w:type="dxa" w:w="1800"/>
          </w:tcPr>
          <w:p>
            <w:pPr>
              <w:spacing w:after="20"/>
            </w:pPr>
            <w:r>
              <w:rPr>
                <w:b/>
                <w:color w:val="1C3A36"/>
                <w:sz w:val="12"/>
              </w:rPr>
              <w:t>wip_constr_jun26</w:t>
            </w:r>
          </w:p>
        </w:tc>
        <w:tc>
          <w:tcPr>
            <w:tcW w:type="dxa" w:w="1368"/>
          </w:tcPr>
          <w:p>
            <w:pPr>
              <w:spacing w:after="20"/>
              <w:jc w:val="right"/>
            </w:pPr>
            <w:r>
              <w:rPr>
                <w:color w:val="1C3A36"/>
                <w:sz w:val="12"/>
              </w:rPr>
              <w:t>17,866.06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cost of construction and facilities inside work in progress</w:t>
            </w:r>
          </w:p>
        </w:tc>
      </w:tr>
      <w:tr>
        <w:tc>
          <w:tcPr>
            <w:tcW w:type="dxa" w:w="1800"/>
          </w:tcPr>
          <w:p>
            <w:pPr>
              <w:spacing w:after="20"/>
            </w:pPr>
            <w:r>
              <w:rPr>
                <w:b/>
                <w:color w:val="1C3A36"/>
                <w:sz w:val="12"/>
              </w:rPr>
              <w:t>wip_dec25</w:t>
            </w:r>
          </w:p>
        </w:tc>
        <w:tc>
          <w:tcPr>
            <w:tcW w:type="dxa" w:w="1368"/>
          </w:tcPr>
          <w:p>
            <w:pPr>
              <w:spacing w:after="20"/>
              <w:jc w:val="right"/>
            </w:pPr>
            <w:r>
              <w:rPr>
                <w:color w:val="1C3A36"/>
                <w:sz w:val="12"/>
              </w:rPr>
              <w:t>17,570.909</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comparative</w:t>
            </w:r>
          </w:p>
        </w:tc>
      </w:tr>
      <w:tr>
        <w:tc>
          <w:tcPr>
            <w:tcW w:type="dxa" w:w="1800"/>
          </w:tcPr>
          <w:p>
            <w:pPr>
              <w:spacing w:after="20"/>
            </w:pPr>
            <w:r>
              <w:rPr>
                <w:b/>
                <w:color w:val="1C3A36"/>
                <w:sz w:val="12"/>
              </w:rPr>
              <w:t>wip_jun26</w:t>
            </w:r>
          </w:p>
        </w:tc>
        <w:tc>
          <w:tcPr>
            <w:tcW w:type="dxa" w:w="1368"/>
          </w:tcPr>
          <w:p>
            <w:pPr>
              <w:spacing w:after="20"/>
              <w:jc w:val="right"/>
            </w:pPr>
            <w:r>
              <w:rPr>
                <w:color w:val="1C3A36"/>
                <w:sz w:val="12"/>
              </w:rPr>
              <w:t>23,915.931</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balance of work in progress</w:t>
            </w:r>
          </w:p>
        </w:tc>
      </w:tr>
      <w:tr>
        <w:tc>
          <w:tcPr>
            <w:tcW w:type="dxa" w:w="1800"/>
          </w:tcPr>
          <w:p>
            <w:pPr>
              <w:spacing w:after="20"/>
            </w:pPr>
            <w:r>
              <w:rPr>
                <w:b/>
                <w:color w:val="1C3A36"/>
                <w:sz w:val="12"/>
              </w:rPr>
              <w:t>wip_land_jun26</w:t>
            </w:r>
          </w:p>
        </w:tc>
        <w:tc>
          <w:tcPr>
            <w:tcW w:type="dxa" w:w="1368"/>
          </w:tcPr>
          <w:p>
            <w:pPr>
              <w:spacing w:after="20"/>
              <w:jc w:val="right"/>
            </w:pPr>
            <w:r>
              <w:rPr>
                <w:color w:val="1C3A36"/>
                <w:sz w:val="12"/>
              </w:rPr>
              <w:t>6,049.87</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land acquisition cost inside work in progress</w:t>
            </w:r>
          </w:p>
        </w:tc>
      </w:tr>
      <w:tr>
        <w:tc>
          <w:tcPr>
            <w:tcW w:type="dxa" w:w="1800"/>
          </w:tcPr>
          <w:p>
            <w:pPr>
              <w:spacing w:after="20"/>
            </w:pPr>
            <w:r>
              <w:rPr>
                <w:b/>
                <w:color w:val="1C3A36"/>
                <w:sz w:val="12"/>
              </w:rPr>
              <w:t>work_fy25</w:t>
            </w:r>
          </w:p>
        </w:tc>
        <w:tc>
          <w:tcPr>
            <w:tcW w:type="dxa" w:w="1368"/>
          </w:tcPr>
          <w:p>
            <w:pPr>
              <w:spacing w:after="20"/>
              <w:jc w:val="right"/>
            </w:pPr>
            <w:r>
              <w:rPr>
                <w:color w:val="1C3A36"/>
                <w:sz w:val="12"/>
              </w:rPr>
              <w:t>18,014.533</w:t>
            </w:r>
          </w:p>
        </w:tc>
        <w:tc>
          <w:tcPr>
            <w:tcW w:type="dxa" w:w="1037"/>
          </w:tcPr>
          <w:p>
            <w:pPr>
              <w:spacing w:after="20"/>
              <w:jc w:val="right"/>
            </w:pPr>
            <w:r>
              <w:rPr>
                <w:color w:val="1C3A36"/>
                <w:sz w:val="12"/>
              </w:rPr>
              <w:t>31-Dec-2025</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comparative column: work carried out during FY2025</w:t>
            </w:r>
          </w:p>
        </w:tc>
      </w:tr>
      <w:tr>
        <w:tc>
          <w:tcPr>
            <w:tcW w:type="dxa" w:w="1800"/>
          </w:tcPr>
          <w:p>
            <w:pPr>
              <w:spacing w:after="20"/>
            </w:pPr>
            <w:r>
              <w:rPr>
                <w:b/>
                <w:color w:val="1C3A36"/>
                <w:sz w:val="12"/>
              </w:rPr>
              <w:t>work_h126</w:t>
            </w:r>
          </w:p>
        </w:tc>
        <w:tc>
          <w:tcPr>
            <w:tcW w:type="dxa" w:w="1368"/>
          </w:tcPr>
          <w:p>
            <w:pPr>
              <w:spacing w:after="20"/>
              <w:jc w:val="right"/>
            </w:pPr>
            <w:r>
              <w:rPr>
                <w:color w:val="1C3A36"/>
                <w:sz w:val="12"/>
              </w:rPr>
              <w:t>11,971.4</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43, work carried out for the six months ended 30-Jun-2026</w:t>
            </w:r>
          </w:p>
        </w:tc>
      </w:tr>
    </w:tbl>
    <w:p>
      <w:pPr>
        <w:spacing w:after="40"/>
      </w:pPr>
    </w:p>
    <w:p>
      <w:pPr>
        <w:spacing w:after="200" w:before="0"/>
      </w:pPr>
      <w:r>
        <w:rPr>
          <w:b w:val="0"/>
          <w:i/>
          <w:color w:val="6E7B77"/>
          <w:sz w:val="17"/>
        </w:rPr>
        <w:t>Table 2. The company layer in full.</w:t>
      </w:r>
    </w:p>
    <w:p>
      <w:pPr>
        <w:spacing w:after="80" w:before="200"/>
      </w:pPr>
      <w:r>
        <w:rPr>
          <w:b/>
          <w:i w:val="0"/>
          <w:color w:val="1C3A36"/>
          <w:sz w:val="24"/>
        </w:rPr>
        <w:t>2.2  Country layer — 21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368"/>
        <w:gridCol w:w="1037"/>
        <w:gridCol w:w="5875"/>
      </w:tblGrid>
      <w:tr>
        <w:tc>
          <w:tcPr>
            <w:tcW w:type="dxa" w:w="1800"/>
            <w:shd w:val="clear" w:color="auto" w:fill="EAF0EE"/>
          </w:tcPr>
          <w:p>
            <w:pPr>
              <w:spacing w:after="20"/>
            </w:pPr>
            <w:r>
              <w:rPr>
                <w:b/>
                <w:color w:val="1C3A36"/>
                <w:sz w:val="12"/>
              </w:rPr>
              <w:t>Input</w:t>
            </w:r>
          </w:p>
        </w:tc>
        <w:tc>
          <w:tcPr>
            <w:tcW w:type="dxa" w:w="1368"/>
            <w:shd w:val="clear" w:color="auto" w:fill="EAF0EE"/>
          </w:tcPr>
          <w:p>
            <w:pPr>
              <w:spacing w:after="20"/>
            </w:pPr>
            <w:r>
              <w:rPr>
                <w:b/>
                <w:color w:val="1C3A36"/>
                <w:sz w:val="12"/>
              </w:rPr>
              <w:t>Value</w:t>
            </w:r>
          </w:p>
        </w:tc>
        <w:tc>
          <w:tcPr>
            <w:tcW w:type="dxa" w:w="1037"/>
            <w:shd w:val="clear" w:color="auto" w:fill="EAF0EE"/>
          </w:tcPr>
          <w:p>
            <w:pPr>
              <w:spacing w:after="20"/>
            </w:pPr>
            <w:r>
              <w:rPr>
                <w:b/>
                <w:color w:val="1C3A36"/>
                <w:sz w:val="12"/>
              </w:rPr>
              <w:t>Date</w:t>
            </w:r>
          </w:p>
        </w:tc>
        <w:tc>
          <w:tcPr>
            <w:tcW w:type="dxa" w:w="5875"/>
            <w:shd w:val="clear" w:color="auto" w:fill="EAF0EE"/>
          </w:tcPr>
          <w:p>
            <w:pPr>
              <w:spacing w:after="20"/>
              <w:jc w:val="left"/>
            </w:pPr>
            <w:r>
              <w:rPr>
                <w:b/>
                <w:color w:val="1C3A36"/>
                <w:sz w:val="12"/>
              </w:rPr>
              <w:t>Source and construction</w:t>
            </w:r>
          </w:p>
        </w:tc>
      </w:tr>
      <w:tr>
        <w:tc>
          <w:tcPr>
            <w:tcW w:type="dxa" w:w="1800"/>
          </w:tcPr>
          <w:p>
            <w:pPr>
              <w:spacing w:after="20"/>
            </w:pPr>
            <w:r>
              <w:rPr>
                <w:b/>
                <w:color w:val="1C3A36"/>
                <w:sz w:val="12"/>
              </w:rPr>
              <w:t>cbe_deposit</w:t>
            </w:r>
          </w:p>
        </w:tc>
        <w:tc>
          <w:tcPr>
            <w:tcW w:type="dxa" w:w="1368"/>
          </w:tcPr>
          <w:p>
            <w:pPr>
              <w:spacing w:after="20"/>
              <w:jc w:val="right"/>
            </w:pPr>
            <w:r>
              <w:rPr>
                <w:color w:val="1C3A36"/>
                <w:sz w:val="12"/>
              </w:rPr>
              <w:t>0.19</w:t>
            </w:r>
          </w:p>
        </w:tc>
        <w:tc>
          <w:tcPr>
            <w:tcW w:type="dxa" w:w="1037"/>
          </w:tcPr>
          <w:p>
            <w:pPr>
              <w:spacing w:after="20"/>
              <w:jc w:val="right"/>
            </w:pPr>
            <w:r>
              <w:rPr>
                <w:color w:val="1C3A36"/>
                <w:sz w:val="12"/>
              </w:rPr>
              <w:t>09-Jul-2026</w:t>
            </w:r>
          </w:p>
        </w:tc>
        <w:tc>
          <w:tcPr>
            <w:tcW w:type="dxa" w:w="5875"/>
          </w:tcPr>
          <w:p>
            <w:pPr>
              <w:spacing w:after="20"/>
              <w:jc w:val="left"/>
            </w:pPr>
            <w:r>
              <w:rPr>
                <w:color w:val="1C3A36"/>
                <w:sz w:val="12"/>
              </w:rPr>
              <w:t>Central Bank of Egypt Monetary Policy Committee, 9-Jul-2026 — overnight deposit rate held at 19.00% after 825bp of cuts between April 2025 and February 2026 (COUNTRY)</w:t>
            </w:r>
          </w:p>
        </w:tc>
      </w:tr>
      <w:tr>
        <w:tc>
          <w:tcPr>
            <w:tcW w:type="dxa" w:w="1800"/>
          </w:tcPr>
          <w:p>
            <w:pPr>
              <w:spacing w:after="20"/>
            </w:pPr>
            <w:r>
              <w:rPr>
                <w:b/>
                <w:color w:val="1C3A36"/>
                <w:sz w:val="12"/>
              </w:rPr>
              <w:t>cbe_lending</w:t>
            </w:r>
          </w:p>
        </w:tc>
        <w:tc>
          <w:tcPr>
            <w:tcW w:type="dxa" w:w="1368"/>
          </w:tcPr>
          <w:p>
            <w:pPr>
              <w:spacing w:after="20"/>
              <w:jc w:val="right"/>
            </w:pPr>
            <w:r>
              <w:rPr>
                <w:color w:val="1C3A36"/>
                <w:sz w:val="12"/>
              </w:rPr>
              <w:t>0.2</w:t>
            </w:r>
          </w:p>
        </w:tc>
        <w:tc>
          <w:tcPr>
            <w:tcW w:type="dxa" w:w="1037"/>
          </w:tcPr>
          <w:p>
            <w:pPr>
              <w:spacing w:after="20"/>
              <w:jc w:val="right"/>
            </w:pPr>
            <w:r>
              <w:rPr>
                <w:color w:val="1C3A36"/>
                <w:sz w:val="12"/>
              </w:rPr>
              <w:t>09-Jul-2026</w:t>
            </w:r>
          </w:p>
        </w:tc>
        <w:tc>
          <w:tcPr>
            <w:tcW w:type="dxa" w:w="5875"/>
          </w:tcPr>
          <w:p>
            <w:pPr>
              <w:spacing w:after="20"/>
              <w:jc w:val="left"/>
            </w:pPr>
            <w:r>
              <w:rPr>
                <w:color w:val="1C3A36"/>
                <w:sz w:val="12"/>
              </w:rPr>
              <w:t>Central Bank of Egypt Monetary Policy Committee, 9-Jul-2026 — overnight deposit rate held at 19.00% after 825bp of cuts between April 2025 and February 2026 (COUNTRY) — overnight lending rate, one percentage point above the deposit rate</w:t>
            </w:r>
          </w:p>
        </w:tc>
      </w:tr>
      <w:tr>
        <w:tc>
          <w:tcPr>
            <w:tcW w:type="dxa" w:w="1800"/>
          </w:tcPr>
          <w:p>
            <w:pPr>
              <w:spacing w:after="20"/>
            </w:pPr>
            <w:r>
              <w:rPr>
                <w:b/>
                <w:color w:val="1C3A36"/>
                <w:sz w:val="12"/>
              </w:rPr>
              <w:t>cpi_core</w:t>
            </w:r>
          </w:p>
        </w:tc>
        <w:tc>
          <w:tcPr>
            <w:tcW w:type="dxa" w:w="1368"/>
          </w:tcPr>
          <w:p>
            <w:pPr>
              <w:spacing w:after="20"/>
              <w:jc w:val="right"/>
            </w:pPr>
            <w:r>
              <w:rPr>
                <w:color w:val="1C3A36"/>
                <w:sz w:val="12"/>
              </w:rPr>
              <w:t>0.147</w:t>
            </w:r>
          </w:p>
        </w:tc>
        <w:tc>
          <w:tcPr>
            <w:tcW w:type="dxa" w:w="1037"/>
          </w:tcPr>
          <w:p>
            <w:pPr>
              <w:spacing w:after="20"/>
              <w:jc w:val="right"/>
            </w:pPr>
            <w:r>
              <w:rPr>
                <w:color w:val="1C3A36"/>
                <w:sz w:val="12"/>
              </w:rPr>
              <w:t>10-Aug-2026</w:t>
            </w:r>
          </w:p>
        </w:tc>
        <w:tc>
          <w:tcPr>
            <w:tcW w:type="dxa" w:w="5875"/>
          </w:tcPr>
          <w:p>
            <w:pPr>
              <w:spacing w:after="20"/>
              <w:jc w:val="left"/>
            </w:pPr>
            <w:r>
              <w:rPr>
                <w:color w:val="1C3A36"/>
                <w:sz w:val="12"/>
              </w:rPr>
              <w:t>Central Agency for Public Mobilization and Statistics urban headline inflation 14.9% for July 2026 (14.3% June); Central Bank of Egypt annual core 14.7% July 2026 (COUNTRY)</w:t>
            </w:r>
          </w:p>
        </w:tc>
      </w:tr>
      <w:tr>
        <w:tc>
          <w:tcPr>
            <w:tcW w:type="dxa" w:w="1800"/>
          </w:tcPr>
          <w:p>
            <w:pPr>
              <w:spacing w:after="20"/>
            </w:pPr>
            <w:r>
              <w:rPr>
                <w:b/>
                <w:color w:val="1C3A36"/>
                <w:sz w:val="12"/>
              </w:rPr>
              <w:t>cpi_urban</w:t>
            </w:r>
          </w:p>
        </w:tc>
        <w:tc>
          <w:tcPr>
            <w:tcW w:type="dxa" w:w="1368"/>
          </w:tcPr>
          <w:p>
            <w:pPr>
              <w:spacing w:after="20"/>
              <w:jc w:val="right"/>
            </w:pPr>
            <w:r>
              <w:rPr>
                <w:color w:val="1C3A36"/>
                <w:sz w:val="12"/>
              </w:rPr>
              <w:t>0.149</w:t>
            </w:r>
          </w:p>
        </w:tc>
        <w:tc>
          <w:tcPr>
            <w:tcW w:type="dxa" w:w="1037"/>
          </w:tcPr>
          <w:p>
            <w:pPr>
              <w:spacing w:after="20"/>
              <w:jc w:val="right"/>
            </w:pPr>
            <w:r>
              <w:rPr>
                <w:color w:val="1C3A36"/>
                <w:sz w:val="12"/>
              </w:rPr>
              <w:t>10-Aug-2026</w:t>
            </w:r>
          </w:p>
        </w:tc>
        <w:tc>
          <w:tcPr>
            <w:tcW w:type="dxa" w:w="5875"/>
          </w:tcPr>
          <w:p>
            <w:pPr>
              <w:spacing w:after="20"/>
              <w:jc w:val="left"/>
            </w:pPr>
            <w:r>
              <w:rPr>
                <w:color w:val="1C3A36"/>
                <w:sz w:val="12"/>
              </w:rPr>
              <w:t>Central Agency for Public Mobilization and Statistics urban headline inflation 14.9% for July 2026 (14.3% June); Central Bank of Egypt annual core 14.7% July 2026 (COUNTRY)</w:t>
            </w:r>
          </w:p>
        </w:tc>
      </w:tr>
      <w:tr>
        <w:tc>
          <w:tcPr>
            <w:tcW w:type="dxa" w:w="1800"/>
          </w:tcPr>
          <w:p>
            <w:pPr>
              <w:spacing w:after="20"/>
            </w:pPr>
            <w:r>
              <w:rPr>
                <w:b/>
                <w:color w:val="1C3A36"/>
                <w:sz w:val="12"/>
              </w:rPr>
              <w:t>crp_rating</w:t>
            </w:r>
          </w:p>
        </w:tc>
        <w:tc>
          <w:tcPr>
            <w:tcW w:type="dxa" w:w="1368"/>
          </w:tcPr>
          <w:p>
            <w:pPr>
              <w:spacing w:after="20"/>
              <w:jc w:val="right"/>
            </w:pPr>
            <w:r>
              <w:rPr>
                <w:color w:val="1C3A36"/>
                <w:sz w:val="12"/>
              </w:rPr>
              <w:t>0.0928062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Damodaran country default spreads and risk premiums, ORIGINAL file ctrypremJuly26.xlsx sheet 'ERPs by country', Egypt row — CDS spreads as of 30-Jun-2026, rating default spreads updated 30-Jun-2026 (PRIMARY_MARKET_DATA) — country risk premium, rating basis</w:t>
            </w:r>
          </w:p>
        </w:tc>
      </w:tr>
      <w:tr>
        <w:tc>
          <w:tcPr>
            <w:tcW w:type="dxa" w:w="1800"/>
          </w:tcPr>
          <w:p>
            <w:pPr>
              <w:spacing w:after="20"/>
            </w:pPr>
            <w:r>
              <w:rPr>
                <w:b/>
                <w:color w:val="1C3A36"/>
                <w:sz w:val="12"/>
              </w:rPr>
              <w:t>damo_jan_ds</w:t>
            </w:r>
          </w:p>
        </w:tc>
        <w:tc>
          <w:tcPr>
            <w:tcW w:type="dxa" w:w="1368"/>
          </w:tcPr>
          <w:p>
            <w:pPr>
              <w:spacing w:after="20"/>
              <w:jc w:val="right"/>
            </w:pPr>
            <w:r>
              <w:rPr>
                <w:color w:val="1C3A36"/>
                <w:sz w:val="12"/>
              </w:rPr>
              <w:t>0.0637248</w:t>
            </w:r>
          </w:p>
        </w:tc>
        <w:tc>
          <w:tcPr>
            <w:tcW w:type="dxa" w:w="1037"/>
          </w:tcPr>
          <w:p>
            <w:pPr>
              <w:spacing w:after="20"/>
              <w:jc w:val="right"/>
            </w:pPr>
            <w:r>
              <w:rPr>
                <w:color w:val="1C3A36"/>
                <w:sz w:val="12"/>
              </w:rPr>
              <w:t>05-Jan-2026</w:t>
            </w:r>
          </w:p>
        </w:tc>
        <w:tc>
          <w:tcPr>
            <w:tcW w:type="dxa" w:w="5875"/>
          </w:tcPr>
          <w:p>
            <w:pPr>
              <w:spacing w:after="20"/>
              <w:jc w:val="left"/>
            </w:pPr>
            <w:r>
              <w:rPr>
                <w:color w:val="1C3A36"/>
                <w:sz w:val="12"/>
              </w:rPr>
              <w:t>Damodaran ctryprem.html, last updated 5-Jan-2026, Egypt row — prior vintage carried for comparison only</w:t>
            </w:r>
          </w:p>
        </w:tc>
      </w:tr>
      <w:tr>
        <w:tc>
          <w:tcPr>
            <w:tcW w:type="dxa" w:w="1800"/>
          </w:tcPr>
          <w:p>
            <w:pPr>
              <w:spacing w:after="20"/>
            </w:pPr>
            <w:r>
              <w:rPr>
                <w:b/>
                <w:color w:val="1C3A36"/>
                <w:sz w:val="12"/>
              </w:rPr>
              <w:t>damo_jan_erp</w:t>
            </w:r>
          </w:p>
        </w:tc>
        <w:tc>
          <w:tcPr>
            <w:tcW w:type="dxa" w:w="1368"/>
          </w:tcPr>
          <w:p>
            <w:pPr>
              <w:spacing w:after="20"/>
              <w:jc w:val="right"/>
            </w:pPr>
            <w:r>
              <w:rPr>
                <w:color w:val="1C3A36"/>
                <w:sz w:val="12"/>
              </w:rPr>
              <w:t>0.139377</w:t>
            </w:r>
          </w:p>
        </w:tc>
        <w:tc>
          <w:tcPr>
            <w:tcW w:type="dxa" w:w="1037"/>
          </w:tcPr>
          <w:p>
            <w:pPr>
              <w:spacing w:after="20"/>
              <w:jc w:val="right"/>
            </w:pPr>
            <w:r>
              <w:rPr>
                <w:color w:val="1C3A36"/>
                <w:sz w:val="12"/>
              </w:rPr>
              <w:t>05-Jan-2026</w:t>
            </w:r>
          </w:p>
        </w:tc>
        <w:tc>
          <w:tcPr>
            <w:tcW w:type="dxa" w:w="5875"/>
          </w:tcPr>
          <w:p>
            <w:pPr>
              <w:spacing w:after="20"/>
              <w:jc w:val="left"/>
            </w:pPr>
            <w:r>
              <w:rPr>
                <w:color w:val="1C3A36"/>
                <w:sz w:val="12"/>
              </w:rPr>
              <w:t>Damodaran ctryprem.html, 5-Jan-2026, Egypt total ERP, rating basis</w:t>
            </w:r>
          </w:p>
        </w:tc>
      </w:tr>
      <w:tr>
        <w:tc>
          <w:tcPr>
            <w:tcW w:type="dxa" w:w="1800"/>
          </w:tcPr>
          <w:p>
            <w:pPr>
              <w:spacing w:after="20"/>
            </w:pPr>
            <w:r>
              <w:rPr>
                <w:b/>
                <w:color w:val="1C3A36"/>
                <w:sz w:val="12"/>
              </w:rPr>
              <w:t>ds_cds</w:t>
            </w:r>
          </w:p>
        </w:tc>
        <w:tc>
          <w:tcPr>
            <w:tcW w:type="dxa" w:w="1368"/>
          </w:tcPr>
          <w:p>
            <w:pPr>
              <w:spacing w:after="20"/>
              <w:jc w:val="right"/>
            </w:pPr>
            <w:r>
              <w:rPr>
                <w:color w:val="1C3A36"/>
                <w:sz w:val="12"/>
              </w:rPr>
              <w:t>0.0342</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Damodaran country default spreads and risk premiums, ORIGINAL file ctrypremJuly26.xlsx sheet 'ERPs by country', Egypt row — CDS spreads as of 30-Jun-2026, rating default spreads updated 30-Jun-2026 (PRIMARY_MARKET_DATA) — sovereign CDS net of Swiss CDS (gross 3.55%)</w:t>
            </w:r>
          </w:p>
        </w:tc>
      </w:tr>
      <w:tr>
        <w:tc>
          <w:tcPr>
            <w:tcW w:type="dxa" w:w="1800"/>
          </w:tcPr>
          <w:p>
            <w:pPr>
              <w:spacing w:after="20"/>
            </w:pPr>
            <w:r>
              <w:rPr>
                <w:b/>
                <w:color w:val="1C3A36"/>
                <w:sz w:val="12"/>
              </w:rPr>
              <w:t>ds_rating</w:t>
            </w:r>
          </w:p>
        </w:tc>
        <w:tc>
          <w:tcPr>
            <w:tcW w:type="dxa" w:w="1368"/>
          </w:tcPr>
          <w:p>
            <w:pPr>
              <w:spacing w:after="20"/>
              <w:jc w:val="right"/>
            </w:pPr>
            <w:r>
              <w:rPr>
                <w:color w:val="1C3A36"/>
                <w:sz w:val="12"/>
              </w:rPr>
              <w:t>0.0597018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Damodaran country default spreads and risk premiums, ORIGINAL file ctrypremJuly26.xlsx sheet 'ERPs by country', Egypt row — CDS spreads as of 30-Jun-2026, rating default spreads updated 30-Jun-2026 (PRIMARY_MARKET_DATA) — rating-based adjusted default spread, Moody's Caa1</w:t>
            </w:r>
          </w:p>
        </w:tc>
      </w:tr>
      <w:tr>
        <w:tc>
          <w:tcPr>
            <w:tcW w:type="dxa" w:w="1800"/>
          </w:tcPr>
          <w:p>
            <w:pPr>
              <w:spacing w:after="20"/>
            </w:pPr>
            <w:r>
              <w:rPr>
                <w:b/>
                <w:color w:val="1C3A36"/>
                <w:sz w:val="12"/>
              </w:rPr>
              <w:t>erp_cds</w:t>
            </w:r>
          </w:p>
        </w:tc>
        <w:tc>
          <w:tcPr>
            <w:tcW w:type="dxa" w:w="1368"/>
          </w:tcPr>
          <w:p>
            <w:pPr>
              <w:spacing w:after="20"/>
              <w:jc w:val="right"/>
            </w:pPr>
            <w:r>
              <w:rPr>
                <w:color w:val="1C3A36"/>
                <w:sz w:val="12"/>
              </w:rPr>
              <w:t>0.0951638</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Damodaran country default spreads and risk premiums, ORIGINAL file ctrypremJuly26.xlsx sheet 'ERPs by country', Egypt row — CDS spreads as of 30-Jun-2026, rating default spreads updated 30-Jun-2026 (PRIMARY_MARKET_DATA) — total equity risk premium, CDS basis</w:t>
            </w:r>
          </w:p>
        </w:tc>
      </w:tr>
      <w:tr>
        <w:tc>
          <w:tcPr>
            <w:tcW w:type="dxa" w:w="1800"/>
          </w:tcPr>
          <w:p>
            <w:pPr>
              <w:spacing w:after="20"/>
            </w:pPr>
            <w:r>
              <w:rPr>
                <w:b/>
                <w:color w:val="1C3A36"/>
                <w:sz w:val="12"/>
              </w:rPr>
              <w:t>erp_rating</w:t>
            </w:r>
          </w:p>
        </w:tc>
        <w:tc>
          <w:tcPr>
            <w:tcW w:type="dxa" w:w="1368"/>
          </w:tcPr>
          <w:p>
            <w:pPr>
              <w:spacing w:after="20"/>
              <w:jc w:val="right"/>
            </w:pPr>
            <w:r>
              <w:rPr>
                <w:color w:val="1C3A36"/>
                <w:sz w:val="12"/>
              </w:rPr>
              <w:t>0.134806</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Damodaran country default spreads and risk premiums, ORIGINAL file ctrypremJuly26.xlsx sheet 'ERPs by country', Egypt row — CDS spreads as of 30-Jun-2026, rating default spreads updated 30-Jun-2026 (PRIMARY_MARKET_DATA) — total equity risk premium, rating basis</w:t>
            </w:r>
          </w:p>
        </w:tc>
      </w:tr>
      <w:tr>
        <w:tc>
          <w:tcPr>
            <w:tcW w:type="dxa" w:w="1800"/>
          </w:tcPr>
          <w:p>
            <w:pPr>
              <w:spacing w:after="20"/>
            </w:pPr>
            <w:r>
              <w:rPr>
                <w:b/>
                <w:color w:val="1C3A36"/>
                <w:sz w:val="12"/>
              </w:rPr>
              <w:t>erp_term</w:t>
            </w:r>
          </w:p>
        </w:tc>
        <w:tc>
          <w:tcPr>
            <w:tcW w:type="dxa" w:w="1368"/>
          </w:tcPr>
          <w:p>
            <w:pPr>
              <w:spacing w:after="20"/>
              <w:jc w:val="right"/>
            </w:pPr>
            <w:r>
              <w:rPr>
                <w:color w:val="1C3A36"/>
                <w:sz w:val="12"/>
              </w:rPr>
              <w:t>0.07</w:t>
            </w:r>
          </w:p>
        </w:tc>
        <w:tc>
          <w:tcPr>
            <w:tcW w:type="dxa" w:w="1037"/>
          </w:tcPr>
          <w:p>
            <w:pPr>
              <w:spacing w:after="20"/>
              <w:jc w:val="right"/>
            </w:pPr>
            <w:r>
              <w:rPr>
                <w:color w:val="1C3A36"/>
                <w:sz w:val="12"/>
              </w:rPr>
              <w:t>06-Aug-2026</w:t>
            </w:r>
          </w:p>
        </w:tc>
        <w:tc>
          <w:tcPr>
            <w:tcW w:type="dxa" w:w="5875"/>
          </w:tcPr>
          <w:p>
            <w:pPr>
              <w:spacing w:after="20"/>
              <w:jc w:val="left"/>
            </w:pPr>
            <w:r>
              <w:rPr>
                <w:color w:val="1C3A36"/>
                <w:sz w:val="12"/>
              </w:rPr>
              <w:t>Terminal equity risk premium, normalised below the currently elevated Egypt level. Same value and construction as the ARCC study of 06-Aug-2026 (input erp_term)</w:t>
            </w:r>
          </w:p>
        </w:tc>
      </w:tr>
      <w:tr>
        <w:tc>
          <w:tcPr>
            <w:tcW w:type="dxa" w:w="1800"/>
          </w:tcPr>
          <w:p>
            <w:pPr>
              <w:spacing w:after="20"/>
            </w:pPr>
            <w:r>
              <w:rPr>
                <w:b/>
                <w:color w:val="1C3A36"/>
                <w:sz w:val="12"/>
              </w:rPr>
              <w:t>esc_finish</w:t>
            </w:r>
          </w:p>
        </w:tc>
        <w:tc>
          <w:tcPr>
            <w:tcW w:type="dxa" w:w="1368"/>
          </w:tcPr>
          <w:p>
            <w:pPr>
              <w:spacing w:after="20"/>
              <w:jc w:val="right"/>
            </w:pPr>
            <w:r>
              <w:rPr>
                <w:color w:val="1C3A36"/>
                <w:sz w:val="12"/>
              </w:rPr>
              <w:t>0.115, 0.1, 0.09, 0.08, 0.07</w:t>
            </w:r>
          </w:p>
        </w:tc>
        <w:tc>
          <w:tcPr>
            <w:tcW w:type="dxa" w:w="1037"/>
          </w:tcPr>
          <w:p>
            <w:pPr>
              <w:spacing w:after="20"/>
              <w:jc w:val="right"/>
            </w:pPr>
            <w:r>
              <w:rPr>
                <w:color w:val="1C3A36"/>
                <w:sz w:val="12"/>
              </w:rPr>
              <w:t>10-Aug-2026</w:t>
            </w:r>
          </w:p>
        </w:tc>
        <w:tc>
          <w:tcPr>
            <w:tcW w:type="dxa" w:w="5875"/>
          </w:tcPr>
          <w:p>
            <w:pPr>
              <w:spacing w:after="20"/>
              <w:jc w:val="left"/>
            </w:pPr>
            <w:r>
              <w:rPr>
                <w:color w:val="1C3A36"/>
                <w:sz w:val="12"/>
              </w:rPr>
              <w:t>Finishing and other materials escalator, on the central bank disinflation path from the measured July 2026 urban rate of 14.9% toward the 5% target for Q4-2028</w:t>
            </w:r>
          </w:p>
        </w:tc>
      </w:tr>
      <w:tr>
        <w:tc>
          <w:tcPr>
            <w:tcW w:type="dxa" w:w="1800"/>
          </w:tcPr>
          <w:p>
            <w:pPr>
              <w:spacing w:after="20"/>
            </w:pPr>
            <w:r>
              <w:rPr>
                <w:b/>
                <w:color w:val="1C3A36"/>
                <w:sz w:val="12"/>
              </w:rPr>
              <w:t>rf_arcc_xchk</w:t>
            </w:r>
          </w:p>
        </w:tc>
        <w:tc>
          <w:tcPr>
            <w:tcW w:type="dxa" w:w="1368"/>
          </w:tcPr>
          <w:p>
            <w:pPr>
              <w:spacing w:after="20"/>
              <w:jc w:val="right"/>
            </w:pPr>
            <w:r>
              <w:rPr>
                <w:color w:val="1C3A36"/>
                <w:sz w:val="12"/>
              </w:rPr>
              <w:t>0.2295</w:t>
            </w:r>
          </w:p>
        </w:tc>
        <w:tc>
          <w:tcPr>
            <w:tcW w:type="dxa" w:w="1037"/>
          </w:tcPr>
          <w:p>
            <w:pPr>
              <w:spacing w:after="20"/>
              <w:jc w:val="right"/>
            </w:pPr>
            <w:r>
              <w:rPr>
                <w:color w:val="1C3A36"/>
                <w:sz w:val="12"/>
              </w:rPr>
              <w:t>06-Aug-2026</w:t>
            </w:r>
          </w:p>
        </w:tc>
        <w:tc>
          <w:tcPr>
            <w:tcW w:type="dxa" w:w="5875"/>
          </w:tcPr>
          <w:p>
            <w:pPr>
              <w:spacing w:after="20"/>
              <w:jc w:val="left"/>
            </w:pPr>
            <w:r>
              <w:rPr>
                <w:color w:val="1C3A36"/>
                <w:sz w:val="12"/>
              </w:rPr>
              <w:t>Egypt ten-year local-currency government bond yield adopted in the ARCC valuation study of 06-Aug-2026 (engine/arcc_study input rf) — independent cross-check on the CBE auction print</w:t>
            </w:r>
          </w:p>
        </w:tc>
      </w:tr>
      <w:tr>
        <w:tc>
          <w:tcPr>
            <w:tcW w:type="dxa" w:w="1800"/>
          </w:tcPr>
          <w:p>
            <w:pPr>
              <w:spacing w:after="20"/>
            </w:pPr>
            <w:r>
              <w:rPr>
                <w:b/>
                <w:color w:val="1C3A36"/>
                <w:sz w:val="12"/>
              </w:rPr>
              <w:t>rf_obs</w:t>
            </w:r>
          </w:p>
        </w:tc>
        <w:tc>
          <w:tcPr>
            <w:tcW w:type="dxa" w:w="1368"/>
          </w:tcPr>
          <w:p>
            <w:pPr>
              <w:spacing w:after="20"/>
              <w:jc w:val="right"/>
            </w:pPr>
            <w:r>
              <w:rPr>
                <w:color w:val="1C3A36"/>
                <w:sz w:val="12"/>
              </w:rPr>
              <w:t>0.23269</w:t>
            </w:r>
          </w:p>
        </w:tc>
        <w:tc>
          <w:tcPr>
            <w:tcW w:type="dxa" w:w="1037"/>
          </w:tcPr>
          <w:p>
            <w:pPr>
              <w:spacing w:after="20"/>
              <w:jc w:val="right"/>
            </w:pPr>
            <w:r>
              <w:rPr>
                <w:color w:val="1C3A36"/>
                <w:sz w:val="12"/>
              </w:rPr>
              <w:t>17-Aug-2026</w:t>
            </w:r>
          </w:p>
        </w:tc>
        <w:tc>
          <w:tcPr>
            <w:tcW w:type="dxa" w:w="5875"/>
          </w:tcPr>
          <w:p>
            <w:pPr>
              <w:spacing w:after="20"/>
              <w:jc w:val="left"/>
            </w:pPr>
            <w:r>
              <w:rPr>
                <w:color w:val="1C3A36"/>
                <w:sz w:val="12"/>
              </w:rPr>
              <w:t>Central Bank of Egypt, EGP Treasury Fixed Coupon Bonds auction result, auction date 17-Aug-2026, issue 18-Aug-2026 — accepted weighted-average yields (PRIMARY_MARKET_DATA) — three-year bond, accepted weighted-average yield 23.269% (22 accepted bids, EGP 18.881bn accepted of EGP 39.684bn submitted: the deepest accepted print in the auction). The two-year cleared at 22.691% on a single accepted bid and the five-year at 19.700% on a single accepted bid; neither is a usable clearing level</w:t>
            </w:r>
          </w:p>
        </w:tc>
      </w:tr>
      <w:tr>
        <w:tc>
          <w:tcPr>
            <w:tcW w:type="dxa" w:w="1800"/>
          </w:tcPr>
          <w:p>
            <w:pPr>
              <w:spacing w:after="20"/>
            </w:pPr>
            <w:r>
              <w:rPr>
                <w:b/>
                <w:color w:val="1C3A36"/>
                <w:sz w:val="12"/>
              </w:rPr>
              <w:t>rf_term</w:t>
            </w:r>
          </w:p>
        </w:tc>
        <w:tc>
          <w:tcPr>
            <w:tcW w:type="dxa" w:w="1368"/>
          </w:tcPr>
          <w:p>
            <w:pPr>
              <w:spacing w:after="20"/>
              <w:jc w:val="right"/>
            </w:pPr>
            <w:r>
              <w:rPr>
                <w:color w:val="1C3A36"/>
                <w:sz w:val="12"/>
              </w:rPr>
              <w:t>0.105</w:t>
            </w:r>
          </w:p>
        </w:tc>
        <w:tc>
          <w:tcPr>
            <w:tcW w:type="dxa" w:w="1037"/>
          </w:tcPr>
          <w:p>
            <w:pPr>
              <w:spacing w:after="20"/>
              <w:jc w:val="right"/>
            </w:pPr>
            <w:r>
              <w:rPr>
                <w:color w:val="1C3A36"/>
                <w:sz w:val="12"/>
              </w:rPr>
              <w:t>06-Aug-2026</w:t>
            </w:r>
          </w:p>
        </w:tc>
        <w:tc>
          <w:tcPr>
            <w:tcW w:type="dxa" w:w="5875"/>
          </w:tcPr>
          <w:p>
            <w:pPr>
              <w:spacing w:after="20"/>
              <w:jc w:val="left"/>
            </w:pPr>
            <w:r>
              <w:rPr>
                <w:color w:val="1C3A36"/>
                <w:sz w:val="12"/>
              </w:rPr>
              <w:t>Terminal risk-free rate, normalised from the Central Bank of Egypt's longest published inflation target (5% for Q4-2028) plus a standard emerging-market real-rate convention. Same construction and same value as the ARCC study of 06-Aug-2026 (input rf_term) — the house prior for Egypt</w:t>
            </w:r>
          </w:p>
        </w:tc>
      </w:tr>
      <w:tr>
        <w:tc>
          <w:tcPr>
            <w:tcW w:type="dxa" w:w="1800"/>
          </w:tcPr>
          <w:p>
            <w:pPr>
              <w:spacing w:after="20"/>
            </w:pPr>
            <w:r>
              <w:rPr>
                <w:b/>
                <w:color w:val="1C3A36"/>
                <w:sz w:val="12"/>
              </w:rPr>
              <w:t>taxrate_stat</w:t>
            </w:r>
          </w:p>
        </w:tc>
        <w:tc>
          <w:tcPr>
            <w:tcW w:type="dxa" w:w="1368"/>
          </w:tcPr>
          <w:p>
            <w:pPr>
              <w:spacing w:after="20"/>
              <w:jc w:val="right"/>
            </w:pPr>
            <w:r>
              <w:rPr>
                <w:color w:val="1C3A36"/>
                <w:sz w:val="12"/>
              </w:rPr>
              <w:t>0.225</w:t>
            </w:r>
          </w:p>
        </w:tc>
        <w:tc>
          <w:tcPr>
            <w:tcW w:type="dxa" w:w="1037"/>
          </w:tcPr>
          <w:p>
            <w:pPr>
              <w:spacing w:after="20"/>
              <w:jc w:val="right"/>
            </w:pPr>
            <w:r>
              <w:rPr>
                <w:color w:val="1C3A36"/>
                <w:sz w:val="12"/>
              </w:rPr>
              <w:t>30-Jun-2026</w:t>
            </w:r>
          </w:p>
        </w:tc>
        <w:tc>
          <w:tcPr>
            <w:tcW w:type="dxa" w:w="5875"/>
          </w:tcPr>
          <w:p>
            <w:pPr>
              <w:spacing w:after="20"/>
              <w:jc w:val="left"/>
            </w:pPr>
            <w:r>
              <w:rPr>
                <w:color w:val="1C3A36"/>
                <w:sz w:val="12"/>
              </w:rPr>
              <w:t>Interim consolidated financial statements as of 30 June 2026, Palm Hills Developments Company S.A.E — limited review report, Forvis Mazars Mostafa Shawki, Cairo 17-Aug-2026 (COMPANY_OFFICIAL) — note 70a, tax at 22.5%; Damodaran corporate tax rate for Egypt agrees</w:t>
            </w:r>
          </w:p>
        </w:tc>
      </w:tr>
      <w:tr>
        <w:tc>
          <w:tcPr>
            <w:tcW w:type="dxa" w:w="1800"/>
          </w:tcPr>
          <w:p>
            <w:pPr>
              <w:spacing w:after="20"/>
            </w:pPr>
            <w:r>
              <w:rPr>
                <w:b/>
                <w:color w:val="1C3A36"/>
                <w:sz w:val="12"/>
              </w:rPr>
              <w:t>tbill_1y</w:t>
            </w:r>
          </w:p>
        </w:tc>
        <w:tc>
          <w:tcPr>
            <w:tcW w:type="dxa" w:w="1368"/>
          </w:tcPr>
          <w:p>
            <w:pPr>
              <w:spacing w:after="20"/>
              <w:jc w:val="right"/>
            </w:pPr>
            <w:r>
              <w:rPr>
                <w:color w:val="1C3A36"/>
                <w:sz w:val="12"/>
              </w:rPr>
              <w:t>0.2495</w:t>
            </w:r>
          </w:p>
        </w:tc>
        <w:tc>
          <w:tcPr>
            <w:tcW w:type="dxa" w:w="1037"/>
          </w:tcPr>
          <w:p>
            <w:pPr>
              <w:spacing w:after="20"/>
              <w:jc w:val="right"/>
            </w:pPr>
            <w:r>
              <w:rPr>
                <w:color w:val="1C3A36"/>
                <w:sz w:val="12"/>
              </w:rPr>
              <w:t>13-Aug-2026</w:t>
            </w:r>
          </w:p>
        </w:tc>
        <w:tc>
          <w:tcPr>
            <w:tcW w:type="dxa" w:w="5875"/>
          </w:tcPr>
          <w:p>
            <w:pPr>
              <w:spacing w:after="20"/>
              <w:jc w:val="left"/>
            </w:pPr>
            <w:r>
              <w:rPr>
                <w:color w:val="1C3A36"/>
                <w:sz w:val="12"/>
              </w:rPr>
              <w:t>Central Bank of Egypt, EGP Treasury Bill auction results, auctions 13-Aug-2026 and 16-Aug-2026, issue 18-Aug-2026 (PRIMARY_MARKET_DATA) — 364-day bill, accepted weighted-average yield</w:t>
            </w:r>
          </w:p>
        </w:tc>
      </w:tr>
      <w:tr>
        <w:tc>
          <w:tcPr>
            <w:tcW w:type="dxa" w:w="1800"/>
          </w:tcPr>
          <w:p>
            <w:pPr>
              <w:spacing w:after="20"/>
            </w:pPr>
            <w:r>
              <w:rPr>
                <w:b/>
                <w:color w:val="1C3A36"/>
                <w:sz w:val="12"/>
              </w:rPr>
              <w:t>tbill_91</w:t>
            </w:r>
          </w:p>
        </w:tc>
        <w:tc>
          <w:tcPr>
            <w:tcW w:type="dxa" w:w="1368"/>
          </w:tcPr>
          <w:p>
            <w:pPr>
              <w:spacing w:after="20"/>
              <w:jc w:val="right"/>
            </w:pPr>
            <w:r>
              <w:rPr>
                <w:color w:val="1C3A36"/>
                <w:sz w:val="12"/>
              </w:rPr>
              <w:t>0.24191</w:t>
            </w:r>
          </w:p>
        </w:tc>
        <w:tc>
          <w:tcPr>
            <w:tcW w:type="dxa" w:w="1037"/>
          </w:tcPr>
          <w:p>
            <w:pPr>
              <w:spacing w:after="20"/>
              <w:jc w:val="right"/>
            </w:pPr>
            <w:r>
              <w:rPr>
                <w:color w:val="1C3A36"/>
                <w:sz w:val="12"/>
              </w:rPr>
              <w:t>16-Aug-2026</w:t>
            </w:r>
          </w:p>
        </w:tc>
        <w:tc>
          <w:tcPr>
            <w:tcW w:type="dxa" w:w="5875"/>
          </w:tcPr>
          <w:p>
            <w:pPr>
              <w:spacing w:after="20"/>
              <w:jc w:val="left"/>
            </w:pPr>
            <w:r>
              <w:rPr>
                <w:color w:val="1C3A36"/>
                <w:sz w:val="12"/>
              </w:rPr>
              <w:t>Central Bank of Egypt, EGP Treasury Bill auction results, auctions 13-Aug-2026 and 16-Aug-2026, issue 18-Aug-2026 (PRIMARY_MARKET_DATA) — 91-day bill, accepted weighted-average yield</w:t>
            </w:r>
          </w:p>
        </w:tc>
      </w:tr>
      <w:tr>
        <w:tc>
          <w:tcPr>
            <w:tcW w:type="dxa" w:w="1800"/>
          </w:tcPr>
          <w:p>
            <w:pPr>
              <w:spacing w:after="20"/>
            </w:pPr>
            <w:r>
              <w:rPr>
                <w:b/>
                <w:color w:val="1C3A36"/>
                <w:sz w:val="12"/>
              </w:rPr>
              <w:t>term_g</w:t>
            </w:r>
          </w:p>
        </w:tc>
        <w:tc>
          <w:tcPr>
            <w:tcW w:type="dxa" w:w="1368"/>
          </w:tcPr>
          <w:p>
            <w:pPr>
              <w:spacing w:after="20"/>
              <w:jc w:val="right"/>
            </w:pPr>
            <w:r>
              <w:rPr>
                <w:color w:val="1C3A36"/>
                <w:sz w:val="12"/>
              </w:rPr>
              <w:t>0.08</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Terminal nominal growth: the central bank's 5% long-run inflation target plus about 3% real. Held below the terminal weighted cost of capital under both cost-of-capital framings and made reinvestment-consistent through the return on capital the model itself computes</w:t>
            </w:r>
          </w:p>
        </w:tc>
      </w:tr>
      <w:tr>
        <w:tc>
          <w:tcPr>
            <w:tcW w:type="dxa" w:w="1800"/>
          </w:tcPr>
          <w:p>
            <w:pPr>
              <w:spacing w:after="20"/>
            </w:pPr>
            <w:r>
              <w:rPr>
                <w:b/>
                <w:color w:val="1C3A36"/>
                <w:sz w:val="12"/>
              </w:rPr>
              <w:t>usdegp</w:t>
            </w:r>
          </w:p>
        </w:tc>
        <w:tc>
          <w:tcPr>
            <w:tcW w:type="dxa" w:w="1368"/>
          </w:tcPr>
          <w:p>
            <w:pPr>
              <w:spacing w:after="20"/>
              <w:jc w:val="right"/>
            </w:pPr>
            <w:r>
              <w:rPr>
                <w:color w:val="1C3A36"/>
                <w:sz w:val="12"/>
              </w:rPr>
              <w:t>50.52</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USD/EGP mid-market 50.52 on 19-Aug-2026; 30-day range 49.65-51.36 (COUNTRY)</w:t>
            </w:r>
          </w:p>
        </w:tc>
      </w:tr>
    </w:tbl>
    <w:p>
      <w:pPr>
        <w:spacing w:after="40"/>
      </w:pPr>
    </w:p>
    <w:p>
      <w:pPr>
        <w:spacing w:after="200" w:before="0"/>
      </w:pPr>
      <w:r>
        <w:rPr>
          <w:b w:val="0"/>
          <w:i/>
          <w:color w:val="6E7B77"/>
          <w:sz w:val="17"/>
        </w:rPr>
        <w:t>Table 3. The country layer in full.</w:t>
      </w:r>
    </w:p>
    <w:p>
      <w:pPr>
        <w:spacing w:after="80" w:before="200"/>
      </w:pPr>
      <w:r>
        <w:rPr>
          <w:b/>
          <w:i w:val="0"/>
          <w:color w:val="1C3A36"/>
          <w:sz w:val="24"/>
        </w:rPr>
        <w:t>2.3  Industry layer — 11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368"/>
        <w:gridCol w:w="1037"/>
        <w:gridCol w:w="5875"/>
      </w:tblGrid>
      <w:tr>
        <w:tc>
          <w:tcPr>
            <w:tcW w:type="dxa" w:w="1800"/>
            <w:shd w:val="clear" w:color="auto" w:fill="EAF0EE"/>
          </w:tcPr>
          <w:p>
            <w:pPr>
              <w:spacing w:after="20"/>
            </w:pPr>
            <w:r>
              <w:rPr>
                <w:b/>
                <w:color w:val="1C3A36"/>
                <w:sz w:val="12"/>
              </w:rPr>
              <w:t>Input</w:t>
            </w:r>
          </w:p>
        </w:tc>
        <w:tc>
          <w:tcPr>
            <w:tcW w:type="dxa" w:w="1368"/>
            <w:shd w:val="clear" w:color="auto" w:fill="EAF0EE"/>
          </w:tcPr>
          <w:p>
            <w:pPr>
              <w:spacing w:after="20"/>
            </w:pPr>
            <w:r>
              <w:rPr>
                <w:b/>
                <w:color w:val="1C3A36"/>
                <w:sz w:val="12"/>
              </w:rPr>
              <w:t>Value</w:t>
            </w:r>
          </w:p>
        </w:tc>
        <w:tc>
          <w:tcPr>
            <w:tcW w:type="dxa" w:w="1037"/>
            <w:shd w:val="clear" w:color="auto" w:fill="EAF0EE"/>
          </w:tcPr>
          <w:p>
            <w:pPr>
              <w:spacing w:after="20"/>
            </w:pPr>
            <w:r>
              <w:rPr>
                <w:b/>
                <w:color w:val="1C3A36"/>
                <w:sz w:val="12"/>
              </w:rPr>
              <w:t>Date</w:t>
            </w:r>
          </w:p>
        </w:tc>
        <w:tc>
          <w:tcPr>
            <w:tcW w:type="dxa" w:w="5875"/>
            <w:shd w:val="clear" w:color="auto" w:fill="EAF0EE"/>
          </w:tcPr>
          <w:p>
            <w:pPr>
              <w:spacing w:after="20"/>
              <w:jc w:val="left"/>
            </w:pPr>
            <w:r>
              <w:rPr>
                <w:b/>
                <w:color w:val="1C3A36"/>
                <w:sz w:val="12"/>
              </w:rPr>
              <w:t>Source and construction</w:t>
            </w:r>
          </w:p>
        </w:tc>
      </w:tr>
      <w:tr>
        <w:tc>
          <w:tcPr>
            <w:tcW w:type="dxa" w:w="1800"/>
          </w:tcPr>
          <w:p>
            <w:pPr>
              <w:spacing w:after="20"/>
            </w:pPr>
            <w:r>
              <w:rPr>
                <w:b/>
                <w:color w:val="1C3A36"/>
                <w:sz w:val="12"/>
              </w:rPr>
              <w:t>backlog_h126_press</w:t>
            </w:r>
          </w:p>
        </w:tc>
        <w:tc>
          <w:tcPr>
            <w:tcW w:type="dxa" w:w="1368"/>
          </w:tcPr>
          <w:p>
            <w:pPr>
              <w:spacing w:after="20"/>
              <w:jc w:val="right"/>
            </w:pPr>
            <w:r>
              <w:rPr>
                <w:color w:val="1C3A36"/>
                <w:sz w:val="12"/>
              </w:rPr>
              <w:t>284,000.0</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Press reporting of the 1H2026 results release: record backlog of EGP 284bn, up 40% year on year. SECONDARY-UNVERIFIED; the study anchors on note 72 instead</w:t>
            </w:r>
          </w:p>
        </w:tc>
      </w:tr>
      <w:tr>
        <w:tc>
          <w:tcPr>
            <w:tcW w:type="dxa" w:w="1800"/>
          </w:tcPr>
          <w:p>
            <w:pPr>
              <w:spacing w:after="20"/>
            </w:pPr>
            <w:r>
              <w:rPr>
                <w:b/>
                <w:color w:val="1C3A36"/>
                <w:sz w:val="12"/>
              </w:rPr>
              <w:t>cost_w</w:t>
            </w:r>
          </w:p>
        </w:tc>
        <w:tc>
          <w:tcPr>
            <w:tcW w:type="dxa" w:w="1368"/>
          </w:tcPr>
          <w:p>
            <w:pPr>
              <w:spacing w:after="20"/>
              <w:jc w:val="right"/>
            </w:pPr>
            <w:r>
              <w:rPr>
                <w:color w:val="1C3A36"/>
                <w:sz w:val="12"/>
              </w:rPr>
              <w:t>0.25, 0.2, 0.25, 0.3</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Weights of the four physically distinct construction cost classes — reinforcing steel, cement and concrete, finishing and other materials, site labour and overhead. ESTIMATED from the structure of Egyptian residential build costs; the filings do not disclose a cost-by-nature split of construction. Recorded as an estimate and carried through the sensitivity</w:t>
            </w:r>
          </w:p>
        </w:tc>
      </w:tr>
      <w:tr>
        <w:tc>
          <w:tcPr>
            <w:tcW w:type="dxa" w:w="1800"/>
          </w:tcPr>
          <w:p>
            <w:pPr>
              <w:spacing w:after="20"/>
            </w:pPr>
            <w:r>
              <w:rPr>
                <w:b/>
                <w:color w:val="1C3A36"/>
                <w:sz w:val="12"/>
              </w:rPr>
              <w:t>esc_cement</w:t>
            </w:r>
          </w:p>
        </w:tc>
        <w:tc>
          <w:tcPr>
            <w:tcW w:type="dxa" w:w="1368"/>
          </w:tcPr>
          <w:p>
            <w:pPr>
              <w:spacing w:after="20"/>
              <w:jc w:val="right"/>
            </w:pPr>
            <w:r>
              <w:rPr>
                <w:color w:val="1C3A36"/>
                <w:sz w:val="12"/>
              </w:rPr>
              <w:t>0.09, 0.08, 0.07, 0.065, 0.06</w:t>
            </w:r>
          </w:p>
        </w:tc>
        <w:tc>
          <w:tcPr>
            <w:tcW w:type="dxa" w:w="1037"/>
          </w:tcPr>
          <w:p>
            <w:pPr>
              <w:spacing w:after="20"/>
              <w:jc w:val="right"/>
            </w:pPr>
            <w:r>
              <w:rPr>
                <w:color w:val="1C3A36"/>
                <w:sz w:val="12"/>
              </w:rPr>
              <w:t>06-Aug-2026</w:t>
            </w:r>
          </w:p>
        </w:tc>
        <w:tc>
          <w:tcPr>
            <w:tcW w:type="dxa" w:w="5875"/>
          </w:tcPr>
          <w:p>
            <w:pPr>
              <w:spacing w:after="20"/>
              <w:jc w:val="left"/>
            </w:pPr>
            <w:r>
              <w:rPr>
                <w:color w:val="1C3A36"/>
                <w:sz w:val="12"/>
              </w:rPr>
              <w:t>Cement and concrete escalator, taken from the Egyptian local realised cement price path adopted in the ARCC study of 06-Aug-2026, which is anchored on a disclosed producer price history</w:t>
            </w:r>
          </w:p>
        </w:tc>
      </w:tr>
      <w:tr>
        <w:tc>
          <w:tcPr>
            <w:tcW w:type="dxa" w:w="1800"/>
          </w:tcPr>
          <w:p>
            <w:pPr>
              <w:spacing w:after="20"/>
            </w:pPr>
            <w:r>
              <w:rPr>
                <w:b/>
                <w:color w:val="1C3A36"/>
                <w:sz w:val="12"/>
              </w:rPr>
              <w:t>esc_steel</w:t>
            </w:r>
          </w:p>
        </w:tc>
        <w:tc>
          <w:tcPr>
            <w:tcW w:type="dxa" w:w="1368"/>
          </w:tcPr>
          <w:p>
            <w:pPr>
              <w:spacing w:after="20"/>
              <w:jc w:val="right"/>
            </w:pPr>
            <w:r>
              <w:rPr>
                <w:color w:val="1C3A36"/>
                <w:sz w:val="12"/>
              </w:rPr>
              <w:t>0.06, 0.06, 0.055, 0.05, 0.045</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Reinforcing-steel escalator. Near-term anchor is dated and measured: Egyptian producers left August 2026 rebar sales prices unchanged against July after earlier declines, so FY2026 carries no steel escalation at all; from FY2027 the path is global steel plus the pound's drift</w:t>
            </w:r>
          </w:p>
        </w:tc>
      </w:tr>
      <w:tr>
        <w:tc>
          <w:tcPr>
            <w:tcW w:type="dxa" w:w="1800"/>
          </w:tcPr>
          <w:p>
            <w:pPr>
              <w:spacing w:after="20"/>
            </w:pPr>
            <w:r>
              <w:rPr>
                <w:b/>
                <w:color w:val="1C3A36"/>
                <w:sz w:val="12"/>
              </w:rPr>
              <w:t>fx_passthru</w:t>
            </w:r>
          </w:p>
        </w:tc>
        <w:tc>
          <w:tcPr>
            <w:tcW w:type="dxa" w:w="1368"/>
          </w:tcPr>
          <w:p>
            <w:pPr>
              <w:spacing w:after="20"/>
              <w:jc w:val="right"/>
            </w:pPr>
            <w:r>
              <w:rPr>
                <w:color w:val="1C3A36"/>
                <w:sz w:val="12"/>
              </w:rPr>
              <w:t>steel 0.7; cement 0.4; finishing 0.5; labour 0</w:t>
            </w:r>
          </w:p>
        </w:tc>
        <w:tc>
          <w:tcPr>
            <w:tcW w:type="dxa" w:w="1037"/>
          </w:tcPr>
          <w:p>
            <w:pPr>
              <w:spacing w:after="20"/>
              <w:jc w:val="right"/>
            </w:pPr>
            <w:r>
              <w:rPr>
                <w:color w:val="1C3A36"/>
                <w:sz w:val="12"/>
              </w:rPr>
              <w:t>19-Aug-2026</w:t>
            </w:r>
          </w:p>
        </w:tc>
        <w:tc>
          <w:tcPr>
            <w:tcW w:type="dxa" w:w="5875"/>
          </w:tcPr>
          <w:p>
            <w:pPr>
              <w:spacing w:after="20"/>
              <w:jc w:val="left"/>
            </w:pPr>
            <w:r>
              <w:rPr>
                <w:color w:val="1C3A36"/>
                <w:sz w:val="12"/>
              </w:rPr>
              <w:t>Share of each construction cost class that reprices with the pound. Steel is billet and scrap linked, cement carries imported coal and energy, finishing carries imported fittings, site labour carries none. ESTIMATED, recorded as such and carried through the sensitivity</w:t>
            </w:r>
          </w:p>
        </w:tc>
      </w:tr>
      <w:tr>
        <w:tc>
          <w:tcPr>
            <w:tcW w:type="dxa" w:w="1800"/>
          </w:tcPr>
          <w:p>
            <w:pPr>
              <w:spacing w:after="20"/>
            </w:pPr>
            <w:r>
              <w:rPr>
                <w:b/>
                <w:color w:val="1C3A36"/>
                <w:sz w:val="12"/>
              </w:rPr>
              <w:t>mkt_h125</w:t>
            </w:r>
          </w:p>
        </w:tc>
        <w:tc>
          <w:tcPr>
            <w:tcW w:type="dxa" w:w="1368"/>
          </w:tcPr>
          <w:p>
            <w:pPr>
              <w:spacing w:after="20"/>
              <w:jc w:val="right"/>
            </w:pPr>
            <w:r>
              <w:rPr>
                <w:color w:val="1C3A36"/>
                <w:sz w:val="12"/>
              </w:rPr>
              <w:t>651,000.0</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Daily News Egypt, 'Top 10 Egyptian developers' sales rise to EGP 670bn in H1 2026', 18-Aug-2026 — market survey (INDUSTRY, secondary) — same measure, H1-2025</w:t>
            </w:r>
          </w:p>
        </w:tc>
      </w:tr>
      <w:tr>
        <w:tc>
          <w:tcPr>
            <w:tcW w:type="dxa" w:w="1800"/>
          </w:tcPr>
          <w:p>
            <w:pPr>
              <w:spacing w:after="20"/>
            </w:pPr>
            <w:r>
              <w:rPr>
                <w:b/>
                <w:color w:val="1C3A36"/>
                <w:sz w:val="12"/>
              </w:rPr>
              <w:t>mkt_h126</w:t>
            </w:r>
          </w:p>
        </w:tc>
        <w:tc>
          <w:tcPr>
            <w:tcW w:type="dxa" w:w="1368"/>
          </w:tcPr>
          <w:p>
            <w:pPr>
              <w:spacing w:after="20"/>
              <w:jc w:val="right"/>
            </w:pPr>
            <w:r>
              <w:rPr>
                <w:color w:val="1C3A36"/>
                <w:sz w:val="12"/>
              </w:rPr>
              <w:t>670,000.0</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Daily News Egypt, 'Top 10 Egyptian developers' sales rise to EGP 670bn in H1 2026', 18-Aug-2026 — market survey (INDUSTRY, secondary) — combined H1-2026 sales of the ten largest Egyptian developers</w:t>
            </w:r>
          </w:p>
        </w:tc>
      </w:tr>
      <w:tr>
        <w:tc>
          <w:tcPr>
            <w:tcW w:type="dxa" w:w="1800"/>
          </w:tcPr>
          <w:p>
            <w:pPr>
              <w:spacing w:after="20"/>
            </w:pPr>
            <w:r>
              <w:rPr>
                <w:b/>
                <w:color w:val="1C3A36"/>
                <w:sz w:val="12"/>
              </w:rPr>
              <w:t>mkt_units_chg</w:t>
            </w:r>
          </w:p>
        </w:tc>
        <w:tc>
          <w:tcPr>
            <w:tcW w:type="dxa" w:w="1368"/>
          </w:tcPr>
          <w:p>
            <w:pPr>
              <w:spacing w:after="20"/>
              <w:jc w:val="right"/>
            </w:pPr>
            <w:r>
              <w:rPr>
                <w:color w:val="1C3A36"/>
                <w:sz w:val="12"/>
              </w:rPr>
              <w:t>-0.05</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Daily News Egypt, 'Top 10 Egyptian developers' sales rise to EGP 670bn in H1 2026', 18-Aug-2026 — market survey (INDUSTRY, secondary) — units sold about 39,000 in H1-2026, down 5% year on year</w:t>
            </w:r>
          </w:p>
        </w:tc>
      </w:tr>
      <w:tr>
        <w:tc>
          <w:tcPr>
            <w:tcW w:type="dxa" w:w="1800"/>
          </w:tcPr>
          <w:p>
            <w:pPr>
              <w:spacing w:after="20"/>
            </w:pPr>
            <w:r>
              <w:rPr>
                <w:b/>
                <w:color w:val="1C3A36"/>
                <w:sz w:val="12"/>
              </w:rPr>
              <w:t>peers</w:t>
            </w:r>
          </w:p>
        </w:tc>
        <w:tc>
          <w:tcPr>
            <w:tcW w:type="dxa" w:w="1368"/>
          </w:tcPr>
          <w:p>
            <w:pPr>
              <w:spacing w:after="20"/>
              <w:jc w:val="right"/>
            </w:pPr>
            <w:r>
              <w:rPr>
                <w:color w:val="1C3A36"/>
                <w:sz w:val="12"/>
              </w:rPr>
              <w:t>name Talaat Moustafa Group Holding; ticker EGX:TMGH; country Egypt; pe 10.2; mcap 156,630.0; earnings 15,410.0, name Emaar Misr for Development; ticker EGX:EMFD; country Egypt; pe 6.1; mcap 54,600.0; earnings None, name SODIC; ticker EGX:OCDI; country Egypt; pe 6.1; mcap 24,100.0; earnings None, name Heliopolis Housing; ticker EGX:HELI; country Egypt; pe 7.5; mcap 22,670.0; earnings None, name Madinet Masr; ticker EGX:MASR; country Egypt; pe None; mcap 16,500.0; earnings None, name Emaar Properties; ticker DFM:EMAAR; country United Arab Emirates; pe 6.5; mcap None; earnings None, name Aldar Properties; ticker ADX:ALDAR; country United Arab Emirates; pe 7.7; mcap None; earnings None</w:t>
            </w:r>
          </w:p>
        </w:tc>
        <w:tc>
          <w:tcPr>
            <w:tcW w:type="dxa" w:w="1037"/>
          </w:tcPr>
          <w:p>
            <w:pPr>
              <w:spacing w:after="20"/>
              <w:jc w:val="right"/>
            </w:pPr>
            <w:r>
              <w:rPr>
                <w:color w:val="1C3A36"/>
                <w:sz w:val="12"/>
              </w:rPr>
              <w:t>11-Aug-2026</w:t>
            </w:r>
          </w:p>
        </w:tc>
        <w:tc>
          <w:tcPr>
            <w:tcW w:type="dxa" w:w="5875"/>
          </w:tcPr>
          <w:p>
            <w:pPr>
              <w:spacing w:after="20"/>
              <w:jc w:val="left"/>
            </w:pPr>
            <w:r>
              <w:rPr>
                <w:color w:val="1C3A36"/>
                <w:sz w:val="12"/>
              </w:rPr>
              <w:t>Market-data aggregators, quotes dated 11-Aug-2026 (Egypt) and June/August 2026 (Gulf): Simply Wall St, TradingView, stockanalysis.com (AGGREGATOR — cross-check only, never a source for the subject's own historicals)</w:t>
            </w:r>
          </w:p>
        </w:tc>
      </w:tr>
      <w:tr>
        <w:tc>
          <w:tcPr>
            <w:tcW w:type="dxa" w:w="1800"/>
          </w:tcPr>
          <w:p>
            <w:pPr>
              <w:spacing w:after="20"/>
            </w:pPr>
            <w:r>
              <w:rPr>
                <w:b/>
                <w:color w:val="1C3A36"/>
                <w:sz w:val="12"/>
              </w:rPr>
              <w:t>phdc_sales_h126</w:t>
            </w:r>
          </w:p>
        </w:tc>
        <w:tc>
          <w:tcPr>
            <w:tcW w:type="dxa" w:w="1368"/>
          </w:tcPr>
          <w:p>
            <w:pPr>
              <w:spacing w:after="20"/>
              <w:jc w:val="right"/>
            </w:pPr>
            <w:r>
              <w:rPr>
                <w:color w:val="1C3A36"/>
                <w:sz w:val="12"/>
              </w:rPr>
              <w:t>94,000.0</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Daily News Egypt, 'Top 10 Egyptian developers' sales rise to EGP 670bn in H1 2026', 18-Aug-2026 — market survey (INDUSTRY, secondary) — Palm Hills ranked second with H1-2026 sales of EGP 94bn. NOT obtainable from the company's own channel: the 1H2026 earnings release was not published on palmhillsdevelopments.com or its content API as of 19-Aug-2026. Carried as SECONDARY-UNVERIFIED; it is used for narrative and cross-check only and no model driver reads it</w:t>
            </w:r>
          </w:p>
        </w:tc>
      </w:tr>
      <w:tr>
        <w:tc>
          <w:tcPr>
            <w:tcW w:type="dxa" w:w="1800"/>
          </w:tcPr>
          <w:p>
            <w:pPr>
              <w:spacing w:after="20"/>
            </w:pPr>
            <w:r>
              <w:rPr>
                <w:b/>
                <w:color w:val="1C3A36"/>
                <w:sz w:val="12"/>
              </w:rPr>
              <w:t>reh_launch</w:t>
            </w:r>
          </w:p>
        </w:tc>
        <w:tc>
          <w:tcPr>
            <w:tcW w:type="dxa" w:w="1368"/>
          </w:tcPr>
          <w:p>
            <w:pPr>
              <w:spacing w:after="20"/>
              <w:jc w:val="right"/>
            </w:pPr>
            <w:r>
              <w:rPr>
                <w:color w:val="1C3A36"/>
                <w:sz w:val="12"/>
              </w:rPr>
              <w:t>75,000.0</w:t>
            </w:r>
          </w:p>
        </w:tc>
        <w:tc>
          <w:tcPr>
            <w:tcW w:type="dxa" w:w="1037"/>
          </w:tcPr>
          <w:p>
            <w:pPr>
              <w:spacing w:after="20"/>
              <w:jc w:val="right"/>
            </w:pPr>
            <w:r>
              <w:rPr>
                <w:color w:val="1C3A36"/>
                <w:sz w:val="12"/>
              </w:rPr>
              <w:t>18-Aug-2026</w:t>
            </w:r>
          </w:p>
        </w:tc>
        <w:tc>
          <w:tcPr>
            <w:tcW w:type="dxa" w:w="5875"/>
          </w:tcPr>
          <w:p>
            <w:pPr>
              <w:spacing w:after="20"/>
              <w:jc w:val="left"/>
            </w:pPr>
            <w:r>
              <w:rPr>
                <w:color w:val="1C3A36"/>
                <w:sz w:val="12"/>
              </w:rPr>
              <w:t>Press reporting of the 1H2026 results release: Hacienda Ras El Hekma recorded EGP 75bn of sales in the first two weeks of launch to the close of 17-Aug-2026, to be booked in Q3-2026. SECONDARY-UNVERIFIED for the same reason; narrative and catalyst only</w:t>
            </w:r>
          </w:p>
        </w:tc>
      </w:tr>
    </w:tbl>
    <w:p>
      <w:pPr>
        <w:spacing w:after="40"/>
      </w:pPr>
    </w:p>
    <w:p>
      <w:pPr>
        <w:spacing w:after="200" w:before="0"/>
      </w:pPr>
      <w:r>
        <w:rPr>
          <w:b w:val="0"/>
          <w:i/>
          <w:color w:val="6E7B77"/>
          <w:sz w:val="17"/>
        </w:rPr>
        <w:t>Table 4. The industry layer in full.</w:t>
      </w:r>
    </w:p>
    <w:p>
      <w:pPr>
        <w:spacing w:after="80" w:before="200"/>
      </w:pPr>
      <w:r>
        <w:rPr>
          <w:b/>
          <w:i w:val="0"/>
          <w:color w:val="1C3A36"/>
          <w:sz w:val="24"/>
        </w:rPr>
        <w:t>2.4  Market layer — 8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368"/>
        <w:gridCol w:w="1037"/>
        <w:gridCol w:w="5875"/>
      </w:tblGrid>
      <w:tr>
        <w:tc>
          <w:tcPr>
            <w:tcW w:type="dxa" w:w="1800"/>
            <w:shd w:val="clear" w:color="auto" w:fill="EAF0EE"/>
          </w:tcPr>
          <w:p>
            <w:pPr>
              <w:spacing w:after="20"/>
            </w:pPr>
            <w:r>
              <w:rPr>
                <w:b/>
                <w:color w:val="1C3A36"/>
                <w:sz w:val="12"/>
              </w:rPr>
              <w:t>Input</w:t>
            </w:r>
          </w:p>
        </w:tc>
        <w:tc>
          <w:tcPr>
            <w:tcW w:type="dxa" w:w="1368"/>
            <w:shd w:val="clear" w:color="auto" w:fill="EAF0EE"/>
          </w:tcPr>
          <w:p>
            <w:pPr>
              <w:spacing w:after="20"/>
            </w:pPr>
            <w:r>
              <w:rPr>
                <w:b/>
                <w:color w:val="1C3A36"/>
                <w:sz w:val="12"/>
              </w:rPr>
              <w:t>Value</w:t>
            </w:r>
          </w:p>
        </w:tc>
        <w:tc>
          <w:tcPr>
            <w:tcW w:type="dxa" w:w="1037"/>
            <w:shd w:val="clear" w:color="auto" w:fill="EAF0EE"/>
          </w:tcPr>
          <w:p>
            <w:pPr>
              <w:spacing w:after="20"/>
            </w:pPr>
            <w:r>
              <w:rPr>
                <w:b/>
                <w:color w:val="1C3A36"/>
                <w:sz w:val="12"/>
              </w:rPr>
              <w:t>Date</w:t>
            </w:r>
          </w:p>
        </w:tc>
        <w:tc>
          <w:tcPr>
            <w:tcW w:type="dxa" w:w="5875"/>
            <w:shd w:val="clear" w:color="auto" w:fill="EAF0EE"/>
          </w:tcPr>
          <w:p>
            <w:pPr>
              <w:spacing w:after="20"/>
              <w:jc w:val="left"/>
            </w:pPr>
            <w:r>
              <w:rPr>
                <w:b/>
                <w:color w:val="1C3A36"/>
                <w:sz w:val="12"/>
              </w:rPr>
              <w:t>Source and construction</w:t>
            </w:r>
          </w:p>
        </w:tc>
      </w:tr>
      <w:tr>
        <w:tc>
          <w:tcPr>
            <w:tcW w:type="dxa" w:w="1800"/>
          </w:tcPr>
          <w:p>
            <w:pPr>
              <w:spacing w:after="20"/>
            </w:pPr>
            <w:r>
              <w:rPr>
                <w:b/>
                <w:color w:val="1C3A36"/>
                <w:sz w:val="12"/>
              </w:rPr>
              <w:t>beta_blume</w:t>
            </w:r>
          </w:p>
        </w:tc>
        <w:tc>
          <w:tcPr>
            <w:tcW w:type="dxa" w:w="1368"/>
          </w:tcPr>
          <w:p>
            <w:pPr>
              <w:spacing w:after="20"/>
              <w:jc w:val="right"/>
            </w:pPr>
            <w:r>
              <w:rPr>
                <w:color w:val="1C3A36"/>
                <w:sz w:val="12"/>
              </w:rPr>
              <w:t>1.037</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engine/beta_regression.own_stock_beta('PHDC','EG','EGX') — Dimson-adjusted weekly own-stock regression against EGX30 read from engine/raw_indices/EG/EGX30.csv (PRIMARY_MARKET_DATA) — Blume-adjusted cross-check</w:t>
            </w:r>
          </w:p>
        </w:tc>
      </w:tr>
      <w:tr>
        <w:tc>
          <w:tcPr>
            <w:tcW w:type="dxa" w:w="1800"/>
          </w:tcPr>
          <w:p>
            <w:pPr>
              <w:spacing w:after="20"/>
            </w:pPr>
            <w:r>
              <w:rPr>
                <w:b/>
                <w:color w:val="1C3A36"/>
                <w:sz w:val="12"/>
              </w:rPr>
              <w:t>beta_n</w:t>
            </w:r>
          </w:p>
        </w:tc>
        <w:tc>
          <w:tcPr>
            <w:tcW w:type="dxa" w:w="1368"/>
          </w:tcPr>
          <w:p>
            <w:pPr>
              <w:spacing w:after="20"/>
              <w:jc w:val="right"/>
            </w:pPr>
            <w:r>
              <w:rPr>
                <w:color w:val="1C3A36"/>
                <w:sz w:val="12"/>
              </w:rPr>
              <w:t>255</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engine/beta_regression.own_stock_beta('PHDC','EG','EGX') — Dimson-adjusted weekly own-stock regression against EGX30 read from engine/raw_indices/EG/EGX30.csv (PRIMARY_MARKET_DATA) — weekly observations on the exchange trading week (Sunday-Thursday, W-THU grid)</w:t>
            </w:r>
          </w:p>
        </w:tc>
      </w:tr>
      <w:tr>
        <w:tc>
          <w:tcPr>
            <w:tcW w:type="dxa" w:w="1800"/>
          </w:tcPr>
          <w:p>
            <w:pPr>
              <w:spacing w:after="20"/>
            </w:pPr>
            <w:r>
              <w:rPr>
                <w:b/>
                <w:color w:val="1C3A36"/>
                <w:sz w:val="12"/>
              </w:rPr>
              <w:t>beta_r2</w:t>
            </w:r>
          </w:p>
        </w:tc>
        <w:tc>
          <w:tcPr>
            <w:tcW w:type="dxa" w:w="1368"/>
          </w:tcPr>
          <w:p>
            <w:pPr>
              <w:spacing w:after="20"/>
              <w:jc w:val="right"/>
            </w:pPr>
            <w:r>
              <w:rPr>
                <w:color w:val="1C3A36"/>
                <w:sz w:val="12"/>
              </w:rPr>
              <w:t>0.297639</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engine/beta_regression.own_stock_beta('PHDC','EG','EGX') — Dimson-adjusted weekly own-stock regression against EGX30 read from engine/raw_indices/EG/EGX30.csv (PRIMARY_MARKET_DATA) — regression R-squared</w:t>
            </w:r>
          </w:p>
        </w:tc>
      </w:tr>
      <w:tr>
        <w:tc>
          <w:tcPr>
            <w:tcW w:type="dxa" w:w="1800"/>
          </w:tcPr>
          <w:p>
            <w:pPr>
              <w:spacing w:after="20"/>
            </w:pPr>
            <w:r>
              <w:rPr>
                <w:b/>
                <w:color w:val="1C3A36"/>
                <w:sz w:val="12"/>
              </w:rPr>
              <w:t>beta_se</w:t>
            </w:r>
          </w:p>
        </w:tc>
        <w:tc>
          <w:tcPr>
            <w:tcW w:type="dxa" w:w="1368"/>
          </w:tcPr>
          <w:p>
            <w:pPr>
              <w:spacing w:after="20"/>
              <w:jc w:val="right"/>
            </w:pPr>
            <w:r>
              <w:rPr>
                <w:color w:val="1C3A36"/>
                <w:sz w:val="12"/>
              </w:rPr>
              <w:t>0.181641</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engine/beta_regression.own_stock_beta('PHDC','EG','EGX') — Dimson-adjusted weekly own-stock regression against EGX30 read from engine/raw_indices/EG/EGX30.csv (PRIMARY_MARKET_DATA) — standard error of the beta estimate</w:t>
            </w:r>
          </w:p>
        </w:tc>
      </w:tr>
      <w:tr>
        <w:tc>
          <w:tcPr>
            <w:tcW w:type="dxa" w:w="1800"/>
          </w:tcPr>
          <w:p>
            <w:pPr>
              <w:spacing w:after="20"/>
            </w:pPr>
            <w:r>
              <w:rPr>
                <w:b/>
                <w:color w:val="1C3A36"/>
                <w:sz w:val="12"/>
              </w:rPr>
              <w:t>beta_val</w:t>
            </w:r>
          </w:p>
        </w:tc>
        <w:tc>
          <w:tcPr>
            <w:tcW w:type="dxa" w:w="1368"/>
          </w:tcPr>
          <w:p>
            <w:pPr>
              <w:spacing w:after="20"/>
              <w:jc w:val="right"/>
            </w:pPr>
            <w:r>
              <w:rPr>
                <w:color w:val="1C3A36"/>
                <w:sz w:val="12"/>
              </w:rPr>
              <w:t>1.056</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engine/beta_regression.own_stock_beta('PHDC','EG','EGX') — Dimson-adjusted weekly own-stock regression against EGX30 read from engine/raw_indices/EG/EGX30.csv (PRIMARY_MARKET_DATA) — Dimson-adjusted weekly beta, 255 observations over 4.93 years to 16-Jul-2026, R-squared 29.8%, standard error 0.182, passes the usability gate</w:t>
            </w:r>
          </w:p>
        </w:tc>
      </w:tr>
      <w:tr>
        <w:tc>
          <w:tcPr>
            <w:tcW w:type="dxa" w:w="1800"/>
          </w:tcPr>
          <w:p>
            <w:pPr>
              <w:spacing w:after="20"/>
            </w:pPr>
            <w:r>
              <w:rPr>
                <w:b/>
                <w:color w:val="1C3A36"/>
                <w:sz w:val="12"/>
              </w:rPr>
              <w:t>spot</w:t>
            </w:r>
          </w:p>
        </w:tc>
        <w:tc>
          <w:tcPr>
            <w:tcW w:type="dxa" w:w="1368"/>
          </w:tcPr>
          <w:p>
            <w:pPr>
              <w:spacing w:after="20"/>
              <w:jc w:val="right"/>
            </w:pPr>
            <w:r>
              <w:rPr>
                <w:color w:val="1C3A36"/>
                <w:sz w:val="12"/>
              </w:rPr>
              <w:t>15.01</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assets/data.js, TICKERS.PHDC — published cone and technical read carried forward unchanged by this fundamentals-only refresh — published spot, close of 22-Jul-2026. This refresh does not touch it</w:t>
            </w:r>
          </w:p>
        </w:tc>
      </w:tr>
      <w:tr>
        <w:tc>
          <w:tcPr>
            <w:tcW w:type="dxa" w:w="1800"/>
          </w:tcPr>
          <w:p>
            <w:pPr>
              <w:spacing w:after="20"/>
            </w:pPr>
            <w:r>
              <w:rPr>
                <w:b/>
                <w:color w:val="1C3A36"/>
                <w:sz w:val="12"/>
              </w:rPr>
              <w:t>wk52_hi</w:t>
            </w:r>
          </w:p>
        </w:tc>
        <w:tc>
          <w:tcPr>
            <w:tcW w:type="dxa" w:w="1368"/>
          </w:tcPr>
          <w:p>
            <w:pPr>
              <w:spacing w:after="20"/>
              <w:jc w:val="right"/>
            </w:pPr>
            <w:r>
              <w:rPr>
                <w:color w:val="1C3A36"/>
                <w:sz w:val="12"/>
              </w:rPr>
              <w:t>16.43</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assets/data.js, TICKERS.PHDC — published cone and technical read carried forward unchanged by this fundamentals-only refresh — published 52-week high inside the carried-forward technical read</w:t>
            </w:r>
          </w:p>
        </w:tc>
      </w:tr>
      <w:tr>
        <w:tc>
          <w:tcPr>
            <w:tcW w:type="dxa" w:w="1800"/>
          </w:tcPr>
          <w:p>
            <w:pPr>
              <w:spacing w:after="20"/>
            </w:pPr>
            <w:r>
              <w:rPr>
                <w:b/>
                <w:color w:val="1C3A36"/>
                <w:sz w:val="12"/>
              </w:rPr>
              <w:t>wk52_lo</w:t>
            </w:r>
          </w:p>
        </w:tc>
        <w:tc>
          <w:tcPr>
            <w:tcW w:type="dxa" w:w="1368"/>
          </w:tcPr>
          <w:p>
            <w:pPr>
              <w:spacing w:after="20"/>
              <w:jc w:val="right"/>
            </w:pPr>
            <w:r>
              <w:rPr>
                <w:color w:val="1C3A36"/>
                <w:sz w:val="12"/>
              </w:rPr>
              <w:t>6.99</w:t>
            </w:r>
          </w:p>
        </w:tc>
        <w:tc>
          <w:tcPr>
            <w:tcW w:type="dxa" w:w="1037"/>
          </w:tcPr>
          <w:p>
            <w:pPr>
              <w:spacing w:after="20"/>
              <w:jc w:val="right"/>
            </w:pPr>
            <w:r>
              <w:rPr>
                <w:color w:val="1C3A36"/>
                <w:sz w:val="12"/>
              </w:rPr>
              <w:t>22-Jul-2026</w:t>
            </w:r>
          </w:p>
        </w:tc>
        <w:tc>
          <w:tcPr>
            <w:tcW w:type="dxa" w:w="5875"/>
          </w:tcPr>
          <w:p>
            <w:pPr>
              <w:spacing w:after="20"/>
              <w:jc w:val="left"/>
            </w:pPr>
            <w:r>
              <w:rPr>
                <w:color w:val="1C3A36"/>
                <w:sz w:val="12"/>
              </w:rPr>
              <w:t>assets/data.js, TICKERS.PHDC — published cone and technical read carried forward unchanged by this fundamentals-only refresh — published 52-week low inside the carried-forward technical read</w:t>
            </w:r>
          </w:p>
        </w:tc>
      </w:tr>
    </w:tbl>
    <w:p>
      <w:pPr>
        <w:spacing w:after="40"/>
      </w:pPr>
    </w:p>
    <w:p>
      <w:pPr>
        <w:spacing w:after="200" w:before="0"/>
      </w:pPr>
      <w:r>
        <w:rPr>
          <w:b w:val="0"/>
          <w:i/>
          <w:color w:val="6E7B77"/>
          <w:sz w:val="17"/>
        </w:rPr>
        <w:t>Table 5. The market layer in full.</w:t>
      </w:r>
    </w:p>
    <w:p>
      <w:pPr>
        <w:spacing w:after="80" w:before="200"/>
      </w:pPr>
      <w:r>
        <w:rPr>
          <w:b/>
          <w:i w:val="0"/>
          <w:color w:val="1C3A36"/>
          <w:sz w:val="24"/>
        </w:rPr>
        <w:t>2.5  Prior study layer — 21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1368"/>
        <w:gridCol w:w="1037"/>
        <w:gridCol w:w="5875"/>
      </w:tblGrid>
      <w:tr>
        <w:tc>
          <w:tcPr>
            <w:tcW w:type="dxa" w:w="1800"/>
            <w:shd w:val="clear" w:color="auto" w:fill="EAF0EE"/>
          </w:tcPr>
          <w:p>
            <w:pPr>
              <w:spacing w:after="20"/>
            </w:pPr>
            <w:r>
              <w:rPr>
                <w:b/>
                <w:color w:val="1C3A36"/>
                <w:sz w:val="12"/>
              </w:rPr>
              <w:t>Input</w:t>
            </w:r>
          </w:p>
        </w:tc>
        <w:tc>
          <w:tcPr>
            <w:tcW w:type="dxa" w:w="1368"/>
            <w:shd w:val="clear" w:color="auto" w:fill="EAF0EE"/>
          </w:tcPr>
          <w:p>
            <w:pPr>
              <w:spacing w:after="20"/>
            </w:pPr>
            <w:r>
              <w:rPr>
                <w:b/>
                <w:color w:val="1C3A36"/>
                <w:sz w:val="12"/>
              </w:rPr>
              <w:t>Value</w:t>
            </w:r>
          </w:p>
        </w:tc>
        <w:tc>
          <w:tcPr>
            <w:tcW w:type="dxa" w:w="1037"/>
            <w:shd w:val="clear" w:color="auto" w:fill="EAF0EE"/>
          </w:tcPr>
          <w:p>
            <w:pPr>
              <w:spacing w:after="20"/>
            </w:pPr>
            <w:r>
              <w:rPr>
                <w:b/>
                <w:color w:val="1C3A36"/>
                <w:sz w:val="12"/>
              </w:rPr>
              <w:t>Date</w:t>
            </w:r>
          </w:p>
        </w:tc>
        <w:tc>
          <w:tcPr>
            <w:tcW w:type="dxa" w:w="5875"/>
            <w:shd w:val="clear" w:color="auto" w:fill="EAF0EE"/>
          </w:tcPr>
          <w:p>
            <w:pPr>
              <w:spacing w:after="20"/>
              <w:jc w:val="left"/>
            </w:pPr>
            <w:r>
              <w:rPr>
                <w:b/>
                <w:color w:val="1C3A36"/>
                <w:sz w:val="12"/>
              </w:rPr>
              <w:t>Source and construction</w:t>
            </w:r>
          </w:p>
        </w:tc>
      </w:tr>
      <w:tr>
        <w:tc>
          <w:tcPr>
            <w:tcW w:type="dxa" w:w="1800"/>
          </w:tcPr>
          <w:p>
            <w:pPr>
              <w:spacing w:after="20"/>
            </w:pPr>
            <w:r>
              <w:rPr>
                <w:b/>
                <w:color w:val="1C3A36"/>
                <w:sz w:val="12"/>
              </w:rPr>
              <w:t>prior_backlog</w:t>
            </w:r>
          </w:p>
        </w:tc>
        <w:tc>
          <w:tcPr>
            <w:tcW w:type="dxa" w:w="1368"/>
          </w:tcPr>
          <w:p>
            <w:pPr>
              <w:spacing w:after="20"/>
              <w:jc w:val="right"/>
            </w:pPr>
            <w:r>
              <w:rPr>
                <w:color w:val="1C3A36"/>
                <w:sz w:val="12"/>
              </w:rPr>
              <w:t>263,000.0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backlog EGP 263bn</w:t>
            </w:r>
          </w:p>
        </w:tc>
      </w:tr>
      <w:tr>
        <w:tc>
          <w:tcPr>
            <w:tcW w:type="dxa" w:w="1800"/>
          </w:tcPr>
          <w:p>
            <w:pPr>
              <w:spacing w:after="20"/>
            </w:pPr>
            <w:r>
              <w:rPr>
                <w:b/>
                <w:color w:val="1C3A36"/>
                <w:sz w:val="12"/>
              </w:rPr>
              <w:t>prior_capex_fy26</w:t>
            </w:r>
          </w:p>
        </w:tc>
        <w:tc>
          <w:tcPr>
            <w:tcW w:type="dxa" w:w="1368"/>
          </w:tcPr>
          <w:p>
            <w:pPr>
              <w:spacing w:after="20"/>
              <w:jc w:val="right"/>
            </w:pPr>
            <w:r>
              <w:rPr>
                <w:color w:val="1C3A36"/>
                <w:sz w:val="12"/>
              </w:rPr>
              <w:t>250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Cash Flow sheet, FY2026 capex</w:t>
            </w:r>
          </w:p>
        </w:tc>
      </w:tr>
      <w:tr>
        <w:tc>
          <w:tcPr>
            <w:tcW w:type="dxa" w:w="1800"/>
          </w:tcPr>
          <w:p>
            <w:pPr>
              <w:spacing w:after="20"/>
            </w:pPr>
            <w:r>
              <w:rPr>
                <w:b/>
                <w:color w:val="1C3A36"/>
                <w:sz w:val="12"/>
              </w:rPr>
              <w:t>prior_constr_runrate</w:t>
            </w:r>
          </w:p>
        </w:tc>
        <w:tc>
          <w:tcPr>
            <w:tcW w:type="dxa" w:w="1368"/>
          </w:tcPr>
          <w:p>
            <w:pPr>
              <w:spacing w:after="20"/>
              <w:jc w:val="right"/>
            </w:pPr>
            <w:r>
              <w:rPr>
                <w:color w:val="1C3A36"/>
                <w:sz w:val="12"/>
              </w:rPr>
              <w:t>17,000.0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construction pacing of about EGP 14-20bn per year</w:t>
            </w:r>
          </w:p>
        </w:tc>
      </w:tr>
      <w:tr>
        <w:tc>
          <w:tcPr>
            <w:tcW w:type="dxa" w:w="1800"/>
          </w:tcPr>
          <w:p>
            <w:pPr>
              <w:spacing w:after="20"/>
            </w:pPr>
            <w:r>
              <w:rPr>
                <w:b/>
                <w:color w:val="1C3A36"/>
                <w:sz w:val="12"/>
              </w:rPr>
              <w:t>prior_debt_equity</w:t>
            </w:r>
          </w:p>
        </w:tc>
        <w:tc>
          <w:tcPr>
            <w:tcW w:type="dxa" w:w="1368"/>
          </w:tcPr>
          <w:p>
            <w:pPr>
              <w:spacing w:after="20"/>
              <w:jc w:val="right"/>
            </w:pPr>
            <w:r>
              <w:rPr>
                <w:color w:val="1C3A36"/>
                <w:sz w:val="12"/>
              </w:rPr>
              <w:t>1.58</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debt to equity about 158%</w:t>
            </w:r>
          </w:p>
        </w:tc>
      </w:tr>
      <w:tr>
        <w:tc>
          <w:tcPr>
            <w:tcW w:type="dxa" w:w="1800"/>
          </w:tcPr>
          <w:p>
            <w:pPr>
              <w:spacing w:after="20"/>
            </w:pPr>
            <w:r>
              <w:rPr>
                <w:b/>
                <w:color w:val="1C3A36"/>
                <w:sz w:val="12"/>
              </w:rPr>
              <w:t>prior_ebitda_fy26</w:t>
            </w:r>
          </w:p>
        </w:tc>
        <w:tc>
          <w:tcPr>
            <w:tcW w:type="dxa" w:w="1368"/>
          </w:tcPr>
          <w:p>
            <w:pPr>
              <w:spacing w:after="20"/>
              <w:jc w:val="right"/>
            </w:pPr>
            <w:r>
              <w:rPr>
                <w:color w:val="1C3A36"/>
                <w:sz w:val="12"/>
              </w:rPr>
              <w:t>13,874.0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Income Statement sheet, FY2026 EBITDA</w:t>
            </w:r>
          </w:p>
        </w:tc>
      </w:tr>
      <w:tr>
        <w:tc>
          <w:tcPr>
            <w:tcW w:type="dxa" w:w="1800"/>
          </w:tcPr>
          <w:p>
            <w:pPr>
              <w:spacing w:after="20"/>
            </w:pPr>
            <w:r>
              <w:rPr>
                <w:b/>
                <w:color w:val="1C3A36"/>
                <w:sz w:val="12"/>
              </w:rPr>
              <w:t>prior_escalation</w:t>
            </w:r>
          </w:p>
        </w:tc>
        <w:tc>
          <w:tcPr>
            <w:tcW w:type="dxa" w:w="1368"/>
          </w:tcPr>
          <w:p>
            <w:pPr>
              <w:spacing w:after="20"/>
              <w:jc w:val="right"/>
            </w:pPr>
            <w:r>
              <w:rPr>
                <w:color w:val="1C3A36"/>
                <w:sz w:val="12"/>
              </w:rPr>
              <w:t>0.14</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B13, sales-price escalation per year</w:t>
            </w:r>
          </w:p>
        </w:tc>
      </w:tr>
      <w:tr>
        <w:tc>
          <w:tcPr>
            <w:tcW w:type="dxa" w:w="1800"/>
          </w:tcPr>
          <w:p>
            <w:pPr>
              <w:spacing w:after="20"/>
            </w:pPr>
            <w:r>
              <w:rPr>
                <w:b/>
                <w:color w:val="1C3A36"/>
                <w:sz w:val="12"/>
              </w:rPr>
              <w:t>prior_ev_ebitda</w:t>
            </w:r>
          </w:p>
        </w:tc>
        <w:tc>
          <w:tcPr>
            <w:tcW w:type="dxa" w:w="1368"/>
          </w:tcPr>
          <w:p>
            <w:pPr>
              <w:spacing w:after="20"/>
              <w:jc w:val="right"/>
            </w:pPr>
            <w:r>
              <w:rPr>
                <w:color w:val="1C3A36"/>
                <w:sz w:val="12"/>
              </w:rPr>
              <w:t>8.1</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EV/EBITDA about 8.1x</w:t>
            </w:r>
          </w:p>
        </w:tc>
      </w:tr>
      <w:tr>
        <w:tc>
          <w:tcPr>
            <w:tcW w:type="dxa" w:w="1800"/>
          </w:tcPr>
          <w:p>
            <w:pPr>
              <w:spacing w:after="20"/>
            </w:pPr>
            <w:r>
              <w:rPr>
                <w:b/>
                <w:color w:val="1C3A36"/>
                <w:sz w:val="12"/>
              </w:rPr>
              <w:t>prior_fair_base</w:t>
            </w:r>
          </w:p>
        </w:tc>
        <w:tc>
          <w:tcPr>
            <w:tcW w:type="dxa" w:w="1368"/>
          </w:tcPr>
          <w:p>
            <w:pPr>
              <w:spacing w:after="20"/>
              <w:jc w:val="right"/>
            </w:pPr>
            <w:r>
              <w:rPr>
                <w:color w:val="1C3A36"/>
                <w:sz w:val="12"/>
              </w:rPr>
              <w:t>15.89</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Valuation sheet cell D38, risk-adjusted equity value per share</w:t>
            </w:r>
          </w:p>
        </w:tc>
      </w:tr>
      <w:tr>
        <w:tc>
          <w:tcPr>
            <w:tcW w:type="dxa" w:w="1800"/>
          </w:tcPr>
          <w:p>
            <w:pPr>
              <w:spacing w:after="20"/>
            </w:pPr>
            <w:r>
              <w:rPr>
                <w:b/>
                <w:color w:val="1C3A36"/>
                <w:sz w:val="12"/>
              </w:rPr>
              <w:t>prior_fair_bear</w:t>
            </w:r>
          </w:p>
        </w:tc>
        <w:tc>
          <w:tcPr>
            <w:tcW w:type="dxa" w:w="1368"/>
          </w:tcPr>
          <w:p>
            <w:pPr>
              <w:spacing w:after="20"/>
              <w:jc w:val="right"/>
            </w:pPr>
            <w:r>
              <w:rPr>
                <w:color w:val="1C3A36"/>
                <w:sz w:val="12"/>
              </w:rPr>
              <w:t>7.62</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bear case, contracted plus existing compounds only</w:t>
            </w:r>
          </w:p>
        </w:tc>
      </w:tr>
      <w:tr>
        <w:tc>
          <w:tcPr>
            <w:tcW w:type="dxa" w:w="1800"/>
          </w:tcPr>
          <w:p>
            <w:pPr>
              <w:spacing w:after="20"/>
            </w:pPr>
            <w:r>
              <w:rPr>
                <w:b/>
                <w:color w:val="1C3A36"/>
                <w:sz w:val="12"/>
              </w:rPr>
              <w:t>prior_fair_full</w:t>
            </w:r>
          </w:p>
        </w:tc>
        <w:tc>
          <w:tcPr>
            <w:tcW w:type="dxa" w:w="1368"/>
          </w:tcPr>
          <w:p>
            <w:pPr>
              <w:spacing w:after="20"/>
              <w:jc w:val="right"/>
            </w:pPr>
            <w:r>
              <w:rPr>
                <w:color w:val="1C3A36"/>
                <w:sz w:val="12"/>
              </w:rPr>
              <w:t>24.92</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Valuation sheet cell B38, full-execution equity value per share</w:t>
            </w:r>
          </w:p>
        </w:tc>
      </w:tr>
      <w:tr>
        <w:tc>
          <w:tcPr>
            <w:tcW w:type="dxa" w:w="1800"/>
          </w:tcPr>
          <w:p>
            <w:pPr>
              <w:spacing w:after="20"/>
            </w:pPr>
            <w:r>
              <w:rPr>
                <w:b/>
                <w:color w:val="1C3A36"/>
                <w:sz w:val="12"/>
              </w:rPr>
              <w:t>prior_gm_fy26</w:t>
            </w:r>
          </w:p>
        </w:tc>
        <w:tc>
          <w:tcPr>
            <w:tcW w:type="dxa" w:w="1368"/>
          </w:tcPr>
          <w:p>
            <w:pPr>
              <w:spacing w:after="20"/>
              <w:jc w:val="right"/>
            </w:pPr>
            <w:r>
              <w:rPr>
                <w:color w:val="1C3A36"/>
                <w:sz w:val="12"/>
              </w:rPr>
              <w:t>0.4156</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Income Statement sheet, FY2026 gross margin</w:t>
            </w:r>
          </w:p>
        </w:tc>
      </w:tr>
      <w:tr>
        <w:tc>
          <w:tcPr>
            <w:tcW w:type="dxa" w:w="1800"/>
          </w:tcPr>
          <w:p>
            <w:pPr>
              <w:spacing w:after="20"/>
            </w:pPr>
            <w:r>
              <w:rPr>
                <w:b/>
                <w:color w:val="1C3A36"/>
                <w:sz w:val="12"/>
              </w:rPr>
              <w:t>prior_kd</w:t>
            </w:r>
          </w:p>
        </w:tc>
        <w:tc>
          <w:tcPr>
            <w:tcW w:type="dxa" w:w="1368"/>
          </w:tcPr>
          <w:p>
            <w:pPr>
              <w:spacing w:after="20"/>
              <w:jc w:val="right"/>
            </w:pPr>
            <w:r>
              <w:rPr>
                <w:color w:val="1C3A36"/>
                <w:sz w:val="12"/>
              </w:rPr>
              <w:t>0.18</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B12, cost of debt</w:t>
            </w:r>
          </w:p>
        </w:tc>
      </w:tr>
      <w:tr>
        <w:tc>
          <w:tcPr>
            <w:tcW w:type="dxa" w:w="1800"/>
          </w:tcPr>
          <w:p>
            <w:pPr>
              <w:spacing w:after="20"/>
            </w:pPr>
            <w:r>
              <w:rPr>
                <w:b/>
                <w:color w:val="1C3A36"/>
                <w:sz w:val="12"/>
              </w:rPr>
              <w:t>prior_netdebt</w:t>
            </w:r>
          </w:p>
        </w:tc>
        <w:tc>
          <w:tcPr>
            <w:tcW w:type="dxa" w:w="1368"/>
          </w:tcPr>
          <w:p>
            <w:pPr>
              <w:spacing w:after="20"/>
              <w:jc w:val="right"/>
            </w:pPr>
            <w:r>
              <w:rPr>
                <w:color w:val="1C3A36"/>
                <w:sz w:val="12"/>
              </w:rPr>
              <w:t>12,000.0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B5, net debt EGP 12bn (gross 30 less cash 18)</w:t>
            </w:r>
          </w:p>
        </w:tc>
      </w:tr>
      <w:tr>
        <w:tc>
          <w:tcPr>
            <w:tcW w:type="dxa" w:w="1800"/>
          </w:tcPr>
          <w:p>
            <w:pPr>
              <w:spacing w:after="20"/>
            </w:pPr>
            <w:r>
              <w:rPr>
                <w:b/>
                <w:color w:val="1C3A36"/>
                <w:sz w:val="12"/>
              </w:rPr>
              <w:t>prior_ni_fy26</w:t>
            </w:r>
          </w:p>
        </w:tc>
        <w:tc>
          <w:tcPr>
            <w:tcW w:type="dxa" w:w="1368"/>
          </w:tcPr>
          <w:p>
            <w:pPr>
              <w:spacing w:after="20"/>
              <w:jc w:val="right"/>
            </w:pPr>
            <w:r>
              <w:rPr>
                <w:color w:val="1C3A36"/>
                <w:sz w:val="12"/>
              </w:rPr>
              <w:t>6,373.0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Income Statement sheet, FY2026 net income</w:t>
            </w:r>
          </w:p>
        </w:tc>
      </w:tr>
      <w:tr>
        <w:tc>
          <w:tcPr>
            <w:tcW w:type="dxa" w:w="1800"/>
          </w:tcPr>
          <w:p>
            <w:pPr>
              <w:spacing w:after="20"/>
            </w:pPr>
            <w:r>
              <w:rPr>
                <w:b/>
                <w:color w:val="1C3A36"/>
                <w:sz w:val="12"/>
              </w:rPr>
              <w:t>prior_pe</w:t>
            </w:r>
          </w:p>
        </w:tc>
        <w:tc>
          <w:tcPr>
            <w:tcW w:type="dxa" w:w="1368"/>
          </w:tcPr>
          <w:p>
            <w:pPr>
              <w:spacing w:after="20"/>
              <w:jc w:val="right"/>
            </w:pPr>
            <w:r>
              <w:rPr>
                <w:color w:val="1C3A36"/>
                <w:sz w:val="12"/>
              </w:rPr>
              <w:t>10.3</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P/E about 10.3x</w:t>
            </w:r>
          </w:p>
        </w:tc>
      </w:tr>
      <w:tr>
        <w:tc>
          <w:tcPr>
            <w:tcW w:type="dxa" w:w="1800"/>
          </w:tcPr>
          <w:p>
            <w:pPr>
              <w:spacing w:after="20"/>
            </w:pPr>
            <w:r>
              <w:rPr>
                <w:b/>
                <w:color w:val="1C3A36"/>
                <w:sz w:val="12"/>
              </w:rPr>
              <w:t>prior_ps</w:t>
            </w:r>
          </w:p>
        </w:tc>
        <w:tc>
          <w:tcPr>
            <w:tcW w:type="dxa" w:w="1368"/>
          </w:tcPr>
          <w:p>
            <w:pPr>
              <w:spacing w:after="20"/>
              <w:jc w:val="right"/>
            </w:pPr>
            <w:r>
              <w:rPr>
                <w:color w:val="1C3A36"/>
                <w:sz w:val="12"/>
              </w:rPr>
              <w:t>0.92</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price to sales 0.92x</w:t>
            </w:r>
          </w:p>
        </w:tc>
      </w:tr>
      <w:tr>
        <w:tc>
          <w:tcPr>
            <w:tcW w:type="dxa" w:w="1800"/>
          </w:tcPr>
          <w:p>
            <w:pPr>
              <w:spacing w:after="20"/>
            </w:pPr>
            <w:r>
              <w:rPr>
                <w:b/>
                <w:color w:val="1C3A36"/>
                <w:sz w:val="12"/>
              </w:rPr>
              <w:t>prior_rev_fy26</w:t>
            </w:r>
          </w:p>
        </w:tc>
        <w:tc>
          <w:tcPr>
            <w:tcW w:type="dxa" w:w="1368"/>
          </w:tcPr>
          <w:p>
            <w:pPr>
              <w:spacing w:after="20"/>
              <w:jc w:val="right"/>
            </w:pPr>
            <w:r>
              <w:rPr>
                <w:color w:val="1C3A36"/>
                <w:sz w:val="12"/>
              </w:rPr>
              <w:t>50,042.0</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Income Statement sheet, FY2026 revenue, EGP bn 50.042</w:t>
            </w:r>
          </w:p>
        </w:tc>
      </w:tr>
      <w:tr>
        <w:tc>
          <w:tcPr>
            <w:tcW w:type="dxa" w:w="1800"/>
          </w:tcPr>
          <w:p>
            <w:pPr>
              <w:spacing w:after="20"/>
            </w:pPr>
            <w:r>
              <w:rPr>
                <w:b/>
                <w:color w:val="1C3A36"/>
                <w:sz w:val="12"/>
              </w:rPr>
              <w:t>prior_roe</w:t>
            </w:r>
          </w:p>
        </w:tc>
        <w:tc>
          <w:tcPr>
            <w:tcW w:type="dxa" w:w="1368"/>
          </w:tcPr>
          <w:p>
            <w:pPr>
              <w:spacing w:after="20"/>
              <w:jc w:val="right"/>
            </w:pPr>
            <w:r>
              <w:rPr>
                <w:color w:val="1C3A36"/>
                <w:sz w:val="12"/>
              </w:rPr>
              <w:t>0.269</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stated ROE 26.9%</w:t>
            </w:r>
          </w:p>
        </w:tc>
      </w:tr>
      <w:tr>
        <w:tc>
          <w:tcPr>
            <w:tcW w:type="dxa" w:w="1800"/>
          </w:tcPr>
          <w:p>
            <w:pPr>
              <w:spacing w:after="20"/>
            </w:pPr>
            <w:r>
              <w:rPr>
                <w:b/>
                <w:color w:val="1C3A36"/>
                <w:sz w:val="12"/>
              </w:rPr>
              <w:t>prior_shares</w:t>
            </w:r>
          </w:p>
        </w:tc>
        <w:tc>
          <w:tcPr>
            <w:tcW w:type="dxa" w:w="1368"/>
          </w:tcPr>
          <w:p>
            <w:pPr>
              <w:spacing w:after="20"/>
              <w:jc w:val="right"/>
            </w:pPr>
            <w:r>
              <w:rPr>
                <w:color w:val="1C3A36"/>
                <w:sz w:val="12"/>
              </w:rPr>
              <w:t>2,859.9</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B4, shares outstanding 2.8599bn (issued, before treasury)</w:t>
            </w:r>
          </w:p>
        </w:tc>
      </w:tr>
      <w:tr>
        <w:tc>
          <w:tcPr>
            <w:tcW w:type="dxa" w:w="1800"/>
          </w:tcPr>
          <w:p>
            <w:pPr>
              <w:spacing w:after="20"/>
            </w:pPr>
            <w:r>
              <w:rPr>
                <w:b/>
                <w:color w:val="1C3A36"/>
                <w:sz w:val="12"/>
              </w:rPr>
              <w:t>prior_term_g</w:t>
            </w:r>
          </w:p>
        </w:tc>
        <w:tc>
          <w:tcPr>
            <w:tcW w:type="dxa" w:w="1368"/>
          </w:tcPr>
          <w:p>
            <w:pPr>
              <w:spacing w:after="20"/>
              <w:jc w:val="right"/>
            </w:pPr>
            <w:r>
              <w:rPr>
                <w:color w:val="1C3A36"/>
                <w:sz w:val="12"/>
              </w:rPr>
              <w:t>0.05</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B21, terminal growth</w:t>
            </w:r>
          </w:p>
        </w:tc>
      </w:tr>
      <w:tr>
        <w:tc>
          <w:tcPr>
            <w:tcW w:type="dxa" w:w="1800"/>
          </w:tcPr>
          <w:p>
            <w:pPr>
              <w:spacing w:after="20"/>
            </w:pPr>
            <w:r>
              <w:rPr>
                <w:b/>
                <w:color w:val="1C3A36"/>
                <w:sz w:val="12"/>
              </w:rPr>
              <w:t>prior_wacc</w:t>
            </w:r>
          </w:p>
        </w:tc>
        <w:tc>
          <w:tcPr>
            <w:tcW w:type="dxa" w:w="1368"/>
          </w:tcPr>
          <w:p>
            <w:pPr>
              <w:spacing w:after="20"/>
              <w:jc w:val="right"/>
            </w:pPr>
            <w:r>
              <w:rPr>
                <w:color w:val="1C3A36"/>
                <w:sz w:val="12"/>
              </w:rPr>
              <w:t>0.18</w:t>
            </w:r>
          </w:p>
        </w:tc>
        <w:tc>
          <w:tcPr>
            <w:tcW w:type="dxa" w:w="1037"/>
          </w:tcPr>
          <w:p>
            <w:pPr>
              <w:spacing w:after="20"/>
              <w:jc w:val="right"/>
            </w:pPr>
            <w:r>
              <w:rPr>
                <w:color w:val="1C3A36"/>
                <w:sz w:val="12"/>
              </w:rPr>
              <w:t>11-Jun-2026</w:t>
            </w:r>
          </w:p>
        </w:tc>
        <w:tc>
          <w:tcPr>
            <w:tcW w:type="dxa" w:w="5875"/>
          </w:tcPr>
          <w:p>
            <w:pPr>
              <w:spacing w:after="20"/>
              <w:jc w:val="left"/>
            </w:pPr>
            <w:r>
              <w:rPr>
                <w:color w:val="1C3A36"/>
                <w:sz w:val="12"/>
              </w:rPr>
              <w:t>PHDC Valuation Study of 11-Jun-2026 and its companion workbook (PHDC_Valuation_Study_11062026_public.xlsx), superseded by this edition — Assumptions sheet cell B10, WACC nominal EGP</w:t>
            </w:r>
          </w:p>
        </w:tc>
      </w:tr>
    </w:tbl>
    <w:p>
      <w:pPr>
        <w:spacing w:after="40"/>
      </w:pPr>
    </w:p>
    <w:p>
      <w:pPr>
        <w:spacing w:after="200" w:before="0"/>
      </w:pPr>
      <w:r>
        <w:rPr>
          <w:b w:val="0"/>
          <w:i/>
          <w:color w:val="6E7B77"/>
          <w:sz w:val="17"/>
        </w:rPr>
        <w:t>Table 6. The prior study layer in full.</w:t>
      </w:r>
    </w:p>
    <w:p>
      <w:pPr>
        <w:spacing w:after="120" w:before="280"/>
      </w:pPr>
      <w:r>
        <w:rPr>
          <w:b/>
          <w:i w:val="0"/>
          <w:color w:val="1C3A36"/>
          <w:sz w:val="30"/>
        </w:rPr>
        <w:t>3  Judgements, and what would overturn each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744"/>
        <w:gridCol w:w="4104"/>
      </w:tblGrid>
      <w:tr>
        <w:tc>
          <w:tcPr>
            <w:tcW w:type="dxa" w:w="2232"/>
            <w:shd w:val="clear" w:color="auto" w:fill="EAF0EE"/>
          </w:tcPr>
          <w:p>
            <w:pPr>
              <w:spacing w:after="20"/>
            </w:pPr>
            <w:r>
              <w:rPr>
                <w:b/>
                <w:color w:val="1C3A36"/>
                <w:sz w:val="15"/>
              </w:rPr>
              <w:t>Judgement</w:t>
            </w:r>
          </w:p>
        </w:tc>
        <w:tc>
          <w:tcPr>
            <w:tcW w:type="dxa" w:w="3744"/>
            <w:shd w:val="clear" w:color="auto" w:fill="EAF0EE"/>
          </w:tcPr>
          <w:p>
            <w:pPr>
              <w:spacing w:after="20"/>
              <w:jc w:val="left"/>
            </w:pPr>
            <w:r>
              <w:rPr>
                <w:b/>
                <w:color w:val="1C3A36"/>
                <w:sz w:val="15"/>
              </w:rPr>
              <w:t>What the study does</w:t>
            </w:r>
          </w:p>
        </w:tc>
        <w:tc>
          <w:tcPr>
            <w:tcW w:type="dxa" w:w="4104"/>
            <w:shd w:val="clear" w:color="auto" w:fill="EAF0EE"/>
          </w:tcPr>
          <w:p>
            <w:pPr>
              <w:spacing w:after="20"/>
              <w:jc w:val="left"/>
            </w:pPr>
            <w:r>
              <w:rPr>
                <w:b/>
                <w:color w:val="1C3A36"/>
                <w:sz w:val="15"/>
              </w:rPr>
              <w:t>What would overturn it</w:t>
            </w:r>
          </w:p>
        </w:tc>
      </w:tr>
      <w:tr>
        <w:tc>
          <w:tcPr>
            <w:tcW w:type="dxa" w:w="2232"/>
          </w:tcPr>
          <w:p>
            <w:pPr>
              <w:spacing w:after="20"/>
            </w:pPr>
            <w:r>
              <w:rPr>
                <w:b/>
                <w:color w:val="1C3A36"/>
                <w:sz w:val="15"/>
              </w:rPr>
              <w:t>The Residents' Association float is permanent operating funding</w:t>
            </w:r>
          </w:p>
        </w:tc>
        <w:tc>
          <w:tcPr>
            <w:tcW w:type="dxa" w:w="3744"/>
          </w:tcPr>
          <w:p>
            <w:pPr>
              <w:spacing w:after="20"/>
              <w:jc w:val="left"/>
            </w:pPr>
            <w:r>
              <w:rPr>
                <w:color w:val="1C3A36"/>
                <w:sz w:val="15"/>
              </w:rPr>
              <w:t>Adopted as the base framing. The balance has risen in every disclosed period, no association has been constituted, and the invested proceeds earn for the company. The other framing is computed in full and published beside it, never averaged into it.</w:t>
            </w:r>
          </w:p>
        </w:tc>
        <w:tc>
          <w:tcPr>
            <w:tcW w:type="dxa" w:w="4104"/>
          </w:tcPr>
          <w:p>
            <w:pPr>
              <w:spacing w:after="20"/>
              <w:jc w:val="left"/>
            </w:pPr>
            <w:r>
              <w:rPr>
                <w:color w:val="1C3A36"/>
                <w:sz w:val="15"/>
              </w:rPr>
              <w:t>Any association taking legal personality and its assets with it under Building Law 119. That single event moves the study from EGP 15.82 to EGP 5.79 a share.</w:t>
            </w:r>
          </w:p>
        </w:tc>
      </w:tr>
      <w:tr>
        <w:tc>
          <w:tcPr>
            <w:tcW w:type="dxa" w:w="2232"/>
          </w:tcPr>
          <w:p>
            <w:pPr>
              <w:spacing w:after="20"/>
            </w:pPr>
            <w:r>
              <w:rPr>
                <w:b/>
                <w:color w:val="1C3A36"/>
                <w:sz w:val="15"/>
              </w:rPr>
              <w:t>The cost of capital normalises with the disinflation path</w:t>
            </w:r>
          </w:p>
        </w:tc>
        <w:tc>
          <w:tcPr>
            <w:tcW w:type="dxa" w:w="3744"/>
          </w:tcPr>
          <w:p>
            <w:pPr>
              <w:spacing w:after="20"/>
              <w:jc w:val="left"/>
            </w:pPr>
            <w:r>
              <w:rPr>
                <w:color w:val="1C3A36"/>
                <w:sz w:val="15"/>
              </w:rPr>
              <w:t>The discount rate glides from 25.89% today to 14.79% by the end of the explicit horizon, on a terminal risk-free rate built from the central bank's own 5 per cent target for the fourth quarter of 2028. The spot-anchored constant rate is carried as the other end of every range.</w:t>
            </w:r>
          </w:p>
        </w:tc>
        <w:tc>
          <w:tcPr>
            <w:tcW w:type="dxa" w:w="4104"/>
          </w:tcPr>
          <w:p>
            <w:pPr>
              <w:spacing w:after="20"/>
              <w:jc w:val="left"/>
            </w:pPr>
            <w:r>
              <w:rPr>
                <w:color w:val="1C3A36"/>
                <w:sz w:val="15"/>
              </w:rPr>
              <w:t>An inflation path that stops falling. July's urban print of 14.9% was the first acceleration in four months. Holding the spot rate throughout takes the cash-flow lens from EGP 34.56 to EGP 11.67.</w:t>
            </w:r>
          </w:p>
        </w:tc>
      </w:tr>
      <w:tr>
        <w:tc>
          <w:tcPr>
            <w:tcW w:type="dxa" w:w="2232"/>
          </w:tcPr>
          <w:p>
            <w:pPr>
              <w:spacing w:after="20"/>
            </w:pPr>
            <w:r>
              <w:rPr>
                <w:b/>
                <w:color w:val="1C3A36"/>
                <w:sz w:val="15"/>
              </w:rPr>
              <w:t>The price-to-build-cost ratio holds at its measured level</w:t>
            </w:r>
          </w:p>
        </w:tc>
        <w:tc>
          <w:tcPr>
            <w:tcW w:type="dxa" w:w="3744"/>
          </w:tcPr>
          <w:p>
            <w:pPr>
              <w:spacing w:after="20"/>
              <w:jc w:val="left"/>
            </w:pPr>
            <w:r>
              <w:rPr>
                <w:color w:val="1C3A36"/>
                <w:sz w:val="15"/>
              </w:rPr>
              <w:t>Held at the measured 3.119x and escalated only by the difference between the selling-price path and the build-cost path. Not extrapolated downward from the year-on-year fall.</w:t>
            </w:r>
          </w:p>
        </w:tc>
        <w:tc>
          <w:tcPr>
            <w:tcW w:type="dxa" w:w="4104"/>
          </w:tcPr>
          <w:p>
            <w:pPr>
              <w:spacing w:after="20"/>
              <w:jc w:val="left"/>
            </w:pPr>
            <w:r>
              <w:rPr>
                <w:color w:val="1C3A36"/>
                <w:sz w:val="15"/>
              </w:rPr>
              <w:t>A first-half 2027 ratio below 2.81x. The two most recent quarters argue against further compression — the margin recovered from 17.5% to 21.1% — but they are two quarters.</w:t>
            </w:r>
          </w:p>
        </w:tc>
      </w:tr>
      <w:tr>
        <w:tc>
          <w:tcPr>
            <w:tcW w:type="dxa" w:w="2232"/>
          </w:tcPr>
          <w:p>
            <w:pPr>
              <w:spacing w:after="20"/>
            </w:pPr>
            <w:r>
              <w:rPr>
                <w:b/>
                <w:color w:val="1C3A36"/>
                <w:sz w:val="15"/>
              </w:rPr>
              <w:t>Real construction volume grows and then decelerates</w:t>
            </w:r>
          </w:p>
        </w:tc>
        <w:tc>
          <w:tcPr>
            <w:tcW w:type="dxa" w:w="3744"/>
          </w:tcPr>
          <w:p>
            <w:pPr>
              <w:spacing w:after="20"/>
              <w:jc w:val="left"/>
            </w:pPr>
            <w:r>
              <w:rPr>
                <w:color w:val="1C3A36"/>
                <w:sz w:val="15"/>
              </w:rPr>
              <w:t>Work carried out annualises +32.9% above 2025; the path carries 12% real growth in 2027 falling to 3% by 2031.</w:t>
            </w:r>
          </w:p>
        </w:tc>
        <w:tc>
          <w:tcPr>
            <w:tcW w:type="dxa" w:w="4104"/>
          </w:tcPr>
          <w:p>
            <w:pPr>
              <w:spacing w:after="20"/>
              <w:jc w:val="left"/>
            </w:pPr>
            <w:r>
              <w:rPr>
                <w:color w:val="1C3A36"/>
                <w:sz w:val="15"/>
              </w:rPr>
              <w:t>A land bank or a launch programme that will not carry the volume. The exposure is real but one-sided: at no real growth at all the cash-flow lens falls from EGP 34.56 to EGP 25.05, and at half again the base path it rises to EGP 40.19. It runs that way because 59% of the capital funding the work is customer money — net of it the return on capital is 27.6%, against 11.3% on the gross base.</w:t>
            </w:r>
          </w:p>
        </w:tc>
      </w:tr>
      <w:tr>
        <w:tc>
          <w:tcPr>
            <w:tcW w:type="dxa" w:w="2232"/>
          </w:tcPr>
          <w:p>
            <w:pPr>
              <w:spacing w:after="20"/>
            </w:pPr>
            <w:r>
              <w:rPr>
                <w:b/>
                <w:color w:val="1C3A36"/>
                <w:sz w:val="15"/>
              </w:rPr>
              <w:t>The construction cost stack splits 25/20/25/30 across steel, cement, finishing and labour</w:t>
            </w:r>
          </w:p>
        </w:tc>
        <w:tc>
          <w:tcPr>
            <w:tcW w:type="dxa" w:w="3744"/>
          </w:tcPr>
          <w:p>
            <w:pPr>
              <w:spacing w:after="20"/>
              <w:jc w:val="left"/>
            </w:pPr>
            <w:r>
              <w:rPr>
                <w:color w:val="1C3A36"/>
                <w:sz w:val="15"/>
              </w:rPr>
              <w:t>Estimated. No filing discloses a cost-by-nature split of construction. Each class still carries its own escalator; only the weights are judgement.</w:t>
            </w:r>
          </w:p>
        </w:tc>
        <w:tc>
          <w:tcPr>
            <w:tcW w:type="dxa" w:w="4104"/>
          </w:tcPr>
          <w:p>
            <w:pPr>
              <w:spacing w:after="20"/>
              <w:jc w:val="left"/>
            </w:pPr>
            <w:r>
              <w:rPr>
                <w:color w:val="1C3A36"/>
                <w:sz w:val="15"/>
              </w:rPr>
              <w:t>A cost-by-nature disclosure. Two hundred basis points of error in the blended escalator is worth EGP 13.62 a share.</w:t>
            </w:r>
          </w:p>
        </w:tc>
      </w:tr>
      <w:tr>
        <w:tc>
          <w:tcPr>
            <w:tcW w:type="dxa" w:w="2232"/>
          </w:tcPr>
          <w:p>
            <w:pPr>
              <w:spacing w:after="20"/>
            </w:pPr>
            <w:r>
              <w:rPr>
                <w:b/>
                <w:color w:val="1C3A36"/>
                <w:sz w:val="15"/>
              </w:rPr>
              <w:t>Land cost and the partners' share of revenue cannot be separated</w:t>
            </w:r>
          </w:p>
        </w:tc>
        <w:tc>
          <w:tcPr>
            <w:tcW w:type="dxa" w:w="3744"/>
          </w:tcPr>
          <w:p>
            <w:pPr>
              <w:spacing w:after="20"/>
              <w:jc w:val="left"/>
            </w:pPr>
            <w:r>
              <w:rPr>
                <w:color w:val="1C3A36"/>
                <w:sz w:val="15"/>
              </w:rPr>
              <w:t>Demonstrated rather than asserted: the disclosed data give one equation in two unknowns, and the study publishes the bound it can put on the margin move instead of inventing a split.</w:t>
            </w:r>
          </w:p>
        </w:tc>
        <w:tc>
          <w:tcPr>
            <w:tcW w:type="dxa" w:w="4104"/>
          </w:tcPr>
          <w:p>
            <w:pPr>
              <w:spacing w:after="20"/>
              <w:jc w:val="left"/>
            </w:pPr>
            <w:r>
              <w:rPr>
                <w:color w:val="1C3A36"/>
                <w:sz w:val="15"/>
              </w:rPr>
              <w:t>Any disclosure splitting the cost of real estate development. Until then the block moves with revenue at its measured 37.08% rather than with cost inflation.</w:t>
            </w:r>
          </w:p>
        </w:tc>
      </w:tr>
      <w:tr>
        <w:tc>
          <w:tcPr>
            <w:tcW w:type="dxa" w:w="2232"/>
          </w:tcPr>
          <w:p>
            <w:pPr>
              <w:spacing w:after="20"/>
            </w:pPr>
            <w:r>
              <w:rPr>
                <w:b/>
                <w:color w:val="1C3A36"/>
                <w:sz w:val="15"/>
              </w:rPr>
              <w:t>Net debt is EGP 5,660 mn</w:t>
            </w:r>
          </w:p>
        </w:tc>
        <w:tc>
          <w:tcPr>
            <w:tcW w:type="dxa" w:w="3744"/>
          </w:tcPr>
          <w:p>
            <w:pPr>
              <w:spacing w:after="20"/>
              <w:jc w:val="left"/>
            </w:pPr>
            <w:r>
              <w:rPr>
                <w:color w:val="1C3A36"/>
                <w:sz w:val="15"/>
              </w:rPr>
              <w:t>The company's own definition — interest-bearing obligations from note 34 less cash and treasury bills. The broader definition carrying notes payable and land liabilities gives EGP 14,532 mn, and the restricted definition used in framing B gives EGP 24,983 mn. All three are published.</w:t>
            </w:r>
          </w:p>
        </w:tc>
        <w:tc>
          <w:tcPr>
            <w:tcW w:type="dxa" w:w="4104"/>
          </w:tcPr>
          <w:p>
            <w:pPr>
              <w:spacing w:after="20"/>
              <w:jc w:val="left"/>
            </w:pPr>
            <w:r>
              <w:rPr>
                <w:color w:val="1C3A36"/>
                <w:sz w:val="15"/>
              </w:rPr>
              <w:t>Nothing factual — this is a definitional choice, which is why all three are shown rather than one being presented as the answer.</w:t>
            </w:r>
          </w:p>
        </w:tc>
      </w:tr>
    </w:tbl>
    <w:p>
      <w:pPr>
        <w:spacing w:after="40"/>
      </w:pPr>
    </w:p>
    <w:p>
      <w:pPr>
        <w:spacing w:after="200" w:before="0"/>
      </w:pPr>
      <w:r>
        <w:rPr>
          <w:b w:val="0"/>
          <w:i/>
          <w:color w:val="6E7B77"/>
          <w:sz w:val="17"/>
        </w:rPr>
        <w:t>Table 7. The seven judgements this study rests on, each with its falsifier stated in advance.</w:t>
      </w:r>
    </w:p>
    <w:p>
      <w:pPr>
        <w:spacing w:after="120" w:before="280"/>
      </w:pPr>
      <w:r>
        <w:rPr>
          <w:b/>
          <w:i w:val="0"/>
          <w:color w:val="1C3A36"/>
          <w:sz w:val="30"/>
        </w:rPr>
        <w:t>4  Negative results</w:t>
      </w:r>
    </w:p>
    <w:p>
      <w:pPr>
        <w:spacing w:after="120" w:before="0"/>
      </w:pPr>
      <w:r>
        <w:rPr>
          <w:b w:val="0"/>
          <w:i w:val="0"/>
          <w:color w:val="1C3A36"/>
          <w:sz w:val="19"/>
        </w:rPr>
        <w:t>A search that returns nothing is evidence, and it is only evidence if it is dated and recorded. Five were logged in this refresh.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480"/>
        <w:gridCol w:w="1152"/>
      </w:tblGrid>
      <w:tr>
        <w:tc>
          <w:tcPr>
            <w:tcW w:type="dxa" w:w="2448"/>
            <w:shd w:val="clear" w:color="auto" w:fill="EAF0EE"/>
          </w:tcPr>
          <w:p>
            <w:pPr>
              <w:spacing w:after="20"/>
            </w:pPr>
            <w:r>
              <w:rPr>
                <w:b/>
                <w:color w:val="1C3A36"/>
                <w:sz w:val="15"/>
              </w:rPr>
              <w:t>Layer and topic</w:t>
            </w:r>
          </w:p>
        </w:tc>
        <w:tc>
          <w:tcPr>
            <w:tcW w:type="dxa" w:w="6480"/>
            <w:shd w:val="clear" w:color="auto" w:fill="EAF0EE"/>
          </w:tcPr>
          <w:p>
            <w:pPr>
              <w:spacing w:after="20"/>
              <w:jc w:val="left"/>
            </w:pPr>
            <w:r>
              <w:rPr>
                <w:b/>
                <w:color w:val="1C3A36"/>
                <w:sz w:val="15"/>
              </w:rPr>
              <w:t>What was searched</w:t>
            </w:r>
          </w:p>
        </w:tc>
        <w:tc>
          <w:tcPr>
            <w:tcW w:type="dxa" w:w="1152"/>
            <w:shd w:val="clear" w:color="auto" w:fill="EAF0EE"/>
          </w:tcPr>
          <w:p>
            <w:pPr>
              <w:spacing w:after="20"/>
            </w:pPr>
            <w:r>
              <w:rPr>
                <w:b/>
                <w:color w:val="1C3A36"/>
                <w:sz w:val="15"/>
              </w:rPr>
              <w:t>Date</w:t>
            </w:r>
          </w:p>
        </w:tc>
      </w:tr>
      <w:tr>
        <w:tc>
          <w:tcPr>
            <w:tcW w:type="dxa" w:w="2448"/>
          </w:tcPr>
          <w:p>
            <w:pPr>
              <w:spacing w:after="20"/>
            </w:pPr>
            <w:r>
              <w:rPr>
                <w:b/>
                <w:color w:val="1C3A36"/>
                <w:sz w:val="15"/>
              </w:rPr>
              <w:t>Global — trade / sanctions / supply chains</w:t>
            </w:r>
          </w:p>
        </w:tc>
        <w:tc>
          <w:tcPr>
            <w:tcW w:type="dxa" w:w="6480"/>
          </w:tcPr>
          <w:p>
            <w:pPr>
              <w:spacing w:after="20"/>
              <w:jc w:val="left"/>
            </w:pPr>
            <w:r>
              <w:rPr>
                <w:color w:val="1C3A36"/>
                <w:sz w:val="15"/>
              </w:rPr>
              <w:t>Egypt construction materials import restrictions 2026; sanctions exposure Egyptian real estate developers; cement and steel export bans — nothing found bearing on the subject. CARRIED FORWARD: no driver in this study depends on it</w:t>
            </w:r>
          </w:p>
        </w:tc>
        <w:tc>
          <w:tcPr>
            <w:tcW w:type="dxa" w:w="1152"/>
          </w:tcPr>
          <w:p>
            <w:pPr>
              <w:spacing w:after="20"/>
              <w:jc w:val="right"/>
            </w:pPr>
            <w:r>
              <w:rPr>
                <w:color w:val="1C3A36"/>
                <w:sz w:val="15"/>
              </w:rPr>
              <w:t>2026-08-19</w:t>
            </w:r>
          </w:p>
        </w:tc>
      </w:tr>
      <w:tr>
        <w:tc>
          <w:tcPr>
            <w:tcW w:type="dxa" w:w="2448"/>
          </w:tcPr>
          <w:p>
            <w:pPr>
              <w:spacing w:after="20"/>
            </w:pPr>
            <w:r>
              <w:rPr>
                <w:b/>
                <w:color w:val="1C3A36"/>
                <w:sz w:val="15"/>
              </w:rPr>
              <w:t>Industry — new entrants (named-competitor level)</w:t>
            </w:r>
          </w:p>
        </w:tc>
        <w:tc>
          <w:tcPr>
            <w:tcW w:type="dxa" w:w="6480"/>
          </w:tcPr>
          <w:p>
            <w:pPr>
              <w:spacing w:after="20"/>
              <w:jc w:val="left"/>
            </w:pPr>
            <w:r>
              <w:rPr>
                <w:color w:val="1C3A36"/>
                <w:sz w:val="15"/>
              </w:rPr>
              <w:t>New entrants to Egyptian residential development 2026; foreign developers entering Egypt; Ras El Hekma consortium new masterplan developers. The named set is unchanged from the prior edition apart from Madaar Ras El Hekma appearing in the top ten. CARRIED FORWARD</w:t>
            </w:r>
          </w:p>
        </w:tc>
        <w:tc>
          <w:tcPr>
            <w:tcW w:type="dxa" w:w="1152"/>
          </w:tcPr>
          <w:p>
            <w:pPr>
              <w:spacing w:after="20"/>
              <w:jc w:val="right"/>
            </w:pPr>
            <w:r>
              <w:rPr>
                <w:color w:val="1C3A36"/>
                <w:sz w:val="15"/>
              </w:rPr>
              <w:t>2026-08-19</w:t>
            </w:r>
          </w:p>
        </w:tc>
      </w:tr>
      <w:tr>
        <w:tc>
          <w:tcPr>
            <w:tcW w:type="dxa" w:w="2448"/>
          </w:tcPr>
          <w:p>
            <w:pPr>
              <w:spacing w:after="20"/>
            </w:pPr>
            <w:r>
              <w:rPr>
                <w:b/>
                <w:color w:val="1C3A36"/>
                <w:sz w:val="15"/>
              </w:rPr>
              <w:t>Industry — technology substitution</w:t>
            </w:r>
          </w:p>
        </w:tc>
        <w:tc>
          <w:tcPr>
            <w:tcW w:type="dxa" w:w="6480"/>
          </w:tcPr>
          <w:p>
            <w:pPr>
              <w:spacing w:after="20"/>
              <w:jc w:val="left"/>
            </w:pPr>
            <w:r>
              <w:rPr>
                <w:color w:val="1C3A36"/>
                <w:sz w:val="15"/>
              </w:rPr>
              <w:t>Modular and prefabricated construction disruption of Egyptian developer margins; proptech disintermediation of Egyptian brokerage. Nothing found that changes a driver. CARRIED FORWARD</w:t>
            </w:r>
          </w:p>
        </w:tc>
        <w:tc>
          <w:tcPr>
            <w:tcW w:type="dxa" w:w="1152"/>
          </w:tcPr>
          <w:p>
            <w:pPr>
              <w:spacing w:after="20"/>
              <w:jc w:val="right"/>
            </w:pPr>
            <w:r>
              <w:rPr>
                <w:color w:val="1C3A36"/>
                <w:sz w:val="15"/>
              </w:rPr>
              <w:t>2026-08-19</w:t>
            </w:r>
          </w:p>
        </w:tc>
      </w:tr>
      <w:tr>
        <w:tc>
          <w:tcPr>
            <w:tcW w:type="dxa" w:w="2448"/>
          </w:tcPr>
          <w:p>
            <w:pPr>
              <w:spacing w:after="20"/>
            </w:pPr>
            <w:r>
              <w:rPr>
                <w:b/>
                <w:color w:val="1C3A36"/>
                <w:sz w:val="15"/>
              </w:rPr>
              <w:t>Company — regular disclosures</w:t>
            </w:r>
          </w:p>
        </w:tc>
        <w:tc>
          <w:tcPr>
            <w:tcW w:type="dxa" w:w="6480"/>
          </w:tcPr>
          <w:p>
            <w:pPr>
              <w:spacing w:after="20"/>
              <w:jc w:val="left"/>
            </w:pPr>
            <w:r>
              <w:rPr>
                <w:color w:val="1C3A36"/>
                <w:sz w:val="15"/>
              </w:rPr>
              <w:t>Land cost of contracted units and the joint-arrangement partners' share of revenue, searched for as a separable disclosure across every obtained document: note 43 (which states plainly that work in progress is struck AFTER excluding the cost of the contracted lands), note 65 (which stops at one line, cost of real estate development), note 58 (which gives the partners' balance by project but not the charge to the income statement), the FY2024 audited notes and every earnings release 2023-2026. NOT DISCLOSED ANYWHERE. Solving across period pairs leaves one equation in two unknowns because the cumulative charge to the income statement is given at only two dates</w:t>
            </w:r>
          </w:p>
        </w:tc>
        <w:tc>
          <w:tcPr>
            <w:tcW w:type="dxa" w:w="1152"/>
          </w:tcPr>
          <w:p>
            <w:pPr>
              <w:spacing w:after="20"/>
              <w:jc w:val="right"/>
            </w:pPr>
            <w:r>
              <w:rPr>
                <w:color w:val="1C3A36"/>
                <w:sz w:val="15"/>
              </w:rPr>
              <w:t>2026-08-19</w:t>
            </w:r>
          </w:p>
        </w:tc>
      </w:tr>
      <w:tr>
        <w:tc>
          <w:tcPr>
            <w:tcW w:type="dxa" w:w="2448"/>
          </w:tcPr>
          <w:p>
            <w:pPr>
              <w:spacing w:after="20"/>
            </w:pPr>
            <w:r>
              <w:rPr>
                <w:b/>
                <w:color w:val="1C3A36"/>
                <w:sz w:val="15"/>
              </w:rPr>
              <w:t>Company — ownership / stake changes (named-transaction rule)</w:t>
            </w:r>
          </w:p>
        </w:tc>
        <w:tc>
          <w:tcPr>
            <w:tcW w:type="dxa" w:w="6480"/>
          </w:tcPr>
          <w:p>
            <w:pPr>
              <w:spacing w:after="20"/>
              <w:jc w:val="left"/>
            </w:pPr>
            <w:r>
              <w:rPr>
                <w:color w:val="1C3A36"/>
                <w:sz w:val="15"/>
              </w:rPr>
              <w:t>Palm Hills Developments shareholding changes 2026; Mansour Group stake sale; new strategic investor. Nothing found. The only capital action in the period is the treasury buyback disclosed in note 62, which is recorded above</w:t>
            </w:r>
          </w:p>
        </w:tc>
        <w:tc>
          <w:tcPr>
            <w:tcW w:type="dxa" w:w="1152"/>
          </w:tcPr>
          <w:p>
            <w:pPr>
              <w:spacing w:after="20"/>
              <w:jc w:val="right"/>
            </w:pPr>
            <w:r>
              <w:rPr>
                <w:color w:val="1C3A36"/>
                <w:sz w:val="15"/>
              </w:rPr>
              <w:t>2026-08-19</w:t>
            </w:r>
          </w:p>
        </w:tc>
      </w:tr>
    </w:tbl>
    <w:p>
      <w:pPr>
        <w:spacing w:after="40"/>
      </w:pPr>
    </w:p>
    <w:p>
      <w:pPr>
        <w:spacing w:after="200" w:before="0"/>
      </w:pPr>
      <w:r>
        <w:rPr>
          <w:b w:val="0"/>
          <w:i/>
          <w:color w:val="6E7B77"/>
          <w:sz w:val="17"/>
        </w:rPr>
        <w:t>Table 8. Dated negative searches. The top-down treatment of the land-and-partners block is justified by the fourth of these and by nothing else.</w:t>
      </w:r>
    </w:p>
    <w:p>
      <w:pPr>
        <w:spacing w:after="120" w:before="0"/>
      </w:pPr>
      <w:r>
        <w:rPr>
          <w:b w:val="0"/>
          <w:i w:val="0"/>
          <w:color w:val="1C3A36"/>
          <w:sz w:val="19"/>
        </w:rPr>
        <w:t>Two further negatives are recorded as failed attempts to reach a primary document rather than as failed searches: the first-half 2026 results release and the 2025 annual statements, both described in section 1.</w:t>
      </w:r>
    </w:p>
    <w:p>
      <w:pPr>
        <w:spacing w:after="120" w:before="280"/>
      </w:pPr>
      <w:r>
        <w:rPr>
          <w:b/>
          <w:i w:val="0"/>
          <w:color w:val="1C3A36"/>
          <w:sz w:val="30"/>
        </w:rPr>
        <w:t>5  Aggregator and source discrepancies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3888"/>
        <w:gridCol w:w="4176"/>
      </w:tblGrid>
      <w:tr>
        <w:tc>
          <w:tcPr>
            <w:tcW w:type="dxa" w:w="2016"/>
            <w:shd w:val="clear" w:color="auto" w:fill="EAF0EE"/>
          </w:tcPr>
          <w:p>
            <w:pPr>
              <w:spacing w:after="20"/>
            </w:pPr>
            <w:r>
              <w:rPr>
                <w:b/>
                <w:color w:val="1C3A36"/>
                <w:sz w:val="15"/>
              </w:rPr>
              <w:t>Item</w:t>
            </w:r>
          </w:p>
        </w:tc>
        <w:tc>
          <w:tcPr>
            <w:tcW w:type="dxa" w:w="3888"/>
            <w:shd w:val="clear" w:color="auto" w:fill="EAF0EE"/>
          </w:tcPr>
          <w:p>
            <w:pPr>
              <w:spacing w:after="20"/>
              <w:jc w:val="left"/>
            </w:pPr>
            <w:r>
              <w:rPr>
                <w:b/>
                <w:color w:val="1C3A36"/>
                <w:sz w:val="15"/>
              </w:rPr>
              <w:t>The two figures</w:t>
            </w:r>
          </w:p>
        </w:tc>
        <w:tc>
          <w:tcPr>
            <w:tcW w:type="dxa" w:w="4176"/>
            <w:shd w:val="clear" w:color="auto" w:fill="EAF0EE"/>
          </w:tcPr>
          <w:p>
            <w:pPr>
              <w:spacing w:after="20"/>
              <w:jc w:val="left"/>
            </w:pPr>
            <w:r>
              <w:rPr>
                <w:b/>
                <w:color w:val="1C3A36"/>
                <w:sz w:val="15"/>
              </w:rPr>
              <w:t>How the study resolves it</w:t>
            </w:r>
          </w:p>
        </w:tc>
      </w:tr>
      <w:tr>
        <w:tc>
          <w:tcPr>
            <w:tcW w:type="dxa" w:w="2016"/>
          </w:tcPr>
          <w:p>
            <w:pPr>
              <w:spacing w:after="20"/>
            </w:pPr>
            <w:r>
              <w:rPr>
                <w:b/>
                <w:color w:val="1C3A36"/>
                <w:sz w:val="15"/>
              </w:rPr>
              <w:t>2025 attributable profit</w:t>
            </w:r>
          </w:p>
        </w:tc>
        <w:tc>
          <w:tcPr>
            <w:tcW w:type="dxa" w:w="3888"/>
          </w:tcPr>
          <w:p>
            <w:pPr>
              <w:spacing w:after="20"/>
              <w:jc w:val="left"/>
            </w:pPr>
            <w:r>
              <w:rPr>
                <w:color w:val="1C3A36"/>
                <w:sz w:val="15"/>
              </w:rPr>
              <w:t>The company's own history chart in the first-quarter release shows EGP 4,268 mn; the audited statement of changes in equity inside the 30 June filing shows EGP 4,217 mn</w:t>
            </w:r>
          </w:p>
        </w:tc>
        <w:tc>
          <w:tcPr>
            <w:tcW w:type="dxa" w:w="4176"/>
          </w:tcPr>
          <w:p>
            <w:pPr>
              <w:spacing w:after="20"/>
              <w:jc w:val="left"/>
            </w:pPr>
            <w:r>
              <w:rPr>
                <w:color w:val="1C3A36"/>
                <w:sz w:val="15"/>
              </w:rPr>
              <w:t>The statement governs. The chart figure is recorded here and used nowhere.</w:t>
            </w:r>
          </w:p>
        </w:tc>
      </w:tr>
      <w:tr>
        <w:tc>
          <w:tcPr>
            <w:tcW w:type="dxa" w:w="2016"/>
          </w:tcPr>
          <w:p>
            <w:pPr>
              <w:spacing w:after="20"/>
            </w:pPr>
            <w:r>
              <w:rPr>
                <w:b/>
                <w:color w:val="1C3A36"/>
                <w:sz w:val="15"/>
              </w:rPr>
              <w:t>2025 revenue and EBITDA</w:t>
            </w:r>
          </w:p>
        </w:tc>
        <w:tc>
          <w:tcPr>
            <w:tcW w:type="dxa" w:w="3888"/>
          </w:tcPr>
          <w:p>
            <w:pPr>
              <w:spacing w:after="20"/>
              <w:jc w:val="left"/>
            </w:pPr>
            <w:r>
              <w:rPr>
                <w:color w:val="1C3A36"/>
                <w:sz w:val="15"/>
              </w:rPr>
              <w:t>Available only from the company's own history charts, at EGP 36,196 mn and EGP 8,552 mn</w:t>
            </w:r>
          </w:p>
        </w:tc>
        <w:tc>
          <w:tcPr>
            <w:tcW w:type="dxa" w:w="4176"/>
          </w:tcPr>
          <w:p>
            <w:pPr>
              <w:spacing w:after="20"/>
              <w:jc w:val="left"/>
            </w:pPr>
            <w:r>
              <w:rPr>
                <w:color w:val="1C3A36"/>
                <w:sz w:val="15"/>
              </w:rPr>
              <w:t>Used, because they are company-issued and no statement is available, and flagged as chart figures wherever they appear.</w:t>
            </w:r>
          </w:p>
        </w:tc>
      </w:tr>
      <w:tr>
        <w:tc>
          <w:tcPr>
            <w:tcW w:type="dxa" w:w="2016"/>
          </w:tcPr>
          <w:p>
            <w:pPr>
              <w:spacing w:after="20"/>
            </w:pPr>
            <w:r>
              <w:rPr>
                <w:b/>
                <w:color w:val="1C3A36"/>
                <w:sz w:val="15"/>
              </w:rPr>
              <w:t>Backlog</w:t>
            </w:r>
          </w:p>
        </w:tc>
        <w:tc>
          <w:tcPr>
            <w:tcW w:type="dxa" w:w="3888"/>
          </w:tcPr>
          <w:p>
            <w:pPr>
              <w:spacing w:after="20"/>
              <w:jc w:val="left"/>
            </w:pPr>
            <w:r>
              <w:rPr>
                <w:color w:val="1C3A36"/>
                <w:sz w:val="15"/>
              </w:rPr>
              <w:t>Note 72 gives EGP 149.1bn of contractual value for undelivered-unit contracts concluded since the start of 2023; the company's own wider definition stood at EGP 263bn at the first quarter and press reporting attributes EGP 284bn to the first half</w:t>
            </w:r>
          </w:p>
        </w:tc>
        <w:tc>
          <w:tcPr>
            <w:tcW w:type="dxa" w:w="4176"/>
          </w:tcPr>
          <w:p>
            <w:pPr>
              <w:spacing w:after="20"/>
              <w:jc w:val="left"/>
            </w:pPr>
            <w:r>
              <w:rPr>
                <w:color w:val="1C3A36"/>
                <w:sz w:val="15"/>
              </w:rPr>
              <w:t>The study anchors on note 72 because it is the only one that appears in a reviewed statement, and states the other two beside it.</w:t>
            </w:r>
          </w:p>
        </w:tc>
      </w:tr>
      <w:tr>
        <w:tc>
          <w:tcPr>
            <w:tcW w:type="dxa" w:w="2016"/>
          </w:tcPr>
          <w:p>
            <w:pPr>
              <w:spacing w:after="20"/>
            </w:pPr>
            <w:r>
              <w:rPr>
                <w:b/>
                <w:color w:val="1C3A36"/>
                <w:sz w:val="15"/>
              </w:rPr>
              <w:t>North Coast and Alexandria first-quarter sales</w:t>
            </w:r>
          </w:p>
        </w:tc>
        <w:tc>
          <w:tcPr>
            <w:tcW w:type="dxa" w:w="3888"/>
          </w:tcPr>
          <w:p>
            <w:pPr>
              <w:spacing w:after="20"/>
              <w:jc w:val="left"/>
            </w:pPr>
            <w:r>
              <w:rPr>
                <w:color w:val="1C3A36"/>
                <w:sz w:val="15"/>
              </w:rPr>
              <w:t>The company's own release states EGP 5.4bn in its prose and EGP 5.9bn in the chart on the same page</w:t>
            </w:r>
          </w:p>
        </w:tc>
        <w:tc>
          <w:tcPr>
            <w:tcW w:type="dxa" w:w="4176"/>
          </w:tcPr>
          <w:p>
            <w:pPr>
              <w:spacing w:after="20"/>
              <w:jc w:val="left"/>
            </w:pPr>
            <w:r>
              <w:rPr>
                <w:color w:val="1C3A36"/>
                <w:sz w:val="15"/>
              </w:rPr>
              <w:t>Neither is used as a driver. Recorded because a reader comparing the two would otherwise assume a transcription error here.</w:t>
            </w:r>
          </w:p>
        </w:tc>
      </w:tr>
      <w:tr>
        <w:tc>
          <w:tcPr>
            <w:tcW w:type="dxa" w:w="2016"/>
          </w:tcPr>
          <w:p>
            <w:pPr>
              <w:spacing w:after="20"/>
            </w:pPr>
            <w:r>
              <w:rPr>
                <w:b/>
                <w:color w:val="1C3A36"/>
                <w:sz w:val="15"/>
              </w:rPr>
              <w:t>Emaar Misr first-quarter 2026 figures</w:t>
            </w:r>
          </w:p>
        </w:tc>
        <w:tc>
          <w:tcPr>
            <w:tcW w:type="dxa" w:w="3888"/>
          </w:tcPr>
          <w:p>
            <w:pPr>
              <w:spacing w:after="20"/>
              <w:jc w:val="left"/>
            </w:pPr>
            <w:r>
              <w:rPr>
                <w:color w:val="1C3A36"/>
                <w:sz w:val="15"/>
              </w:rPr>
              <w:t>One aggregator reports net income of EGP 7.77bn on revenue of EGP 6.76bn</w:t>
            </w:r>
          </w:p>
        </w:tc>
        <w:tc>
          <w:tcPr>
            <w:tcW w:type="dxa" w:w="4176"/>
          </w:tcPr>
          <w:p>
            <w:pPr>
              <w:spacing w:after="20"/>
              <w:jc w:val="left"/>
            </w:pPr>
            <w:r>
              <w:rPr>
                <w:color w:val="1C3A36"/>
                <w:sz w:val="15"/>
              </w:rPr>
              <w:t>Not used. Net income above revenue is not possible for an operating quarter; the peer set carries only the price-to-earnings and enterprise-value multiples, not the underlying aggregator financials.</w:t>
            </w:r>
          </w:p>
        </w:tc>
      </w:tr>
      <w:tr>
        <w:tc>
          <w:tcPr>
            <w:tcW w:type="dxa" w:w="2016"/>
          </w:tcPr>
          <w:p>
            <w:pPr>
              <w:spacing w:after="20"/>
            </w:pPr>
            <w:r>
              <w:rPr>
                <w:b/>
                <w:color w:val="1C3A36"/>
                <w:sz w:val="15"/>
              </w:rPr>
              <w:t>Peer multiples generally</w:t>
            </w:r>
          </w:p>
        </w:tc>
        <w:tc>
          <w:tcPr>
            <w:tcW w:type="dxa" w:w="3888"/>
          </w:tcPr>
          <w:p>
            <w:pPr>
              <w:spacing w:after="20"/>
              <w:jc w:val="left"/>
            </w:pPr>
            <w:r>
              <w:rPr>
                <w:color w:val="1C3A36"/>
                <w:sz w:val="15"/>
              </w:rPr>
              <w:t>Sourced from market-data aggregators, quotes dated 11 August 2026 for the Egyptian names and June to August 2026 for the Gulf names</w:t>
            </w:r>
          </w:p>
        </w:tc>
        <w:tc>
          <w:tcPr>
            <w:tcW w:type="dxa" w:w="4176"/>
          </w:tcPr>
          <w:p>
            <w:pPr>
              <w:spacing w:after="20"/>
              <w:jc w:val="left"/>
            </w:pPr>
            <w:r>
              <w:rPr>
                <w:color w:val="1C3A36"/>
                <w:sz w:val="15"/>
              </w:rPr>
              <w:t>Used to price OTHER companies only. No aggregator figure enters any Palm Hills historical, any driver or any statement line.</w:t>
            </w:r>
          </w:p>
        </w:tc>
      </w:tr>
    </w:tbl>
    <w:p>
      <w:pPr>
        <w:spacing w:after="40"/>
      </w:pPr>
    </w:p>
    <w:p>
      <w:pPr>
        <w:spacing w:after="200" w:before="0"/>
      </w:pPr>
      <w:r>
        <w:rPr>
          <w:b w:val="0"/>
          <w:i/>
          <w:color w:val="6E7B77"/>
          <w:sz w:val="17"/>
        </w:rPr>
        <w:t>Table 9. Where two sources disagree, both are stated and the study says which it follows.</w:t>
      </w:r>
    </w:p>
    <w:p>
      <w:pPr>
        <w:spacing w:after="120" w:before="280"/>
      </w:pPr>
      <w:r>
        <w:rPr>
          <w:b/>
          <w:i w:val="0"/>
          <w:color w:val="1C3A36"/>
          <w:sz w:val="30"/>
        </w:rPr>
        <w:t>6  Assertions the model runs before it will emit a number</w:t>
      </w:r>
    </w:p>
    <w:p>
      <w:pPr>
        <w:spacing w:after="120" w:before="0"/>
      </w:pPr>
      <w:r>
        <w:rPr>
          <w:b w:val="0"/>
          <w:i w:val="0"/>
          <w:color w:val="1C3A36"/>
          <w:sz w:val="19"/>
        </w:rPr>
        <w:t>The model raises rather than warning. If any of the following fails, no numbers file is written and no document can be built. 57 assertions ran clean on this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
        <w:gridCol w:w="9504"/>
      </w:tblGrid>
      <w:tr>
        <w:tc>
          <w:tcPr>
            <w:tcW w:type="dxa" w:w="576"/>
            <w:shd w:val="clear" w:color="auto" w:fill="EAF0EE"/>
          </w:tcPr>
          <w:p>
            <w:pPr>
              <w:spacing w:after="20"/>
            </w:pPr>
            <w:r>
              <w:rPr>
                <w:b/>
                <w:color w:val="1C3A36"/>
                <w:sz w:val="14"/>
              </w:rPr>
              <w:t>#</w:t>
            </w:r>
          </w:p>
        </w:tc>
        <w:tc>
          <w:tcPr>
            <w:tcW w:type="dxa" w:w="9504"/>
            <w:shd w:val="clear" w:color="auto" w:fill="EAF0EE"/>
          </w:tcPr>
          <w:p>
            <w:pPr>
              <w:spacing w:after="20"/>
              <w:jc w:val="left"/>
            </w:pPr>
            <w:r>
              <w:rPr>
                <w:b/>
                <w:color w:val="1C3A36"/>
                <w:sz w:val="14"/>
              </w:rPr>
              <w:t>Assertion</w:t>
            </w:r>
          </w:p>
        </w:tc>
      </w:tr>
      <w:tr>
        <w:tc>
          <w:tcPr>
            <w:tcW w:type="dxa" w:w="576"/>
          </w:tcPr>
          <w:p>
            <w:pPr>
              <w:spacing w:after="20"/>
            </w:pPr>
            <w:r>
              <w:rPr>
                <w:color w:val="1C3A36"/>
                <w:sz w:val="14"/>
              </w:rPr>
              <w:t>1</w:t>
            </w:r>
          </w:p>
        </w:tc>
        <w:tc>
          <w:tcPr>
            <w:tcW w:type="dxa" w:w="9504"/>
          </w:tcPr>
          <w:p>
            <w:pPr>
              <w:spacing w:after="20"/>
              <w:jc w:val="left"/>
            </w:pPr>
            <w:r>
              <w:rPr>
                <w:color w:val="1C3A36"/>
                <w:sz w:val="14"/>
              </w:rPr>
              <w:t>H1-2026 income statement foots: revenue less cost of revenues less cash discount equals gross operating profit</w:t>
            </w:r>
          </w:p>
        </w:tc>
      </w:tr>
      <w:tr>
        <w:tc>
          <w:tcPr>
            <w:tcW w:type="dxa" w:w="576"/>
          </w:tcPr>
          <w:p>
            <w:pPr>
              <w:spacing w:after="20"/>
            </w:pPr>
            <w:r>
              <w:rPr>
                <w:color w:val="1C3A36"/>
                <w:sz w:val="14"/>
              </w:rPr>
              <w:t>2</w:t>
            </w:r>
          </w:p>
        </w:tc>
        <w:tc>
          <w:tcPr>
            <w:tcW w:type="dxa" w:w="9504"/>
          </w:tcPr>
          <w:p>
            <w:pPr>
              <w:spacing w:after="20"/>
              <w:jc w:val="left"/>
            </w:pPr>
            <w:r>
              <w:rPr>
                <w:color w:val="1C3A36"/>
                <w:sz w:val="14"/>
              </w:rPr>
              <w:t>H1-2025 comparative income statement foots to the reported gross operating profit</w:t>
            </w:r>
          </w:p>
        </w:tc>
      </w:tr>
      <w:tr>
        <w:tc>
          <w:tcPr>
            <w:tcW w:type="dxa" w:w="576"/>
          </w:tcPr>
          <w:p>
            <w:pPr>
              <w:spacing w:after="20"/>
            </w:pPr>
            <w:r>
              <w:rPr>
                <w:color w:val="1C3A36"/>
                <w:sz w:val="14"/>
              </w:rPr>
              <w:t>3</w:t>
            </w:r>
          </w:p>
        </w:tc>
        <w:tc>
          <w:tcPr>
            <w:tcW w:type="dxa" w:w="9504"/>
          </w:tcPr>
          <w:p>
            <w:pPr>
              <w:spacing w:after="20"/>
              <w:jc w:val="left"/>
            </w:pPr>
            <w:r>
              <w:rPr>
                <w:color w:val="1C3A36"/>
                <w:sz w:val="14"/>
              </w:rPr>
              <w:t>FY2024 audited income statement foots to the reported gross profit</w:t>
            </w:r>
          </w:p>
        </w:tc>
      </w:tr>
      <w:tr>
        <w:tc>
          <w:tcPr>
            <w:tcW w:type="dxa" w:w="576"/>
          </w:tcPr>
          <w:p>
            <w:pPr>
              <w:spacing w:after="20"/>
            </w:pPr>
            <w:r>
              <w:rPr>
                <w:color w:val="1C3A36"/>
                <w:sz w:val="14"/>
              </w:rPr>
              <w:t>4</w:t>
            </w:r>
          </w:p>
        </w:tc>
        <w:tc>
          <w:tcPr>
            <w:tcW w:type="dxa" w:w="9504"/>
          </w:tcPr>
          <w:p>
            <w:pPr>
              <w:spacing w:after="20"/>
              <w:jc w:val="left"/>
            </w:pPr>
            <w:r>
              <w:rPr>
                <w:color w:val="1C3A36"/>
                <w:sz w:val="14"/>
              </w:rPr>
              <w:t>Note 64 revenue by activity foots exactly to the face of the income statement</w:t>
            </w:r>
          </w:p>
        </w:tc>
      </w:tr>
      <w:tr>
        <w:tc>
          <w:tcPr>
            <w:tcW w:type="dxa" w:w="576"/>
          </w:tcPr>
          <w:p>
            <w:pPr>
              <w:spacing w:after="20"/>
            </w:pPr>
            <w:r>
              <w:rPr>
                <w:color w:val="1C3A36"/>
                <w:sz w:val="14"/>
              </w:rPr>
              <w:t>5</w:t>
            </w:r>
          </w:p>
        </w:tc>
        <w:tc>
          <w:tcPr>
            <w:tcW w:type="dxa" w:w="9504"/>
          </w:tcPr>
          <w:p>
            <w:pPr>
              <w:spacing w:after="20"/>
              <w:jc w:val="left"/>
            </w:pPr>
            <w:r>
              <w:rPr>
                <w:color w:val="1C3A36"/>
                <w:sz w:val="14"/>
              </w:rPr>
              <w:t>Note 65 cost of sales by activity foots exactly to the face of the income statement</w:t>
            </w:r>
          </w:p>
        </w:tc>
      </w:tr>
      <w:tr>
        <w:tc>
          <w:tcPr>
            <w:tcW w:type="dxa" w:w="576"/>
          </w:tcPr>
          <w:p>
            <w:pPr>
              <w:spacing w:after="20"/>
            </w:pPr>
            <w:r>
              <w:rPr>
                <w:color w:val="1C3A36"/>
                <w:sz w:val="14"/>
              </w:rPr>
              <w:t>6</w:t>
            </w:r>
          </w:p>
        </w:tc>
        <w:tc>
          <w:tcPr>
            <w:tcW w:type="dxa" w:w="9504"/>
          </w:tcPr>
          <w:p>
            <w:pPr>
              <w:spacing w:after="20"/>
              <w:jc w:val="left"/>
            </w:pPr>
            <w:r>
              <w:rPr>
                <w:color w:val="1C3A36"/>
                <w:sz w:val="14"/>
              </w:rPr>
              <w:t>Note 66 foots exactly to general administrative, selling and marketing expenses</w:t>
            </w:r>
          </w:p>
        </w:tc>
      </w:tr>
      <w:tr>
        <w:tc>
          <w:tcPr>
            <w:tcW w:type="dxa" w:w="576"/>
          </w:tcPr>
          <w:p>
            <w:pPr>
              <w:spacing w:after="20"/>
            </w:pPr>
            <w:r>
              <w:rPr>
                <w:color w:val="1C3A36"/>
                <w:sz w:val="14"/>
              </w:rPr>
              <w:t>7</w:t>
            </w:r>
          </w:p>
        </w:tc>
        <w:tc>
          <w:tcPr>
            <w:tcW w:type="dxa" w:w="9504"/>
          </w:tcPr>
          <w:p>
            <w:pPr>
              <w:spacing w:after="20"/>
              <w:jc w:val="left"/>
            </w:pPr>
            <w:r>
              <w:rPr>
                <w:color w:val="1C3A36"/>
                <w:sz w:val="14"/>
              </w:rPr>
              <w:t>Note 67 foots exactly to finance costs and interests</w:t>
            </w:r>
          </w:p>
        </w:tc>
      </w:tr>
      <w:tr>
        <w:tc>
          <w:tcPr>
            <w:tcW w:type="dxa" w:w="576"/>
          </w:tcPr>
          <w:p>
            <w:pPr>
              <w:spacing w:after="20"/>
            </w:pPr>
            <w:r>
              <w:rPr>
                <w:color w:val="1C3A36"/>
                <w:sz w:val="14"/>
              </w:rPr>
              <w:t>8</w:t>
            </w:r>
          </w:p>
        </w:tc>
        <w:tc>
          <w:tcPr>
            <w:tcW w:type="dxa" w:w="9504"/>
          </w:tcPr>
          <w:p>
            <w:pPr>
              <w:spacing w:after="20"/>
              <w:jc w:val="left"/>
            </w:pPr>
            <w:r>
              <w:rPr>
                <w:color w:val="1C3A36"/>
                <w:sz w:val="14"/>
              </w:rPr>
              <w:t>Note 43 foots: total works executed less the cumulative charge to the income statement equals work in progress</w:t>
            </w:r>
          </w:p>
        </w:tc>
      </w:tr>
      <w:tr>
        <w:tc>
          <w:tcPr>
            <w:tcW w:type="dxa" w:w="576"/>
          </w:tcPr>
          <w:p>
            <w:pPr>
              <w:spacing w:after="20"/>
            </w:pPr>
            <w:r>
              <w:rPr>
                <w:color w:val="1C3A36"/>
                <w:sz w:val="14"/>
              </w:rPr>
              <w:t>9</w:t>
            </w:r>
          </w:p>
        </w:tc>
        <w:tc>
          <w:tcPr>
            <w:tcW w:type="dxa" w:w="9504"/>
          </w:tcPr>
          <w:p>
            <w:pPr>
              <w:spacing w:after="20"/>
              <w:jc w:val="left"/>
            </w:pPr>
            <w:r>
              <w:rPr>
                <w:color w:val="1C3A36"/>
                <w:sz w:val="14"/>
              </w:rPr>
              <w:t>Note 43 comparative column foots on the same identity</w:t>
            </w:r>
          </w:p>
        </w:tc>
      </w:tr>
      <w:tr>
        <w:tc>
          <w:tcPr>
            <w:tcW w:type="dxa" w:w="576"/>
          </w:tcPr>
          <w:p>
            <w:pPr>
              <w:spacing w:after="20"/>
            </w:pPr>
            <w:r>
              <w:rPr>
                <w:color w:val="1C3A36"/>
                <w:sz w:val="14"/>
              </w:rPr>
              <w:t>10</w:t>
            </w:r>
          </w:p>
        </w:tc>
        <w:tc>
          <w:tcPr>
            <w:tcW w:type="dxa" w:w="9504"/>
          </w:tcPr>
          <w:p>
            <w:pPr>
              <w:spacing w:after="20"/>
              <w:jc w:val="left"/>
            </w:pPr>
            <w:r>
              <w:rPr>
                <w:color w:val="1C3A36"/>
                <w:sz w:val="14"/>
              </w:rPr>
              <w:t>Work carried out in H1-2026 reconciles the two cumulative works-executed balances</w:t>
            </w:r>
          </w:p>
        </w:tc>
      </w:tr>
      <w:tr>
        <w:tc>
          <w:tcPr>
            <w:tcW w:type="dxa" w:w="576"/>
          </w:tcPr>
          <w:p>
            <w:pPr>
              <w:spacing w:after="20"/>
            </w:pPr>
            <w:r>
              <w:rPr>
                <w:color w:val="1C3A36"/>
                <w:sz w:val="14"/>
              </w:rPr>
              <w:t>11</w:t>
            </w:r>
          </w:p>
        </w:tc>
        <w:tc>
          <w:tcPr>
            <w:tcW w:type="dxa" w:w="9504"/>
          </w:tcPr>
          <w:p>
            <w:pPr>
              <w:spacing w:after="20"/>
              <w:jc w:val="left"/>
            </w:pPr>
            <w:r>
              <w:rPr>
                <w:color w:val="1C3A36"/>
                <w:sz w:val="14"/>
              </w:rPr>
              <w:t>Work in progress splits exactly into land acquisition cost and cost of construction and facilities</w:t>
            </w:r>
          </w:p>
        </w:tc>
      </w:tr>
      <w:tr>
        <w:tc>
          <w:tcPr>
            <w:tcW w:type="dxa" w:w="576"/>
          </w:tcPr>
          <w:p>
            <w:pPr>
              <w:spacing w:after="20"/>
            </w:pPr>
            <w:r>
              <w:rPr>
                <w:color w:val="1C3A36"/>
                <w:sz w:val="14"/>
              </w:rPr>
              <w:t>12</w:t>
            </w:r>
          </w:p>
        </w:tc>
        <w:tc>
          <w:tcPr>
            <w:tcW w:type="dxa" w:w="9504"/>
          </w:tcPr>
          <w:p>
            <w:pPr>
              <w:spacing w:after="20"/>
              <w:jc w:val="left"/>
            </w:pPr>
            <w:r>
              <w:rPr>
                <w:color w:val="1C3A36"/>
                <w:sz w:val="14"/>
              </w:rPr>
              <w:t>Equity splits exactly into controlling and non-controlling interests</w:t>
            </w:r>
          </w:p>
        </w:tc>
      </w:tr>
      <w:tr>
        <w:tc>
          <w:tcPr>
            <w:tcW w:type="dxa" w:w="576"/>
          </w:tcPr>
          <w:p>
            <w:pPr>
              <w:spacing w:after="20"/>
            </w:pPr>
            <w:r>
              <w:rPr>
                <w:color w:val="1C3A36"/>
                <w:sz w:val="14"/>
              </w:rPr>
              <w:t>13</w:t>
            </w:r>
          </w:p>
        </w:tc>
        <w:tc>
          <w:tcPr>
            <w:tcW w:type="dxa" w:w="9504"/>
          </w:tcPr>
          <w:p>
            <w:pPr>
              <w:spacing w:after="20"/>
              <w:jc w:val="left"/>
            </w:pPr>
            <w:r>
              <w:rPr>
                <w:color w:val="1C3A36"/>
                <w:sz w:val="14"/>
              </w:rPr>
              <w:t>The 30-Jun-2026 balance sheet balances: total liabilities plus equity equals total assets</w:t>
            </w:r>
          </w:p>
        </w:tc>
      </w:tr>
      <w:tr>
        <w:tc>
          <w:tcPr>
            <w:tcW w:type="dxa" w:w="576"/>
          </w:tcPr>
          <w:p>
            <w:pPr>
              <w:spacing w:after="20"/>
            </w:pPr>
            <w:r>
              <w:rPr>
                <w:color w:val="1C3A36"/>
                <w:sz w:val="14"/>
              </w:rPr>
              <w:t>14</w:t>
            </w:r>
          </w:p>
        </w:tc>
        <w:tc>
          <w:tcPr>
            <w:tcW w:type="dxa" w:w="9504"/>
          </w:tcPr>
          <w:p>
            <w:pPr>
              <w:spacing w:after="20"/>
              <w:jc w:val="left"/>
            </w:pPr>
            <w:r>
              <w:rPr>
                <w:color w:val="1C3A36"/>
                <w:sz w:val="14"/>
              </w:rPr>
              <w:t>The 31-Dec-2025 comparative balance sheet balances on the same identity</w:t>
            </w:r>
          </w:p>
        </w:tc>
      </w:tr>
      <w:tr>
        <w:tc>
          <w:tcPr>
            <w:tcW w:type="dxa" w:w="576"/>
          </w:tcPr>
          <w:p>
            <w:pPr>
              <w:spacing w:after="20"/>
            </w:pPr>
            <w:r>
              <w:rPr>
                <w:color w:val="1C3A36"/>
                <w:sz w:val="14"/>
              </w:rPr>
              <w:t>15</w:t>
            </w:r>
          </w:p>
        </w:tc>
        <w:tc>
          <w:tcPr>
            <w:tcW w:type="dxa" w:w="9504"/>
          </w:tcPr>
          <w:p>
            <w:pPr>
              <w:spacing w:after="20"/>
              <w:jc w:val="left"/>
            </w:pPr>
            <w:r>
              <w:rPr>
                <w:color w:val="1C3A36"/>
                <w:sz w:val="14"/>
              </w:rPr>
              <w:t>Note 62 foots: issued shares less treasury shares equals outstanding shares</w:t>
            </w:r>
          </w:p>
        </w:tc>
      </w:tr>
      <w:tr>
        <w:tc>
          <w:tcPr>
            <w:tcW w:type="dxa" w:w="576"/>
          </w:tcPr>
          <w:p>
            <w:pPr>
              <w:spacing w:after="20"/>
            </w:pPr>
            <w:r>
              <w:rPr>
                <w:color w:val="1C3A36"/>
                <w:sz w:val="14"/>
              </w:rPr>
              <w:t>16</w:t>
            </w:r>
          </w:p>
        </w:tc>
        <w:tc>
          <w:tcPr>
            <w:tcW w:type="dxa" w:w="9504"/>
          </w:tcPr>
          <w:p>
            <w:pPr>
              <w:spacing w:after="20"/>
              <w:jc w:val="left"/>
            </w:pPr>
            <w:r>
              <w:rPr>
                <w:color w:val="1C3A36"/>
                <w:sz w:val="14"/>
              </w:rPr>
              <w:t>Note 34's interest-bearing obligations rebuild exactly from the four balance-sheet debt lines</w:t>
            </w:r>
          </w:p>
        </w:tc>
      </w:tr>
      <w:tr>
        <w:tc>
          <w:tcPr>
            <w:tcW w:type="dxa" w:w="576"/>
          </w:tcPr>
          <w:p>
            <w:pPr>
              <w:spacing w:after="20"/>
            </w:pPr>
            <w:r>
              <w:rPr>
                <w:color w:val="1C3A36"/>
                <w:sz w:val="14"/>
              </w:rPr>
              <w:t>17</w:t>
            </w:r>
          </w:p>
        </w:tc>
        <w:tc>
          <w:tcPr>
            <w:tcW w:type="dxa" w:w="9504"/>
          </w:tcPr>
          <w:p>
            <w:pPr>
              <w:spacing w:after="20"/>
              <w:jc w:val="left"/>
            </w:pPr>
            <w:r>
              <w:rPr>
                <w:color w:val="1C3A36"/>
                <w:sz w:val="14"/>
              </w:rPr>
              <w:t>Notes payable rebuild from their short and long-term halves</w:t>
            </w:r>
          </w:p>
        </w:tc>
      </w:tr>
      <w:tr>
        <w:tc>
          <w:tcPr>
            <w:tcW w:type="dxa" w:w="576"/>
          </w:tcPr>
          <w:p>
            <w:pPr>
              <w:spacing w:after="20"/>
            </w:pPr>
            <w:r>
              <w:rPr>
                <w:color w:val="1C3A36"/>
                <w:sz w:val="14"/>
              </w:rPr>
              <w:t>18</w:t>
            </w:r>
          </w:p>
        </w:tc>
        <w:tc>
          <w:tcPr>
            <w:tcW w:type="dxa" w:w="9504"/>
          </w:tcPr>
          <w:p>
            <w:pPr>
              <w:spacing w:after="20"/>
              <w:jc w:val="left"/>
            </w:pPr>
            <w:r>
              <w:rPr>
                <w:color w:val="1C3A36"/>
                <w:sz w:val="14"/>
              </w:rPr>
              <w:t>The note 72 maturity ladder foots to the nominal value of the off-balance-sheet notes receivable</w:t>
            </w:r>
          </w:p>
        </w:tc>
      </w:tr>
      <w:tr>
        <w:tc>
          <w:tcPr>
            <w:tcW w:type="dxa" w:w="576"/>
          </w:tcPr>
          <w:p>
            <w:pPr>
              <w:spacing w:after="20"/>
            </w:pPr>
            <w:r>
              <w:rPr>
                <w:color w:val="1C3A36"/>
                <w:sz w:val="14"/>
              </w:rPr>
              <w:t>19</w:t>
            </w:r>
          </w:p>
        </w:tc>
        <w:tc>
          <w:tcPr>
            <w:tcW w:type="dxa" w:w="9504"/>
          </w:tcPr>
          <w:p>
            <w:pPr>
              <w:spacing w:after="20"/>
              <w:jc w:val="left"/>
            </w:pPr>
            <w:r>
              <w:rPr>
                <w:color w:val="1C3A36"/>
                <w:sz w:val="14"/>
              </w:rPr>
              <w:t>The note 72 present-value ladder foots to the disclosed present value</w:t>
            </w:r>
          </w:p>
        </w:tc>
      </w:tr>
      <w:tr>
        <w:tc>
          <w:tcPr>
            <w:tcW w:type="dxa" w:w="576"/>
          </w:tcPr>
          <w:p>
            <w:pPr>
              <w:spacing w:after="20"/>
            </w:pPr>
            <w:r>
              <w:rPr>
                <w:color w:val="1C3A36"/>
                <w:sz w:val="14"/>
              </w:rPr>
              <w:t>20</w:t>
            </w:r>
          </w:p>
        </w:tc>
        <w:tc>
          <w:tcPr>
            <w:tcW w:type="dxa" w:w="9504"/>
          </w:tcPr>
          <w:p>
            <w:pPr>
              <w:spacing w:after="20"/>
              <w:jc w:val="left"/>
            </w:pPr>
            <w:r>
              <w:rPr>
                <w:color w:val="1C3A36"/>
                <w:sz w:val="14"/>
              </w:rPr>
              <w:t>Attributable profit plus the non-controlling share equals profit after tax</w:t>
            </w:r>
          </w:p>
        </w:tc>
      </w:tr>
      <w:tr>
        <w:tc>
          <w:tcPr>
            <w:tcW w:type="dxa" w:w="576"/>
          </w:tcPr>
          <w:p>
            <w:pPr>
              <w:spacing w:after="20"/>
            </w:pPr>
            <w:r>
              <w:rPr>
                <w:color w:val="1C3A36"/>
                <w:sz w:val="14"/>
              </w:rPr>
              <w:t>21</w:t>
            </w:r>
          </w:p>
        </w:tc>
        <w:tc>
          <w:tcPr>
            <w:tcW w:type="dxa" w:w="9504"/>
          </w:tcPr>
          <w:p>
            <w:pPr>
              <w:spacing w:after="20"/>
              <w:jc w:val="left"/>
            </w:pPr>
            <w:r>
              <w:rPr>
                <w:color w:val="1C3A36"/>
                <w:sz w:val="14"/>
              </w:rPr>
              <w:t>Reported earnings per share reproduce from attributable profit and the weighted average share count</w:t>
            </w:r>
          </w:p>
        </w:tc>
      </w:tr>
      <w:tr>
        <w:tc>
          <w:tcPr>
            <w:tcW w:type="dxa" w:w="576"/>
          </w:tcPr>
          <w:p>
            <w:pPr>
              <w:spacing w:after="20"/>
            </w:pPr>
            <w:r>
              <w:rPr>
                <w:color w:val="1C3A36"/>
                <w:sz w:val="14"/>
              </w:rPr>
              <w:t>22</w:t>
            </w:r>
          </w:p>
        </w:tc>
        <w:tc>
          <w:tcPr>
            <w:tcW w:type="dxa" w:w="9504"/>
          </w:tcPr>
          <w:p>
            <w:pPr>
              <w:spacing w:after="20"/>
              <w:jc w:val="left"/>
            </w:pPr>
            <w:r>
              <w:rPr>
                <w:color w:val="1C3A36"/>
                <w:sz w:val="14"/>
              </w:rPr>
              <w:t>Both cost blocks inside the cost of real estate development are economically possible (each strictly positive)</w:t>
            </w:r>
          </w:p>
        </w:tc>
      </w:tr>
      <w:tr>
        <w:tc>
          <w:tcPr>
            <w:tcW w:type="dxa" w:w="576"/>
          </w:tcPr>
          <w:p>
            <w:pPr>
              <w:spacing w:after="20"/>
            </w:pPr>
            <w:r>
              <w:rPr>
                <w:color w:val="1C3A36"/>
                <w:sz w:val="14"/>
              </w:rPr>
              <w:t>23</w:t>
            </w:r>
          </w:p>
        </w:tc>
        <w:tc>
          <w:tcPr>
            <w:tcW w:type="dxa" w:w="9504"/>
          </w:tcPr>
          <w:p>
            <w:pPr>
              <w:spacing w:after="20"/>
              <w:jc w:val="left"/>
            </w:pPr>
            <w:r>
              <w:rPr>
                <w:color w:val="1C3A36"/>
                <w:sz w:val="14"/>
              </w:rPr>
              <w:t>The two cost blocks foot exactly to the disclosed cost of real estate development</w:t>
            </w:r>
          </w:p>
        </w:tc>
      </w:tr>
      <w:tr>
        <w:tc>
          <w:tcPr>
            <w:tcW w:type="dxa" w:w="576"/>
          </w:tcPr>
          <w:p>
            <w:pPr>
              <w:spacing w:after="20"/>
            </w:pPr>
            <w:r>
              <w:rPr>
                <w:color w:val="1C3A36"/>
                <w:sz w:val="14"/>
              </w:rPr>
              <w:t>24</w:t>
            </w:r>
          </w:p>
        </w:tc>
        <w:tc>
          <w:tcPr>
            <w:tcW w:type="dxa" w:w="9504"/>
          </w:tcPr>
          <w:p>
            <w:pPr>
              <w:spacing w:after="20"/>
              <w:jc w:val="left"/>
            </w:pPr>
            <w:r>
              <w:rPr>
                <w:color w:val="1C3A36"/>
                <w:sz w:val="14"/>
              </w:rPr>
              <w:t>The real-estate gross margin is an output of the two cost rates, not an input</w:t>
            </w:r>
          </w:p>
        </w:tc>
      </w:tr>
      <w:tr>
        <w:tc>
          <w:tcPr>
            <w:tcW w:type="dxa" w:w="576"/>
          </w:tcPr>
          <w:p>
            <w:pPr>
              <w:spacing w:after="20"/>
            </w:pPr>
            <w:r>
              <w:rPr>
                <w:color w:val="1C3A36"/>
                <w:sz w:val="14"/>
              </w:rPr>
              <w:t>25</w:t>
            </w:r>
          </w:p>
        </w:tc>
        <w:tc>
          <w:tcPr>
            <w:tcW w:type="dxa" w:w="9504"/>
          </w:tcPr>
          <w:p>
            <w:pPr>
              <w:spacing w:after="20"/>
              <w:jc w:val="left"/>
            </w:pPr>
            <w:r>
              <w:rPr>
                <w:color w:val="1C3A36"/>
                <w:sz w:val="14"/>
              </w:rPr>
              <w:t>The recovered EBITDA definition reproduces the company's own published FY2023 figure to within 1.2%</w:t>
            </w:r>
          </w:p>
        </w:tc>
      </w:tr>
      <w:tr>
        <w:tc>
          <w:tcPr>
            <w:tcW w:type="dxa" w:w="576"/>
          </w:tcPr>
          <w:p>
            <w:pPr>
              <w:spacing w:after="20"/>
            </w:pPr>
            <w:r>
              <w:rPr>
                <w:color w:val="1C3A36"/>
                <w:sz w:val="14"/>
              </w:rPr>
              <w:t>26</w:t>
            </w:r>
          </w:p>
        </w:tc>
        <w:tc>
          <w:tcPr>
            <w:tcW w:type="dxa" w:w="9504"/>
          </w:tcPr>
          <w:p>
            <w:pPr>
              <w:spacing w:after="20"/>
              <w:jc w:val="left"/>
            </w:pPr>
            <w:r>
              <w:rPr>
                <w:color w:val="1C3A36"/>
                <w:sz w:val="14"/>
              </w:rPr>
              <w:t>The recovered EBITDA definition reproduces the company's own published FY2024 figure to within 1.2%</w:t>
            </w:r>
          </w:p>
        </w:tc>
      </w:tr>
      <w:tr>
        <w:tc>
          <w:tcPr>
            <w:tcW w:type="dxa" w:w="576"/>
          </w:tcPr>
          <w:p>
            <w:pPr>
              <w:spacing w:after="20"/>
            </w:pPr>
            <w:r>
              <w:rPr>
                <w:color w:val="1C3A36"/>
                <w:sz w:val="14"/>
              </w:rPr>
              <w:t>27</w:t>
            </w:r>
          </w:p>
        </w:tc>
        <w:tc>
          <w:tcPr>
            <w:tcW w:type="dxa" w:w="9504"/>
          </w:tcPr>
          <w:p>
            <w:pPr>
              <w:spacing w:after="20"/>
              <w:jc w:val="left"/>
            </w:pPr>
            <w:r>
              <w:rPr>
                <w:color w:val="1C3A36"/>
                <w:sz w:val="14"/>
              </w:rPr>
              <w:t>The recovered EBITDA definition reproduces the company's own published H1-2025 figure to within 1.2%</w:t>
            </w:r>
          </w:p>
        </w:tc>
      </w:tr>
      <w:tr>
        <w:tc>
          <w:tcPr>
            <w:tcW w:type="dxa" w:w="576"/>
          </w:tcPr>
          <w:p>
            <w:pPr>
              <w:spacing w:after="20"/>
            </w:pPr>
            <w:r>
              <w:rPr>
                <w:color w:val="1C3A36"/>
                <w:sz w:val="14"/>
              </w:rPr>
              <w:t>28</w:t>
            </w:r>
          </w:p>
        </w:tc>
        <w:tc>
          <w:tcPr>
            <w:tcW w:type="dxa" w:w="9504"/>
          </w:tcPr>
          <w:p>
            <w:pPr>
              <w:spacing w:after="20"/>
              <w:jc w:val="left"/>
            </w:pPr>
            <w:r>
              <w:rPr>
                <w:color w:val="1C3A36"/>
                <w:sz w:val="14"/>
              </w:rPr>
              <w:t>The recovered EBITDA definition reproduces the company's own published H1-2026 figure to within 1.2%</w:t>
            </w:r>
          </w:p>
        </w:tc>
      </w:tr>
      <w:tr>
        <w:tc>
          <w:tcPr>
            <w:tcW w:type="dxa" w:w="576"/>
          </w:tcPr>
          <w:p>
            <w:pPr>
              <w:spacing w:after="20"/>
            </w:pPr>
            <w:r>
              <w:rPr>
                <w:color w:val="1C3A36"/>
                <w:sz w:val="14"/>
              </w:rPr>
              <w:t>29</w:t>
            </w:r>
          </w:p>
        </w:tc>
        <w:tc>
          <w:tcPr>
            <w:tcW w:type="dxa" w:w="9504"/>
          </w:tcPr>
          <w:p>
            <w:pPr>
              <w:spacing w:after="20"/>
              <w:jc w:val="left"/>
            </w:pPr>
            <w:r>
              <w:rPr>
                <w:color w:val="1C3A36"/>
                <w:sz w:val="14"/>
              </w:rPr>
              <w:t>The marginal cost of debt sits above the local sovereign yield, as the cost-of-capital rule requires</w:t>
            </w:r>
          </w:p>
        </w:tc>
      </w:tr>
      <w:tr>
        <w:tc>
          <w:tcPr>
            <w:tcW w:type="dxa" w:w="576"/>
          </w:tcPr>
          <w:p>
            <w:pPr>
              <w:spacing w:after="20"/>
            </w:pPr>
            <w:r>
              <w:rPr>
                <w:color w:val="1C3A36"/>
                <w:sz w:val="14"/>
              </w:rPr>
              <w:t>30</w:t>
            </w:r>
          </w:p>
        </w:tc>
        <w:tc>
          <w:tcPr>
            <w:tcW w:type="dxa" w:w="9504"/>
          </w:tcPr>
          <w:p>
            <w:pPr>
              <w:spacing w:after="20"/>
              <w:jc w:val="left"/>
            </w:pPr>
            <w:r>
              <w:rPr>
                <w:color w:val="1C3A36"/>
                <w:sz w:val="14"/>
              </w:rPr>
              <w:t>The risk-free rate is normalised downward by the sovereign default spread on both bases</w:t>
            </w:r>
          </w:p>
        </w:tc>
      </w:tr>
      <w:tr>
        <w:tc>
          <w:tcPr>
            <w:tcW w:type="dxa" w:w="576"/>
          </w:tcPr>
          <w:p>
            <w:pPr>
              <w:spacing w:after="20"/>
            </w:pPr>
            <w:r>
              <w:rPr>
                <w:color w:val="1C3A36"/>
                <w:sz w:val="14"/>
              </w:rPr>
              <w:t>31</w:t>
            </w:r>
          </w:p>
        </w:tc>
        <w:tc>
          <w:tcPr>
            <w:tcW w:type="dxa" w:w="9504"/>
          </w:tcPr>
          <w:p>
            <w:pPr>
              <w:spacing w:after="20"/>
              <w:jc w:val="left"/>
            </w:pPr>
            <w:r>
              <w:rPr>
                <w:color w:val="1C3A36"/>
                <w:sz w:val="14"/>
              </w:rPr>
              <w:t>The two equity risk premium bases imply the same mature-market premium to within two decimal points</w:t>
            </w:r>
          </w:p>
        </w:tc>
      </w:tr>
      <w:tr>
        <w:tc>
          <w:tcPr>
            <w:tcW w:type="dxa" w:w="576"/>
          </w:tcPr>
          <w:p>
            <w:pPr>
              <w:spacing w:after="20"/>
            </w:pPr>
            <w:r>
              <w:rPr>
                <w:color w:val="1C3A36"/>
                <w:sz w:val="14"/>
              </w:rPr>
              <w:t>32</w:t>
            </w:r>
          </w:p>
        </w:tc>
        <w:tc>
          <w:tcPr>
            <w:tcW w:type="dxa" w:w="9504"/>
          </w:tcPr>
          <w:p>
            <w:pPr>
              <w:spacing w:after="20"/>
              <w:jc w:val="left"/>
            </w:pPr>
            <w:r>
              <w:rPr>
                <w:color w:val="1C3A36"/>
                <w:sz w:val="14"/>
              </w:rPr>
              <w:t>The capital-structure weights sum to one</w:t>
            </w:r>
          </w:p>
        </w:tc>
      </w:tr>
      <w:tr>
        <w:tc>
          <w:tcPr>
            <w:tcW w:type="dxa" w:w="576"/>
          </w:tcPr>
          <w:p>
            <w:pPr>
              <w:spacing w:after="20"/>
            </w:pPr>
            <w:r>
              <w:rPr>
                <w:color w:val="1C3A36"/>
                <w:sz w:val="14"/>
              </w:rPr>
              <w:t>33</w:t>
            </w:r>
          </w:p>
        </w:tc>
        <w:tc>
          <w:tcPr>
            <w:tcW w:type="dxa" w:w="9504"/>
          </w:tcPr>
          <w:p>
            <w:pPr>
              <w:spacing w:after="20"/>
              <w:jc w:val="left"/>
            </w:pPr>
            <w:r>
              <w:rPr>
                <w:color w:val="1C3A36"/>
                <w:sz w:val="14"/>
              </w:rPr>
              <w:t>The framing that treats the float as enterprise funding values the firm above the framing that does not</w:t>
            </w:r>
          </w:p>
        </w:tc>
      </w:tr>
      <w:tr>
        <w:tc>
          <w:tcPr>
            <w:tcW w:type="dxa" w:w="576"/>
          </w:tcPr>
          <w:p>
            <w:pPr>
              <w:spacing w:after="20"/>
            </w:pPr>
            <w:r>
              <w:rPr>
                <w:color w:val="1C3A36"/>
                <w:sz w:val="14"/>
              </w:rPr>
              <w:t>34</w:t>
            </w:r>
          </w:p>
        </w:tc>
        <w:tc>
          <w:tcPr>
            <w:tcW w:type="dxa" w:w="9504"/>
          </w:tcPr>
          <w:p>
            <w:pPr>
              <w:spacing w:after="20"/>
              <w:jc w:val="left"/>
            </w:pPr>
            <w:r>
              <w:rPr>
                <w:color w:val="1C3A36"/>
                <w:sz w:val="14"/>
              </w:rPr>
              <w:t>Every discount factor is positive</w:t>
            </w:r>
          </w:p>
        </w:tc>
      </w:tr>
      <w:tr>
        <w:tc>
          <w:tcPr>
            <w:tcW w:type="dxa" w:w="576"/>
          </w:tcPr>
          <w:p>
            <w:pPr>
              <w:spacing w:after="20"/>
            </w:pPr>
            <w:r>
              <w:rPr>
                <w:color w:val="1C3A36"/>
                <w:sz w:val="14"/>
              </w:rPr>
              <w:t>35</w:t>
            </w:r>
          </w:p>
        </w:tc>
        <w:tc>
          <w:tcPr>
            <w:tcW w:type="dxa" w:w="9504"/>
          </w:tcPr>
          <w:p>
            <w:pPr>
              <w:spacing w:after="20"/>
              <w:jc w:val="left"/>
            </w:pPr>
            <w:r>
              <w:rPr>
                <w:color w:val="1C3A36"/>
                <w:sz w:val="14"/>
              </w:rPr>
              <w:t>Terminal growth sits below the terminal cost of capital under both cost-of-capital framings</w:t>
            </w:r>
          </w:p>
        </w:tc>
      </w:tr>
      <w:tr>
        <w:tc>
          <w:tcPr>
            <w:tcW w:type="dxa" w:w="576"/>
          </w:tcPr>
          <w:p>
            <w:pPr>
              <w:spacing w:after="20"/>
            </w:pPr>
            <w:r>
              <w:rPr>
                <w:color w:val="1C3A36"/>
                <w:sz w:val="14"/>
              </w:rPr>
              <w:t>36</w:t>
            </w:r>
          </w:p>
        </w:tc>
        <w:tc>
          <w:tcPr>
            <w:tcW w:type="dxa" w:w="9504"/>
          </w:tcPr>
          <w:p>
            <w:pPr>
              <w:spacing w:after="20"/>
              <w:jc w:val="left"/>
            </w:pPr>
            <w:r>
              <w:rPr>
                <w:color w:val="1C3A36"/>
                <w:sz w:val="14"/>
              </w:rPr>
              <w:t>The terminal reinvestment rate implied by the model's own return on capital is inside its bounds</w:t>
            </w:r>
          </w:p>
        </w:tc>
      </w:tr>
      <w:tr>
        <w:tc>
          <w:tcPr>
            <w:tcW w:type="dxa" w:w="576"/>
          </w:tcPr>
          <w:p>
            <w:pPr>
              <w:spacing w:after="20"/>
            </w:pPr>
            <w:r>
              <w:rPr>
                <w:color w:val="1C3A36"/>
                <w:sz w:val="14"/>
              </w:rPr>
              <w:t>37</w:t>
            </w:r>
          </w:p>
        </w:tc>
        <w:tc>
          <w:tcPr>
            <w:tcW w:type="dxa" w:w="9504"/>
          </w:tcPr>
          <w:p>
            <w:pPr>
              <w:spacing w:after="20"/>
              <w:jc w:val="left"/>
            </w:pPr>
            <w:r>
              <w:rPr>
                <w:color w:val="1C3A36"/>
                <w:sz w:val="14"/>
              </w:rPr>
              <w:t>Market capitalisation is the published spot times the ex-treasury share count</w:t>
            </w:r>
          </w:p>
        </w:tc>
      </w:tr>
      <w:tr>
        <w:tc>
          <w:tcPr>
            <w:tcW w:type="dxa" w:w="576"/>
          </w:tcPr>
          <w:p>
            <w:pPr>
              <w:spacing w:after="20"/>
            </w:pPr>
            <w:r>
              <w:rPr>
                <w:color w:val="1C3A36"/>
                <w:sz w:val="14"/>
              </w:rPr>
              <w:t>38</w:t>
            </w:r>
          </w:p>
        </w:tc>
        <w:tc>
          <w:tcPr>
            <w:tcW w:type="dxa" w:w="9504"/>
          </w:tcPr>
          <w:p>
            <w:pPr>
              <w:spacing w:after="20"/>
              <w:jc w:val="left"/>
            </w:pPr>
            <w:r>
              <w:rPr>
                <w:color w:val="1C3A36"/>
                <w:sz w:val="14"/>
              </w:rPr>
              <w:t>The beta in the register is the value the sanctioned resolver returns, not a transcription</w:t>
            </w:r>
          </w:p>
        </w:tc>
      </w:tr>
      <w:tr>
        <w:tc>
          <w:tcPr>
            <w:tcW w:type="dxa" w:w="576"/>
          </w:tcPr>
          <w:p>
            <w:pPr>
              <w:spacing w:after="20"/>
            </w:pPr>
            <w:r>
              <w:rPr>
                <w:color w:val="1C3A36"/>
                <w:sz w:val="14"/>
              </w:rPr>
              <w:t>39</w:t>
            </w:r>
          </w:p>
        </w:tc>
        <w:tc>
          <w:tcPr>
            <w:tcW w:type="dxa" w:w="9504"/>
          </w:tcPr>
          <w:p>
            <w:pPr>
              <w:spacing w:after="20"/>
              <w:jc w:val="left"/>
            </w:pPr>
            <w:r>
              <w:rPr>
                <w:color w:val="1C3A36"/>
                <w:sz w:val="14"/>
              </w:rPr>
              <w:t>The regressor is the published exchange index read from raw_indices, not a constituent composite</w:t>
            </w:r>
          </w:p>
        </w:tc>
      </w:tr>
      <w:tr>
        <w:tc>
          <w:tcPr>
            <w:tcW w:type="dxa" w:w="576"/>
          </w:tcPr>
          <w:p>
            <w:pPr>
              <w:spacing w:after="20"/>
            </w:pPr>
            <w:r>
              <w:rPr>
                <w:color w:val="1C3A36"/>
                <w:sz w:val="14"/>
              </w:rPr>
              <w:t>40</w:t>
            </w:r>
          </w:p>
        </w:tc>
        <w:tc>
          <w:tcPr>
            <w:tcW w:type="dxa" w:w="9504"/>
          </w:tcPr>
          <w:p>
            <w:pPr>
              <w:spacing w:after="20"/>
              <w:jc w:val="left"/>
            </w:pPr>
            <w:r>
              <w:rPr>
                <w:color w:val="1C3A36"/>
                <w:sz w:val="14"/>
              </w:rPr>
              <w:t>No interim-index disclosure applies to the Egyptian Exchange</w:t>
            </w:r>
          </w:p>
        </w:tc>
      </w:tr>
      <w:tr>
        <w:tc>
          <w:tcPr>
            <w:tcW w:type="dxa" w:w="576"/>
          </w:tcPr>
          <w:p>
            <w:pPr>
              <w:spacing w:after="20"/>
            </w:pPr>
            <w:r>
              <w:rPr>
                <w:color w:val="1C3A36"/>
                <w:sz w:val="14"/>
              </w:rPr>
              <w:t>41</w:t>
            </w:r>
          </w:p>
        </w:tc>
        <w:tc>
          <w:tcPr>
            <w:tcW w:type="dxa" w:w="9504"/>
          </w:tcPr>
          <w:p>
            <w:pPr>
              <w:spacing w:after="20"/>
              <w:jc w:val="left"/>
            </w:pPr>
            <w:r>
              <w:rPr>
                <w:color w:val="1C3A36"/>
                <w:sz w:val="14"/>
              </w:rPr>
              <w:t>The own-stock regression clears the usability gate, so tier 1 stands and no fallback is needed</w:t>
            </w:r>
          </w:p>
        </w:tc>
      </w:tr>
      <w:tr>
        <w:tc>
          <w:tcPr>
            <w:tcW w:type="dxa" w:w="576"/>
          </w:tcPr>
          <w:p>
            <w:pPr>
              <w:spacing w:after="20"/>
            </w:pPr>
            <w:r>
              <w:rPr>
                <w:color w:val="1C3A36"/>
                <w:sz w:val="14"/>
              </w:rPr>
              <w:t>42</w:t>
            </w:r>
          </w:p>
        </w:tc>
        <w:tc>
          <w:tcPr>
            <w:tcW w:type="dxa" w:w="9504"/>
          </w:tcPr>
          <w:p>
            <w:pPr>
              <w:spacing w:after="20"/>
              <w:jc w:val="left"/>
            </w:pPr>
            <w:r>
              <w:rPr>
                <w:color w:val="1C3A36"/>
                <w:sz w:val="14"/>
              </w:rPr>
              <w:t>beta provenance asserted on the resolver record: raw_indices/EG/EGX30.csv, as of 2026-07-22</w:t>
            </w:r>
          </w:p>
        </w:tc>
      </w:tr>
      <w:tr>
        <w:tc>
          <w:tcPr>
            <w:tcW w:type="dxa" w:w="576"/>
          </w:tcPr>
          <w:p>
            <w:pPr>
              <w:spacing w:after="20"/>
            </w:pPr>
            <w:r>
              <w:rPr>
                <w:color w:val="1C3A36"/>
                <w:sz w:val="14"/>
              </w:rPr>
              <w:t>43</w:t>
            </w:r>
          </w:p>
        </w:tc>
        <w:tc>
          <w:tcPr>
            <w:tcW w:type="dxa" w:w="9504"/>
          </w:tcPr>
          <w:p>
            <w:pPr>
              <w:spacing w:after="20"/>
              <w:jc w:val="left"/>
            </w:pPr>
            <w:r>
              <w:rPr>
                <w:color w:val="1C3A36"/>
                <w:sz w:val="14"/>
              </w:rPr>
              <w:t>The EBITDA definition recovered from the statements (gross profit less administrative and selling cost less expected credit losses) reproduces the only published figure whose components the statements disclose — H1-2025 — to within half a percentage point</w:t>
            </w:r>
          </w:p>
        </w:tc>
      </w:tr>
      <w:tr>
        <w:tc>
          <w:tcPr>
            <w:tcW w:type="dxa" w:w="576"/>
          </w:tcPr>
          <w:p>
            <w:pPr>
              <w:spacing w:after="20"/>
            </w:pPr>
            <w:r>
              <w:rPr>
                <w:color w:val="1C3A36"/>
                <w:sz w:val="14"/>
              </w:rPr>
              <w:t>44</w:t>
            </w:r>
          </w:p>
        </w:tc>
        <w:tc>
          <w:tcPr>
            <w:tcW w:type="dxa" w:w="9504"/>
          </w:tcPr>
          <w:p>
            <w:pPr>
              <w:spacing w:after="20"/>
              <w:jc w:val="left"/>
            </w:pPr>
            <w:r>
              <w:rPr>
                <w:color w:val="1C3A36"/>
                <w:sz w:val="14"/>
              </w:rPr>
              <w:t>The model's first forecast period reproduces the last reported half-year at the income-statement level to within 5%%, once the disclosed capitalised interest is added back and the modelled sequential growth is applied</w:t>
            </w:r>
          </w:p>
        </w:tc>
      </w:tr>
      <w:tr>
        <w:tc>
          <w:tcPr>
            <w:tcW w:type="dxa" w:w="576"/>
          </w:tcPr>
          <w:p>
            <w:pPr>
              <w:spacing w:after="20"/>
            </w:pPr>
            <w:r>
              <w:rPr>
                <w:color w:val="1C3A36"/>
                <w:sz w:val="14"/>
              </w:rPr>
              <w:t>45</w:t>
            </w:r>
          </w:p>
        </w:tc>
        <w:tc>
          <w:tcPr>
            <w:tcW w:type="dxa" w:w="9504"/>
          </w:tcPr>
          <w:p>
            <w:pPr>
              <w:spacing w:after="20"/>
              <w:jc w:val="left"/>
            </w:pPr>
            <w:r>
              <w:rPr>
                <w:color w:val="1C3A36"/>
                <w:sz w:val="14"/>
              </w:rPr>
              <w:t>Both bridging items are cash outflows in the reported half-year, so the like-for-like figure is the higher one</w:t>
            </w:r>
          </w:p>
        </w:tc>
      </w:tr>
      <w:tr>
        <w:tc>
          <w:tcPr>
            <w:tcW w:type="dxa" w:w="576"/>
          </w:tcPr>
          <w:p>
            <w:pPr>
              <w:spacing w:after="20"/>
            </w:pPr>
            <w:r>
              <w:rPr>
                <w:color w:val="1C3A36"/>
                <w:sz w:val="14"/>
              </w:rPr>
              <w:t>46</w:t>
            </w:r>
          </w:p>
        </w:tc>
        <w:tc>
          <w:tcPr>
            <w:tcW w:type="dxa" w:w="9504"/>
          </w:tcPr>
          <w:p>
            <w:pPr>
              <w:spacing w:after="20"/>
              <w:jc w:val="left"/>
            </w:pPr>
            <w:r>
              <w:rPr>
                <w:color w:val="1C3A36"/>
                <w:sz w:val="14"/>
              </w:rPr>
              <w:t>Unlevered cash flow is positive both in the reported half-year and in the first forecast period under the base framing</w:t>
            </w:r>
          </w:p>
        </w:tc>
      </w:tr>
      <w:tr>
        <w:tc>
          <w:tcPr>
            <w:tcW w:type="dxa" w:w="576"/>
          </w:tcPr>
          <w:p>
            <w:pPr>
              <w:spacing w:after="20"/>
            </w:pPr>
            <w:r>
              <w:rPr>
                <w:color w:val="1C3A36"/>
                <w:sz w:val="14"/>
              </w:rPr>
              <w:t>47</w:t>
            </w:r>
          </w:p>
        </w:tc>
        <w:tc>
          <w:tcPr>
            <w:tcW w:type="dxa" w:w="9504"/>
          </w:tcPr>
          <w:p>
            <w:pPr>
              <w:spacing w:after="20"/>
              <w:jc w:val="left"/>
            </w:pPr>
            <w:r>
              <w:rPr>
                <w:color w:val="1C3A36"/>
                <w:sz w:val="14"/>
              </w:rPr>
              <w:t>The terminal value is under four-fifths of enterprise value in the base framing</w:t>
            </w:r>
          </w:p>
        </w:tc>
      </w:tr>
      <w:tr>
        <w:tc>
          <w:tcPr>
            <w:tcW w:type="dxa" w:w="576"/>
          </w:tcPr>
          <w:p>
            <w:pPr>
              <w:spacing w:after="20"/>
            </w:pPr>
            <w:r>
              <w:rPr>
                <w:color w:val="1C3A36"/>
                <w:sz w:val="14"/>
              </w:rPr>
              <w:t>48</w:t>
            </w:r>
          </w:p>
        </w:tc>
        <w:tc>
          <w:tcPr>
            <w:tcW w:type="dxa" w:w="9504"/>
          </w:tcPr>
          <w:p>
            <w:pPr>
              <w:spacing w:after="20"/>
              <w:jc w:val="left"/>
            </w:pPr>
            <w:r>
              <w:rPr>
                <w:color w:val="1C3A36"/>
                <w:sz w:val="14"/>
              </w:rPr>
              <w:t>Measured on all the capital standing in the business, the return sits below the spot cost of capital — the study publishes that figure rather than only the flattering one</w:t>
            </w:r>
          </w:p>
        </w:tc>
      </w:tr>
      <w:tr>
        <w:tc>
          <w:tcPr>
            <w:tcW w:type="dxa" w:w="576"/>
          </w:tcPr>
          <w:p>
            <w:pPr>
              <w:spacing w:after="20"/>
            </w:pPr>
            <w:r>
              <w:rPr>
                <w:color w:val="1C3A36"/>
                <w:sz w:val="14"/>
              </w:rPr>
              <w:t>49</w:t>
            </w:r>
          </w:p>
        </w:tc>
        <w:tc>
          <w:tcPr>
            <w:tcW w:type="dxa" w:w="9504"/>
          </w:tcPr>
          <w:p>
            <w:pPr>
              <w:spacing w:after="20"/>
              <w:jc w:val="left"/>
            </w:pPr>
            <w:r>
              <w:rPr>
                <w:color w:val="1C3A36"/>
                <w:sz w:val="14"/>
              </w:rPr>
              <w:t>Measured net of the customer money funding the work, the return sits above the normalised cost of capital — the other half of the same fact, published beside it</w:t>
            </w:r>
          </w:p>
        </w:tc>
      </w:tr>
      <w:tr>
        <w:tc>
          <w:tcPr>
            <w:tcW w:type="dxa" w:w="576"/>
          </w:tcPr>
          <w:p>
            <w:pPr>
              <w:spacing w:after="20"/>
            </w:pPr>
            <w:r>
              <w:rPr>
                <w:color w:val="1C3A36"/>
                <w:sz w:val="14"/>
              </w:rPr>
              <w:t>50</w:t>
            </w:r>
          </w:p>
        </w:tc>
        <w:tc>
          <w:tcPr>
            <w:tcW w:type="dxa" w:w="9504"/>
          </w:tcPr>
          <w:p>
            <w:pPr>
              <w:spacing w:after="20"/>
              <w:jc w:val="left"/>
            </w:pPr>
            <w:r>
              <w:rPr>
                <w:color w:val="1C3A36"/>
                <w:sz w:val="14"/>
              </w:rPr>
              <w:t>The full model, which carries the terminal value the one-year break-even arithmetic cannot, values more volume higher under BOTH framings — the direction the prose states</w:t>
            </w:r>
          </w:p>
        </w:tc>
      </w:tr>
      <w:tr>
        <w:tc>
          <w:tcPr>
            <w:tcW w:type="dxa" w:w="576"/>
          </w:tcPr>
          <w:p>
            <w:pPr>
              <w:spacing w:after="20"/>
            </w:pPr>
            <w:r>
              <w:rPr>
                <w:color w:val="1C3A36"/>
                <w:sz w:val="14"/>
              </w:rPr>
              <w:t>51</w:t>
            </w:r>
          </w:p>
        </w:tc>
        <w:tc>
          <w:tcPr>
            <w:tcW w:type="dxa" w:w="9504"/>
          </w:tcPr>
          <w:p>
            <w:pPr>
              <w:spacing w:after="20"/>
              <w:jc w:val="left"/>
            </w:pPr>
            <w:r>
              <w:rPr>
                <w:color w:val="1C3A36"/>
                <w:sz w:val="14"/>
              </w:rPr>
              <w:t>Over half the capital in the business is customer money, which is why the two return measures differ so widely</w:t>
            </w:r>
          </w:p>
        </w:tc>
      </w:tr>
      <w:tr>
        <w:tc>
          <w:tcPr>
            <w:tcW w:type="dxa" w:w="576"/>
          </w:tcPr>
          <w:p>
            <w:pPr>
              <w:spacing w:after="20"/>
            </w:pPr>
            <w:r>
              <w:rPr>
                <w:color w:val="1C3A36"/>
                <w:sz w:val="14"/>
              </w:rPr>
              <w:t>52</w:t>
            </w:r>
          </w:p>
        </w:tc>
        <w:tc>
          <w:tcPr>
            <w:tcW w:type="dxa" w:w="9504"/>
          </w:tcPr>
          <w:p>
            <w:pPr>
              <w:spacing w:after="20"/>
              <w:jc w:val="left"/>
            </w:pPr>
            <w:r>
              <w:rPr>
                <w:color w:val="1C3A36"/>
                <w:sz w:val="14"/>
              </w:rPr>
              <w:t>Reading the security lever back through the page's own formula recovers the conditional event size the model measured, so the lever is not merely plausible but arithmetically right</w:t>
            </w:r>
          </w:p>
        </w:tc>
      </w:tr>
      <w:tr>
        <w:tc>
          <w:tcPr>
            <w:tcW w:type="dxa" w:w="576"/>
          </w:tcPr>
          <w:p>
            <w:pPr>
              <w:spacing w:after="20"/>
            </w:pPr>
            <w:r>
              <w:rPr>
                <w:color w:val="1C3A36"/>
                <w:sz w:val="14"/>
              </w:rPr>
              <w:t>53</w:t>
            </w:r>
          </w:p>
        </w:tc>
        <w:tc>
          <w:tcPr>
            <w:tcW w:type="dxa" w:w="9504"/>
          </w:tcPr>
          <w:p>
            <w:pPr>
              <w:spacing w:after="20"/>
              <w:jc w:val="left"/>
            </w:pPr>
            <w:r>
              <w:rPr>
                <w:color w:val="1C3A36"/>
                <w:sz w:val="14"/>
              </w:rPr>
              <w:t>The launch lever recovers its measured conditional gain on the same round trip</w:t>
            </w:r>
          </w:p>
        </w:tc>
      </w:tr>
      <w:tr>
        <w:tc>
          <w:tcPr>
            <w:tcW w:type="dxa" w:w="576"/>
          </w:tcPr>
          <w:p>
            <w:pPr>
              <w:spacing w:after="20"/>
            </w:pPr>
            <w:r>
              <w:rPr>
                <w:color w:val="1C3A36"/>
                <w:sz w:val="14"/>
              </w:rPr>
              <w:t>54</w:t>
            </w:r>
          </w:p>
        </w:tc>
        <w:tc>
          <w:tcPr>
            <w:tcW w:type="dxa" w:w="9504"/>
          </w:tcPr>
          <w:p>
            <w:pPr>
              <w:spacing w:after="20"/>
              <w:jc w:val="left"/>
            </w:pPr>
            <w:r>
              <w:rPr>
                <w:color w:val="1C3A36"/>
                <w:sz w:val="14"/>
              </w:rPr>
              <w:t>The segment revenue table foots exactly to the face of the income statement</w:t>
            </w:r>
          </w:p>
        </w:tc>
      </w:tr>
      <w:tr>
        <w:tc>
          <w:tcPr>
            <w:tcW w:type="dxa" w:w="576"/>
          </w:tcPr>
          <w:p>
            <w:pPr>
              <w:spacing w:after="20"/>
            </w:pPr>
            <w:r>
              <w:rPr>
                <w:color w:val="1C3A36"/>
                <w:sz w:val="14"/>
              </w:rPr>
              <w:t>55</w:t>
            </w:r>
          </w:p>
        </w:tc>
        <w:tc>
          <w:tcPr>
            <w:tcW w:type="dxa" w:w="9504"/>
          </w:tcPr>
          <w:p>
            <w:pPr>
              <w:spacing w:after="20"/>
              <w:jc w:val="left"/>
            </w:pPr>
            <w:r>
              <w:rPr>
                <w:color w:val="1C3A36"/>
                <w:sz w:val="14"/>
              </w:rPr>
              <w:t>The segment cost table foots exactly to the face of the income statement, including the depreciation line note 65 carries separately from the five activities</w:t>
            </w:r>
          </w:p>
        </w:tc>
      </w:tr>
      <w:tr>
        <w:tc>
          <w:tcPr>
            <w:tcW w:type="dxa" w:w="576"/>
          </w:tcPr>
          <w:p>
            <w:pPr>
              <w:spacing w:after="20"/>
            </w:pPr>
            <w:r>
              <w:rPr>
                <w:color w:val="1C3A36"/>
                <w:sz w:val="14"/>
              </w:rPr>
              <w:t>56</w:t>
            </w:r>
          </w:p>
        </w:tc>
        <w:tc>
          <w:tcPr>
            <w:tcW w:type="dxa" w:w="9504"/>
          </w:tcPr>
          <w:p>
            <w:pPr>
              <w:spacing w:after="20"/>
              <w:jc w:val="left"/>
            </w:pPr>
            <w:r>
              <w:rPr>
                <w:color w:val="1C3A36"/>
                <w:sz w:val="14"/>
              </w:rPr>
              <w:t>The comparative segment cost table foots on the same identity</w:t>
            </w:r>
          </w:p>
        </w:tc>
      </w:tr>
      <w:tr>
        <w:tc>
          <w:tcPr>
            <w:tcW w:type="dxa" w:w="576"/>
          </w:tcPr>
          <w:p>
            <w:pPr>
              <w:spacing w:after="20"/>
            </w:pPr>
            <w:r>
              <w:rPr>
                <w:color w:val="1C3A36"/>
                <w:sz w:val="14"/>
              </w:rPr>
              <w:t>57</w:t>
            </w:r>
          </w:p>
        </w:tc>
        <w:tc>
          <w:tcPr>
            <w:tcW w:type="dxa" w:w="9504"/>
          </w:tcPr>
          <w:p>
            <w:pPr>
              <w:spacing w:after="20"/>
              <w:jc w:val="left"/>
            </w:pPr>
            <w:r>
              <w:rPr>
                <w:color w:val="1C3A36"/>
                <w:sz w:val="14"/>
              </w:rPr>
              <w:t>Every one of the 296 register entries is four-field complete (value, source, date, layer)</w:t>
            </w:r>
          </w:p>
        </w:tc>
      </w:tr>
    </w:tbl>
    <w:p>
      <w:pPr>
        <w:spacing w:after="40"/>
      </w:pPr>
    </w:p>
    <w:p>
      <w:pPr>
        <w:spacing w:after="200" w:before="0"/>
      </w:pPr>
      <w:r>
        <w:rPr>
          <w:b w:val="0"/>
          <w:i/>
          <w:color w:val="6E7B77"/>
          <w:sz w:val="17"/>
        </w:rPr>
        <w:t>Table 10. The full assertion log for this build.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