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40" w:before="0"/>
      </w:pPr>
      <w:r>
        <w:rPr>
          <w:b/>
          <w:i w:val="0"/>
          <w:color w:val="1C3A36"/>
          <w:sz w:val="40"/>
        </w:rPr>
        <w:t>Palm Hills Developments (EGX:PHDC)</w:t>
      </w:r>
    </w:p>
    <w:p>
      <w:pPr>
        <w:spacing w:after="160" w:before="0"/>
      </w:pPr>
      <w:r>
        <w:rPr>
          <w:b w:val="0"/>
          <w:i w:val="0"/>
          <w:color w:val="896F36"/>
          <w:sz w:val="23"/>
        </w:rPr>
        <w:t>Independent valuation study — fundamentals refreshed on the 30 June 2026 statements</w:t>
      </w:r>
    </w:p>
    <w:p>
      <w:pPr>
        <w:spacing w:after="200" w:before="0"/>
      </w:pPr>
      <w:r>
        <w:rPr>
          <w:b w:val="0"/>
          <w:i w:val="0"/>
          <w:color w:val="1C3A36"/>
          <w:sz w:val="19"/>
        </w:rPr>
        <w:t xml:space="preserve">Anchor </w:t>
      </w:r>
      <w:r>
        <w:rPr>
          <w:b/>
          <w:i w:val="0"/>
          <w:color w:val="1C3A36"/>
          <w:sz w:val="19"/>
        </w:rPr>
        <w:t>EGP 15.01</w:t>
      </w:r>
      <w:r>
        <w:rPr>
          <w:b w:val="0"/>
          <w:i w:val="0"/>
          <w:color w:val="1C3A36"/>
          <w:sz w:val="19"/>
        </w:rPr>
        <w:t xml:space="preserve"> (22-Jul-2026) · 2.82 bn shares outstanding after treasury · market value about EGP 42.40bn · fundamentals rebuilt on the reviewed statements as of 30 June 2026 · price and probability sections carried forward from the 22 July 2026 data</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 what this document is, and is not. </w:t>
            </w:r>
            <w:r>
              <w:rPr>
                <w:color w:val="1C3A36"/>
                <w:sz w:val="19"/>
              </w:rPr>
              <w:t>This study is a valuation exercise and an expression of personal analytical opinion, published free of charge for educational purposes: it shows how one analyst applies fundamental and probabilistic methods to a listed company, and invites scrutiny of that methodology. It is NOT investment advice, NOT a recommendation or solicitation to buy, sell or hold any security, and NOT directed at the circumstances of any reader. The preparer is not licensed by the Egyptian Financial Regulatory Authority or any other regulator, provides no financial consultancy, manages no money, and accepts no fees, funds or clients. All values are model outputs presented as ranges and distributions because no single number should be relied on. Consult a licensed financial advisor before any investment decision.</w:t>
            </w:r>
          </w:p>
        </w:tc>
      </w:tr>
    </w:tbl>
    <w:p>
      <w:pPr>
        <w:spacing w:after="40"/>
      </w:pPr>
    </w:p>
    <w:p>
      <w:pPr>
        <w:spacing w:after="120" w:before="280"/>
      </w:pPr>
      <w:r>
        <w:rPr>
          <w:b/>
          <w:i w:val="0"/>
          <w:color w:val="1C3A36"/>
          <w:sz w:val="30"/>
        </w:rPr>
        <w:t>Headline</w:t>
      </w:r>
    </w:p>
    <w:p>
      <w:pPr>
        <w:spacing w:after="120" w:before="0"/>
      </w:pPr>
      <w:r>
        <w:rPr>
          <w:b/>
          <w:i w:val="0"/>
          <w:color w:val="1C3A36"/>
          <w:sz w:val="21"/>
        </w:rPr>
        <w:t xml:space="preserve">One question decides this company, and the accounts pose it plainly. </w:t>
      </w:r>
      <w:r>
        <w:rPr>
          <w:b w:val="0"/>
          <w:i w:val="0"/>
          <w:color w:val="1C3A36"/>
          <w:sz w:val="21"/>
        </w:rPr>
        <w:t>Palm Hills holds EGP 34.34bn of customers' maintenance money on behalf of residents' associations that have not yet been legally constituted. Take that balance's growth out of the cash-flow statement and reported operating cash flow is negative in every period the company has ever disclosed: EGP -3,716mn in the first half of 2026, EGP -5,592mn in the first half of 2025, EGP -6,963mn in 2024 and EGP -3,024mn in 2023. Whether that float is permanent funding of the business or third-party money held in trust is worth more than any forecast in this document, so the study computes the whole valuation both ways and publishes the two answers side by side. It never averages them.</w:t>
      </w:r>
    </w:p>
    <w:p>
      <w:pPr>
        <w:spacing w:after="120" w:before="0"/>
      </w:pPr>
      <w:r>
        <w:rPr>
          <w:b/>
          <w:i w:val="0"/>
          <w:color w:val="1C3A36"/>
          <w:sz w:val="21"/>
        </w:rPr>
        <w:t xml:space="preserve">Treat the float as operating funding and the four lenses centre on EGP 15.82, about +5% against the EGP 15.01 market price, inside a range of EGP 9.81 to EGP 21.82. Treat it as restricted and the same four lenses centre on EGP 5.79. </w:t>
      </w:r>
      <w:r>
        <w:rPr>
          <w:b w:val="0"/>
          <w:i w:val="0"/>
          <w:color w:val="1C3A36"/>
          <w:sz w:val="21"/>
        </w:rPr>
        <w:t>The study adopts the first as its base case, because that is how the company has actually operated for a decade — the balance has risen in every disclosed period, no association has been constituted, and the invested proceeds earn for the company — and it publishes the second in full as the downside rather than as a haircut.</w:t>
      </w:r>
    </w:p>
    <w:p>
      <w:pPr>
        <w:spacing w:after="120" w:before="0"/>
      </w:pPr>
      <w:r>
        <w:rPr>
          <w:b/>
          <w:i w:val="0"/>
          <w:color w:val="1C3A36"/>
          <w:sz w:val="21"/>
        </w:rPr>
        <w:t xml:space="preserve">The second question is what the first half actually said about margins. </w:t>
      </w:r>
      <w:r>
        <w:rPr>
          <w:b w:val="0"/>
          <w:i w:val="0"/>
          <w:color w:val="1C3A36"/>
          <w:sz w:val="21"/>
        </w:rPr>
        <w:t>The reported gross margin fell from 42.8% to 35.5% year on year, and the earnings-before-interest measure the company itself publishes fell from 28.5% to 20.8%. That reads as deterioration until the audited history is put beside it: the same measure was 19.7% in 2023 and 21.6% in 2024. The first half of 2026 is not below the company's own history — 2025 was above it, and about EGP 661mn of the 2025 half-year came from selling investments and other items that carried no cost at all. The compression began in the fourth quarter of 2025, at 17.5%, and has since recovered to 20.5% and 21.1% in the two quarters of 2026.</w:t>
      </w:r>
    </w:p>
    <w:p>
      <w:pPr>
        <w:spacing w:after="120" w:before="0"/>
      </w:pPr>
      <w:r>
        <w:rPr>
          <w:b/>
          <w:i w:val="0"/>
          <w:color w:val="1C3A36"/>
          <w:sz w:val="21"/>
        </w:rPr>
        <w:t xml:space="preserve">The third is the cost of capital, and it is where the last edition of this study was simply wrong. </w:t>
      </w:r>
      <w:r>
        <w:rPr>
          <w:b w:val="0"/>
          <w:i w:val="0"/>
          <w:color w:val="1C3A36"/>
          <w:sz w:val="21"/>
        </w:rPr>
        <w:t>It discounted at a flat 18% while the Egyptian government was paying more than that to borrow. On 17 August 2026 the three-year Egyptian government bond cleared at 23.27%. Rebuilt properly, the cost of equity is 31.5% on the rating basis and 29.9% on the credit-default-swap basis, the marginal cost of debt is 25.1%, and the weighted cost of capital is 25.9% to 26.9% today, gliding to 14.8% as the central bank's own inflation target takes hold. A discount rate below the local risk-free rate is not available to a leveraged equity, and every number in the last edition rested on one.</w:t>
      </w:r>
    </w:p>
    <w:p>
      <w:pPr>
        <w:spacing w:after="120" w:before="0"/>
      </w:pPr>
      <w:r>
        <w:rPr>
          <w:b/>
          <w:i w:val="0"/>
          <w:color w:val="1C3A36"/>
          <w:sz w:val="21"/>
        </w:rPr>
        <w:t xml:space="preserve">What the shares are priced for. </w:t>
      </w:r>
      <w:r>
        <w:rPr>
          <w:b w:val="0"/>
          <w:i w:val="0"/>
          <w:color w:val="1C3A36"/>
          <w:sz w:val="21"/>
        </w:rPr>
        <w:t>At EGP 15.01 the market pays 2.24x book value against a trailing return on equity of 22.2%. Solve that for the discount rate the market is applying and it comes out near 14.3% — very close to the normalised cost of equity in this study, and far below the spot rate. The market is already pricing Egypt's disinflation. That is a defensible view. It is also the single assumption that has to hold.</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3384"/>
        <w:gridCol w:w="3384"/>
      </w:tblGrid>
      <w:tr>
        <w:tc>
          <w:tcPr>
            <w:tcW w:type="dxa" w:w="3384"/>
            <w:shd w:val="clear" w:color="auto" w:fill="EAF0EE"/>
          </w:tcPr>
          <w:p>
            <w:pPr>
              <w:spacing w:after="20"/>
            </w:pPr>
            <w:r>
              <w:rPr>
                <w:b/>
                <w:color w:val="1C3A36"/>
                <w:sz w:val="18"/>
              </w:rPr>
            </w:r>
          </w:p>
        </w:tc>
        <w:tc>
          <w:tcPr>
            <w:tcW w:type="dxa" w:w="3384"/>
            <w:shd w:val="clear" w:color="auto" w:fill="EAF0EE"/>
          </w:tcPr>
          <w:p>
            <w:pPr>
              <w:spacing w:after="20"/>
            </w:pPr>
            <w:r>
              <w:rPr>
                <w:b/>
                <w:color w:val="1C3A36"/>
                <w:sz w:val="18"/>
              </w:rPr>
              <w:t>Framing A — float is operating funding</w:t>
            </w:r>
          </w:p>
        </w:tc>
        <w:tc>
          <w:tcPr>
            <w:tcW w:type="dxa" w:w="3384"/>
            <w:shd w:val="clear" w:color="auto" w:fill="EAF0EE"/>
          </w:tcPr>
          <w:p>
            <w:pPr>
              <w:spacing w:after="20"/>
            </w:pPr>
            <w:r>
              <w:rPr>
                <w:b/>
                <w:color w:val="1C3A36"/>
                <w:sz w:val="18"/>
              </w:rPr>
              <w:t>Framing B — float restricted</w:t>
            </w:r>
          </w:p>
        </w:tc>
      </w:tr>
      <w:tr>
        <w:tc>
          <w:tcPr>
            <w:tcW w:type="dxa" w:w="3384"/>
          </w:tcPr>
          <w:p>
            <w:pPr>
              <w:spacing w:after="20"/>
            </w:pPr>
            <w:r>
              <w:rPr>
                <w:b/>
                <w:color w:val="1C3A36"/>
                <w:sz w:val="18"/>
              </w:rPr>
              <w:t>Cash-flow lens</w:t>
            </w:r>
          </w:p>
        </w:tc>
        <w:tc>
          <w:tcPr>
            <w:tcW w:type="dxa" w:w="3384"/>
          </w:tcPr>
          <w:p>
            <w:pPr>
              <w:spacing w:after="20"/>
              <w:jc w:val="right"/>
            </w:pPr>
            <w:r>
              <w:rPr>
                <w:color w:val="1C3A36"/>
                <w:sz w:val="18"/>
              </w:rPr>
              <w:t>EGP 11.67 – 34.56</w:t>
            </w:r>
          </w:p>
        </w:tc>
        <w:tc>
          <w:tcPr>
            <w:tcW w:type="dxa" w:w="3384"/>
          </w:tcPr>
          <w:p>
            <w:pPr>
              <w:spacing w:after="20"/>
              <w:jc w:val="right"/>
            </w:pPr>
            <w:r>
              <w:rPr>
                <w:color w:val="1C3A36"/>
                <w:sz w:val="18"/>
              </w:rPr>
              <w:t>EGP -4.82 – 6.51</w:t>
            </w:r>
          </w:p>
        </w:tc>
      </w:tr>
      <w:tr>
        <w:tc>
          <w:tcPr>
            <w:tcW w:type="dxa" w:w="3384"/>
          </w:tcPr>
          <w:p>
            <w:pPr>
              <w:spacing w:after="20"/>
            </w:pPr>
            <w:r>
              <w:rPr>
                <w:b/>
                <w:color w:val="1C3A36"/>
                <w:sz w:val="18"/>
              </w:rPr>
              <w:t>Book value and sustainable return</w:t>
            </w:r>
          </w:p>
        </w:tc>
        <w:tc>
          <w:tcPr>
            <w:tcW w:type="dxa" w:w="3384"/>
          </w:tcPr>
          <w:p>
            <w:pPr>
              <w:spacing w:after="20"/>
              <w:jc w:val="right"/>
            </w:pPr>
            <w:r>
              <w:rPr>
                <w:color w:val="1C3A36"/>
                <w:sz w:val="18"/>
              </w:rPr>
              <w:t>EGP 4.35 – 10.02</w:t>
            </w:r>
          </w:p>
        </w:tc>
        <w:tc>
          <w:tcPr>
            <w:tcW w:type="dxa" w:w="3384"/>
          </w:tcPr>
          <w:p>
            <w:pPr>
              <w:spacing w:after="20"/>
              <w:jc w:val="right"/>
            </w:pPr>
            <w:r>
              <w:rPr>
                <w:color w:val="1C3A36"/>
                <w:sz w:val="18"/>
              </w:rPr>
              <w:t>EGP 4.35 – 10.02</w:t>
            </w:r>
          </w:p>
        </w:tc>
      </w:tr>
      <w:tr>
        <w:tc>
          <w:tcPr>
            <w:tcW w:type="dxa" w:w="3384"/>
          </w:tcPr>
          <w:p>
            <w:pPr>
              <w:spacing w:after="20"/>
            </w:pPr>
            <w:r>
              <w:rPr>
                <w:b/>
                <w:color w:val="1C3A36"/>
                <w:sz w:val="18"/>
              </w:rPr>
              <w:t>Relative multiples</w:t>
            </w:r>
          </w:p>
        </w:tc>
        <w:tc>
          <w:tcPr>
            <w:tcW w:type="dxa" w:w="3384"/>
          </w:tcPr>
          <w:p>
            <w:pPr>
              <w:spacing w:after="20"/>
              <w:jc w:val="right"/>
            </w:pPr>
            <w:r>
              <w:rPr>
                <w:color w:val="1C3A36"/>
                <w:sz w:val="18"/>
              </w:rPr>
              <w:t>EGP 9.68 – 12.15</w:t>
            </w:r>
          </w:p>
        </w:tc>
        <w:tc>
          <w:tcPr>
            <w:tcW w:type="dxa" w:w="3384"/>
          </w:tcPr>
          <w:p>
            <w:pPr>
              <w:spacing w:after="20"/>
              <w:jc w:val="right"/>
            </w:pPr>
            <w:r>
              <w:rPr>
                <w:color w:val="1C3A36"/>
                <w:sz w:val="18"/>
              </w:rPr>
              <w:t>EGP 9.68 – 12.15</w:t>
            </w:r>
          </w:p>
        </w:tc>
      </w:tr>
      <w:tr>
        <w:tc>
          <w:tcPr>
            <w:tcW w:type="dxa" w:w="3384"/>
          </w:tcPr>
          <w:p>
            <w:pPr>
              <w:spacing w:after="20"/>
            </w:pPr>
            <w:r>
              <w:rPr>
                <w:b/>
                <w:color w:val="1C3A36"/>
                <w:sz w:val="18"/>
              </w:rPr>
              <w:t>Normalised earnings power</w:t>
            </w:r>
          </w:p>
        </w:tc>
        <w:tc>
          <w:tcPr>
            <w:tcW w:type="dxa" w:w="3384"/>
          </w:tcPr>
          <w:p>
            <w:pPr>
              <w:spacing w:after="20"/>
              <w:jc w:val="right"/>
            </w:pPr>
            <w:r>
              <w:rPr>
                <w:color w:val="1C3A36"/>
                <w:sz w:val="18"/>
              </w:rPr>
              <w:t>EGP 11.69 – 12.21</w:t>
            </w:r>
          </w:p>
        </w:tc>
        <w:tc>
          <w:tcPr>
            <w:tcW w:type="dxa" w:w="3384"/>
          </w:tcPr>
          <w:p>
            <w:pPr>
              <w:spacing w:after="20"/>
              <w:jc w:val="right"/>
            </w:pPr>
            <w:r>
              <w:rPr>
                <w:color w:val="1C3A36"/>
                <w:sz w:val="18"/>
              </w:rPr>
              <w:t>EGP 11.69 – 12.21</w:t>
            </w:r>
          </w:p>
        </w:tc>
      </w:tr>
      <w:tr>
        <w:tc>
          <w:tcPr>
            <w:tcW w:type="dxa" w:w="3384"/>
            <w:shd w:val="clear" w:color="auto" w:fill="F6F1E6"/>
          </w:tcPr>
          <w:p>
            <w:pPr>
              <w:spacing w:after="20"/>
            </w:pPr>
            <w:r>
              <w:rPr>
                <w:b/>
                <w:color w:val="1C3A36"/>
                <w:sz w:val="18"/>
              </w:rPr>
              <w:t>Weighted centre</w:t>
            </w:r>
          </w:p>
        </w:tc>
        <w:tc>
          <w:tcPr>
            <w:tcW w:type="dxa" w:w="3384"/>
            <w:shd w:val="clear" w:color="auto" w:fill="F6F1E6"/>
          </w:tcPr>
          <w:p>
            <w:pPr>
              <w:spacing w:after="20"/>
              <w:jc w:val="right"/>
            </w:pPr>
            <w:r>
              <w:rPr>
                <w:b/>
                <w:color w:val="1C3A36"/>
                <w:sz w:val="18"/>
              </w:rPr>
              <w:t>EGP 15.82</w:t>
            </w:r>
          </w:p>
        </w:tc>
        <w:tc>
          <w:tcPr>
            <w:tcW w:type="dxa" w:w="3384"/>
            <w:shd w:val="clear" w:color="auto" w:fill="F6F1E6"/>
          </w:tcPr>
          <w:p>
            <w:pPr>
              <w:spacing w:after="20"/>
              <w:jc w:val="right"/>
            </w:pPr>
            <w:r>
              <w:rPr>
                <w:b/>
                <w:color w:val="1C3A36"/>
                <w:sz w:val="18"/>
              </w:rPr>
              <w:t>EGP 5.79</w:t>
            </w:r>
          </w:p>
        </w:tc>
      </w:tr>
      <w:tr>
        <w:tc>
          <w:tcPr>
            <w:tcW w:type="dxa" w:w="3384"/>
          </w:tcPr>
          <w:p>
            <w:pPr>
              <w:spacing w:after="20"/>
            </w:pPr>
            <w:r>
              <w:rPr>
                <w:b/>
                <w:color w:val="1C3A36"/>
                <w:sz w:val="18"/>
              </w:rPr>
              <w:t>Weighted low</w:t>
            </w:r>
          </w:p>
        </w:tc>
        <w:tc>
          <w:tcPr>
            <w:tcW w:type="dxa" w:w="3384"/>
          </w:tcPr>
          <w:p>
            <w:pPr>
              <w:spacing w:after="20"/>
              <w:jc w:val="right"/>
            </w:pPr>
            <w:r>
              <w:rPr>
                <w:color w:val="1C3A36"/>
                <w:sz w:val="18"/>
              </w:rPr>
              <w:t>EGP 9.81</w:t>
            </w:r>
          </w:p>
        </w:tc>
        <w:tc>
          <w:tcPr>
            <w:tcW w:type="dxa" w:w="3384"/>
          </w:tcPr>
          <w:p>
            <w:pPr>
              <w:spacing w:after="20"/>
              <w:jc w:val="right"/>
            </w:pPr>
            <w:r>
              <w:rPr>
                <w:color w:val="1C3A36"/>
                <w:sz w:val="18"/>
              </w:rPr>
              <w:t>EGP 2.39</w:t>
            </w:r>
          </w:p>
        </w:tc>
      </w:tr>
      <w:tr>
        <w:tc>
          <w:tcPr>
            <w:tcW w:type="dxa" w:w="3384"/>
          </w:tcPr>
          <w:p>
            <w:pPr>
              <w:spacing w:after="20"/>
            </w:pPr>
            <w:r>
              <w:rPr>
                <w:b/>
                <w:color w:val="1C3A36"/>
                <w:sz w:val="18"/>
              </w:rPr>
              <w:t>Weighted high</w:t>
            </w:r>
          </w:p>
        </w:tc>
        <w:tc>
          <w:tcPr>
            <w:tcW w:type="dxa" w:w="3384"/>
          </w:tcPr>
          <w:p>
            <w:pPr>
              <w:spacing w:after="20"/>
              <w:jc w:val="right"/>
            </w:pPr>
            <w:r>
              <w:rPr>
                <w:color w:val="1C3A36"/>
                <w:sz w:val="18"/>
              </w:rPr>
              <w:t>EGP 21.82</w:t>
            </w:r>
          </w:p>
        </w:tc>
        <w:tc>
          <w:tcPr>
            <w:tcW w:type="dxa" w:w="3384"/>
          </w:tcPr>
          <w:p>
            <w:pPr>
              <w:spacing w:after="20"/>
              <w:jc w:val="right"/>
            </w:pPr>
            <w:r>
              <w:rPr>
                <w:color w:val="1C3A36"/>
                <w:sz w:val="18"/>
              </w:rPr>
              <w:t>EGP 9.19</w:t>
            </w:r>
          </w:p>
        </w:tc>
      </w:tr>
      <w:tr>
        <w:tc>
          <w:tcPr>
            <w:tcW w:type="dxa" w:w="3384"/>
          </w:tcPr>
          <w:p>
            <w:pPr>
              <w:spacing w:after="20"/>
            </w:pPr>
            <w:r>
              <w:rPr>
                <w:b/>
                <w:color w:val="1C3A36"/>
                <w:sz w:val="18"/>
              </w:rPr>
              <w:t>Against the EGP 15.01 market price</w:t>
            </w:r>
          </w:p>
        </w:tc>
        <w:tc>
          <w:tcPr>
            <w:tcW w:type="dxa" w:w="3384"/>
          </w:tcPr>
          <w:p>
            <w:pPr>
              <w:spacing w:after="20"/>
              <w:jc w:val="right"/>
            </w:pPr>
            <w:r>
              <w:rPr>
                <w:color w:val="1C3A36"/>
                <w:sz w:val="18"/>
              </w:rPr>
              <w:t>+5.4%</w:t>
            </w:r>
          </w:p>
        </w:tc>
        <w:tc>
          <w:tcPr>
            <w:tcW w:type="dxa" w:w="3384"/>
          </w:tcPr>
          <w:p>
            <w:pPr>
              <w:spacing w:after="20"/>
              <w:jc w:val="right"/>
            </w:pPr>
            <w:r>
              <w:rPr>
                <w:color w:val="1C3A36"/>
                <w:sz w:val="18"/>
              </w:rPr>
              <w:t>-61.4%</w:t>
            </w:r>
          </w:p>
        </w:tc>
      </w:tr>
    </w:tbl>
    <w:p>
      <w:pPr>
        <w:spacing w:after="40"/>
      </w:pPr>
    </w:p>
    <w:p>
      <w:pPr>
        <w:spacing w:after="200" w:before="0"/>
      </w:pPr>
      <w:r>
        <w:rPr>
          <w:b w:val="0"/>
          <w:i/>
          <w:color w:val="6E7B77"/>
          <w:sz w:val="17"/>
        </w:rPr>
        <w:t>Table 1. The contested judgement computed both ways. The three lenses that do not depend on it are identical in both columns by construction; only the cash-flow lens moves. Within each column the range is the cost of capital: the low end holds today's spot rate constant, the high end glides to the normalised rate. The two columns are never blended.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2016"/>
        <w:gridCol w:w="5184"/>
      </w:tblGrid>
      <w:tr>
        <w:tc>
          <w:tcPr>
            <w:tcW w:type="dxa" w:w="2880"/>
            <w:shd w:val="clear" w:color="auto" w:fill="EAF0EE"/>
          </w:tcPr>
          <w:p>
            <w:pPr>
              <w:spacing w:after="20"/>
            </w:pPr>
            <w:r>
              <w:rPr>
                <w:b/>
                <w:color w:val="1C3A36"/>
                <w:sz w:val="18"/>
              </w:rPr>
              <w:t>What this study publishes</w:t>
            </w:r>
          </w:p>
        </w:tc>
        <w:tc>
          <w:tcPr>
            <w:tcW w:type="dxa" w:w="2016"/>
            <w:shd w:val="clear" w:color="auto" w:fill="EAF0EE"/>
          </w:tcPr>
          <w:p>
            <w:pPr>
              <w:spacing w:after="20"/>
            </w:pPr>
            <w:r>
              <w:rPr>
                <w:b/>
                <w:color w:val="1C3A36"/>
                <w:sz w:val="18"/>
              </w:rPr>
              <w:t>EGP per share</w:t>
            </w:r>
          </w:p>
        </w:tc>
        <w:tc>
          <w:tcPr>
            <w:tcW w:type="dxa" w:w="5184"/>
            <w:shd w:val="clear" w:color="auto" w:fill="EAF0EE"/>
          </w:tcPr>
          <w:p>
            <w:pPr>
              <w:spacing w:after="20"/>
            </w:pPr>
            <w:r>
              <w:rPr>
                <w:b/>
                <w:color w:val="1C3A36"/>
                <w:sz w:val="18"/>
              </w:rPr>
              <w:t>Where it comes from</w:t>
            </w:r>
          </w:p>
        </w:tc>
      </w:tr>
      <w:tr>
        <w:tc>
          <w:tcPr>
            <w:tcW w:type="dxa" w:w="2880"/>
          </w:tcPr>
          <w:p>
            <w:pPr>
              <w:spacing w:after="20"/>
            </w:pPr>
            <w:r>
              <w:rPr>
                <w:b/>
                <w:color w:val="1C3A36"/>
                <w:sz w:val="18"/>
              </w:rPr>
              <w:t>Low case</w:t>
            </w:r>
          </w:p>
        </w:tc>
        <w:tc>
          <w:tcPr>
            <w:tcW w:type="dxa" w:w="2016"/>
          </w:tcPr>
          <w:p>
            <w:pPr>
              <w:spacing w:after="20"/>
              <w:jc w:val="right"/>
            </w:pPr>
            <w:r>
              <w:rPr>
                <w:color w:val="1C3A36"/>
                <w:sz w:val="18"/>
              </w:rPr>
              <w:t>5.79</w:t>
            </w:r>
          </w:p>
        </w:tc>
        <w:tc>
          <w:tcPr>
            <w:tcW w:type="dxa" w:w="5184"/>
          </w:tcPr>
          <w:p>
            <w:pPr>
              <w:spacing w:after="20"/>
              <w:jc w:val="right"/>
            </w:pPr>
            <w:r>
              <w:rPr>
                <w:color w:val="1C3A36"/>
                <w:sz w:val="18"/>
              </w:rPr>
              <w:t>the weighted centre under framing B — the alternative reading of the balance sheet, computed in full</w:t>
            </w:r>
          </w:p>
        </w:tc>
      </w:tr>
      <w:tr>
        <w:tc>
          <w:tcPr>
            <w:tcW w:type="dxa" w:w="2880"/>
            <w:shd w:val="clear" w:color="auto" w:fill="F6F1E6"/>
          </w:tcPr>
          <w:p>
            <w:pPr>
              <w:spacing w:after="20"/>
            </w:pPr>
            <w:r>
              <w:rPr>
                <w:b/>
                <w:color w:val="1C3A36"/>
                <w:sz w:val="18"/>
              </w:rPr>
              <w:t>Base case</w:t>
            </w:r>
          </w:p>
        </w:tc>
        <w:tc>
          <w:tcPr>
            <w:tcW w:type="dxa" w:w="2016"/>
            <w:shd w:val="clear" w:color="auto" w:fill="F6F1E6"/>
          </w:tcPr>
          <w:p>
            <w:pPr>
              <w:spacing w:after="20"/>
              <w:jc w:val="right"/>
            </w:pPr>
            <w:r>
              <w:rPr>
                <w:b/>
                <w:color w:val="1C3A36"/>
                <w:sz w:val="18"/>
              </w:rPr>
              <w:t>15.82</w:t>
            </w:r>
          </w:p>
        </w:tc>
        <w:tc>
          <w:tcPr>
            <w:tcW w:type="dxa" w:w="5184"/>
            <w:shd w:val="clear" w:color="auto" w:fill="F6F1E6"/>
          </w:tcPr>
          <w:p>
            <w:pPr>
              <w:spacing w:after="20"/>
              <w:jc w:val="right"/>
            </w:pPr>
            <w:r>
              <w:rPr>
                <w:b/>
                <w:color w:val="1C3A36"/>
                <w:sz w:val="18"/>
              </w:rPr>
              <w:t>the weighted centre under framing A, the adopted framing</w:t>
            </w:r>
          </w:p>
        </w:tc>
      </w:tr>
      <w:tr>
        <w:tc>
          <w:tcPr>
            <w:tcW w:type="dxa" w:w="2880"/>
          </w:tcPr>
          <w:p>
            <w:pPr>
              <w:spacing w:after="20"/>
            </w:pPr>
            <w:r>
              <w:rPr>
                <w:b/>
                <w:color w:val="1C3A36"/>
                <w:sz w:val="18"/>
              </w:rPr>
              <w:t>High case</w:t>
            </w:r>
          </w:p>
        </w:tc>
        <w:tc>
          <w:tcPr>
            <w:tcW w:type="dxa" w:w="2016"/>
          </w:tcPr>
          <w:p>
            <w:pPr>
              <w:spacing w:after="20"/>
              <w:jc w:val="right"/>
            </w:pPr>
            <w:r>
              <w:rPr>
                <w:color w:val="1C3A36"/>
                <w:sz w:val="18"/>
              </w:rPr>
              <w:t>21.82</w:t>
            </w:r>
          </w:p>
        </w:tc>
        <w:tc>
          <w:tcPr>
            <w:tcW w:type="dxa" w:w="5184"/>
          </w:tcPr>
          <w:p>
            <w:pPr>
              <w:spacing w:after="20"/>
              <w:jc w:val="right"/>
            </w:pPr>
            <w:r>
              <w:rPr>
                <w:color w:val="1C3A36"/>
                <w:sz w:val="18"/>
              </w:rPr>
              <w:t>the weighted high under framing A</w:t>
            </w:r>
          </w:p>
        </w:tc>
      </w:tr>
      <w:tr>
        <w:tc>
          <w:tcPr>
            <w:tcW w:type="dxa" w:w="2880"/>
          </w:tcPr>
          <w:p>
            <w:pPr>
              <w:spacing w:after="20"/>
            </w:pPr>
            <w:r>
              <w:rPr>
                <w:b/>
                <w:color w:val="1C3A36"/>
                <w:sz w:val="18"/>
              </w:rPr>
              <w:t>Market price</w:t>
            </w:r>
          </w:p>
        </w:tc>
        <w:tc>
          <w:tcPr>
            <w:tcW w:type="dxa" w:w="2016"/>
          </w:tcPr>
          <w:p>
            <w:pPr>
              <w:spacing w:after="20"/>
              <w:jc w:val="right"/>
            </w:pPr>
            <w:r>
              <w:rPr>
                <w:color w:val="1C3A36"/>
                <w:sz w:val="18"/>
              </w:rPr>
              <w:t>15.01</w:t>
            </w:r>
          </w:p>
        </w:tc>
        <w:tc>
          <w:tcPr>
            <w:tcW w:type="dxa" w:w="5184"/>
          </w:tcPr>
          <w:p>
            <w:pPr>
              <w:spacing w:after="20"/>
              <w:jc w:val="right"/>
            </w:pPr>
            <w:r>
              <w:rPr>
                <w:color w:val="1C3A36"/>
                <w:sz w:val="18"/>
              </w:rPr>
              <w:t>close of 22-Jul-2026</w:t>
            </w:r>
          </w:p>
        </w:tc>
      </w:tr>
    </w:tbl>
    <w:p>
      <w:pPr>
        <w:spacing w:after="40"/>
      </w:pPr>
    </w:p>
    <w:p>
      <w:pPr>
        <w:spacing w:after="200" w:before="0"/>
      </w:pPr>
      <w:r>
        <w:rPr>
          <w:b w:val="0"/>
          <w:i/>
          <w:color w:val="6E7B77"/>
          <w:sz w:val="17"/>
        </w:rPr>
        <w:t>Table 2. The low case is not a stress test bolted onto the base. It is the other framing of the float, run through all four lenses.</w:t>
      </w:r>
    </w:p>
    <w:p>
      <w:pPr>
        <w:spacing w:after="40"/>
        <w:jc w:val="center"/>
      </w:pPr>
      <w:r>
        <w:drawing>
          <wp:inline xmlns:a="http://schemas.openxmlformats.org/drawingml/2006/main" xmlns:pic="http://schemas.openxmlformats.org/drawingml/2006/picture">
            <wp:extent cx="6126480" cy="2945986"/>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126480" cy="2945986"/>
                    </a:xfrm>
                    <a:prstGeom prst="rect"/>
                  </pic:spPr>
                </pic:pic>
              </a:graphicData>
            </a:graphic>
          </wp:inline>
        </w:drawing>
      </w:r>
    </w:p>
    <w:p>
      <w:pPr>
        <w:spacing w:after="200" w:before="0"/>
      </w:pPr>
      <w:r>
        <w:rPr>
          <w:b w:val="0"/>
          <w:i/>
          <w:color w:val="6E7B77"/>
          <w:sz w:val="17"/>
        </w:rPr>
        <w:t>Figure 1. Valuation field, EGP per share. The two framings of the contested judgement sit at the top; the four lenses beneath them; the traded range at the bottom. The dashed line is the market price. Every bar is defined in the tables above and rebuilt from the company's own statements.</w:t>
      </w:r>
    </w:p>
    <w:p>
      <w:pPr>
        <w:spacing w:after="80" w:before="200"/>
      </w:pPr>
      <w:r>
        <w:rPr>
          <w:b/>
          <w:i w:val="0"/>
          <w:color w:val="1C3A36"/>
          <w:sz w:val="24"/>
        </w:rPr>
        <w:t>What the previous edition got wrong</w:t>
      </w:r>
    </w:p>
    <w:p>
      <w:pPr>
        <w:spacing w:after="120" w:before="0"/>
      </w:pPr>
      <w:r>
        <w:rPr>
          <w:b w:val="0"/>
          <w:i w:val="0"/>
          <w:color w:val="1C3A36"/>
          <w:sz w:val="19"/>
        </w:rPr>
        <w:t>The last edition of this study was published on 11 June 2026, before the 30 June statements existed. Every forecast it made for a period that has since been disclosed is scored below against the actual. A miss of more than five per cent of the central value is treated as material and is explained by naming which part of the driver stack was wrong, not merely that the number differed.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656"/>
        <w:gridCol w:w="1224"/>
        <w:gridCol w:w="1224"/>
        <w:gridCol w:w="893"/>
        <w:gridCol w:w="5083"/>
      </w:tblGrid>
      <w:tr>
        <w:tc>
          <w:tcPr>
            <w:tcW w:type="dxa" w:w="1656"/>
            <w:shd w:val="clear" w:color="auto" w:fill="EAF0EE"/>
          </w:tcPr>
          <w:p>
            <w:pPr>
              <w:spacing w:after="20"/>
            </w:pPr>
            <w:r>
              <w:rPr>
                <w:b/>
                <w:color w:val="1C3A36"/>
                <w:sz w:val="15"/>
              </w:rPr>
              <w:t>Item</w:t>
            </w:r>
          </w:p>
        </w:tc>
        <w:tc>
          <w:tcPr>
            <w:tcW w:type="dxa" w:w="1224"/>
            <w:shd w:val="clear" w:color="auto" w:fill="EAF0EE"/>
          </w:tcPr>
          <w:p>
            <w:pPr>
              <w:spacing w:after="20"/>
            </w:pPr>
            <w:r>
              <w:rPr>
                <w:b/>
                <w:color w:val="1C3A36"/>
                <w:sz w:val="15"/>
              </w:rPr>
              <w:t>Previous edition</w:t>
            </w:r>
          </w:p>
        </w:tc>
        <w:tc>
          <w:tcPr>
            <w:tcW w:type="dxa" w:w="1224"/>
            <w:shd w:val="clear" w:color="auto" w:fill="EAF0EE"/>
          </w:tcPr>
          <w:p>
            <w:pPr>
              <w:spacing w:after="20"/>
            </w:pPr>
            <w:r>
              <w:rPr>
                <w:b/>
                <w:color w:val="1C3A36"/>
                <w:sz w:val="15"/>
              </w:rPr>
              <w:t>Disclosed actual</w:t>
            </w:r>
          </w:p>
        </w:tc>
        <w:tc>
          <w:tcPr>
            <w:tcW w:type="dxa" w:w="893"/>
            <w:shd w:val="clear" w:color="auto" w:fill="EAF0EE"/>
          </w:tcPr>
          <w:p>
            <w:pPr>
              <w:spacing w:after="20"/>
            </w:pPr>
            <w:r>
              <w:rPr>
                <w:b/>
                <w:color w:val="1C3A36"/>
                <w:sz w:val="15"/>
              </w:rPr>
              <w:t>Miss</w:t>
            </w:r>
          </w:p>
        </w:tc>
        <w:tc>
          <w:tcPr>
            <w:tcW w:type="dxa" w:w="5083"/>
            <w:shd w:val="clear" w:color="auto" w:fill="EAF0EE"/>
          </w:tcPr>
          <w:p>
            <w:pPr>
              <w:spacing w:after="20"/>
              <w:jc w:val="left"/>
            </w:pPr>
            <w:r>
              <w:rPr>
                <w:b/>
                <w:color w:val="1C3A36"/>
                <w:sz w:val="15"/>
              </w:rPr>
              <w:t>Which driver was wrong</w:t>
            </w:r>
          </w:p>
        </w:tc>
      </w:tr>
      <w:tr>
        <w:tc>
          <w:tcPr>
            <w:tcW w:type="dxa" w:w="1656"/>
          </w:tcPr>
          <w:p>
            <w:pPr>
              <w:spacing w:after="20"/>
            </w:pPr>
            <w:r>
              <w:rPr>
                <w:color w:val="1C3A36"/>
                <w:sz w:val="15"/>
              </w:rPr>
              <w:t>FY2026 revenue</w:t>
            </w:r>
          </w:p>
        </w:tc>
        <w:tc>
          <w:tcPr>
            <w:tcW w:type="dxa" w:w="1224"/>
          </w:tcPr>
          <w:p>
            <w:pPr>
              <w:spacing w:after="20"/>
              <w:jc w:val="right"/>
            </w:pPr>
            <w:r>
              <w:rPr>
                <w:color w:val="1C3A36"/>
                <w:sz w:val="15"/>
              </w:rPr>
              <w:t>50,042</w:t>
            </w:r>
          </w:p>
        </w:tc>
        <w:tc>
          <w:tcPr>
            <w:tcW w:type="dxa" w:w="1224"/>
          </w:tcPr>
          <w:p>
            <w:pPr>
              <w:spacing w:after="20"/>
              <w:jc w:val="right"/>
            </w:pPr>
            <w:r>
              <w:rPr>
                <w:color w:val="1C3A36"/>
                <w:sz w:val="15"/>
              </w:rPr>
              <w:t>39,056</w:t>
            </w:r>
          </w:p>
        </w:tc>
        <w:tc>
          <w:tcPr>
            <w:tcW w:type="dxa" w:w="893"/>
          </w:tcPr>
          <w:p>
            <w:pPr>
              <w:spacing w:after="20"/>
              <w:jc w:val="right"/>
            </w:pPr>
            <w:r>
              <w:rPr>
                <w:color w:val="1C3A36"/>
                <w:sz w:val="15"/>
              </w:rPr>
              <w:t>-22% ▲</w:t>
            </w:r>
          </w:p>
        </w:tc>
        <w:tc>
          <w:tcPr>
            <w:tcW w:type="dxa" w:w="5083"/>
          </w:tcPr>
          <w:p>
            <w:pPr>
              <w:spacing w:after="20"/>
              <w:jc w:val="left"/>
            </w:pPr>
            <w:r>
              <w:rPr>
                <w:color w:val="1C3A36"/>
                <w:sz w:val="15"/>
              </w:rPr>
              <w:t>Actual is H1-2026 annualised at the H1 run-rate. The prior model carried no interim actuals; it started from a project-by-project unit build with no disclosed base period.</w:t>
            </w:r>
          </w:p>
        </w:tc>
      </w:tr>
      <w:tr>
        <w:tc>
          <w:tcPr>
            <w:tcW w:type="dxa" w:w="1656"/>
          </w:tcPr>
          <w:p>
            <w:pPr>
              <w:spacing w:after="20"/>
            </w:pPr>
            <w:r>
              <w:rPr>
                <w:color w:val="1C3A36"/>
                <w:sz w:val="15"/>
              </w:rPr>
              <w:t>FY2026 gross margin</w:t>
            </w:r>
          </w:p>
        </w:tc>
        <w:tc>
          <w:tcPr>
            <w:tcW w:type="dxa" w:w="1224"/>
          </w:tcPr>
          <w:p>
            <w:pPr>
              <w:spacing w:after="20"/>
              <w:jc w:val="right"/>
            </w:pPr>
            <w:r>
              <w:rPr>
                <w:color w:val="1C3A36"/>
                <w:sz w:val="15"/>
              </w:rPr>
              <w:t>41.6%</w:t>
            </w:r>
          </w:p>
        </w:tc>
        <w:tc>
          <w:tcPr>
            <w:tcW w:type="dxa" w:w="1224"/>
          </w:tcPr>
          <w:p>
            <w:pPr>
              <w:spacing w:after="20"/>
              <w:jc w:val="right"/>
            </w:pPr>
            <w:r>
              <w:rPr>
                <w:color w:val="1C3A36"/>
                <w:sz w:val="15"/>
              </w:rPr>
              <w:t>35.5%</w:t>
            </w:r>
          </w:p>
        </w:tc>
        <w:tc>
          <w:tcPr>
            <w:tcW w:type="dxa" w:w="893"/>
          </w:tcPr>
          <w:p>
            <w:pPr>
              <w:spacing w:after="20"/>
              <w:jc w:val="right"/>
            </w:pPr>
            <w:r>
              <w:rPr>
                <w:color w:val="1C3A36"/>
                <w:sz w:val="15"/>
              </w:rPr>
              <w:t>-15% ▲</w:t>
            </w:r>
          </w:p>
        </w:tc>
        <w:tc>
          <w:tcPr>
            <w:tcW w:type="dxa" w:w="5083"/>
          </w:tcPr>
          <w:p>
            <w:pPr>
              <w:spacing w:after="20"/>
              <w:jc w:val="left"/>
            </w:pPr>
            <w:r>
              <w:rPr>
                <w:color w:val="1C3A36"/>
                <w:sz w:val="15"/>
              </w:rPr>
              <w:t>H1-2026 reported gross operating margin. The prior figure was an output of assumed unit prices and assumed construction costs per square metre, none of them disclosed.</w:t>
            </w:r>
          </w:p>
        </w:tc>
      </w:tr>
      <w:tr>
        <w:tc>
          <w:tcPr>
            <w:tcW w:type="dxa" w:w="1656"/>
          </w:tcPr>
          <w:p>
            <w:pPr>
              <w:spacing w:after="20"/>
            </w:pPr>
            <w:r>
              <w:rPr>
                <w:color w:val="1C3A36"/>
                <w:sz w:val="15"/>
              </w:rPr>
              <w:t>FY2026 EBITDA</w:t>
            </w:r>
          </w:p>
        </w:tc>
        <w:tc>
          <w:tcPr>
            <w:tcW w:type="dxa" w:w="1224"/>
          </w:tcPr>
          <w:p>
            <w:pPr>
              <w:spacing w:after="20"/>
              <w:jc w:val="right"/>
            </w:pPr>
            <w:r>
              <w:rPr>
                <w:color w:val="1C3A36"/>
                <w:sz w:val="15"/>
              </w:rPr>
              <w:t>13,874</w:t>
            </w:r>
          </w:p>
        </w:tc>
        <w:tc>
          <w:tcPr>
            <w:tcW w:type="dxa" w:w="1224"/>
          </w:tcPr>
          <w:p>
            <w:pPr>
              <w:spacing w:after="20"/>
              <w:jc w:val="right"/>
            </w:pPr>
            <w:r>
              <w:rPr>
                <w:color w:val="1C3A36"/>
                <w:sz w:val="15"/>
              </w:rPr>
              <w:t>8,132</w:t>
            </w:r>
          </w:p>
        </w:tc>
        <w:tc>
          <w:tcPr>
            <w:tcW w:type="dxa" w:w="893"/>
          </w:tcPr>
          <w:p>
            <w:pPr>
              <w:spacing w:after="20"/>
              <w:jc w:val="right"/>
            </w:pPr>
            <w:r>
              <w:rPr>
                <w:color w:val="1C3A36"/>
                <w:sz w:val="15"/>
              </w:rPr>
              <w:t>-41% ▲</w:t>
            </w:r>
          </w:p>
        </w:tc>
        <w:tc>
          <w:tcPr>
            <w:tcW w:type="dxa" w:w="5083"/>
          </w:tcPr>
          <w:p>
            <w:pPr>
              <w:spacing w:after="20"/>
              <w:jc w:val="left"/>
            </w:pPr>
            <w:r>
              <w:rPr>
                <w:color w:val="1C3A36"/>
                <w:sz w:val="15"/>
              </w:rPr>
              <w:t>On the definition the company itself publishes, recovered from the statements as gross profit less administrative and selling cost less expected credit losses. H1-2025 is the only period for which the company published an EBITDA figure AND the statements disclose its components; there the recovered definition reproduces the published EGP 4,458.5mn to within 0.32%.</w:t>
            </w:r>
          </w:p>
        </w:tc>
      </w:tr>
      <w:tr>
        <w:tc>
          <w:tcPr>
            <w:tcW w:type="dxa" w:w="1656"/>
          </w:tcPr>
          <w:p>
            <w:pPr>
              <w:spacing w:after="20"/>
            </w:pPr>
            <w:r>
              <w:rPr>
                <w:color w:val="1C3A36"/>
                <w:sz w:val="15"/>
              </w:rPr>
              <w:t>FY2026 net income</w:t>
            </w:r>
          </w:p>
        </w:tc>
        <w:tc>
          <w:tcPr>
            <w:tcW w:type="dxa" w:w="1224"/>
          </w:tcPr>
          <w:p>
            <w:pPr>
              <w:spacing w:after="20"/>
              <w:jc w:val="right"/>
            </w:pPr>
            <w:r>
              <w:rPr>
                <w:color w:val="1C3A36"/>
                <w:sz w:val="15"/>
              </w:rPr>
              <w:t>6,373</w:t>
            </w:r>
          </w:p>
        </w:tc>
        <w:tc>
          <w:tcPr>
            <w:tcW w:type="dxa" w:w="1224"/>
          </w:tcPr>
          <w:p>
            <w:pPr>
              <w:spacing w:after="20"/>
              <w:jc w:val="right"/>
            </w:pPr>
            <w:r>
              <w:rPr>
                <w:color w:val="1C3A36"/>
                <w:sz w:val="15"/>
              </w:rPr>
              <w:t>4,530</w:t>
            </w:r>
          </w:p>
        </w:tc>
        <w:tc>
          <w:tcPr>
            <w:tcW w:type="dxa" w:w="893"/>
          </w:tcPr>
          <w:p>
            <w:pPr>
              <w:spacing w:after="20"/>
              <w:jc w:val="right"/>
            </w:pPr>
            <w:r>
              <w:rPr>
                <w:color w:val="1C3A36"/>
                <w:sz w:val="15"/>
              </w:rPr>
              <w:t>-29% ▲</w:t>
            </w:r>
          </w:p>
        </w:tc>
        <w:tc>
          <w:tcPr>
            <w:tcW w:type="dxa" w:w="5083"/>
          </w:tcPr>
          <w:p>
            <w:pPr>
              <w:spacing w:after="20"/>
              <w:jc w:val="left"/>
            </w:pPr>
            <w:r>
              <w:rPr>
                <w:color w:val="1C3A36"/>
                <w:sz w:val="15"/>
              </w:rPr>
              <w:t>Attributable net profit, H1-2026 annualised.</w:t>
            </w:r>
          </w:p>
        </w:tc>
      </w:tr>
      <w:tr>
        <w:tc>
          <w:tcPr>
            <w:tcW w:type="dxa" w:w="1656"/>
          </w:tcPr>
          <w:p>
            <w:pPr>
              <w:spacing w:after="20"/>
            </w:pPr>
            <w:r>
              <w:rPr>
                <w:color w:val="1C3A36"/>
                <w:sz w:val="15"/>
              </w:rPr>
              <w:t>FY2026 capital expenditure</w:t>
            </w:r>
          </w:p>
        </w:tc>
        <w:tc>
          <w:tcPr>
            <w:tcW w:type="dxa" w:w="1224"/>
          </w:tcPr>
          <w:p>
            <w:pPr>
              <w:spacing w:after="20"/>
              <w:jc w:val="right"/>
            </w:pPr>
            <w:r>
              <w:rPr>
                <w:color w:val="1C3A36"/>
                <w:sz w:val="15"/>
              </w:rPr>
              <w:t>250</w:t>
            </w:r>
          </w:p>
        </w:tc>
        <w:tc>
          <w:tcPr>
            <w:tcW w:type="dxa" w:w="1224"/>
          </w:tcPr>
          <w:p>
            <w:pPr>
              <w:spacing w:after="20"/>
              <w:jc w:val="right"/>
            </w:pPr>
            <w:r>
              <w:rPr>
                <w:color w:val="1C3A36"/>
                <w:sz w:val="15"/>
              </w:rPr>
              <w:t>665</w:t>
            </w:r>
          </w:p>
        </w:tc>
        <w:tc>
          <w:tcPr>
            <w:tcW w:type="dxa" w:w="893"/>
          </w:tcPr>
          <w:p>
            <w:pPr>
              <w:spacing w:after="20"/>
              <w:jc w:val="right"/>
            </w:pPr>
            <w:r>
              <w:rPr>
                <w:color w:val="1C3A36"/>
                <w:sz w:val="15"/>
              </w:rPr>
              <w:t>+166% ▲</w:t>
            </w:r>
          </w:p>
        </w:tc>
        <w:tc>
          <w:tcPr>
            <w:tcW w:type="dxa" w:w="5083"/>
          </w:tcPr>
          <w:p>
            <w:pPr>
              <w:spacing w:after="20"/>
              <w:jc w:val="left"/>
            </w:pPr>
            <w:r>
              <w:rPr>
                <w:color w:val="1C3A36"/>
                <w:sz w:val="15"/>
              </w:rPr>
              <w:t>Payments for fixed assets plus projects under construction, H1-2026 annualised.</w:t>
            </w:r>
          </w:p>
        </w:tc>
      </w:tr>
      <w:tr>
        <w:tc>
          <w:tcPr>
            <w:tcW w:type="dxa" w:w="1656"/>
          </w:tcPr>
          <w:p>
            <w:pPr>
              <w:spacing w:after="20"/>
            </w:pPr>
            <w:r>
              <w:rPr>
                <w:color w:val="1C3A36"/>
                <w:sz w:val="15"/>
              </w:rPr>
              <w:t>Net debt at the anchor</w:t>
            </w:r>
          </w:p>
        </w:tc>
        <w:tc>
          <w:tcPr>
            <w:tcW w:type="dxa" w:w="1224"/>
          </w:tcPr>
          <w:p>
            <w:pPr>
              <w:spacing w:after="20"/>
              <w:jc w:val="right"/>
            </w:pPr>
            <w:r>
              <w:rPr>
                <w:color w:val="1C3A36"/>
                <w:sz w:val="15"/>
              </w:rPr>
              <w:t>12,000</w:t>
            </w:r>
          </w:p>
        </w:tc>
        <w:tc>
          <w:tcPr>
            <w:tcW w:type="dxa" w:w="1224"/>
          </w:tcPr>
          <w:p>
            <w:pPr>
              <w:spacing w:after="20"/>
              <w:jc w:val="right"/>
            </w:pPr>
            <w:r>
              <w:rPr>
                <w:color w:val="1C3A36"/>
                <w:sz w:val="15"/>
              </w:rPr>
              <w:t>5,660</w:t>
            </w:r>
          </w:p>
        </w:tc>
        <w:tc>
          <w:tcPr>
            <w:tcW w:type="dxa" w:w="893"/>
          </w:tcPr>
          <w:p>
            <w:pPr>
              <w:spacing w:after="20"/>
              <w:jc w:val="right"/>
            </w:pPr>
            <w:r>
              <w:rPr>
                <w:color w:val="1C3A36"/>
                <w:sz w:val="15"/>
              </w:rPr>
              <w:t>-53% ▲</w:t>
            </w:r>
          </w:p>
        </w:tc>
        <w:tc>
          <w:tcPr>
            <w:tcW w:type="dxa" w:w="5083"/>
          </w:tcPr>
          <w:p>
            <w:pPr>
              <w:spacing w:after="20"/>
              <w:jc w:val="left"/>
            </w:pPr>
            <w:r>
              <w:rPr>
                <w:color w:val="1C3A36"/>
                <w:sz w:val="15"/>
              </w:rPr>
              <w:t>Against the company's own definition (interest-bearing obligations from note 34 less cash and treasury investments). Under the broader definition that also carries notes payable and land liabilities the figure is EGP 14,532mn.</w:t>
            </w:r>
          </w:p>
        </w:tc>
      </w:tr>
      <w:tr>
        <w:tc>
          <w:tcPr>
            <w:tcW w:type="dxa" w:w="1656"/>
          </w:tcPr>
          <w:p>
            <w:pPr>
              <w:spacing w:after="20"/>
            </w:pPr>
            <w:r>
              <w:rPr>
                <w:color w:val="1C3A36"/>
                <w:sz w:val="15"/>
              </w:rPr>
              <w:t>Construction run-rate</w:t>
            </w:r>
          </w:p>
        </w:tc>
        <w:tc>
          <w:tcPr>
            <w:tcW w:type="dxa" w:w="1224"/>
          </w:tcPr>
          <w:p>
            <w:pPr>
              <w:spacing w:after="20"/>
              <w:jc w:val="right"/>
            </w:pPr>
            <w:r>
              <w:rPr>
                <w:color w:val="1C3A36"/>
                <w:sz w:val="15"/>
              </w:rPr>
              <w:t>17,000</w:t>
            </w:r>
          </w:p>
        </w:tc>
        <w:tc>
          <w:tcPr>
            <w:tcW w:type="dxa" w:w="1224"/>
          </w:tcPr>
          <w:p>
            <w:pPr>
              <w:spacing w:after="20"/>
              <w:jc w:val="right"/>
            </w:pPr>
            <w:r>
              <w:rPr>
                <w:color w:val="1C3A36"/>
                <w:sz w:val="15"/>
              </w:rPr>
              <w:t>23,943</w:t>
            </w:r>
          </w:p>
        </w:tc>
        <w:tc>
          <w:tcPr>
            <w:tcW w:type="dxa" w:w="893"/>
          </w:tcPr>
          <w:p>
            <w:pPr>
              <w:spacing w:after="20"/>
              <w:jc w:val="right"/>
            </w:pPr>
            <w:r>
              <w:rPr>
                <w:color w:val="1C3A36"/>
                <w:sz w:val="15"/>
              </w:rPr>
              <w:t>+41% ▲</w:t>
            </w:r>
          </w:p>
        </w:tc>
        <w:tc>
          <w:tcPr>
            <w:tcW w:type="dxa" w:w="5083"/>
          </w:tcPr>
          <w:p>
            <w:pPr>
              <w:spacing w:after="20"/>
              <w:jc w:val="left"/>
            </w:pPr>
            <w:r>
              <w:rPr>
                <w:color w:val="1C3A36"/>
                <w:sz w:val="15"/>
              </w:rPr>
              <w:t>Work carried out per note 43, H1-2026 annualised, against the prior study's stated pacing of about EGP 14-20bn per year.</w:t>
            </w:r>
          </w:p>
        </w:tc>
      </w:tr>
      <w:tr>
        <w:tc>
          <w:tcPr>
            <w:tcW w:type="dxa" w:w="1656"/>
          </w:tcPr>
          <w:p>
            <w:pPr>
              <w:spacing w:after="20"/>
            </w:pPr>
            <w:r>
              <w:rPr>
                <w:color w:val="1C3A36"/>
                <w:sz w:val="15"/>
              </w:rPr>
              <w:t>Shares outstanding</w:t>
            </w:r>
          </w:p>
        </w:tc>
        <w:tc>
          <w:tcPr>
            <w:tcW w:type="dxa" w:w="1224"/>
          </w:tcPr>
          <w:p>
            <w:pPr>
              <w:spacing w:after="20"/>
              <w:jc w:val="right"/>
            </w:pPr>
            <w:r>
              <w:rPr>
                <w:color w:val="1C3A36"/>
                <w:sz w:val="15"/>
              </w:rPr>
              <w:t>2,860</w:t>
            </w:r>
          </w:p>
        </w:tc>
        <w:tc>
          <w:tcPr>
            <w:tcW w:type="dxa" w:w="1224"/>
          </w:tcPr>
          <w:p>
            <w:pPr>
              <w:spacing w:after="20"/>
              <w:jc w:val="right"/>
            </w:pPr>
            <w:r>
              <w:rPr>
                <w:color w:val="1C3A36"/>
                <w:sz w:val="15"/>
              </w:rPr>
              <w:t>2,824</w:t>
            </w:r>
          </w:p>
        </w:tc>
        <w:tc>
          <w:tcPr>
            <w:tcW w:type="dxa" w:w="893"/>
          </w:tcPr>
          <w:p>
            <w:pPr>
              <w:spacing w:after="20"/>
              <w:jc w:val="right"/>
            </w:pPr>
            <w:r>
              <w:rPr>
                <w:color w:val="1C3A36"/>
                <w:sz w:val="15"/>
              </w:rPr>
              <w:t>-1%</w:t>
            </w:r>
          </w:p>
        </w:tc>
        <w:tc>
          <w:tcPr>
            <w:tcW w:type="dxa" w:w="5083"/>
          </w:tcPr>
          <w:p>
            <w:pPr>
              <w:spacing w:after="20"/>
              <w:jc w:val="left"/>
            </w:pPr>
            <w:r>
              <w:rPr>
                <w:color w:val="1C3A36"/>
                <w:sz w:val="15"/>
              </w:rPr>
              <w:t>The prior model divided by issued shares and ignored the treasury holding disclosed in note 62.</w:t>
            </w:r>
          </w:p>
        </w:tc>
      </w:tr>
      <w:tr>
        <w:tc>
          <w:tcPr>
            <w:tcW w:type="dxa" w:w="1656"/>
          </w:tcPr>
          <w:p>
            <w:pPr>
              <w:spacing w:after="20"/>
            </w:pPr>
            <w:r>
              <w:rPr>
                <w:color w:val="1C3A36"/>
                <w:sz w:val="15"/>
              </w:rPr>
              <w:t>Return on equity</w:t>
            </w:r>
          </w:p>
        </w:tc>
        <w:tc>
          <w:tcPr>
            <w:tcW w:type="dxa" w:w="1224"/>
          </w:tcPr>
          <w:p>
            <w:pPr>
              <w:spacing w:after="20"/>
              <w:jc w:val="right"/>
            </w:pPr>
            <w:r>
              <w:rPr>
                <w:color w:val="1C3A36"/>
                <w:sz w:val="15"/>
              </w:rPr>
              <w:t>26.9%</w:t>
            </w:r>
          </w:p>
        </w:tc>
        <w:tc>
          <w:tcPr>
            <w:tcW w:type="dxa" w:w="1224"/>
          </w:tcPr>
          <w:p>
            <w:pPr>
              <w:spacing w:after="20"/>
              <w:jc w:val="right"/>
            </w:pPr>
            <w:r>
              <w:rPr>
                <w:color w:val="1C3A36"/>
                <w:sz w:val="15"/>
              </w:rPr>
              <w:t>22.2%</w:t>
            </w:r>
          </w:p>
        </w:tc>
        <w:tc>
          <w:tcPr>
            <w:tcW w:type="dxa" w:w="893"/>
          </w:tcPr>
          <w:p>
            <w:pPr>
              <w:spacing w:after="20"/>
              <w:jc w:val="right"/>
            </w:pPr>
            <w:r>
              <w:rPr>
                <w:color w:val="1C3A36"/>
                <w:sz w:val="15"/>
              </w:rPr>
              <w:t>-17% ▲</w:t>
            </w:r>
          </w:p>
        </w:tc>
        <w:tc>
          <w:tcPr>
            <w:tcW w:type="dxa" w:w="5083"/>
          </w:tcPr>
          <w:p>
            <w:pPr>
              <w:spacing w:after="20"/>
              <w:jc w:val="left"/>
            </w:pPr>
            <w:r>
              <w:rPr>
                <w:color w:val="1C3A36"/>
                <w:sz w:val="15"/>
              </w:rPr>
              <w:t>Trailing twelve months on average controlling equity.</w:t>
            </w:r>
          </w:p>
        </w:tc>
      </w:tr>
      <w:tr>
        <w:tc>
          <w:tcPr>
            <w:tcW w:type="dxa" w:w="1656"/>
          </w:tcPr>
          <w:p>
            <w:pPr>
              <w:spacing w:after="20"/>
            </w:pPr>
            <w:r>
              <w:rPr>
                <w:color w:val="1C3A36"/>
                <w:sz w:val="15"/>
              </w:rPr>
              <w:t>Price to sales</w:t>
            </w:r>
          </w:p>
        </w:tc>
        <w:tc>
          <w:tcPr>
            <w:tcW w:type="dxa" w:w="1224"/>
          </w:tcPr>
          <w:p>
            <w:pPr>
              <w:spacing w:after="20"/>
              <w:jc w:val="right"/>
            </w:pPr>
            <w:r>
              <w:rPr>
                <w:color w:val="1C3A36"/>
                <w:sz w:val="15"/>
              </w:rPr>
              <w:t>0.92x</w:t>
            </w:r>
          </w:p>
        </w:tc>
        <w:tc>
          <w:tcPr>
            <w:tcW w:type="dxa" w:w="1224"/>
          </w:tcPr>
          <w:p>
            <w:pPr>
              <w:spacing w:after="20"/>
              <w:jc w:val="right"/>
            </w:pPr>
            <w:r>
              <w:rPr>
                <w:color w:val="1C3A36"/>
                <w:sz w:val="15"/>
              </w:rPr>
              <w:t>1.06x</w:t>
            </w:r>
          </w:p>
        </w:tc>
        <w:tc>
          <w:tcPr>
            <w:tcW w:type="dxa" w:w="893"/>
          </w:tcPr>
          <w:p>
            <w:pPr>
              <w:spacing w:after="20"/>
              <w:jc w:val="right"/>
            </w:pPr>
            <w:r>
              <w:rPr>
                <w:color w:val="1C3A36"/>
                <w:sz w:val="15"/>
              </w:rPr>
              <w:t>+15% ▲</w:t>
            </w:r>
          </w:p>
        </w:tc>
        <w:tc>
          <w:tcPr>
            <w:tcW w:type="dxa" w:w="5083"/>
          </w:tcPr>
          <w:p>
            <w:pPr>
              <w:spacing w:after="20"/>
              <w:jc w:val="left"/>
            </w:pPr>
            <w:r>
              <w:rPr>
                <w:color w:val="1C3A36"/>
                <w:sz w:val="15"/>
              </w:rPr>
              <w:t>At the same published spot of EGP 15.01, on trailing twelve-month revenue.</w:t>
            </w:r>
          </w:p>
        </w:tc>
      </w:tr>
      <w:tr>
        <w:tc>
          <w:tcPr>
            <w:tcW w:type="dxa" w:w="1656"/>
          </w:tcPr>
          <w:p>
            <w:pPr>
              <w:spacing w:after="20"/>
            </w:pPr>
            <w:r>
              <w:rPr>
                <w:color w:val="1C3A36"/>
                <w:sz w:val="15"/>
              </w:rPr>
              <w:t>EV to EBITDA</w:t>
            </w:r>
          </w:p>
        </w:tc>
        <w:tc>
          <w:tcPr>
            <w:tcW w:type="dxa" w:w="1224"/>
          </w:tcPr>
          <w:p>
            <w:pPr>
              <w:spacing w:after="20"/>
              <w:jc w:val="right"/>
            </w:pPr>
            <w:r>
              <w:rPr>
                <w:color w:val="1C3A36"/>
                <w:sz w:val="15"/>
              </w:rPr>
              <w:t>8.10x</w:t>
            </w:r>
          </w:p>
        </w:tc>
        <w:tc>
          <w:tcPr>
            <w:tcW w:type="dxa" w:w="1224"/>
          </w:tcPr>
          <w:p>
            <w:pPr>
              <w:spacing w:after="20"/>
              <w:jc w:val="right"/>
            </w:pPr>
            <w:r>
              <w:rPr>
                <w:color w:val="1C3A36"/>
                <w:sz w:val="15"/>
              </w:rPr>
              <w:t>5.88x</w:t>
            </w:r>
          </w:p>
        </w:tc>
        <w:tc>
          <w:tcPr>
            <w:tcW w:type="dxa" w:w="893"/>
          </w:tcPr>
          <w:p>
            <w:pPr>
              <w:spacing w:after="20"/>
              <w:jc w:val="right"/>
            </w:pPr>
            <w:r>
              <w:rPr>
                <w:color w:val="1C3A36"/>
                <w:sz w:val="15"/>
              </w:rPr>
              <w:t>-27% ▲</w:t>
            </w:r>
          </w:p>
        </w:tc>
        <w:tc>
          <w:tcPr>
            <w:tcW w:type="dxa" w:w="5083"/>
          </w:tcPr>
          <w:p>
            <w:pPr>
              <w:spacing w:after="20"/>
              <w:jc w:val="left"/>
            </w:pPr>
            <w:r>
              <w:rPr>
                <w:color w:val="1C3A36"/>
                <w:sz w:val="15"/>
              </w:rPr>
              <w:t>On the company's net-debt definition and trailing twelve-month EBITDA.</w:t>
            </w:r>
          </w:p>
        </w:tc>
      </w:tr>
      <w:tr>
        <w:tc>
          <w:tcPr>
            <w:tcW w:type="dxa" w:w="1656"/>
          </w:tcPr>
          <w:p>
            <w:pPr>
              <w:spacing w:after="20"/>
            </w:pPr>
            <w:r>
              <w:rPr>
                <w:color w:val="1C3A36"/>
                <w:sz w:val="15"/>
              </w:rPr>
              <w:t>Price to earnings</w:t>
            </w:r>
          </w:p>
        </w:tc>
        <w:tc>
          <w:tcPr>
            <w:tcW w:type="dxa" w:w="1224"/>
          </w:tcPr>
          <w:p>
            <w:pPr>
              <w:spacing w:after="20"/>
              <w:jc w:val="right"/>
            </w:pPr>
            <w:r>
              <w:rPr>
                <w:color w:val="1C3A36"/>
                <w:sz w:val="15"/>
              </w:rPr>
              <w:t>10.30x</w:t>
            </w:r>
          </w:p>
        </w:tc>
        <w:tc>
          <w:tcPr>
            <w:tcW w:type="dxa" w:w="1224"/>
          </w:tcPr>
          <w:p>
            <w:pPr>
              <w:spacing w:after="20"/>
              <w:jc w:val="right"/>
            </w:pPr>
            <w:r>
              <w:rPr>
                <w:color w:val="1C3A36"/>
                <w:sz w:val="15"/>
              </w:rPr>
              <w:t>10.54x</w:t>
            </w:r>
          </w:p>
        </w:tc>
        <w:tc>
          <w:tcPr>
            <w:tcW w:type="dxa" w:w="893"/>
          </w:tcPr>
          <w:p>
            <w:pPr>
              <w:spacing w:after="20"/>
              <w:jc w:val="right"/>
            </w:pPr>
            <w:r>
              <w:rPr>
                <w:color w:val="1C3A36"/>
                <w:sz w:val="15"/>
              </w:rPr>
              <w:t>+2%</w:t>
            </w:r>
          </w:p>
        </w:tc>
        <w:tc>
          <w:tcPr>
            <w:tcW w:type="dxa" w:w="5083"/>
          </w:tcPr>
          <w:p>
            <w:pPr>
              <w:spacing w:after="20"/>
              <w:jc w:val="left"/>
            </w:pPr>
            <w:r>
              <w:rPr>
                <w:color w:val="1C3A36"/>
                <w:sz w:val="15"/>
              </w:rPr>
              <w:t>On trailing twelve-month attributable earnings and the ex-treasury share count.</w:t>
            </w:r>
          </w:p>
        </w:tc>
      </w:tr>
      <w:tr>
        <w:tc>
          <w:tcPr>
            <w:tcW w:type="dxa" w:w="1656"/>
          </w:tcPr>
          <w:p>
            <w:pPr>
              <w:spacing w:after="20"/>
            </w:pPr>
            <w:r>
              <w:rPr>
                <w:color w:val="1C3A36"/>
                <w:sz w:val="15"/>
              </w:rPr>
              <w:t>Debt to equity</w:t>
            </w:r>
          </w:p>
        </w:tc>
        <w:tc>
          <w:tcPr>
            <w:tcW w:type="dxa" w:w="1224"/>
          </w:tcPr>
          <w:p>
            <w:pPr>
              <w:spacing w:after="20"/>
              <w:jc w:val="right"/>
            </w:pPr>
            <w:r>
              <w:rPr>
                <w:color w:val="1C3A36"/>
                <w:sz w:val="15"/>
              </w:rPr>
              <w:t>1.58x</w:t>
            </w:r>
          </w:p>
        </w:tc>
        <w:tc>
          <w:tcPr>
            <w:tcW w:type="dxa" w:w="1224"/>
          </w:tcPr>
          <w:p>
            <w:pPr>
              <w:spacing w:after="20"/>
              <w:jc w:val="right"/>
            </w:pPr>
            <w:r>
              <w:rPr>
                <w:color w:val="1C3A36"/>
                <w:sz w:val="15"/>
              </w:rPr>
              <w:t>1.40x</w:t>
            </w:r>
          </w:p>
        </w:tc>
        <w:tc>
          <w:tcPr>
            <w:tcW w:type="dxa" w:w="893"/>
          </w:tcPr>
          <w:p>
            <w:pPr>
              <w:spacing w:after="20"/>
              <w:jc w:val="right"/>
            </w:pPr>
            <w:r>
              <w:rPr>
                <w:color w:val="1C3A36"/>
                <w:sz w:val="15"/>
              </w:rPr>
              <w:t>-11% ▲</w:t>
            </w:r>
          </w:p>
        </w:tc>
        <w:tc>
          <w:tcPr>
            <w:tcW w:type="dxa" w:w="5083"/>
          </w:tcPr>
          <w:p>
            <w:pPr>
              <w:spacing w:after="20"/>
              <w:jc w:val="left"/>
            </w:pPr>
            <w:r>
              <w:rPr>
                <w:color w:val="1C3A36"/>
                <w:sz w:val="15"/>
              </w:rPr>
              <w:t>Interest-bearing obligations over controlling equity. On the broader debt definition the ratio is 1.87.</w:t>
            </w:r>
          </w:p>
        </w:tc>
      </w:tr>
      <w:tr>
        <w:tc>
          <w:tcPr>
            <w:tcW w:type="dxa" w:w="1656"/>
          </w:tcPr>
          <w:p>
            <w:pPr>
              <w:spacing w:after="20"/>
            </w:pPr>
            <w:r>
              <w:rPr>
                <w:color w:val="1C3A36"/>
                <w:sz w:val="15"/>
              </w:rPr>
              <w:t>Weighted cost of capital</w:t>
            </w:r>
          </w:p>
        </w:tc>
        <w:tc>
          <w:tcPr>
            <w:tcW w:type="dxa" w:w="1224"/>
          </w:tcPr>
          <w:p>
            <w:pPr>
              <w:spacing w:after="20"/>
              <w:jc w:val="right"/>
            </w:pPr>
            <w:r>
              <w:rPr>
                <w:color w:val="1C3A36"/>
                <w:sz w:val="15"/>
              </w:rPr>
              <w:t>18.0%</w:t>
            </w:r>
          </w:p>
        </w:tc>
        <w:tc>
          <w:tcPr>
            <w:tcW w:type="dxa" w:w="1224"/>
          </w:tcPr>
          <w:p>
            <w:pPr>
              <w:spacing w:after="20"/>
              <w:jc w:val="right"/>
            </w:pPr>
            <w:r>
              <w:rPr>
                <w:color w:val="1C3A36"/>
                <w:sz w:val="15"/>
              </w:rPr>
              <w:t>25.9%</w:t>
            </w:r>
          </w:p>
        </w:tc>
        <w:tc>
          <w:tcPr>
            <w:tcW w:type="dxa" w:w="893"/>
          </w:tcPr>
          <w:p>
            <w:pPr>
              <w:spacing w:after="20"/>
              <w:jc w:val="right"/>
            </w:pPr>
            <w:r>
              <w:rPr>
                <w:color w:val="1C3A36"/>
                <w:sz w:val="15"/>
              </w:rPr>
              <w:t>+44% ▲</w:t>
            </w:r>
          </w:p>
        </w:tc>
        <w:tc>
          <w:tcPr>
            <w:tcW w:type="dxa" w:w="5083"/>
          </w:tcPr>
          <w:p>
            <w:pPr>
              <w:spacing w:after="20"/>
              <w:jc w:val="left"/>
            </w:pPr>
            <w:r>
              <w:rPr>
                <w:color w:val="1C3A36"/>
                <w:sz w:val="15"/>
              </w:rPr>
              <w:t>The prior study discounted at 18% while the three-year Egyptian government bond was clearing at 23.27%. A weighted cost of capital below the local risk-free rate is not available to a leveraged equity.</w:t>
            </w:r>
          </w:p>
        </w:tc>
      </w:tr>
      <w:tr>
        <w:tc>
          <w:tcPr>
            <w:tcW w:type="dxa" w:w="1656"/>
          </w:tcPr>
          <w:p>
            <w:pPr>
              <w:spacing w:after="20"/>
            </w:pPr>
            <w:r>
              <w:rPr>
                <w:color w:val="1C3A36"/>
                <w:sz w:val="15"/>
              </w:rPr>
              <w:t>Terminal growth</w:t>
            </w:r>
          </w:p>
        </w:tc>
        <w:tc>
          <w:tcPr>
            <w:tcW w:type="dxa" w:w="1224"/>
          </w:tcPr>
          <w:p>
            <w:pPr>
              <w:spacing w:after="20"/>
              <w:jc w:val="right"/>
            </w:pPr>
            <w:r>
              <w:rPr>
                <w:color w:val="1C3A36"/>
                <w:sz w:val="15"/>
              </w:rPr>
              <w:t>5.0%</w:t>
            </w:r>
          </w:p>
        </w:tc>
        <w:tc>
          <w:tcPr>
            <w:tcW w:type="dxa" w:w="1224"/>
          </w:tcPr>
          <w:p>
            <w:pPr>
              <w:spacing w:after="20"/>
              <w:jc w:val="right"/>
            </w:pPr>
            <w:r>
              <w:rPr>
                <w:color w:val="1C3A36"/>
                <w:sz w:val="15"/>
              </w:rPr>
              <w:t>8.0%</w:t>
            </w:r>
          </w:p>
        </w:tc>
        <w:tc>
          <w:tcPr>
            <w:tcW w:type="dxa" w:w="893"/>
          </w:tcPr>
          <w:p>
            <w:pPr>
              <w:spacing w:after="20"/>
              <w:jc w:val="right"/>
            </w:pPr>
            <w:r>
              <w:rPr>
                <w:color w:val="1C3A36"/>
                <w:sz w:val="15"/>
              </w:rPr>
              <w:t>+60% ▲</w:t>
            </w:r>
          </w:p>
        </w:tc>
        <w:tc>
          <w:tcPr>
            <w:tcW w:type="dxa" w:w="5083"/>
          </w:tcPr>
          <w:p>
            <w:pPr>
              <w:spacing w:after="20"/>
              <w:jc w:val="left"/>
            </w:pPr>
            <w:r>
              <w:rPr>
                <w:color w:val="1C3A36"/>
                <w:sz w:val="15"/>
              </w:rPr>
              <w:t>The prior 5% nominal terminal growth sat about nine points below the inflation embedded in its own 14% price escalator — a deeply negative real terminal.</w:t>
            </w:r>
          </w:p>
        </w:tc>
      </w:tr>
      <w:tr>
        <w:tc>
          <w:tcPr>
            <w:tcW w:type="dxa" w:w="1656"/>
          </w:tcPr>
          <w:p>
            <w:pPr>
              <w:spacing w:after="20"/>
            </w:pPr>
            <w:r>
              <w:rPr>
                <w:color w:val="1C3A36"/>
                <w:sz w:val="15"/>
              </w:rPr>
              <w:t>Backlog</w:t>
            </w:r>
          </w:p>
        </w:tc>
        <w:tc>
          <w:tcPr>
            <w:tcW w:type="dxa" w:w="1224"/>
          </w:tcPr>
          <w:p>
            <w:pPr>
              <w:spacing w:after="20"/>
              <w:jc w:val="right"/>
            </w:pPr>
            <w:r>
              <w:rPr>
                <w:color w:val="1C3A36"/>
                <w:sz w:val="15"/>
              </w:rPr>
              <w:t>263,000</w:t>
            </w:r>
          </w:p>
        </w:tc>
        <w:tc>
          <w:tcPr>
            <w:tcW w:type="dxa" w:w="1224"/>
          </w:tcPr>
          <w:p>
            <w:pPr>
              <w:spacing w:after="20"/>
              <w:jc w:val="right"/>
            </w:pPr>
            <w:r>
              <w:rPr>
                <w:color w:val="1C3A36"/>
                <w:sz w:val="15"/>
              </w:rPr>
              <w:t>149,118</w:t>
            </w:r>
          </w:p>
        </w:tc>
        <w:tc>
          <w:tcPr>
            <w:tcW w:type="dxa" w:w="893"/>
          </w:tcPr>
          <w:p>
            <w:pPr>
              <w:spacing w:after="20"/>
              <w:jc w:val="right"/>
            </w:pPr>
            <w:r>
              <w:rPr>
                <w:color w:val="1C3A36"/>
                <w:sz w:val="15"/>
              </w:rPr>
              <w:t>-43% ▲</w:t>
            </w:r>
          </w:p>
        </w:tc>
        <w:tc>
          <w:tcPr>
            <w:tcW w:type="dxa" w:w="5083"/>
          </w:tcPr>
          <w:p>
            <w:pPr>
              <w:spacing w:after="20"/>
              <w:jc w:val="left"/>
            </w:pPr>
            <w:r>
              <w:rPr>
                <w:color w:val="1C3A36"/>
                <w:sz w:val="15"/>
              </w:rPr>
              <w:t>Against note 72, the only backlog figure that appears in an audited or reviewed statement: the contractual value of undelivered-unit contracts concluded between 1-Jan-2023 and 30-Jun-2026. The company's own wider definition stood at EGP 263bn at 1Q2026.</w:t>
            </w:r>
          </w:p>
        </w:tc>
      </w:tr>
    </w:tbl>
    <w:p>
      <w:pPr>
        <w:spacing w:after="40"/>
      </w:pPr>
    </w:p>
    <w:p>
      <w:pPr>
        <w:spacing w:after="200" w:before="0"/>
      </w:pPr>
      <w:r>
        <w:rPr>
          <w:b w:val="0"/>
          <w:i/>
          <w:color w:val="6E7B77"/>
          <w:sz w:val="17"/>
        </w:rPr>
        <w:t>Table 3. Scoring the previous edition. EGP mn unless the item says otherwise; ratios and multiples as stated. A triangle marks a miss beyond five per cent of the central value. Fourteen of the sixteen lines miss materially, which is why this is a rebuild rather than an update.</w:t>
      </w:r>
    </w:p>
    <w:p>
      <w:pPr>
        <w:spacing w:after="120" w:before="280"/>
      </w:pPr>
      <w:r>
        <w:rPr>
          <w:b/>
          <w:i w:val="0"/>
          <w:color w:val="1C3A36"/>
          <w:sz w:val="30"/>
        </w:rPr>
        <w:t>Company overview</w:t>
      </w:r>
    </w:p>
    <w:p>
      <w:pPr>
        <w:spacing w:after="120" w:before="0"/>
      </w:pPr>
      <w:r>
        <w:rPr>
          <w:b w:val="0"/>
          <w:i w:val="0"/>
          <w:color w:val="1C3A36"/>
          <w:sz w:val="21"/>
        </w:rPr>
        <w:t>Palm Hills Developments is an Egyptian joint-stock company incorporated in 2005 and listed on the Egyptian Exchange since 2008. It builds and sells integrated residential communities, mostly in West Cairo, East Cairo, the North Coast and Alexandria, and it runs hotels and sports clubs alongside them. Its land bank runs to about 46 million square metres across Egypt and Abu Dhabi. Its headquarters is at Smart Village, Sixth of October City.</w:t>
      </w:r>
    </w:p>
    <w:p>
      <w:pPr>
        <w:spacing w:after="120" w:before="0"/>
      </w:pPr>
      <w:r>
        <w:rPr>
          <w:b w:val="0"/>
          <w:i w:val="0"/>
          <w:color w:val="1C3A36"/>
          <w:sz w:val="21"/>
        </w:rPr>
        <w:t>Three features of the business decide how it has to be valued, and all three come off the face of the accounts rather than from any description of the company.</w:t>
      </w:r>
    </w:p>
    <w:p>
      <w:pPr>
        <w:pStyle w:val="ListBullet"/>
        <w:spacing w:after="60"/>
      </w:pPr>
      <w:r>
        <w:rPr>
          <w:b/>
          <w:color w:val="1C3A36"/>
          <w:sz w:val="21"/>
        </w:rPr>
        <w:t xml:space="preserve">Percentage of completion. </w:t>
      </w:r>
      <w:r>
        <w:rPr>
          <w:color w:val="1C3A36"/>
          <w:sz w:val="21"/>
        </w:rPr>
        <w:t>It sells on multi-year instalments and recognises revenue as it builds, unit by unit, measured by its own engineering department. So revenue is a function of construction executed, not of units sold. In the first half of 2026 the company carried out EGP 11,971mn of work and recognised EGP 17,547mn of real-estate revenue against it.</w:t>
      </w:r>
    </w:p>
    <w:p>
      <w:pPr>
        <w:pStyle w:val="ListBullet"/>
        <w:spacing w:after="60"/>
      </w:pPr>
      <w:r>
        <w:rPr>
          <w:b/>
          <w:color w:val="1C3A36"/>
          <w:sz w:val="21"/>
        </w:rPr>
        <w:t xml:space="preserve">The customer is the lender. </w:t>
      </w:r>
      <w:r>
        <w:rPr>
          <w:color w:val="1C3A36"/>
          <w:sz w:val="21"/>
        </w:rPr>
        <w:t>Receivables run to about 1,056 days of revenue and work in progress to another 348 days, but customer advances run to 1,215 days. The cycle nets to about 22 days: the customer funds the build. That is the whole financial architecture, and it is why the balance sheet carries EGP 194.77bn of assets against EGP 18.91bn of equity.</w:t>
      </w:r>
    </w:p>
    <w:p>
      <w:pPr>
        <w:pStyle w:val="ListBullet"/>
        <w:spacing w:after="60"/>
      </w:pPr>
      <w:r>
        <w:rPr>
          <w:b/>
          <w:color w:val="1C3A36"/>
          <w:sz w:val="21"/>
        </w:rPr>
        <w:t xml:space="preserve">Land is often rented against revenue, not bought. </w:t>
      </w:r>
      <w:r>
        <w:rPr>
          <w:color w:val="1C3A36"/>
          <w:sz w:val="21"/>
        </w:rPr>
        <w:t>Several of the largest projects are revenue-sharing arrangements rather than owned land: the New Urban Communities Authority takes 26 per cent of Badya's revenue, the partner in Alamein takes 30 per cent, and Palm New Cairo, Capital Gardens and El Fouka run on the same basis. Those shares are a cost of revenue, not a financing item, and they sit inside the cost line the study decomposes in section 1.6.</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176"/>
        <w:gridCol w:w="1944"/>
        <w:gridCol w:w="1944"/>
        <w:gridCol w:w="2016"/>
      </w:tblGrid>
      <w:tr>
        <w:tc>
          <w:tcPr>
            <w:tcW w:type="dxa" w:w="4176"/>
            <w:shd w:val="clear" w:color="auto" w:fill="EAF0EE"/>
          </w:tcPr>
          <w:p>
            <w:pPr>
              <w:spacing w:after="20"/>
            </w:pPr>
            <w:r>
              <w:rPr>
                <w:b/>
                <w:color w:val="1C3A36"/>
                <w:sz w:val="18"/>
              </w:rPr>
              <w:t>Half-year to 30 June, EGP mn</w:t>
            </w:r>
          </w:p>
        </w:tc>
        <w:tc>
          <w:tcPr>
            <w:tcW w:type="dxa" w:w="1944"/>
            <w:shd w:val="clear" w:color="auto" w:fill="EAF0EE"/>
          </w:tcPr>
          <w:p>
            <w:pPr>
              <w:spacing w:after="20"/>
            </w:pPr>
            <w:r>
              <w:rPr>
                <w:b/>
                <w:color w:val="1C3A36"/>
                <w:sz w:val="18"/>
              </w:rPr>
              <w:t>2026</w:t>
            </w:r>
          </w:p>
        </w:tc>
        <w:tc>
          <w:tcPr>
            <w:tcW w:type="dxa" w:w="1944"/>
            <w:shd w:val="clear" w:color="auto" w:fill="EAF0EE"/>
          </w:tcPr>
          <w:p>
            <w:pPr>
              <w:spacing w:after="20"/>
            </w:pPr>
            <w:r>
              <w:rPr>
                <w:b/>
                <w:color w:val="1C3A36"/>
                <w:sz w:val="18"/>
              </w:rPr>
              <w:t>2025</w:t>
            </w:r>
          </w:p>
        </w:tc>
        <w:tc>
          <w:tcPr>
            <w:tcW w:type="dxa" w:w="2016"/>
            <w:shd w:val="clear" w:color="auto" w:fill="EAF0EE"/>
          </w:tcPr>
          <w:p>
            <w:pPr>
              <w:spacing w:after="20"/>
            </w:pPr>
            <w:r>
              <w:rPr>
                <w:b/>
                <w:color w:val="1C3A36"/>
                <w:sz w:val="18"/>
              </w:rPr>
              <w:t>Change</w:t>
            </w:r>
          </w:p>
        </w:tc>
      </w:tr>
      <w:tr>
        <w:tc>
          <w:tcPr>
            <w:tcW w:type="dxa" w:w="4176"/>
          </w:tcPr>
          <w:p>
            <w:pPr>
              <w:spacing w:after="20"/>
            </w:pPr>
            <w:r>
              <w:rPr>
                <w:b/>
                <w:color w:val="1C3A36"/>
                <w:sz w:val="18"/>
              </w:rPr>
              <w:t>Revenue</w:t>
            </w:r>
          </w:p>
        </w:tc>
        <w:tc>
          <w:tcPr>
            <w:tcW w:type="dxa" w:w="1944"/>
          </w:tcPr>
          <w:p>
            <w:pPr>
              <w:spacing w:after="20"/>
              <w:jc w:val="right"/>
            </w:pPr>
            <w:r>
              <w:rPr>
                <w:color w:val="1C3A36"/>
                <w:sz w:val="18"/>
              </w:rPr>
              <w:t>19,528</w:t>
            </w:r>
          </w:p>
        </w:tc>
        <w:tc>
          <w:tcPr>
            <w:tcW w:type="dxa" w:w="1944"/>
          </w:tcPr>
          <w:p>
            <w:pPr>
              <w:spacing w:after="20"/>
              <w:jc w:val="right"/>
            </w:pPr>
            <w:r>
              <w:rPr>
                <w:color w:val="1C3A36"/>
                <w:sz w:val="18"/>
              </w:rPr>
              <w:t>15,579</w:t>
            </w:r>
          </w:p>
        </w:tc>
        <w:tc>
          <w:tcPr>
            <w:tcW w:type="dxa" w:w="2016"/>
          </w:tcPr>
          <w:p>
            <w:pPr>
              <w:spacing w:after="20"/>
              <w:jc w:val="right"/>
            </w:pPr>
            <w:r>
              <w:rPr>
                <w:color w:val="1C3A36"/>
                <w:sz w:val="18"/>
              </w:rPr>
              <w:t>+25.3%</w:t>
            </w:r>
          </w:p>
        </w:tc>
      </w:tr>
      <w:tr>
        <w:tc>
          <w:tcPr>
            <w:tcW w:type="dxa" w:w="4176"/>
          </w:tcPr>
          <w:p>
            <w:pPr>
              <w:spacing w:after="20"/>
            </w:pPr>
            <w:r>
              <w:rPr>
                <w:b/>
                <w:color w:val="1C3A36"/>
                <w:sz w:val="18"/>
              </w:rPr>
              <w:t>Cost of revenues</w:t>
            </w:r>
          </w:p>
        </w:tc>
        <w:tc>
          <w:tcPr>
            <w:tcW w:type="dxa" w:w="1944"/>
          </w:tcPr>
          <w:p>
            <w:pPr>
              <w:spacing w:after="20"/>
              <w:jc w:val="right"/>
            </w:pPr>
            <w:r>
              <w:rPr>
                <w:color w:val="1C3A36"/>
                <w:sz w:val="18"/>
              </w:rPr>
              <w:t>12,539</w:t>
            </w:r>
          </w:p>
        </w:tc>
        <w:tc>
          <w:tcPr>
            <w:tcW w:type="dxa" w:w="1944"/>
          </w:tcPr>
          <w:p>
            <w:pPr>
              <w:spacing w:after="20"/>
              <w:jc w:val="right"/>
            </w:pPr>
            <w:r>
              <w:rPr>
                <w:color w:val="1C3A36"/>
                <w:sz w:val="18"/>
              </w:rPr>
              <w:t>8,860</w:t>
            </w:r>
          </w:p>
        </w:tc>
        <w:tc>
          <w:tcPr>
            <w:tcW w:type="dxa" w:w="2016"/>
          </w:tcPr>
          <w:p>
            <w:pPr>
              <w:spacing w:after="20"/>
              <w:jc w:val="right"/>
            </w:pPr>
            <w:r>
              <w:rPr>
                <w:color w:val="1C3A36"/>
                <w:sz w:val="18"/>
              </w:rPr>
              <w:t>+41.5%</w:t>
            </w:r>
          </w:p>
        </w:tc>
      </w:tr>
      <w:tr>
        <w:tc>
          <w:tcPr>
            <w:tcW w:type="dxa" w:w="4176"/>
          </w:tcPr>
          <w:p>
            <w:pPr>
              <w:spacing w:after="20"/>
            </w:pPr>
            <w:r>
              <w:rPr>
                <w:b/>
                <w:color w:val="1C3A36"/>
                <w:sz w:val="18"/>
              </w:rPr>
              <w:t>Gross operating profit</w:t>
            </w:r>
          </w:p>
        </w:tc>
        <w:tc>
          <w:tcPr>
            <w:tcW w:type="dxa" w:w="1944"/>
          </w:tcPr>
          <w:p>
            <w:pPr>
              <w:spacing w:after="20"/>
              <w:jc w:val="right"/>
            </w:pPr>
            <w:r>
              <w:rPr>
                <w:color w:val="1C3A36"/>
                <w:sz w:val="18"/>
              </w:rPr>
              <w:t>6,926</w:t>
            </w:r>
          </w:p>
        </w:tc>
        <w:tc>
          <w:tcPr>
            <w:tcW w:type="dxa" w:w="1944"/>
          </w:tcPr>
          <w:p>
            <w:pPr>
              <w:spacing w:after="20"/>
              <w:jc w:val="right"/>
            </w:pPr>
            <w:r>
              <w:rPr>
                <w:color w:val="1C3A36"/>
                <w:sz w:val="18"/>
              </w:rPr>
              <w:t>6,665</w:t>
            </w:r>
          </w:p>
        </w:tc>
        <w:tc>
          <w:tcPr>
            <w:tcW w:type="dxa" w:w="2016"/>
          </w:tcPr>
          <w:p>
            <w:pPr>
              <w:spacing w:after="20"/>
              <w:jc w:val="right"/>
            </w:pPr>
            <w:r>
              <w:rPr>
                <w:color w:val="1C3A36"/>
                <w:sz w:val="18"/>
              </w:rPr>
              <w:t>+3.9%</w:t>
            </w:r>
          </w:p>
        </w:tc>
      </w:tr>
      <w:tr>
        <w:tc>
          <w:tcPr>
            <w:tcW w:type="dxa" w:w="4176"/>
          </w:tcPr>
          <w:p>
            <w:pPr>
              <w:spacing w:after="20"/>
            </w:pPr>
            <w:r>
              <w:rPr>
                <w:b/>
                <w:color w:val="1C3A36"/>
                <w:sz w:val="18"/>
              </w:rPr>
              <w:t>Administrative, selling and marketing</w:t>
            </w:r>
          </w:p>
        </w:tc>
        <w:tc>
          <w:tcPr>
            <w:tcW w:type="dxa" w:w="1944"/>
          </w:tcPr>
          <w:p>
            <w:pPr>
              <w:spacing w:after="20"/>
              <w:jc w:val="right"/>
            </w:pPr>
            <w:r>
              <w:rPr>
                <w:color w:val="1C3A36"/>
                <w:sz w:val="18"/>
              </w:rPr>
              <w:t>2,846</w:t>
            </w:r>
          </w:p>
        </w:tc>
        <w:tc>
          <w:tcPr>
            <w:tcW w:type="dxa" w:w="1944"/>
          </w:tcPr>
          <w:p>
            <w:pPr>
              <w:spacing w:after="20"/>
              <w:jc w:val="right"/>
            </w:pPr>
            <w:r>
              <w:rPr>
                <w:color w:val="1C3A36"/>
                <w:sz w:val="18"/>
              </w:rPr>
              <w:t>2,206</w:t>
            </w:r>
          </w:p>
        </w:tc>
        <w:tc>
          <w:tcPr>
            <w:tcW w:type="dxa" w:w="2016"/>
          </w:tcPr>
          <w:p>
            <w:pPr>
              <w:spacing w:after="20"/>
              <w:jc w:val="right"/>
            </w:pPr>
            <w:r>
              <w:rPr>
                <w:color w:val="1C3A36"/>
                <w:sz w:val="18"/>
              </w:rPr>
              <w:t>+29.0%</w:t>
            </w:r>
          </w:p>
        </w:tc>
      </w:tr>
      <w:tr>
        <w:tc>
          <w:tcPr>
            <w:tcW w:type="dxa" w:w="4176"/>
          </w:tcPr>
          <w:p>
            <w:pPr>
              <w:spacing w:after="20"/>
            </w:pPr>
            <w:r>
              <w:rPr>
                <w:b/>
                <w:color w:val="1C3A36"/>
                <w:sz w:val="18"/>
              </w:rPr>
              <w:t>Finance costs and interest</w:t>
            </w:r>
          </w:p>
        </w:tc>
        <w:tc>
          <w:tcPr>
            <w:tcW w:type="dxa" w:w="1944"/>
          </w:tcPr>
          <w:p>
            <w:pPr>
              <w:spacing w:after="20"/>
              <w:jc w:val="right"/>
            </w:pPr>
            <w:r>
              <w:rPr>
                <w:color w:val="1C3A36"/>
                <w:sz w:val="18"/>
              </w:rPr>
              <w:t>1,677</w:t>
            </w:r>
          </w:p>
        </w:tc>
        <w:tc>
          <w:tcPr>
            <w:tcW w:type="dxa" w:w="1944"/>
          </w:tcPr>
          <w:p>
            <w:pPr>
              <w:spacing w:after="20"/>
              <w:jc w:val="right"/>
            </w:pPr>
            <w:r>
              <w:rPr>
                <w:color w:val="1C3A36"/>
                <w:sz w:val="18"/>
              </w:rPr>
              <w:t>1,338</w:t>
            </w:r>
          </w:p>
        </w:tc>
        <w:tc>
          <w:tcPr>
            <w:tcW w:type="dxa" w:w="2016"/>
          </w:tcPr>
          <w:p>
            <w:pPr>
              <w:spacing w:after="20"/>
              <w:jc w:val="right"/>
            </w:pPr>
            <w:r>
              <w:rPr>
                <w:color w:val="1C3A36"/>
                <w:sz w:val="18"/>
              </w:rPr>
              <w:t>+25.3%</w:t>
            </w:r>
          </w:p>
        </w:tc>
      </w:tr>
      <w:tr>
        <w:tc>
          <w:tcPr>
            <w:tcW w:type="dxa" w:w="4176"/>
          </w:tcPr>
          <w:p>
            <w:pPr>
              <w:spacing w:after="20"/>
            </w:pPr>
            <w:r>
              <w:rPr>
                <w:b/>
                <w:color w:val="1C3A36"/>
                <w:sz w:val="18"/>
              </w:rPr>
              <w:t>Profit before tax</w:t>
            </w:r>
          </w:p>
        </w:tc>
        <w:tc>
          <w:tcPr>
            <w:tcW w:type="dxa" w:w="1944"/>
          </w:tcPr>
          <w:p>
            <w:pPr>
              <w:spacing w:after="20"/>
              <w:jc w:val="right"/>
            </w:pPr>
            <w:r>
              <w:rPr>
                <w:color w:val="1C3A36"/>
                <w:sz w:val="18"/>
              </w:rPr>
              <w:t>3,138</w:t>
            </w:r>
          </w:p>
        </w:tc>
        <w:tc>
          <w:tcPr>
            <w:tcW w:type="dxa" w:w="1944"/>
          </w:tcPr>
          <w:p>
            <w:pPr>
              <w:spacing w:after="20"/>
              <w:jc w:val="right"/>
            </w:pPr>
            <w:r>
              <w:rPr>
                <w:color w:val="1C3A36"/>
                <w:sz w:val="18"/>
              </w:rPr>
              <w:t>3,588</w:t>
            </w:r>
          </w:p>
        </w:tc>
        <w:tc>
          <w:tcPr>
            <w:tcW w:type="dxa" w:w="2016"/>
          </w:tcPr>
          <w:p>
            <w:pPr>
              <w:spacing w:after="20"/>
              <w:jc w:val="right"/>
            </w:pPr>
            <w:r>
              <w:rPr>
                <w:color w:val="1C3A36"/>
                <w:sz w:val="18"/>
              </w:rPr>
              <w:t>-12.5%</w:t>
            </w:r>
          </w:p>
        </w:tc>
      </w:tr>
      <w:tr>
        <w:tc>
          <w:tcPr>
            <w:tcW w:type="dxa" w:w="4176"/>
          </w:tcPr>
          <w:p>
            <w:pPr>
              <w:spacing w:after="20"/>
            </w:pPr>
            <w:r>
              <w:rPr>
                <w:b/>
                <w:color w:val="1C3A36"/>
                <w:sz w:val="18"/>
              </w:rPr>
              <w:t>Attributable profit</w:t>
            </w:r>
          </w:p>
        </w:tc>
        <w:tc>
          <w:tcPr>
            <w:tcW w:type="dxa" w:w="1944"/>
          </w:tcPr>
          <w:p>
            <w:pPr>
              <w:spacing w:after="20"/>
              <w:jc w:val="right"/>
            </w:pPr>
            <w:r>
              <w:rPr>
                <w:color w:val="1C3A36"/>
                <w:sz w:val="18"/>
              </w:rPr>
              <w:t>2,265</w:t>
            </w:r>
          </w:p>
        </w:tc>
        <w:tc>
          <w:tcPr>
            <w:tcW w:type="dxa" w:w="1944"/>
          </w:tcPr>
          <w:p>
            <w:pPr>
              <w:spacing w:after="20"/>
              <w:jc w:val="right"/>
            </w:pPr>
            <w:r>
              <w:rPr>
                <w:color w:val="1C3A36"/>
                <w:sz w:val="18"/>
              </w:rPr>
              <w:t>2,443</w:t>
            </w:r>
          </w:p>
        </w:tc>
        <w:tc>
          <w:tcPr>
            <w:tcW w:type="dxa" w:w="2016"/>
          </w:tcPr>
          <w:p>
            <w:pPr>
              <w:spacing w:after="20"/>
              <w:jc w:val="right"/>
            </w:pPr>
            <w:r>
              <w:rPr>
                <w:color w:val="1C3A36"/>
                <w:sz w:val="18"/>
              </w:rPr>
              <w:t>-7.3%</w:t>
            </w:r>
          </w:p>
        </w:tc>
      </w:tr>
      <w:tr>
        <w:tc>
          <w:tcPr>
            <w:tcW w:type="dxa" w:w="4176"/>
          </w:tcPr>
          <w:p>
            <w:pPr>
              <w:spacing w:after="20"/>
            </w:pPr>
            <w:r>
              <w:rPr>
                <w:b/>
                <w:color w:val="1C3A36"/>
                <w:sz w:val="18"/>
              </w:rPr>
              <w:t>Gross margin</w:t>
            </w:r>
          </w:p>
        </w:tc>
        <w:tc>
          <w:tcPr>
            <w:tcW w:type="dxa" w:w="1944"/>
          </w:tcPr>
          <w:p>
            <w:pPr>
              <w:spacing w:after="20"/>
              <w:jc w:val="right"/>
            </w:pPr>
            <w:r>
              <w:rPr>
                <w:color w:val="1C3A36"/>
                <w:sz w:val="18"/>
              </w:rPr>
              <w:t>35.5%</w:t>
            </w:r>
          </w:p>
        </w:tc>
        <w:tc>
          <w:tcPr>
            <w:tcW w:type="dxa" w:w="1944"/>
          </w:tcPr>
          <w:p>
            <w:pPr>
              <w:spacing w:after="20"/>
              <w:jc w:val="right"/>
            </w:pPr>
            <w:r>
              <w:rPr>
                <w:color w:val="1C3A36"/>
                <w:sz w:val="18"/>
              </w:rPr>
              <w:t>42.8%</w:t>
            </w:r>
          </w:p>
        </w:tc>
        <w:tc>
          <w:tcPr>
            <w:tcW w:type="dxa" w:w="2016"/>
          </w:tcPr>
          <w:p>
            <w:pPr>
              <w:spacing w:after="20"/>
              <w:jc w:val="right"/>
            </w:pPr>
            <w:r>
              <w:rPr>
                <w:color w:val="1C3A36"/>
                <w:sz w:val="18"/>
              </w:rPr>
              <w:t>-7.3 pts</w:t>
            </w:r>
          </w:p>
        </w:tc>
      </w:tr>
      <w:tr>
        <w:tc>
          <w:tcPr>
            <w:tcW w:type="dxa" w:w="4176"/>
          </w:tcPr>
          <w:p>
            <w:pPr>
              <w:spacing w:after="20"/>
            </w:pPr>
            <w:r>
              <w:rPr>
                <w:b/>
                <w:color w:val="1C3A36"/>
                <w:sz w:val="18"/>
              </w:rPr>
              <w:t>Earnings before interest, tax and depreciation</w:t>
            </w:r>
          </w:p>
        </w:tc>
        <w:tc>
          <w:tcPr>
            <w:tcW w:type="dxa" w:w="1944"/>
          </w:tcPr>
          <w:p>
            <w:pPr>
              <w:spacing w:after="20"/>
              <w:jc w:val="right"/>
            </w:pPr>
            <w:r>
              <w:rPr>
                <w:color w:val="1C3A36"/>
                <w:sz w:val="18"/>
              </w:rPr>
              <w:t>4,066</w:t>
            </w:r>
          </w:p>
        </w:tc>
        <w:tc>
          <w:tcPr>
            <w:tcW w:type="dxa" w:w="1944"/>
          </w:tcPr>
          <w:p>
            <w:pPr>
              <w:spacing w:after="20"/>
              <w:jc w:val="right"/>
            </w:pPr>
            <w:r>
              <w:rPr>
                <w:color w:val="1C3A36"/>
                <w:sz w:val="18"/>
              </w:rPr>
              <w:t>4,444</w:t>
            </w:r>
          </w:p>
        </w:tc>
        <w:tc>
          <w:tcPr>
            <w:tcW w:type="dxa" w:w="2016"/>
          </w:tcPr>
          <w:p>
            <w:pPr>
              <w:spacing w:after="20"/>
              <w:jc w:val="right"/>
            </w:pPr>
            <w:r>
              <w:rPr>
                <w:color w:val="1C3A36"/>
                <w:sz w:val="18"/>
              </w:rPr>
              <w:t>-8.5%</w:t>
            </w:r>
          </w:p>
        </w:tc>
      </w:tr>
    </w:tbl>
    <w:p>
      <w:pPr>
        <w:spacing w:after="40"/>
      </w:pPr>
    </w:p>
    <w:p>
      <w:pPr>
        <w:spacing w:after="200" w:before="0"/>
      </w:pPr>
      <w:r>
        <w:rPr>
          <w:b w:val="0"/>
          <w:i/>
          <w:color w:val="6E7B77"/>
          <w:sz w:val="17"/>
        </w:rPr>
        <w:t>Table 4. The reviewed half-year and its comparative, read from the face of the statements.</w:t>
      </w:r>
    </w:p>
    <w:p>
      <w:pPr>
        <w:spacing w:after="120" w:before="280"/>
      </w:pPr>
      <w:r>
        <w:rPr>
          <w:b/>
          <w:i w:val="0"/>
          <w:color w:val="1C3A36"/>
          <w:sz w:val="30"/>
        </w:rPr>
        <w:t>1. Fundamental valuation</w:t>
      </w:r>
    </w:p>
    <w:p>
      <w:pPr>
        <w:spacing w:after="120" w:before="0"/>
      </w:pPr>
      <w:r>
        <w:rPr>
          <w:b w:val="0"/>
          <w:i w:val="0"/>
          <w:color w:val="1C3A36"/>
          <w:sz w:val="21"/>
        </w:rPr>
        <w:t>Four independent lenses are run on the same set of company-issued numbers, then reconciled into one field. The cash-flow lens is built from the physical driver — construction executed — through selling price per unit of build cost, with each cost class carrying its own escalator and the margin falling out as an output rather than being set as an input.</w:t>
      </w:r>
    </w:p>
    <w:p>
      <w:pPr>
        <w:spacing w:after="80" w:before="200"/>
      </w:pPr>
      <w:r>
        <w:rPr>
          <w:b/>
          <w:i w:val="0"/>
          <w:color w:val="1C3A36"/>
          <w:sz w:val="24"/>
        </w:rPr>
        <w:t>1.1  Cash-flow model</w:t>
      </w:r>
    </w:p>
    <w:p>
      <w:pPr>
        <w:spacing w:after="120" w:before="0"/>
      </w:pPr>
      <w:r>
        <w:rPr>
          <w:b w:val="0"/>
          <w:i w:val="0"/>
          <w:color w:val="1C3A36"/>
          <w:sz w:val="19"/>
        </w:rPr>
        <w:t>The model values the firm before financing, then bridges to equity. It runs from a half-year stub covering the second half of 2026 through five full years to 2031, then a terminal value that is made consistent with the return on capital the model itself computes, so growth is never free. Discounting is mid-period from the 30 June 2026 balance-sheet date.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26"/>
        <w:gridCol w:w="1138"/>
        <w:gridCol w:w="1138"/>
        <w:gridCol w:w="1138"/>
        <w:gridCol w:w="1138"/>
        <w:gridCol w:w="1138"/>
        <w:gridCol w:w="1138"/>
      </w:tblGrid>
      <w:tr>
        <w:tc>
          <w:tcPr>
            <w:tcW w:type="dxa" w:w="3226"/>
            <w:shd w:val="clear" w:color="auto" w:fill="EAF0EE"/>
          </w:tcPr>
          <w:p>
            <w:pPr>
              <w:spacing w:after="20"/>
            </w:pPr>
            <w:r>
              <w:rPr>
                <w:b/>
                <w:color w:val="1C3A36"/>
                <w:sz w:val="15"/>
              </w:rPr>
              <w:t>EGP mn</w:t>
            </w:r>
          </w:p>
        </w:tc>
        <w:tc>
          <w:tcPr>
            <w:tcW w:type="dxa" w:w="1138"/>
            <w:shd w:val="clear" w:color="auto" w:fill="EAF0EE"/>
          </w:tcPr>
          <w:p>
            <w:pPr>
              <w:spacing w:after="20"/>
            </w:pPr>
            <w:r>
              <w:rPr>
                <w:b/>
                <w:color w:val="1C3A36"/>
                <w:sz w:val="15"/>
              </w:rPr>
              <w:t>H2-2026E</w:t>
            </w:r>
          </w:p>
        </w:tc>
        <w:tc>
          <w:tcPr>
            <w:tcW w:type="dxa" w:w="1138"/>
            <w:shd w:val="clear" w:color="auto" w:fill="EAF0EE"/>
          </w:tcPr>
          <w:p>
            <w:pPr>
              <w:spacing w:after="20"/>
            </w:pPr>
            <w:r>
              <w:rPr>
                <w:b/>
                <w:color w:val="1C3A36"/>
                <w:sz w:val="15"/>
              </w:rPr>
              <w:t>FY2027E</w:t>
            </w:r>
          </w:p>
        </w:tc>
        <w:tc>
          <w:tcPr>
            <w:tcW w:type="dxa" w:w="1138"/>
            <w:shd w:val="clear" w:color="auto" w:fill="EAF0EE"/>
          </w:tcPr>
          <w:p>
            <w:pPr>
              <w:spacing w:after="20"/>
            </w:pPr>
            <w:r>
              <w:rPr>
                <w:b/>
                <w:color w:val="1C3A36"/>
                <w:sz w:val="15"/>
              </w:rPr>
              <w:t>FY2028E</w:t>
            </w:r>
          </w:p>
        </w:tc>
        <w:tc>
          <w:tcPr>
            <w:tcW w:type="dxa" w:w="1138"/>
            <w:shd w:val="clear" w:color="auto" w:fill="EAF0EE"/>
          </w:tcPr>
          <w:p>
            <w:pPr>
              <w:spacing w:after="20"/>
            </w:pPr>
            <w:r>
              <w:rPr>
                <w:b/>
                <w:color w:val="1C3A36"/>
                <w:sz w:val="15"/>
              </w:rPr>
              <w:t>FY2029E</w:t>
            </w:r>
          </w:p>
        </w:tc>
        <w:tc>
          <w:tcPr>
            <w:tcW w:type="dxa" w:w="1138"/>
            <w:shd w:val="clear" w:color="auto" w:fill="EAF0EE"/>
          </w:tcPr>
          <w:p>
            <w:pPr>
              <w:spacing w:after="20"/>
            </w:pPr>
            <w:r>
              <w:rPr>
                <w:b/>
                <w:color w:val="1C3A36"/>
                <w:sz w:val="15"/>
              </w:rPr>
              <w:t>FY2030E</w:t>
            </w:r>
          </w:p>
        </w:tc>
        <w:tc>
          <w:tcPr>
            <w:tcW w:type="dxa" w:w="1138"/>
            <w:shd w:val="clear" w:color="auto" w:fill="EAF0EE"/>
          </w:tcPr>
          <w:p>
            <w:pPr>
              <w:spacing w:after="20"/>
            </w:pPr>
            <w:r>
              <w:rPr>
                <w:b/>
                <w:color w:val="1C3A36"/>
                <w:sz w:val="15"/>
              </w:rPr>
              <w:t>FY2031E</w:t>
            </w:r>
          </w:p>
        </w:tc>
      </w:tr>
      <w:tr>
        <w:tc>
          <w:tcPr>
            <w:tcW w:type="dxa" w:w="3226"/>
          </w:tcPr>
          <w:p>
            <w:pPr>
              <w:spacing w:after="20"/>
            </w:pPr>
            <w:r>
              <w:rPr>
                <w:b/>
                <w:color w:val="1C3A36"/>
                <w:sz w:val="15"/>
              </w:rPr>
              <w:t>Revenue</w:t>
            </w:r>
          </w:p>
        </w:tc>
        <w:tc>
          <w:tcPr>
            <w:tcW w:type="dxa" w:w="1138"/>
          </w:tcPr>
          <w:p>
            <w:pPr>
              <w:spacing w:after="20"/>
              <w:jc w:val="right"/>
            </w:pPr>
            <w:r>
              <w:rPr>
                <w:color w:val="1C3A36"/>
                <w:sz w:val="15"/>
              </w:rPr>
              <w:t>21,414</w:t>
            </w:r>
          </w:p>
        </w:tc>
        <w:tc>
          <w:tcPr>
            <w:tcW w:type="dxa" w:w="1138"/>
          </w:tcPr>
          <w:p>
            <w:pPr>
              <w:spacing w:after="20"/>
              <w:jc w:val="right"/>
            </w:pPr>
            <w:r>
              <w:rPr>
                <w:color w:val="1C3A36"/>
                <w:sz w:val="15"/>
              </w:rPr>
              <w:t>47,322</w:t>
            </w:r>
          </w:p>
        </w:tc>
        <w:tc>
          <w:tcPr>
            <w:tcW w:type="dxa" w:w="1138"/>
          </w:tcPr>
          <w:p>
            <w:pPr>
              <w:spacing w:after="20"/>
              <w:jc w:val="right"/>
            </w:pPr>
            <w:r>
              <w:rPr>
                <w:color w:val="1C3A36"/>
                <w:sz w:val="15"/>
              </w:rPr>
              <w:t>55,707</w:t>
            </w:r>
          </w:p>
        </w:tc>
        <w:tc>
          <w:tcPr>
            <w:tcW w:type="dxa" w:w="1138"/>
          </w:tcPr>
          <w:p>
            <w:pPr>
              <w:spacing w:after="20"/>
              <w:jc w:val="right"/>
            </w:pPr>
            <w:r>
              <w:rPr>
                <w:color w:val="1C3A36"/>
                <w:sz w:val="15"/>
              </w:rPr>
              <w:t>63,478</w:t>
            </w:r>
          </w:p>
        </w:tc>
        <w:tc>
          <w:tcPr>
            <w:tcW w:type="dxa" w:w="1138"/>
          </w:tcPr>
          <w:p>
            <w:pPr>
              <w:spacing w:after="20"/>
              <w:jc w:val="right"/>
            </w:pPr>
            <w:r>
              <w:rPr>
                <w:color w:val="1C3A36"/>
                <w:sz w:val="15"/>
              </w:rPr>
              <w:t>70,638</w:t>
            </w:r>
          </w:p>
        </w:tc>
        <w:tc>
          <w:tcPr>
            <w:tcW w:type="dxa" w:w="1138"/>
          </w:tcPr>
          <w:p>
            <w:pPr>
              <w:spacing w:after="20"/>
              <w:jc w:val="right"/>
            </w:pPr>
            <w:r>
              <w:rPr>
                <w:color w:val="1C3A36"/>
                <w:sz w:val="15"/>
              </w:rPr>
              <w:t>77,487</w:t>
            </w:r>
          </w:p>
        </w:tc>
      </w:tr>
      <w:tr>
        <w:tc>
          <w:tcPr>
            <w:tcW w:type="dxa" w:w="3226"/>
          </w:tcPr>
          <w:p>
            <w:pPr>
              <w:spacing w:after="20"/>
            </w:pPr>
            <w:r>
              <w:rPr>
                <w:b/>
                <w:color w:val="1C3A36"/>
                <w:sz w:val="15"/>
              </w:rPr>
              <w:t>Earnings before interest, tax and depreciation</w:t>
            </w:r>
          </w:p>
        </w:tc>
        <w:tc>
          <w:tcPr>
            <w:tcW w:type="dxa" w:w="1138"/>
          </w:tcPr>
          <w:p>
            <w:pPr>
              <w:spacing w:after="20"/>
              <w:jc w:val="right"/>
            </w:pPr>
            <w:r>
              <w:rPr>
                <w:color w:val="1C3A36"/>
                <w:sz w:val="15"/>
              </w:rPr>
              <w:t>5,008</w:t>
            </w:r>
          </w:p>
        </w:tc>
        <w:tc>
          <w:tcPr>
            <w:tcW w:type="dxa" w:w="1138"/>
          </w:tcPr>
          <w:p>
            <w:pPr>
              <w:spacing w:after="20"/>
              <w:jc w:val="right"/>
            </w:pPr>
            <w:r>
              <w:rPr>
                <w:color w:val="1C3A36"/>
                <w:sz w:val="15"/>
              </w:rPr>
              <w:t>10,927</w:t>
            </w:r>
          </w:p>
        </w:tc>
        <w:tc>
          <w:tcPr>
            <w:tcW w:type="dxa" w:w="1138"/>
          </w:tcPr>
          <w:p>
            <w:pPr>
              <w:spacing w:after="20"/>
              <w:jc w:val="right"/>
            </w:pPr>
            <w:r>
              <w:rPr>
                <w:color w:val="1C3A36"/>
                <w:sz w:val="15"/>
              </w:rPr>
              <w:t>12,757</w:t>
            </w:r>
          </w:p>
        </w:tc>
        <w:tc>
          <w:tcPr>
            <w:tcW w:type="dxa" w:w="1138"/>
          </w:tcPr>
          <w:p>
            <w:pPr>
              <w:spacing w:after="20"/>
              <w:jc w:val="right"/>
            </w:pPr>
            <w:r>
              <w:rPr>
                <w:color w:val="1C3A36"/>
                <w:sz w:val="15"/>
              </w:rPr>
              <w:t>14,420</w:t>
            </w:r>
          </w:p>
        </w:tc>
        <w:tc>
          <w:tcPr>
            <w:tcW w:type="dxa" w:w="1138"/>
          </w:tcPr>
          <w:p>
            <w:pPr>
              <w:spacing w:after="20"/>
              <w:jc w:val="right"/>
            </w:pPr>
            <w:r>
              <w:rPr>
                <w:color w:val="1C3A36"/>
                <w:sz w:val="15"/>
              </w:rPr>
              <w:t>15,932</w:t>
            </w:r>
          </w:p>
        </w:tc>
        <w:tc>
          <w:tcPr>
            <w:tcW w:type="dxa" w:w="1138"/>
          </w:tcPr>
          <w:p>
            <w:pPr>
              <w:spacing w:after="20"/>
              <w:jc w:val="right"/>
            </w:pPr>
            <w:r>
              <w:rPr>
                <w:color w:val="1C3A36"/>
                <w:sz w:val="15"/>
              </w:rPr>
              <w:t>17,389</w:t>
            </w:r>
          </w:p>
        </w:tc>
      </w:tr>
      <w:tr>
        <w:tc>
          <w:tcPr>
            <w:tcW w:type="dxa" w:w="3226"/>
          </w:tcPr>
          <w:p>
            <w:pPr>
              <w:spacing w:after="20"/>
            </w:pPr>
            <w:r>
              <w:rPr>
                <w:b/>
                <w:color w:val="1C3A36"/>
                <w:sz w:val="15"/>
              </w:rPr>
              <w:t>Depreciation and amortisation</w:t>
            </w:r>
          </w:p>
        </w:tc>
        <w:tc>
          <w:tcPr>
            <w:tcW w:type="dxa" w:w="1138"/>
          </w:tcPr>
          <w:p>
            <w:pPr>
              <w:spacing w:after="20"/>
              <w:jc w:val="right"/>
            </w:pPr>
            <w:r>
              <w:rPr>
                <w:color w:val="1C3A36"/>
                <w:sz w:val="15"/>
              </w:rPr>
              <w:t>-306</w:t>
            </w:r>
          </w:p>
        </w:tc>
        <w:tc>
          <w:tcPr>
            <w:tcW w:type="dxa" w:w="1138"/>
          </w:tcPr>
          <w:p>
            <w:pPr>
              <w:spacing w:after="20"/>
              <w:jc w:val="right"/>
            </w:pPr>
            <w:r>
              <w:rPr>
                <w:color w:val="1C3A36"/>
                <w:sz w:val="15"/>
              </w:rPr>
              <w:t>-677</w:t>
            </w:r>
          </w:p>
        </w:tc>
        <w:tc>
          <w:tcPr>
            <w:tcW w:type="dxa" w:w="1138"/>
          </w:tcPr>
          <w:p>
            <w:pPr>
              <w:spacing w:after="20"/>
              <w:jc w:val="right"/>
            </w:pPr>
            <w:r>
              <w:rPr>
                <w:color w:val="1C3A36"/>
                <w:sz w:val="15"/>
              </w:rPr>
              <w:t>-796</w:t>
            </w:r>
          </w:p>
        </w:tc>
        <w:tc>
          <w:tcPr>
            <w:tcW w:type="dxa" w:w="1138"/>
          </w:tcPr>
          <w:p>
            <w:pPr>
              <w:spacing w:after="20"/>
              <w:jc w:val="right"/>
            </w:pPr>
            <w:r>
              <w:rPr>
                <w:color w:val="1C3A36"/>
                <w:sz w:val="15"/>
              </w:rPr>
              <w:t>-907</w:t>
            </w:r>
          </w:p>
        </w:tc>
        <w:tc>
          <w:tcPr>
            <w:tcW w:type="dxa" w:w="1138"/>
          </w:tcPr>
          <w:p>
            <w:pPr>
              <w:spacing w:after="20"/>
              <w:jc w:val="right"/>
            </w:pPr>
            <w:r>
              <w:rPr>
                <w:color w:val="1C3A36"/>
                <w:sz w:val="15"/>
              </w:rPr>
              <w:t>-1,010</w:t>
            </w:r>
          </w:p>
        </w:tc>
        <w:tc>
          <w:tcPr>
            <w:tcW w:type="dxa" w:w="1138"/>
          </w:tcPr>
          <w:p>
            <w:pPr>
              <w:spacing w:after="20"/>
              <w:jc w:val="right"/>
            </w:pPr>
            <w:r>
              <w:rPr>
                <w:color w:val="1C3A36"/>
                <w:sz w:val="15"/>
              </w:rPr>
              <w:t>-1,108</w:t>
            </w:r>
          </w:p>
        </w:tc>
      </w:tr>
      <w:tr>
        <w:tc>
          <w:tcPr>
            <w:tcW w:type="dxa" w:w="3226"/>
          </w:tcPr>
          <w:p>
            <w:pPr>
              <w:spacing w:after="20"/>
            </w:pPr>
            <w:r>
              <w:rPr>
                <w:b/>
                <w:color w:val="1C3A36"/>
                <w:sz w:val="15"/>
              </w:rPr>
              <w:t>Unwind of the discount on instalment receivables</w:t>
            </w:r>
          </w:p>
        </w:tc>
        <w:tc>
          <w:tcPr>
            <w:tcW w:type="dxa" w:w="1138"/>
          </w:tcPr>
          <w:p>
            <w:pPr>
              <w:spacing w:after="20"/>
              <w:jc w:val="right"/>
            </w:pPr>
            <w:r>
              <w:rPr>
                <w:color w:val="1C3A36"/>
                <w:sz w:val="15"/>
              </w:rPr>
              <w:t>574</w:t>
            </w:r>
          </w:p>
        </w:tc>
        <w:tc>
          <w:tcPr>
            <w:tcW w:type="dxa" w:w="1138"/>
          </w:tcPr>
          <w:p>
            <w:pPr>
              <w:spacing w:after="20"/>
              <w:jc w:val="right"/>
            </w:pPr>
            <w:r>
              <w:rPr>
                <w:color w:val="1C3A36"/>
                <w:sz w:val="15"/>
              </w:rPr>
              <w:t>1,268</w:t>
            </w:r>
          </w:p>
        </w:tc>
        <w:tc>
          <w:tcPr>
            <w:tcW w:type="dxa" w:w="1138"/>
          </w:tcPr>
          <w:p>
            <w:pPr>
              <w:spacing w:after="20"/>
              <w:jc w:val="right"/>
            </w:pPr>
            <w:r>
              <w:rPr>
                <w:color w:val="1C3A36"/>
                <w:sz w:val="15"/>
              </w:rPr>
              <w:t>1,492</w:t>
            </w:r>
          </w:p>
        </w:tc>
        <w:tc>
          <w:tcPr>
            <w:tcW w:type="dxa" w:w="1138"/>
          </w:tcPr>
          <w:p>
            <w:pPr>
              <w:spacing w:after="20"/>
              <w:jc w:val="right"/>
            </w:pPr>
            <w:r>
              <w:rPr>
                <w:color w:val="1C3A36"/>
                <w:sz w:val="15"/>
              </w:rPr>
              <w:t>1,701</w:t>
            </w:r>
          </w:p>
        </w:tc>
        <w:tc>
          <w:tcPr>
            <w:tcW w:type="dxa" w:w="1138"/>
          </w:tcPr>
          <w:p>
            <w:pPr>
              <w:spacing w:after="20"/>
              <w:jc w:val="right"/>
            </w:pPr>
            <w:r>
              <w:rPr>
                <w:color w:val="1C3A36"/>
                <w:sz w:val="15"/>
              </w:rPr>
              <w:t>1,893</w:t>
            </w:r>
          </w:p>
        </w:tc>
        <w:tc>
          <w:tcPr>
            <w:tcW w:type="dxa" w:w="1138"/>
          </w:tcPr>
          <w:p>
            <w:pPr>
              <w:spacing w:after="20"/>
              <w:jc w:val="right"/>
            </w:pPr>
            <w:r>
              <w:rPr>
                <w:color w:val="1C3A36"/>
                <w:sz w:val="15"/>
              </w:rPr>
              <w:t>2,076</w:t>
            </w:r>
          </w:p>
        </w:tc>
      </w:tr>
      <w:tr>
        <w:tc>
          <w:tcPr>
            <w:tcW w:type="dxa" w:w="3226"/>
          </w:tcPr>
          <w:p>
            <w:pPr>
              <w:spacing w:after="20"/>
            </w:pPr>
            <w:r>
              <w:rPr>
                <w:b/>
                <w:color w:val="1C3A36"/>
                <w:sz w:val="15"/>
              </w:rPr>
              <w:t>Income on invested balances (framing A only)</w:t>
            </w:r>
          </w:p>
        </w:tc>
        <w:tc>
          <w:tcPr>
            <w:tcW w:type="dxa" w:w="1138"/>
          </w:tcPr>
          <w:p>
            <w:pPr>
              <w:spacing w:after="20"/>
              <w:jc w:val="right"/>
            </w:pPr>
            <w:r>
              <w:rPr>
                <w:color w:val="1C3A36"/>
                <w:sz w:val="15"/>
              </w:rPr>
              <w:t>500</w:t>
            </w:r>
          </w:p>
        </w:tc>
        <w:tc>
          <w:tcPr>
            <w:tcW w:type="dxa" w:w="1138"/>
          </w:tcPr>
          <w:p>
            <w:pPr>
              <w:spacing w:after="20"/>
              <w:jc w:val="right"/>
            </w:pPr>
            <w:r>
              <w:rPr>
                <w:color w:val="1C3A36"/>
                <w:sz w:val="15"/>
              </w:rPr>
              <w:t>1,104</w:t>
            </w:r>
          </w:p>
        </w:tc>
        <w:tc>
          <w:tcPr>
            <w:tcW w:type="dxa" w:w="1138"/>
          </w:tcPr>
          <w:p>
            <w:pPr>
              <w:spacing w:after="20"/>
              <w:jc w:val="right"/>
            </w:pPr>
            <w:r>
              <w:rPr>
                <w:color w:val="1C3A36"/>
                <w:sz w:val="15"/>
              </w:rPr>
              <w:t>1,300</w:t>
            </w:r>
          </w:p>
        </w:tc>
        <w:tc>
          <w:tcPr>
            <w:tcW w:type="dxa" w:w="1138"/>
          </w:tcPr>
          <w:p>
            <w:pPr>
              <w:spacing w:after="20"/>
              <w:jc w:val="right"/>
            </w:pPr>
            <w:r>
              <w:rPr>
                <w:color w:val="1C3A36"/>
                <w:sz w:val="15"/>
              </w:rPr>
              <w:t>1,481</w:t>
            </w:r>
          </w:p>
        </w:tc>
        <w:tc>
          <w:tcPr>
            <w:tcW w:type="dxa" w:w="1138"/>
          </w:tcPr>
          <w:p>
            <w:pPr>
              <w:spacing w:after="20"/>
              <w:jc w:val="right"/>
            </w:pPr>
            <w:r>
              <w:rPr>
                <w:color w:val="1C3A36"/>
                <w:sz w:val="15"/>
              </w:rPr>
              <w:t>1,648</w:t>
            </w:r>
          </w:p>
        </w:tc>
        <w:tc>
          <w:tcPr>
            <w:tcW w:type="dxa" w:w="1138"/>
          </w:tcPr>
          <w:p>
            <w:pPr>
              <w:spacing w:after="20"/>
              <w:jc w:val="right"/>
            </w:pPr>
            <w:r>
              <w:rPr>
                <w:color w:val="1C3A36"/>
                <w:sz w:val="15"/>
              </w:rPr>
              <w:t>1,808</w:t>
            </w:r>
          </w:p>
        </w:tc>
      </w:tr>
      <w:tr>
        <w:tc>
          <w:tcPr>
            <w:tcW w:type="dxa" w:w="3226"/>
          </w:tcPr>
          <w:p>
            <w:pPr>
              <w:spacing w:after="20"/>
            </w:pPr>
            <w:r>
              <w:rPr>
                <w:b/>
                <w:color w:val="1C3A36"/>
                <w:sz w:val="15"/>
              </w:rPr>
              <w:t>Operating profit after the items above</w:t>
            </w:r>
          </w:p>
        </w:tc>
        <w:tc>
          <w:tcPr>
            <w:tcW w:type="dxa" w:w="1138"/>
          </w:tcPr>
          <w:p>
            <w:pPr>
              <w:spacing w:after="20"/>
              <w:jc w:val="right"/>
            </w:pPr>
            <w:r>
              <w:rPr>
                <w:color w:val="1C3A36"/>
                <w:sz w:val="15"/>
              </w:rPr>
              <w:t>5,776</w:t>
            </w:r>
          </w:p>
        </w:tc>
        <w:tc>
          <w:tcPr>
            <w:tcW w:type="dxa" w:w="1138"/>
          </w:tcPr>
          <w:p>
            <w:pPr>
              <w:spacing w:after="20"/>
              <w:jc w:val="right"/>
            </w:pPr>
            <w:r>
              <w:rPr>
                <w:color w:val="1C3A36"/>
                <w:sz w:val="15"/>
              </w:rPr>
              <w:t>12,623</w:t>
            </w:r>
          </w:p>
        </w:tc>
        <w:tc>
          <w:tcPr>
            <w:tcW w:type="dxa" w:w="1138"/>
          </w:tcPr>
          <w:p>
            <w:pPr>
              <w:spacing w:after="20"/>
              <w:jc w:val="right"/>
            </w:pPr>
            <w:r>
              <w:rPr>
                <w:color w:val="1C3A36"/>
                <w:sz w:val="15"/>
              </w:rPr>
              <w:t>14,752</w:t>
            </w:r>
          </w:p>
        </w:tc>
        <w:tc>
          <w:tcPr>
            <w:tcW w:type="dxa" w:w="1138"/>
          </w:tcPr>
          <w:p>
            <w:pPr>
              <w:spacing w:after="20"/>
              <w:jc w:val="right"/>
            </w:pPr>
            <w:r>
              <w:rPr>
                <w:color w:val="1C3A36"/>
                <w:sz w:val="15"/>
              </w:rPr>
              <w:t>16,695</w:t>
            </w:r>
          </w:p>
        </w:tc>
        <w:tc>
          <w:tcPr>
            <w:tcW w:type="dxa" w:w="1138"/>
          </w:tcPr>
          <w:p>
            <w:pPr>
              <w:spacing w:after="20"/>
              <w:jc w:val="right"/>
            </w:pPr>
            <w:r>
              <w:rPr>
                <w:color w:val="1C3A36"/>
                <w:sz w:val="15"/>
              </w:rPr>
              <w:t>18,462</w:t>
            </w:r>
          </w:p>
        </w:tc>
        <w:tc>
          <w:tcPr>
            <w:tcW w:type="dxa" w:w="1138"/>
          </w:tcPr>
          <w:p>
            <w:pPr>
              <w:spacing w:after="20"/>
              <w:jc w:val="right"/>
            </w:pPr>
            <w:r>
              <w:rPr>
                <w:color w:val="1C3A36"/>
                <w:sz w:val="15"/>
              </w:rPr>
              <w:t>20,165</w:t>
            </w:r>
          </w:p>
        </w:tc>
      </w:tr>
      <w:tr>
        <w:tc>
          <w:tcPr>
            <w:tcW w:type="dxa" w:w="3226"/>
          </w:tcPr>
          <w:p>
            <w:pPr>
              <w:spacing w:after="20"/>
            </w:pPr>
            <w:r>
              <w:rPr>
                <w:b/>
                <w:color w:val="1C3A36"/>
                <w:sz w:val="15"/>
              </w:rPr>
              <w:t>Tax at the measured effective rate of 26.9%</w:t>
            </w:r>
          </w:p>
        </w:tc>
        <w:tc>
          <w:tcPr>
            <w:tcW w:type="dxa" w:w="1138"/>
          </w:tcPr>
          <w:p>
            <w:pPr>
              <w:spacing w:after="20"/>
              <w:jc w:val="right"/>
            </w:pPr>
            <w:r>
              <w:rPr>
                <w:color w:val="1C3A36"/>
                <w:sz w:val="15"/>
              </w:rPr>
              <w:t>-1,556</w:t>
            </w:r>
          </w:p>
        </w:tc>
        <w:tc>
          <w:tcPr>
            <w:tcW w:type="dxa" w:w="1138"/>
          </w:tcPr>
          <w:p>
            <w:pPr>
              <w:spacing w:after="20"/>
              <w:jc w:val="right"/>
            </w:pPr>
            <w:r>
              <w:rPr>
                <w:color w:val="1C3A36"/>
                <w:sz w:val="15"/>
              </w:rPr>
              <w:t>-3,400</w:t>
            </w:r>
          </w:p>
        </w:tc>
        <w:tc>
          <w:tcPr>
            <w:tcW w:type="dxa" w:w="1138"/>
          </w:tcPr>
          <w:p>
            <w:pPr>
              <w:spacing w:after="20"/>
              <w:jc w:val="right"/>
            </w:pPr>
            <w:r>
              <w:rPr>
                <w:color w:val="1C3A36"/>
                <w:sz w:val="15"/>
              </w:rPr>
              <w:t>-3,974</w:t>
            </w:r>
          </w:p>
        </w:tc>
        <w:tc>
          <w:tcPr>
            <w:tcW w:type="dxa" w:w="1138"/>
          </w:tcPr>
          <w:p>
            <w:pPr>
              <w:spacing w:after="20"/>
              <w:jc w:val="right"/>
            </w:pPr>
            <w:r>
              <w:rPr>
                <w:color w:val="1C3A36"/>
                <w:sz w:val="15"/>
              </w:rPr>
              <w:t>-4,497</w:t>
            </w:r>
          </w:p>
        </w:tc>
        <w:tc>
          <w:tcPr>
            <w:tcW w:type="dxa" w:w="1138"/>
          </w:tcPr>
          <w:p>
            <w:pPr>
              <w:spacing w:after="20"/>
              <w:jc w:val="right"/>
            </w:pPr>
            <w:r>
              <w:rPr>
                <w:color w:val="1C3A36"/>
                <w:sz w:val="15"/>
              </w:rPr>
              <w:t>-4,973</w:t>
            </w:r>
          </w:p>
        </w:tc>
        <w:tc>
          <w:tcPr>
            <w:tcW w:type="dxa" w:w="1138"/>
          </w:tcPr>
          <w:p>
            <w:pPr>
              <w:spacing w:after="20"/>
              <w:jc w:val="right"/>
            </w:pPr>
            <w:r>
              <w:rPr>
                <w:color w:val="1C3A36"/>
                <w:sz w:val="15"/>
              </w:rPr>
              <w:t>-5,432</w:t>
            </w:r>
          </w:p>
        </w:tc>
      </w:tr>
      <w:tr>
        <w:tc>
          <w:tcPr>
            <w:tcW w:type="dxa" w:w="3226"/>
          </w:tcPr>
          <w:p>
            <w:pPr>
              <w:spacing w:after="20"/>
            </w:pPr>
            <w:r>
              <w:rPr>
                <w:b/>
                <w:color w:val="1C3A36"/>
                <w:sz w:val="15"/>
              </w:rPr>
              <w:t>Operating profit after tax</w:t>
            </w:r>
          </w:p>
        </w:tc>
        <w:tc>
          <w:tcPr>
            <w:tcW w:type="dxa" w:w="1138"/>
          </w:tcPr>
          <w:p>
            <w:pPr>
              <w:spacing w:after="20"/>
              <w:jc w:val="right"/>
            </w:pPr>
            <w:r>
              <w:rPr>
                <w:color w:val="1C3A36"/>
                <w:sz w:val="15"/>
              </w:rPr>
              <w:t>4,220</w:t>
            </w:r>
          </w:p>
        </w:tc>
        <w:tc>
          <w:tcPr>
            <w:tcW w:type="dxa" w:w="1138"/>
          </w:tcPr>
          <w:p>
            <w:pPr>
              <w:spacing w:after="20"/>
              <w:jc w:val="right"/>
            </w:pPr>
            <w:r>
              <w:rPr>
                <w:color w:val="1C3A36"/>
                <w:sz w:val="15"/>
              </w:rPr>
              <w:t>9,222</w:t>
            </w:r>
          </w:p>
        </w:tc>
        <w:tc>
          <w:tcPr>
            <w:tcW w:type="dxa" w:w="1138"/>
          </w:tcPr>
          <w:p>
            <w:pPr>
              <w:spacing w:after="20"/>
              <w:jc w:val="right"/>
            </w:pPr>
            <w:r>
              <w:rPr>
                <w:color w:val="1C3A36"/>
                <w:sz w:val="15"/>
              </w:rPr>
              <w:t>10,778</w:t>
            </w:r>
          </w:p>
        </w:tc>
        <w:tc>
          <w:tcPr>
            <w:tcW w:type="dxa" w:w="1138"/>
          </w:tcPr>
          <w:p>
            <w:pPr>
              <w:spacing w:after="20"/>
              <w:jc w:val="right"/>
            </w:pPr>
            <w:r>
              <w:rPr>
                <w:color w:val="1C3A36"/>
                <w:sz w:val="15"/>
              </w:rPr>
              <w:t>12,197</w:t>
            </w:r>
          </w:p>
        </w:tc>
        <w:tc>
          <w:tcPr>
            <w:tcW w:type="dxa" w:w="1138"/>
          </w:tcPr>
          <w:p>
            <w:pPr>
              <w:spacing w:after="20"/>
              <w:jc w:val="right"/>
            </w:pPr>
            <w:r>
              <w:rPr>
                <w:color w:val="1C3A36"/>
                <w:sz w:val="15"/>
              </w:rPr>
              <w:t>13,489</w:t>
            </w:r>
          </w:p>
        </w:tc>
        <w:tc>
          <w:tcPr>
            <w:tcW w:type="dxa" w:w="1138"/>
          </w:tcPr>
          <w:p>
            <w:pPr>
              <w:spacing w:after="20"/>
              <w:jc w:val="right"/>
            </w:pPr>
            <w:r>
              <w:rPr>
                <w:color w:val="1C3A36"/>
                <w:sz w:val="15"/>
              </w:rPr>
              <w:t>14,733</w:t>
            </w:r>
          </w:p>
        </w:tc>
      </w:tr>
      <w:tr>
        <w:tc>
          <w:tcPr>
            <w:tcW w:type="dxa" w:w="3226"/>
          </w:tcPr>
          <w:p>
            <w:pPr>
              <w:spacing w:after="20"/>
            </w:pPr>
            <w:r>
              <w:rPr>
                <w:b/>
                <w:color w:val="1C3A36"/>
                <w:sz w:val="15"/>
              </w:rPr>
              <w:t>Add back depreciation and amortisation</w:t>
            </w:r>
          </w:p>
        </w:tc>
        <w:tc>
          <w:tcPr>
            <w:tcW w:type="dxa" w:w="1138"/>
          </w:tcPr>
          <w:p>
            <w:pPr>
              <w:spacing w:after="20"/>
              <w:jc w:val="right"/>
            </w:pPr>
            <w:r>
              <w:rPr>
                <w:color w:val="1C3A36"/>
                <w:sz w:val="15"/>
              </w:rPr>
              <w:t>306</w:t>
            </w:r>
          </w:p>
        </w:tc>
        <w:tc>
          <w:tcPr>
            <w:tcW w:type="dxa" w:w="1138"/>
          </w:tcPr>
          <w:p>
            <w:pPr>
              <w:spacing w:after="20"/>
              <w:jc w:val="right"/>
            </w:pPr>
            <w:r>
              <w:rPr>
                <w:color w:val="1C3A36"/>
                <w:sz w:val="15"/>
              </w:rPr>
              <w:t>677</w:t>
            </w:r>
          </w:p>
        </w:tc>
        <w:tc>
          <w:tcPr>
            <w:tcW w:type="dxa" w:w="1138"/>
          </w:tcPr>
          <w:p>
            <w:pPr>
              <w:spacing w:after="20"/>
              <w:jc w:val="right"/>
            </w:pPr>
            <w:r>
              <w:rPr>
                <w:color w:val="1C3A36"/>
                <w:sz w:val="15"/>
              </w:rPr>
              <w:t>796</w:t>
            </w:r>
          </w:p>
        </w:tc>
        <w:tc>
          <w:tcPr>
            <w:tcW w:type="dxa" w:w="1138"/>
          </w:tcPr>
          <w:p>
            <w:pPr>
              <w:spacing w:after="20"/>
              <w:jc w:val="right"/>
            </w:pPr>
            <w:r>
              <w:rPr>
                <w:color w:val="1C3A36"/>
                <w:sz w:val="15"/>
              </w:rPr>
              <w:t>907</w:t>
            </w:r>
          </w:p>
        </w:tc>
        <w:tc>
          <w:tcPr>
            <w:tcW w:type="dxa" w:w="1138"/>
          </w:tcPr>
          <w:p>
            <w:pPr>
              <w:spacing w:after="20"/>
              <w:jc w:val="right"/>
            </w:pPr>
            <w:r>
              <w:rPr>
                <w:color w:val="1C3A36"/>
                <w:sz w:val="15"/>
              </w:rPr>
              <w:t>1,010</w:t>
            </w:r>
          </w:p>
        </w:tc>
        <w:tc>
          <w:tcPr>
            <w:tcW w:type="dxa" w:w="1138"/>
          </w:tcPr>
          <w:p>
            <w:pPr>
              <w:spacing w:after="20"/>
              <w:jc w:val="right"/>
            </w:pPr>
            <w:r>
              <w:rPr>
                <w:color w:val="1C3A36"/>
                <w:sz w:val="15"/>
              </w:rPr>
              <w:t>1,108</w:t>
            </w:r>
          </w:p>
        </w:tc>
      </w:tr>
      <w:tr>
        <w:tc>
          <w:tcPr>
            <w:tcW w:type="dxa" w:w="3226"/>
          </w:tcPr>
          <w:p>
            <w:pPr>
              <w:spacing w:after="20"/>
            </w:pPr>
            <w:r>
              <w:rPr>
                <w:b/>
                <w:color w:val="1C3A36"/>
                <w:sz w:val="15"/>
              </w:rPr>
              <w:t>Capital expenditure</w:t>
            </w:r>
          </w:p>
        </w:tc>
        <w:tc>
          <w:tcPr>
            <w:tcW w:type="dxa" w:w="1138"/>
          </w:tcPr>
          <w:p>
            <w:pPr>
              <w:spacing w:after="20"/>
              <w:jc w:val="right"/>
            </w:pPr>
            <w:r>
              <w:rPr>
                <w:color w:val="1C3A36"/>
                <w:sz w:val="15"/>
              </w:rPr>
              <w:t>-364</w:t>
            </w:r>
          </w:p>
        </w:tc>
        <w:tc>
          <w:tcPr>
            <w:tcW w:type="dxa" w:w="1138"/>
          </w:tcPr>
          <w:p>
            <w:pPr>
              <w:spacing w:after="20"/>
              <w:jc w:val="right"/>
            </w:pPr>
            <w:r>
              <w:rPr>
                <w:color w:val="1C3A36"/>
                <w:sz w:val="15"/>
              </w:rPr>
              <w:t>-805</w:t>
            </w:r>
          </w:p>
        </w:tc>
        <w:tc>
          <w:tcPr>
            <w:tcW w:type="dxa" w:w="1138"/>
          </w:tcPr>
          <w:p>
            <w:pPr>
              <w:spacing w:after="20"/>
              <w:jc w:val="right"/>
            </w:pPr>
            <w:r>
              <w:rPr>
                <w:color w:val="1C3A36"/>
                <w:sz w:val="15"/>
              </w:rPr>
              <w:t>-948</w:t>
            </w:r>
          </w:p>
        </w:tc>
        <w:tc>
          <w:tcPr>
            <w:tcW w:type="dxa" w:w="1138"/>
          </w:tcPr>
          <w:p>
            <w:pPr>
              <w:spacing w:after="20"/>
              <w:jc w:val="right"/>
            </w:pPr>
            <w:r>
              <w:rPr>
                <w:color w:val="1C3A36"/>
                <w:sz w:val="15"/>
              </w:rPr>
              <w:t>-1,080</w:t>
            </w:r>
          </w:p>
        </w:tc>
        <w:tc>
          <w:tcPr>
            <w:tcW w:type="dxa" w:w="1138"/>
          </w:tcPr>
          <w:p>
            <w:pPr>
              <w:spacing w:after="20"/>
              <w:jc w:val="right"/>
            </w:pPr>
            <w:r>
              <w:rPr>
                <w:color w:val="1C3A36"/>
                <w:sz w:val="15"/>
              </w:rPr>
              <w:t>-1,202</w:t>
            </w:r>
          </w:p>
        </w:tc>
        <w:tc>
          <w:tcPr>
            <w:tcW w:type="dxa" w:w="1138"/>
          </w:tcPr>
          <w:p>
            <w:pPr>
              <w:spacing w:after="20"/>
              <w:jc w:val="right"/>
            </w:pPr>
            <w:r>
              <w:rPr>
                <w:color w:val="1C3A36"/>
                <w:sz w:val="15"/>
              </w:rPr>
              <w:t>-1,319</w:t>
            </w:r>
          </w:p>
        </w:tc>
      </w:tr>
      <w:tr>
        <w:tc>
          <w:tcPr>
            <w:tcW w:type="dxa" w:w="3226"/>
          </w:tcPr>
          <w:p>
            <w:pPr>
              <w:spacing w:after="20"/>
            </w:pPr>
            <w:r>
              <w:rPr>
                <w:b/>
                <w:color w:val="1C3A36"/>
                <w:sz w:val="15"/>
              </w:rPr>
              <w:t>Change in working capital</w:t>
            </w:r>
          </w:p>
        </w:tc>
        <w:tc>
          <w:tcPr>
            <w:tcW w:type="dxa" w:w="1138"/>
          </w:tcPr>
          <w:p>
            <w:pPr>
              <w:spacing w:after="20"/>
              <w:jc w:val="right"/>
            </w:pPr>
            <w:r>
              <w:rPr>
                <w:color w:val="1C3A36"/>
                <w:sz w:val="15"/>
              </w:rPr>
              <w:t>-6,324</w:t>
            </w:r>
          </w:p>
        </w:tc>
        <w:tc>
          <w:tcPr>
            <w:tcW w:type="dxa" w:w="1138"/>
          </w:tcPr>
          <w:p>
            <w:pPr>
              <w:spacing w:after="20"/>
              <w:jc w:val="right"/>
            </w:pPr>
            <w:r>
              <w:rPr>
                <w:color w:val="1C3A36"/>
                <w:sz w:val="15"/>
              </w:rPr>
              <w:t>-7,277</w:t>
            </w:r>
          </w:p>
        </w:tc>
        <w:tc>
          <w:tcPr>
            <w:tcW w:type="dxa" w:w="1138"/>
          </w:tcPr>
          <w:p>
            <w:pPr>
              <w:spacing w:after="20"/>
              <w:jc w:val="right"/>
            </w:pPr>
            <w:r>
              <w:rPr>
                <w:color w:val="1C3A36"/>
                <w:sz w:val="15"/>
              </w:rPr>
              <w:t>-13,712</w:t>
            </w:r>
          </w:p>
        </w:tc>
        <w:tc>
          <w:tcPr>
            <w:tcW w:type="dxa" w:w="1138"/>
          </w:tcPr>
          <w:p>
            <w:pPr>
              <w:spacing w:after="20"/>
              <w:jc w:val="right"/>
            </w:pPr>
            <w:r>
              <w:rPr>
                <w:color w:val="1C3A36"/>
                <w:sz w:val="15"/>
              </w:rPr>
              <w:t>-12,711</w:t>
            </w:r>
          </w:p>
        </w:tc>
        <w:tc>
          <w:tcPr>
            <w:tcW w:type="dxa" w:w="1138"/>
          </w:tcPr>
          <w:p>
            <w:pPr>
              <w:spacing w:after="20"/>
              <w:jc w:val="right"/>
            </w:pPr>
            <w:r>
              <w:rPr>
                <w:color w:val="1C3A36"/>
                <w:sz w:val="15"/>
              </w:rPr>
              <w:t>-11,691</w:t>
            </w:r>
          </w:p>
        </w:tc>
        <w:tc>
          <w:tcPr>
            <w:tcW w:type="dxa" w:w="1138"/>
          </w:tcPr>
          <w:p>
            <w:pPr>
              <w:spacing w:after="20"/>
              <w:jc w:val="right"/>
            </w:pPr>
            <w:r>
              <w:rPr>
                <w:color w:val="1C3A36"/>
                <w:sz w:val="15"/>
              </w:rPr>
              <w:t>-11,097</w:t>
            </w:r>
          </w:p>
        </w:tc>
      </w:tr>
      <w:tr>
        <w:tc>
          <w:tcPr>
            <w:tcW w:type="dxa" w:w="3226"/>
          </w:tcPr>
          <w:p>
            <w:pPr>
              <w:spacing w:after="20"/>
            </w:pPr>
            <w:r>
              <w:rPr>
                <w:b/>
                <w:color w:val="1C3A36"/>
                <w:sz w:val="15"/>
              </w:rPr>
              <w:t>Residents' Association float (framing A only)</w:t>
            </w:r>
          </w:p>
        </w:tc>
        <w:tc>
          <w:tcPr>
            <w:tcW w:type="dxa" w:w="1138"/>
          </w:tcPr>
          <w:p>
            <w:pPr>
              <w:spacing w:after="20"/>
              <w:jc w:val="right"/>
            </w:pPr>
            <w:r>
              <w:rPr>
                <w:color w:val="1C3A36"/>
                <w:sz w:val="15"/>
              </w:rPr>
              <w:t>4,179</w:t>
            </w:r>
          </w:p>
        </w:tc>
        <w:tc>
          <w:tcPr>
            <w:tcW w:type="dxa" w:w="1138"/>
          </w:tcPr>
          <w:p>
            <w:pPr>
              <w:spacing w:after="20"/>
              <w:jc w:val="right"/>
            </w:pPr>
            <w:r>
              <w:rPr>
                <w:color w:val="1C3A36"/>
                <w:sz w:val="15"/>
              </w:rPr>
              <w:t>4,993</w:t>
            </w:r>
          </w:p>
        </w:tc>
        <w:tc>
          <w:tcPr>
            <w:tcW w:type="dxa" w:w="1138"/>
          </w:tcPr>
          <w:p>
            <w:pPr>
              <w:spacing w:after="20"/>
              <w:jc w:val="right"/>
            </w:pPr>
            <w:r>
              <w:rPr>
                <w:color w:val="1C3A36"/>
                <w:sz w:val="15"/>
              </w:rPr>
              <w:t>8,832</w:t>
            </w:r>
          </w:p>
        </w:tc>
        <w:tc>
          <w:tcPr>
            <w:tcW w:type="dxa" w:w="1138"/>
          </w:tcPr>
          <w:p>
            <w:pPr>
              <w:spacing w:after="20"/>
              <w:jc w:val="right"/>
            </w:pPr>
            <w:r>
              <w:rPr>
                <w:color w:val="1C3A36"/>
                <w:sz w:val="15"/>
              </w:rPr>
              <w:t>8,580</w:t>
            </w:r>
          </w:p>
        </w:tc>
        <w:tc>
          <w:tcPr>
            <w:tcW w:type="dxa" w:w="1138"/>
          </w:tcPr>
          <w:p>
            <w:pPr>
              <w:spacing w:after="20"/>
              <w:jc w:val="right"/>
            </w:pPr>
            <w:r>
              <w:rPr>
                <w:color w:val="1C3A36"/>
                <w:sz w:val="15"/>
              </w:rPr>
              <w:t>8,294</w:t>
            </w:r>
          </w:p>
        </w:tc>
        <w:tc>
          <w:tcPr>
            <w:tcW w:type="dxa" w:w="1138"/>
          </w:tcPr>
          <w:p>
            <w:pPr>
              <w:spacing w:after="20"/>
              <w:jc w:val="right"/>
            </w:pPr>
            <w:r>
              <w:rPr>
                <w:color w:val="1C3A36"/>
                <w:sz w:val="15"/>
              </w:rPr>
              <w:t>8,271</w:t>
            </w:r>
          </w:p>
        </w:tc>
      </w:tr>
      <w:tr>
        <w:tc>
          <w:tcPr>
            <w:tcW w:type="dxa" w:w="3226"/>
            <w:shd w:val="clear" w:color="auto" w:fill="F6F1E6"/>
          </w:tcPr>
          <w:p>
            <w:pPr>
              <w:spacing w:after="20"/>
            </w:pPr>
            <w:r>
              <w:rPr>
                <w:b/>
                <w:color w:val="1C3A36"/>
                <w:sz w:val="15"/>
              </w:rPr>
              <w:t>FREE CASH FLOW TO THE FIRM</w:t>
            </w:r>
          </w:p>
        </w:tc>
        <w:tc>
          <w:tcPr>
            <w:tcW w:type="dxa" w:w="1138"/>
            <w:shd w:val="clear" w:color="auto" w:fill="F6F1E6"/>
          </w:tcPr>
          <w:p>
            <w:pPr>
              <w:spacing w:after="20"/>
              <w:jc w:val="right"/>
            </w:pPr>
            <w:r>
              <w:rPr>
                <w:b/>
                <w:color w:val="1C3A36"/>
                <w:sz w:val="15"/>
              </w:rPr>
              <w:t>2,017</w:t>
            </w:r>
          </w:p>
        </w:tc>
        <w:tc>
          <w:tcPr>
            <w:tcW w:type="dxa" w:w="1138"/>
            <w:shd w:val="clear" w:color="auto" w:fill="F6F1E6"/>
          </w:tcPr>
          <w:p>
            <w:pPr>
              <w:spacing w:after="20"/>
              <w:jc w:val="right"/>
            </w:pPr>
            <w:r>
              <w:rPr>
                <w:b/>
                <w:color w:val="1C3A36"/>
                <w:sz w:val="15"/>
              </w:rPr>
              <w:t>6,810</w:t>
            </w:r>
          </w:p>
        </w:tc>
        <w:tc>
          <w:tcPr>
            <w:tcW w:type="dxa" w:w="1138"/>
            <w:shd w:val="clear" w:color="auto" w:fill="F6F1E6"/>
          </w:tcPr>
          <w:p>
            <w:pPr>
              <w:spacing w:after="20"/>
              <w:jc w:val="right"/>
            </w:pPr>
            <w:r>
              <w:rPr>
                <w:b/>
                <w:color w:val="1C3A36"/>
                <w:sz w:val="15"/>
              </w:rPr>
              <w:t>5,747</w:t>
            </w:r>
          </w:p>
        </w:tc>
        <w:tc>
          <w:tcPr>
            <w:tcW w:type="dxa" w:w="1138"/>
            <w:shd w:val="clear" w:color="auto" w:fill="F6F1E6"/>
          </w:tcPr>
          <w:p>
            <w:pPr>
              <w:spacing w:after="20"/>
              <w:jc w:val="right"/>
            </w:pPr>
            <w:r>
              <w:rPr>
                <w:b/>
                <w:color w:val="1C3A36"/>
                <w:sz w:val="15"/>
              </w:rPr>
              <w:t>7,893</w:t>
            </w:r>
          </w:p>
        </w:tc>
        <w:tc>
          <w:tcPr>
            <w:tcW w:type="dxa" w:w="1138"/>
            <w:shd w:val="clear" w:color="auto" w:fill="F6F1E6"/>
          </w:tcPr>
          <w:p>
            <w:pPr>
              <w:spacing w:after="20"/>
              <w:jc w:val="right"/>
            </w:pPr>
            <w:r>
              <w:rPr>
                <w:b/>
                <w:color w:val="1C3A36"/>
                <w:sz w:val="15"/>
              </w:rPr>
              <w:t>9,900</w:t>
            </w:r>
          </w:p>
        </w:tc>
        <w:tc>
          <w:tcPr>
            <w:tcW w:type="dxa" w:w="1138"/>
            <w:shd w:val="clear" w:color="auto" w:fill="F6F1E6"/>
          </w:tcPr>
          <w:p>
            <w:pPr>
              <w:spacing w:after="20"/>
              <w:jc w:val="right"/>
            </w:pPr>
            <w:r>
              <w:rPr>
                <w:b/>
                <w:color w:val="1C3A36"/>
                <w:sz w:val="15"/>
              </w:rPr>
              <w:t>11,696</w:t>
            </w:r>
          </w:p>
        </w:tc>
      </w:tr>
      <w:tr>
        <w:tc>
          <w:tcPr>
            <w:tcW w:type="dxa" w:w="3226"/>
          </w:tcPr>
          <w:p>
            <w:pPr>
              <w:spacing w:after="20"/>
            </w:pPr>
            <w:r>
              <w:rPr>
                <w:b/>
                <w:color w:val="1C3A36"/>
                <w:sz w:val="15"/>
              </w:rPr>
              <w:t>Discount factor</w:t>
            </w:r>
          </w:p>
        </w:tc>
        <w:tc>
          <w:tcPr>
            <w:tcW w:type="dxa" w:w="1138"/>
          </w:tcPr>
          <w:p>
            <w:pPr>
              <w:spacing w:after="20"/>
              <w:jc w:val="right"/>
            </w:pPr>
            <w:r>
              <w:rPr>
                <w:color w:val="1C3A36"/>
                <w:sz w:val="15"/>
              </w:rPr>
              <w:t>0.9441</w:t>
            </w:r>
          </w:p>
        </w:tc>
        <w:tc>
          <w:tcPr>
            <w:tcW w:type="dxa" w:w="1138"/>
          </w:tcPr>
          <w:p>
            <w:pPr>
              <w:spacing w:after="20"/>
              <w:jc w:val="right"/>
            </w:pPr>
            <w:r>
              <w:rPr>
                <w:color w:val="1C3A36"/>
                <w:sz w:val="15"/>
              </w:rPr>
              <w:t>0.8086</w:t>
            </w:r>
          </w:p>
        </w:tc>
        <w:tc>
          <w:tcPr>
            <w:tcW w:type="dxa" w:w="1138"/>
          </w:tcPr>
          <w:p>
            <w:pPr>
              <w:spacing w:after="20"/>
              <w:jc w:val="right"/>
            </w:pPr>
            <w:r>
              <w:rPr>
                <w:color w:val="1C3A36"/>
                <w:sz w:val="15"/>
              </w:rPr>
              <w:t>0.6779</w:t>
            </w:r>
          </w:p>
        </w:tc>
        <w:tc>
          <w:tcPr>
            <w:tcW w:type="dxa" w:w="1138"/>
          </w:tcPr>
          <w:p>
            <w:pPr>
              <w:spacing w:after="20"/>
              <w:jc w:val="right"/>
            </w:pPr>
            <w:r>
              <w:rPr>
                <w:color w:val="1C3A36"/>
                <w:sz w:val="15"/>
              </w:rPr>
              <w:t>0.5900</w:t>
            </w:r>
          </w:p>
        </w:tc>
        <w:tc>
          <w:tcPr>
            <w:tcW w:type="dxa" w:w="1138"/>
          </w:tcPr>
          <w:p>
            <w:pPr>
              <w:spacing w:after="20"/>
              <w:jc w:val="right"/>
            </w:pPr>
            <w:r>
              <w:rPr>
                <w:color w:val="1C3A36"/>
                <w:sz w:val="15"/>
              </w:rPr>
              <w:t>0.5334</w:t>
            </w:r>
          </w:p>
        </w:tc>
        <w:tc>
          <w:tcPr>
            <w:tcW w:type="dxa" w:w="1138"/>
          </w:tcPr>
          <w:p>
            <w:pPr>
              <w:spacing w:after="20"/>
              <w:jc w:val="right"/>
            </w:pPr>
            <w:r>
              <w:rPr>
                <w:color w:val="1C3A36"/>
                <w:sz w:val="15"/>
              </w:rPr>
              <w:t>0.5016</w:t>
            </w:r>
          </w:p>
        </w:tc>
      </w:tr>
      <w:tr>
        <w:tc>
          <w:tcPr>
            <w:tcW w:type="dxa" w:w="3226"/>
          </w:tcPr>
          <w:p>
            <w:pPr>
              <w:spacing w:after="20"/>
            </w:pPr>
            <w:r>
              <w:rPr>
                <w:b/>
                <w:color w:val="1C3A36"/>
                <w:sz w:val="15"/>
              </w:rPr>
              <w:t>Present value</w:t>
            </w:r>
          </w:p>
        </w:tc>
        <w:tc>
          <w:tcPr>
            <w:tcW w:type="dxa" w:w="1138"/>
          </w:tcPr>
          <w:p>
            <w:pPr>
              <w:spacing w:after="20"/>
              <w:jc w:val="right"/>
            </w:pPr>
            <w:r>
              <w:rPr>
                <w:color w:val="1C3A36"/>
                <w:sz w:val="15"/>
              </w:rPr>
              <w:t>1,904</w:t>
            </w:r>
          </w:p>
        </w:tc>
        <w:tc>
          <w:tcPr>
            <w:tcW w:type="dxa" w:w="1138"/>
          </w:tcPr>
          <w:p>
            <w:pPr>
              <w:spacing w:after="20"/>
              <w:jc w:val="right"/>
            </w:pPr>
            <w:r>
              <w:rPr>
                <w:color w:val="1C3A36"/>
                <w:sz w:val="15"/>
              </w:rPr>
              <w:t>5,506</w:t>
            </w:r>
          </w:p>
        </w:tc>
        <w:tc>
          <w:tcPr>
            <w:tcW w:type="dxa" w:w="1138"/>
          </w:tcPr>
          <w:p>
            <w:pPr>
              <w:spacing w:after="20"/>
              <w:jc w:val="right"/>
            </w:pPr>
            <w:r>
              <w:rPr>
                <w:color w:val="1C3A36"/>
                <w:sz w:val="15"/>
              </w:rPr>
              <w:t>3,896</w:t>
            </w:r>
          </w:p>
        </w:tc>
        <w:tc>
          <w:tcPr>
            <w:tcW w:type="dxa" w:w="1138"/>
          </w:tcPr>
          <w:p>
            <w:pPr>
              <w:spacing w:after="20"/>
              <w:jc w:val="right"/>
            </w:pPr>
            <w:r>
              <w:rPr>
                <w:color w:val="1C3A36"/>
                <w:sz w:val="15"/>
              </w:rPr>
              <w:t>4,657</w:t>
            </w:r>
          </w:p>
        </w:tc>
        <w:tc>
          <w:tcPr>
            <w:tcW w:type="dxa" w:w="1138"/>
          </w:tcPr>
          <w:p>
            <w:pPr>
              <w:spacing w:after="20"/>
              <w:jc w:val="right"/>
            </w:pPr>
            <w:r>
              <w:rPr>
                <w:color w:val="1C3A36"/>
                <w:sz w:val="15"/>
              </w:rPr>
              <w:t>5,281</w:t>
            </w:r>
          </w:p>
        </w:tc>
        <w:tc>
          <w:tcPr>
            <w:tcW w:type="dxa" w:w="1138"/>
          </w:tcPr>
          <w:p>
            <w:pPr>
              <w:spacing w:after="20"/>
              <w:jc w:val="right"/>
            </w:pPr>
            <w:r>
              <w:rPr>
                <w:color w:val="1C3A36"/>
                <w:sz w:val="15"/>
              </w:rPr>
              <w:t>5,867</w:t>
            </w:r>
          </w:p>
        </w:tc>
      </w:tr>
    </w:tbl>
    <w:p>
      <w:pPr>
        <w:spacing w:after="40"/>
      </w:pPr>
    </w:p>
    <w:p>
      <w:pPr>
        <w:spacing w:after="200" w:before="0"/>
      </w:pPr>
      <w:r>
        <w:rPr>
          <w:b w:val="0"/>
          <w:i/>
          <w:color w:val="6E7B77"/>
          <w:sz w:val="17"/>
        </w:rPr>
        <w:t>Table 5. The free-cash-flow waterfall in full, under framing A, and every line foots. Interest is excluded throughout because this is a pre-financing measure; the EGP 1,192mn of interest the company capitalised into work in progress in the first half is added back inside the earnings line for the same reason. Two items sit between that line and operating profit because the accounts put them there: the discount on instalment receivables unwinds into income as the instalments run off, and the invested balances earn treasury-bill income — the second of which exists only in framing A, since framing B does not treat those balances as the company's. The float line beneath is the whole of the remaining difference between the two framings, and it too is zero in framing B.</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040"/>
        <w:gridCol w:w="2520"/>
        <w:gridCol w:w="2520"/>
      </w:tblGrid>
      <w:tr>
        <w:tc>
          <w:tcPr>
            <w:tcW w:type="dxa" w:w="5040"/>
            <w:shd w:val="clear" w:color="auto" w:fill="EAF0EE"/>
          </w:tcPr>
          <w:p>
            <w:pPr>
              <w:spacing w:after="20"/>
            </w:pPr>
            <w:r>
              <w:rPr>
                <w:b/>
                <w:color w:val="1C3A36"/>
                <w:sz w:val="18"/>
              </w:rPr>
              <w:t>Bridge from firm to equity, EGP mn</w:t>
            </w:r>
          </w:p>
        </w:tc>
        <w:tc>
          <w:tcPr>
            <w:tcW w:type="dxa" w:w="2520"/>
            <w:shd w:val="clear" w:color="auto" w:fill="EAF0EE"/>
          </w:tcPr>
          <w:p>
            <w:pPr>
              <w:spacing w:after="20"/>
            </w:pPr>
            <w:r>
              <w:rPr>
                <w:b/>
                <w:color w:val="1C3A36"/>
                <w:sz w:val="18"/>
              </w:rPr>
              <w:t>Framing A</w:t>
            </w:r>
          </w:p>
        </w:tc>
        <w:tc>
          <w:tcPr>
            <w:tcW w:type="dxa" w:w="2520"/>
            <w:shd w:val="clear" w:color="auto" w:fill="EAF0EE"/>
          </w:tcPr>
          <w:p>
            <w:pPr>
              <w:spacing w:after="20"/>
            </w:pPr>
            <w:r>
              <w:rPr>
                <w:b/>
                <w:color w:val="1C3A36"/>
                <w:sz w:val="18"/>
              </w:rPr>
              <w:t>Framing B</w:t>
            </w:r>
          </w:p>
        </w:tc>
      </w:tr>
      <w:tr>
        <w:tc>
          <w:tcPr>
            <w:tcW w:type="dxa" w:w="5040"/>
          </w:tcPr>
          <w:p>
            <w:pPr>
              <w:spacing w:after="20"/>
            </w:pPr>
            <w:r>
              <w:rPr>
                <w:b/>
                <w:color w:val="1C3A36"/>
                <w:sz w:val="18"/>
              </w:rPr>
              <w:t>Present value of the explicit forecast</w:t>
            </w:r>
          </w:p>
        </w:tc>
        <w:tc>
          <w:tcPr>
            <w:tcW w:type="dxa" w:w="2520"/>
          </w:tcPr>
          <w:p>
            <w:pPr>
              <w:spacing w:after="20"/>
              <w:jc w:val="right"/>
            </w:pPr>
            <w:r>
              <w:rPr>
                <w:color w:val="1C3A36"/>
                <w:sz w:val="18"/>
              </w:rPr>
              <w:t>27,111</w:t>
            </w:r>
          </w:p>
        </w:tc>
        <w:tc>
          <w:tcPr>
            <w:tcW w:type="dxa" w:w="2520"/>
          </w:tcPr>
          <w:p>
            <w:pPr>
              <w:spacing w:after="20"/>
              <w:jc w:val="right"/>
            </w:pPr>
            <w:r>
              <w:rPr>
                <w:color w:val="1C3A36"/>
                <w:sz w:val="18"/>
              </w:rPr>
              <w:t>5,424</w:t>
            </w:r>
          </w:p>
        </w:tc>
      </w:tr>
      <w:tr>
        <w:tc>
          <w:tcPr>
            <w:tcW w:type="dxa" w:w="5040"/>
          </w:tcPr>
          <w:p>
            <w:pPr>
              <w:spacing w:after="20"/>
            </w:pPr>
            <w:r>
              <w:rPr>
                <w:b/>
                <w:color w:val="1C3A36"/>
                <w:sz w:val="18"/>
              </w:rPr>
              <w:t>Present value of the terminal value</w:t>
            </w:r>
          </w:p>
        </w:tc>
        <w:tc>
          <w:tcPr>
            <w:tcW w:type="dxa" w:w="2520"/>
          </w:tcPr>
          <w:p>
            <w:pPr>
              <w:spacing w:after="20"/>
              <w:jc w:val="right"/>
            </w:pPr>
            <w:r>
              <w:rPr>
                <w:color w:val="1C3A36"/>
                <w:sz w:val="18"/>
              </w:rPr>
              <w:t>77,891</w:t>
            </w:r>
          </w:p>
        </w:tc>
        <w:tc>
          <w:tcPr>
            <w:tcW w:type="dxa" w:w="2520"/>
          </w:tcPr>
          <w:p>
            <w:pPr>
              <w:spacing w:after="20"/>
              <w:jc w:val="right"/>
            </w:pPr>
            <w:r>
              <w:rPr>
                <w:color w:val="1C3A36"/>
                <w:sz w:val="18"/>
              </w:rPr>
              <w:t>39,661</w:t>
            </w:r>
          </w:p>
        </w:tc>
      </w:tr>
      <w:tr>
        <w:tc>
          <w:tcPr>
            <w:tcW w:type="dxa" w:w="5040"/>
            <w:shd w:val="clear" w:color="auto" w:fill="F6F1E6"/>
          </w:tcPr>
          <w:p>
            <w:pPr>
              <w:spacing w:after="20"/>
            </w:pPr>
            <w:r>
              <w:rPr>
                <w:b/>
                <w:color w:val="1C3A36"/>
                <w:sz w:val="18"/>
              </w:rPr>
              <w:t>ENTERPRISE VALUE</w:t>
            </w:r>
          </w:p>
        </w:tc>
        <w:tc>
          <w:tcPr>
            <w:tcW w:type="dxa" w:w="2520"/>
            <w:shd w:val="clear" w:color="auto" w:fill="F6F1E6"/>
          </w:tcPr>
          <w:p>
            <w:pPr>
              <w:spacing w:after="20"/>
              <w:jc w:val="right"/>
            </w:pPr>
            <w:r>
              <w:rPr>
                <w:b/>
                <w:color w:val="1C3A36"/>
                <w:sz w:val="18"/>
              </w:rPr>
              <w:t>105,002</w:t>
            </w:r>
          </w:p>
        </w:tc>
        <w:tc>
          <w:tcPr>
            <w:tcW w:type="dxa" w:w="2520"/>
            <w:shd w:val="clear" w:color="auto" w:fill="F6F1E6"/>
          </w:tcPr>
          <w:p>
            <w:pPr>
              <w:spacing w:after="20"/>
              <w:jc w:val="right"/>
            </w:pPr>
            <w:r>
              <w:rPr>
                <w:b/>
                <w:color w:val="1C3A36"/>
                <w:sz w:val="18"/>
              </w:rPr>
              <w:t>45,084</w:t>
            </w:r>
          </w:p>
        </w:tc>
      </w:tr>
      <w:tr>
        <w:tc>
          <w:tcPr>
            <w:tcW w:type="dxa" w:w="5040"/>
          </w:tcPr>
          <w:p>
            <w:pPr>
              <w:spacing w:after="20"/>
            </w:pPr>
            <w:r>
              <w:rPr>
                <w:b/>
                <w:color w:val="1C3A36"/>
                <w:sz w:val="18"/>
              </w:rPr>
              <w:t>Less net debt</w:t>
            </w:r>
          </w:p>
        </w:tc>
        <w:tc>
          <w:tcPr>
            <w:tcW w:type="dxa" w:w="2520"/>
          </w:tcPr>
          <w:p>
            <w:pPr>
              <w:spacing w:after="20"/>
              <w:jc w:val="right"/>
            </w:pPr>
            <w:r>
              <w:rPr>
                <w:color w:val="1C3A36"/>
                <w:sz w:val="18"/>
              </w:rPr>
              <w:t>(5,660)</w:t>
            </w:r>
          </w:p>
        </w:tc>
        <w:tc>
          <w:tcPr>
            <w:tcW w:type="dxa" w:w="2520"/>
          </w:tcPr>
          <w:p>
            <w:pPr>
              <w:spacing w:after="20"/>
              <w:jc w:val="right"/>
            </w:pPr>
            <w:r>
              <w:rPr>
                <w:color w:val="1C3A36"/>
                <w:sz w:val="18"/>
              </w:rPr>
              <w:t>(24,983)</w:t>
            </w:r>
          </w:p>
        </w:tc>
      </w:tr>
      <w:tr>
        <w:tc>
          <w:tcPr>
            <w:tcW w:type="dxa" w:w="5040"/>
          </w:tcPr>
          <w:p>
            <w:pPr>
              <w:spacing w:after="20"/>
            </w:pPr>
            <w:r>
              <w:rPr>
                <w:b/>
                <w:color w:val="1C3A36"/>
                <w:sz w:val="18"/>
              </w:rPr>
              <w:t>Less non-controlling interests</w:t>
            </w:r>
          </w:p>
        </w:tc>
        <w:tc>
          <w:tcPr>
            <w:tcW w:type="dxa" w:w="2520"/>
          </w:tcPr>
          <w:p>
            <w:pPr>
              <w:spacing w:after="20"/>
              <w:jc w:val="right"/>
            </w:pPr>
            <w:r>
              <w:rPr>
                <w:color w:val="1C3A36"/>
                <w:sz w:val="18"/>
              </w:rPr>
              <w:t>(1,723)</w:t>
            </w:r>
          </w:p>
        </w:tc>
        <w:tc>
          <w:tcPr>
            <w:tcW w:type="dxa" w:w="2520"/>
          </w:tcPr>
          <w:p>
            <w:pPr>
              <w:spacing w:after="20"/>
              <w:jc w:val="right"/>
            </w:pPr>
            <w:r>
              <w:rPr>
                <w:color w:val="1C3A36"/>
                <w:sz w:val="18"/>
              </w:rPr>
              <w:t>(1,723)</w:t>
            </w:r>
          </w:p>
        </w:tc>
      </w:tr>
      <w:tr>
        <w:tc>
          <w:tcPr>
            <w:tcW w:type="dxa" w:w="5040"/>
            <w:shd w:val="clear" w:color="auto" w:fill="F6F1E6"/>
          </w:tcPr>
          <w:p>
            <w:pPr>
              <w:spacing w:after="20"/>
            </w:pPr>
            <w:r>
              <w:rPr>
                <w:b/>
                <w:color w:val="1C3A36"/>
                <w:sz w:val="18"/>
              </w:rPr>
              <w:t>EQUITY VALUE</w:t>
            </w:r>
          </w:p>
        </w:tc>
        <w:tc>
          <w:tcPr>
            <w:tcW w:type="dxa" w:w="2520"/>
            <w:shd w:val="clear" w:color="auto" w:fill="F6F1E6"/>
          </w:tcPr>
          <w:p>
            <w:pPr>
              <w:spacing w:after="20"/>
              <w:jc w:val="right"/>
            </w:pPr>
            <w:r>
              <w:rPr>
                <w:b/>
                <w:color w:val="1C3A36"/>
                <w:sz w:val="18"/>
              </w:rPr>
              <w:t>97,619</w:t>
            </w:r>
          </w:p>
        </w:tc>
        <w:tc>
          <w:tcPr>
            <w:tcW w:type="dxa" w:w="2520"/>
            <w:shd w:val="clear" w:color="auto" w:fill="F6F1E6"/>
          </w:tcPr>
          <w:p>
            <w:pPr>
              <w:spacing w:after="20"/>
              <w:jc w:val="right"/>
            </w:pPr>
            <w:r>
              <w:rPr>
                <w:b/>
                <w:color w:val="1C3A36"/>
                <w:sz w:val="18"/>
              </w:rPr>
              <w:t>18,378</w:t>
            </w:r>
          </w:p>
        </w:tc>
      </w:tr>
      <w:tr>
        <w:tc>
          <w:tcPr>
            <w:tcW w:type="dxa" w:w="5040"/>
          </w:tcPr>
          <w:p>
            <w:pPr>
              <w:spacing w:after="20"/>
            </w:pPr>
            <w:r>
              <w:rPr>
                <w:b/>
                <w:color w:val="1C3A36"/>
                <w:sz w:val="18"/>
              </w:rPr>
              <w:t>Shares outstanding after treasury, mn</w:t>
            </w:r>
          </w:p>
        </w:tc>
        <w:tc>
          <w:tcPr>
            <w:tcW w:type="dxa" w:w="2520"/>
          </w:tcPr>
          <w:p>
            <w:pPr>
              <w:spacing w:after="20"/>
              <w:jc w:val="right"/>
            </w:pPr>
            <w:r>
              <w:rPr>
                <w:color w:val="1C3A36"/>
                <w:sz w:val="18"/>
              </w:rPr>
              <w:t>2,824</w:t>
            </w:r>
          </w:p>
        </w:tc>
        <w:tc>
          <w:tcPr>
            <w:tcW w:type="dxa" w:w="2520"/>
          </w:tcPr>
          <w:p>
            <w:pPr>
              <w:spacing w:after="20"/>
              <w:jc w:val="right"/>
            </w:pPr>
            <w:r>
              <w:rPr>
                <w:color w:val="1C3A36"/>
                <w:sz w:val="18"/>
              </w:rPr>
              <w:t>2,824</w:t>
            </w:r>
          </w:p>
        </w:tc>
      </w:tr>
      <w:tr>
        <w:tc>
          <w:tcPr>
            <w:tcW w:type="dxa" w:w="5040"/>
            <w:shd w:val="clear" w:color="auto" w:fill="F6F1E6"/>
          </w:tcPr>
          <w:p>
            <w:pPr>
              <w:spacing w:after="20"/>
            </w:pPr>
            <w:r>
              <w:rPr>
                <w:b/>
                <w:color w:val="1C3A36"/>
                <w:sz w:val="18"/>
              </w:rPr>
              <w:t>VALUE PER SHARE, EGP</w:t>
            </w:r>
          </w:p>
        </w:tc>
        <w:tc>
          <w:tcPr>
            <w:tcW w:type="dxa" w:w="2520"/>
            <w:shd w:val="clear" w:color="auto" w:fill="F6F1E6"/>
          </w:tcPr>
          <w:p>
            <w:pPr>
              <w:spacing w:after="20"/>
              <w:jc w:val="right"/>
            </w:pPr>
            <w:r>
              <w:rPr>
                <w:b/>
                <w:color w:val="1C3A36"/>
                <w:sz w:val="18"/>
              </w:rPr>
              <w:t>34.56</w:t>
            </w:r>
          </w:p>
        </w:tc>
        <w:tc>
          <w:tcPr>
            <w:tcW w:type="dxa" w:w="2520"/>
            <w:shd w:val="clear" w:color="auto" w:fill="F6F1E6"/>
          </w:tcPr>
          <w:p>
            <w:pPr>
              <w:spacing w:after="20"/>
              <w:jc w:val="right"/>
            </w:pPr>
            <w:r>
              <w:rPr>
                <w:b/>
                <w:color w:val="1C3A36"/>
                <w:sz w:val="18"/>
              </w:rPr>
              <w:t>6.51</w:t>
            </w:r>
          </w:p>
        </w:tc>
      </w:tr>
      <w:tr>
        <w:tc>
          <w:tcPr>
            <w:tcW w:type="dxa" w:w="5040"/>
          </w:tcPr>
          <w:p>
            <w:pPr>
              <w:spacing w:after="20"/>
            </w:pPr>
            <w:r>
              <w:rPr>
                <w:b/>
                <w:color w:val="1C3A36"/>
                <w:sz w:val="18"/>
              </w:rPr>
              <w:t>Terminal value as a share of enterprise value</w:t>
            </w:r>
          </w:p>
        </w:tc>
        <w:tc>
          <w:tcPr>
            <w:tcW w:type="dxa" w:w="2520"/>
          </w:tcPr>
          <w:p>
            <w:pPr>
              <w:spacing w:after="20"/>
              <w:jc w:val="right"/>
            </w:pPr>
            <w:r>
              <w:rPr>
                <w:color w:val="1C3A36"/>
                <w:sz w:val="18"/>
              </w:rPr>
              <w:t>74.2%</w:t>
            </w:r>
          </w:p>
        </w:tc>
        <w:tc>
          <w:tcPr>
            <w:tcW w:type="dxa" w:w="2520"/>
          </w:tcPr>
          <w:p>
            <w:pPr>
              <w:spacing w:after="20"/>
              <w:jc w:val="right"/>
            </w:pPr>
            <w:r>
              <w:rPr>
                <w:color w:val="1C3A36"/>
                <w:sz w:val="18"/>
              </w:rPr>
              <w:t>88.0%</w:t>
            </w:r>
          </w:p>
        </w:tc>
      </w:tr>
    </w:tbl>
    <w:p>
      <w:pPr>
        <w:spacing w:after="40"/>
      </w:pPr>
    </w:p>
    <w:p>
      <w:pPr>
        <w:spacing w:after="200" w:before="0"/>
      </w:pPr>
      <w:r>
        <w:rPr>
          <w:b w:val="0"/>
          <w:i/>
          <w:color w:val="6E7B77"/>
          <w:sz w:val="17"/>
        </w:rPr>
        <w:t>Table 6. The two bridges. Net debt differs between the framings for the same reason the cash flows do: framing A treats the cash and treasury bills as the enterprise's, framing B treats EGP 19.32bn of them as the associations' invested money and leaves only EGP 1,497mn free. The terminal share is high in both — it is higher in framing B because the explicit years generate almost nothing without the float, which is itself part of the answer.</w:t>
      </w:r>
    </w:p>
    <w:p>
      <w:pPr>
        <w:spacing w:after="120" w:before="0"/>
      </w:pPr>
      <w:r>
        <w:rPr>
          <w:b w:val="0"/>
          <w:i w:val="0"/>
          <w:color w:val="1C3A36"/>
          <w:sz w:val="19"/>
        </w:rPr>
        <w:t>Reconciliation to the last reported period. Scaled back onto the reported half-year — same revenue, capitalised interest added back on both sides — the model's first forecast period reproduces the reported earnings before interest, tax and depreciation to within 1.28%. On cash the comparison needs two bridging items, both read off the balance sheet: the company paid down EGP 990mn of income tax payable and EGP 1,611mn of the joint-arrangement partners' balance in the half, neither of which is a run-rate item. Reported unlevered cash flow of EGP 3,822mn becomes EGP 6,423mn on a like-for-like basis against the model's EGP 2,017mn, a residual of EGP 4,406mn that the study does not paper over: it is the difference between a ratio-driven roll and one actual half-year of a working-capital-driven developer.</w:t>
      </w:r>
    </w:p>
    <w:p>
      <w:pPr>
        <w:spacing w:after="80" w:before="200"/>
      </w:pPr>
      <w:r>
        <w:rPr>
          <w:b/>
          <w:i w:val="0"/>
          <w:color w:val="1C3A36"/>
          <w:sz w:val="24"/>
        </w:rPr>
        <w:t>1.2  Book value and sustainable return</w:t>
      </w:r>
    </w:p>
    <w:p>
      <w:pPr>
        <w:spacing w:after="120" w:before="0"/>
      </w:pPr>
      <w:r>
        <w:rPr>
          <w:b w:val="0"/>
          <w:i w:val="0"/>
          <w:color w:val="1C3A36"/>
          <w:sz w:val="21"/>
        </w:rPr>
        <w:t>Controlling equity at 30 June 2026 was EGP 18,911mn, or EGP 6.70 a share on the 2,824 million shares outstanding after the treasury holding. Trailing attributable profit of EGP 4,038mn on average controlling equity gives a return on equity of 22.2%. A business earning more than its cost of equity is worth more than its book; one earning less is worth less. At the spot cost of equity of 29.9% the justified multiple is 0.65x and the value is EGP 4.35. At the normalised cost of equity of 17.5% it is 1.50x and EGP 10.02. The market pays 2.24x.</w:t>
      </w:r>
    </w:p>
    <w:p>
      <w:pPr>
        <w:spacing w:after="80" w:before="200"/>
      </w:pPr>
      <w:r>
        <w:rPr>
          <w:b/>
          <w:i w:val="0"/>
          <w:color w:val="1C3A36"/>
          <w:sz w:val="24"/>
        </w:rPr>
        <w:t>1.3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944"/>
        <w:gridCol w:w="2232"/>
        <w:gridCol w:w="2304"/>
      </w:tblGrid>
      <w:tr>
        <w:tc>
          <w:tcPr>
            <w:tcW w:type="dxa" w:w="3600"/>
            <w:shd w:val="clear" w:color="auto" w:fill="EAF0EE"/>
          </w:tcPr>
          <w:p>
            <w:pPr>
              <w:spacing w:after="20"/>
            </w:pPr>
            <w:r>
              <w:rPr>
                <w:b/>
                <w:color w:val="1C3A36"/>
                <w:sz w:val="17"/>
              </w:rPr>
              <w:t>Company</w:t>
            </w:r>
          </w:p>
        </w:tc>
        <w:tc>
          <w:tcPr>
            <w:tcW w:type="dxa" w:w="1944"/>
            <w:shd w:val="clear" w:color="auto" w:fill="EAF0EE"/>
          </w:tcPr>
          <w:p>
            <w:pPr>
              <w:spacing w:after="20"/>
            </w:pPr>
            <w:r>
              <w:rPr>
                <w:b/>
                <w:color w:val="1C3A36"/>
                <w:sz w:val="17"/>
              </w:rPr>
              <w:t>Listing</w:t>
            </w:r>
          </w:p>
        </w:tc>
        <w:tc>
          <w:tcPr>
            <w:tcW w:type="dxa" w:w="2232"/>
            <w:shd w:val="clear" w:color="auto" w:fill="EAF0EE"/>
          </w:tcPr>
          <w:p>
            <w:pPr>
              <w:spacing w:after="20"/>
            </w:pPr>
            <w:r>
              <w:rPr>
                <w:b/>
                <w:color w:val="1C3A36"/>
                <w:sz w:val="17"/>
              </w:rPr>
              <w:t>Price to earnings</w:t>
            </w:r>
          </w:p>
        </w:tc>
        <w:tc>
          <w:tcPr>
            <w:tcW w:type="dxa" w:w="2304"/>
            <w:shd w:val="clear" w:color="auto" w:fill="EAF0EE"/>
          </w:tcPr>
          <w:p>
            <w:pPr>
              <w:spacing w:after="20"/>
            </w:pPr>
            <w:r>
              <w:rPr>
                <w:b/>
                <w:color w:val="1C3A36"/>
                <w:sz w:val="17"/>
              </w:rPr>
              <w:t>Enterprise value to EBITDA</w:t>
            </w:r>
          </w:p>
        </w:tc>
      </w:tr>
      <w:tr>
        <w:tc>
          <w:tcPr>
            <w:tcW w:type="dxa" w:w="3600"/>
          </w:tcPr>
          <w:p>
            <w:pPr>
              <w:spacing w:after="20"/>
            </w:pPr>
            <w:r>
              <w:rPr>
                <w:b/>
                <w:color w:val="1C3A36"/>
                <w:sz w:val="17"/>
              </w:rPr>
              <w:t>Talaat Moustafa Group Holding</w:t>
            </w:r>
          </w:p>
        </w:tc>
        <w:tc>
          <w:tcPr>
            <w:tcW w:type="dxa" w:w="1944"/>
          </w:tcPr>
          <w:p>
            <w:pPr>
              <w:spacing w:after="20"/>
              <w:jc w:val="right"/>
            </w:pPr>
            <w:r>
              <w:rPr>
                <w:color w:val="1C3A36"/>
                <w:sz w:val="17"/>
              </w:rPr>
              <w:t>EGX:TMGH</w:t>
            </w:r>
          </w:p>
        </w:tc>
        <w:tc>
          <w:tcPr>
            <w:tcW w:type="dxa" w:w="2232"/>
          </w:tcPr>
          <w:p>
            <w:pPr>
              <w:spacing w:after="20"/>
              <w:jc w:val="right"/>
            </w:pPr>
            <w:r>
              <w:rPr>
                <w:color w:val="1C3A36"/>
                <w:sz w:val="17"/>
              </w:rPr>
              <w:t>10.20x</w:t>
            </w:r>
          </w:p>
        </w:tc>
        <w:tc>
          <w:tcPr>
            <w:tcW w:type="dxa" w:w="2304"/>
          </w:tcPr>
          <w:p>
            <w:pPr>
              <w:spacing w:after="20"/>
              <w:jc w:val="right"/>
            </w:pPr>
            <w:r>
              <w:rPr>
                <w:color w:val="1C3A36"/>
                <w:sz w:val="17"/>
              </w:rPr>
            </w:r>
          </w:p>
        </w:tc>
      </w:tr>
      <w:tr>
        <w:tc>
          <w:tcPr>
            <w:tcW w:type="dxa" w:w="3600"/>
          </w:tcPr>
          <w:p>
            <w:pPr>
              <w:spacing w:after="20"/>
            </w:pPr>
            <w:r>
              <w:rPr>
                <w:b/>
                <w:color w:val="1C3A36"/>
                <w:sz w:val="17"/>
              </w:rPr>
              <w:t>Emaar Misr for Development</w:t>
            </w:r>
          </w:p>
        </w:tc>
        <w:tc>
          <w:tcPr>
            <w:tcW w:type="dxa" w:w="1944"/>
          </w:tcPr>
          <w:p>
            <w:pPr>
              <w:spacing w:after="20"/>
              <w:jc w:val="right"/>
            </w:pPr>
            <w:r>
              <w:rPr>
                <w:color w:val="1C3A36"/>
                <w:sz w:val="17"/>
              </w:rPr>
              <w:t>EGX:EMFD</w:t>
            </w:r>
          </w:p>
        </w:tc>
        <w:tc>
          <w:tcPr>
            <w:tcW w:type="dxa" w:w="2232"/>
          </w:tcPr>
          <w:p>
            <w:pPr>
              <w:spacing w:after="20"/>
              <w:jc w:val="right"/>
            </w:pPr>
            <w:r>
              <w:rPr>
                <w:color w:val="1C3A36"/>
                <w:sz w:val="17"/>
              </w:rPr>
              <w:t>6.10x</w:t>
            </w:r>
          </w:p>
        </w:tc>
        <w:tc>
          <w:tcPr>
            <w:tcW w:type="dxa" w:w="2304"/>
          </w:tcPr>
          <w:p>
            <w:pPr>
              <w:spacing w:after="20"/>
              <w:jc w:val="right"/>
            </w:pPr>
            <w:r>
              <w:rPr>
                <w:color w:val="1C3A36"/>
                <w:sz w:val="17"/>
              </w:rPr>
            </w:r>
          </w:p>
        </w:tc>
      </w:tr>
      <w:tr>
        <w:tc>
          <w:tcPr>
            <w:tcW w:type="dxa" w:w="3600"/>
          </w:tcPr>
          <w:p>
            <w:pPr>
              <w:spacing w:after="20"/>
            </w:pPr>
            <w:r>
              <w:rPr>
                <w:b/>
                <w:color w:val="1C3A36"/>
                <w:sz w:val="17"/>
              </w:rPr>
              <w:t>SODIC</w:t>
            </w:r>
          </w:p>
        </w:tc>
        <w:tc>
          <w:tcPr>
            <w:tcW w:type="dxa" w:w="1944"/>
          </w:tcPr>
          <w:p>
            <w:pPr>
              <w:spacing w:after="20"/>
              <w:jc w:val="right"/>
            </w:pPr>
            <w:r>
              <w:rPr>
                <w:color w:val="1C3A36"/>
                <w:sz w:val="17"/>
              </w:rPr>
              <w:t>EGX:OCDI</w:t>
            </w:r>
          </w:p>
        </w:tc>
        <w:tc>
          <w:tcPr>
            <w:tcW w:type="dxa" w:w="2232"/>
          </w:tcPr>
          <w:p>
            <w:pPr>
              <w:spacing w:after="20"/>
              <w:jc w:val="right"/>
            </w:pPr>
            <w:r>
              <w:rPr>
                <w:color w:val="1C3A36"/>
                <w:sz w:val="17"/>
              </w:rPr>
              <w:t>6.10x</w:t>
            </w:r>
          </w:p>
        </w:tc>
        <w:tc>
          <w:tcPr>
            <w:tcW w:type="dxa" w:w="2304"/>
          </w:tcPr>
          <w:p>
            <w:pPr>
              <w:spacing w:after="20"/>
              <w:jc w:val="right"/>
            </w:pPr>
            <w:r>
              <w:rPr>
                <w:color w:val="1C3A36"/>
                <w:sz w:val="17"/>
              </w:rPr>
            </w:r>
          </w:p>
        </w:tc>
      </w:tr>
      <w:tr>
        <w:tc>
          <w:tcPr>
            <w:tcW w:type="dxa" w:w="3600"/>
          </w:tcPr>
          <w:p>
            <w:pPr>
              <w:spacing w:after="20"/>
            </w:pPr>
            <w:r>
              <w:rPr>
                <w:b/>
                <w:color w:val="1C3A36"/>
                <w:sz w:val="17"/>
              </w:rPr>
              <w:t>Heliopolis Housing</w:t>
            </w:r>
          </w:p>
        </w:tc>
        <w:tc>
          <w:tcPr>
            <w:tcW w:type="dxa" w:w="1944"/>
          </w:tcPr>
          <w:p>
            <w:pPr>
              <w:spacing w:after="20"/>
              <w:jc w:val="right"/>
            </w:pPr>
            <w:r>
              <w:rPr>
                <w:color w:val="1C3A36"/>
                <w:sz w:val="17"/>
              </w:rPr>
              <w:t>EGX:HELI</w:t>
            </w:r>
          </w:p>
        </w:tc>
        <w:tc>
          <w:tcPr>
            <w:tcW w:type="dxa" w:w="2232"/>
          </w:tcPr>
          <w:p>
            <w:pPr>
              <w:spacing w:after="20"/>
              <w:jc w:val="right"/>
            </w:pPr>
            <w:r>
              <w:rPr>
                <w:color w:val="1C3A36"/>
                <w:sz w:val="17"/>
              </w:rPr>
              <w:t>7.50x</w:t>
            </w:r>
          </w:p>
        </w:tc>
        <w:tc>
          <w:tcPr>
            <w:tcW w:type="dxa" w:w="2304"/>
          </w:tcPr>
          <w:p>
            <w:pPr>
              <w:spacing w:after="20"/>
              <w:jc w:val="right"/>
            </w:pPr>
            <w:r>
              <w:rPr>
                <w:color w:val="1C3A36"/>
                <w:sz w:val="17"/>
              </w:rPr>
            </w:r>
          </w:p>
        </w:tc>
      </w:tr>
      <w:tr>
        <w:tc>
          <w:tcPr>
            <w:tcW w:type="dxa" w:w="3600"/>
          </w:tcPr>
          <w:p>
            <w:pPr>
              <w:spacing w:after="20"/>
            </w:pPr>
            <w:r>
              <w:rPr>
                <w:b/>
                <w:color w:val="1C3A36"/>
                <w:sz w:val="17"/>
              </w:rPr>
              <w:t>Madinet Masr</w:t>
            </w:r>
          </w:p>
        </w:tc>
        <w:tc>
          <w:tcPr>
            <w:tcW w:type="dxa" w:w="1944"/>
          </w:tcPr>
          <w:p>
            <w:pPr>
              <w:spacing w:after="20"/>
              <w:jc w:val="right"/>
            </w:pPr>
            <w:r>
              <w:rPr>
                <w:color w:val="1C3A36"/>
                <w:sz w:val="17"/>
              </w:rPr>
              <w:t>EGX:MASR</w:t>
            </w:r>
          </w:p>
        </w:tc>
        <w:tc>
          <w:tcPr>
            <w:tcW w:type="dxa" w:w="2232"/>
          </w:tcPr>
          <w:p>
            <w:pPr>
              <w:spacing w:after="20"/>
              <w:jc w:val="right"/>
            </w:pPr>
            <w:r>
              <w:rPr>
                <w:color w:val="1C3A36"/>
                <w:sz w:val="17"/>
              </w:rPr>
            </w:r>
          </w:p>
        </w:tc>
        <w:tc>
          <w:tcPr>
            <w:tcW w:type="dxa" w:w="2304"/>
          </w:tcPr>
          <w:p>
            <w:pPr>
              <w:spacing w:after="20"/>
              <w:jc w:val="right"/>
            </w:pPr>
            <w:r>
              <w:rPr>
                <w:color w:val="1C3A36"/>
                <w:sz w:val="17"/>
              </w:rPr>
            </w:r>
          </w:p>
        </w:tc>
      </w:tr>
      <w:tr>
        <w:tc>
          <w:tcPr>
            <w:tcW w:type="dxa" w:w="3600"/>
          </w:tcPr>
          <w:p>
            <w:pPr>
              <w:spacing w:after="20"/>
            </w:pPr>
            <w:r>
              <w:rPr>
                <w:b/>
                <w:color w:val="1C3A36"/>
                <w:sz w:val="17"/>
              </w:rPr>
              <w:t>Emaar Properties</w:t>
            </w:r>
          </w:p>
        </w:tc>
        <w:tc>
          <w:tcPr>
            <w:tcW w:type="dxa" w:w="1944"/>
          </w:tcPr>
          <w:p>
            <w:pPr>
              <w:spacing w:after="20"/>
              <w:jc w:val="right"/>
            </w:pPr>
            <w:r>
              <w:rPr>
                <w:color w:val="1C3A36"/>
                <w:sz w:val="17"/>
              </w:rPr>
              <w:t>DFM:EMAAR</w:t>
            </w:r>
          </w:p>
        </w:tc>
        <w:tc>
          <w:tcPr>
            <w:tcW w:type="dxa" w:w="2232"/>
          </w:tcPr>
          <w:p>
            <w:pPr>
              <w:spacing w:after="20"/>
              <w:jc w:val="right"/>
            </w:pPr>
            <w:r>
              <w:rPr>
                <w:color w:val="1C3A36"/>
                <w:sz w:val="17"/>
              </w:rPr>
              <w:t>6.50x</w:t>
            </w:r>
          </w:p>
        </w:tc>
        <w:tc>
          <w:tcPr>
            <w:tcW w:type="dxa" w:w="2304"/>
          </w:tcPr>
          <w:p>
            <w:pPr>
              <w:spacing w:after="20"/>
              <w:jc w:val="right"/>
            </w:pPr>
            <w:r>
              <w:rPr>
                <w:color w:val="1C3A36"/>
                <w:sz w:val="17"/>
              </w:rPr>
              <w:t>3.60x</w:t>
            </w:r>
          </w:p>
        </w:tc>
      </w:tr>
      <w:tr>
        <w:tc>
          <w:tcPr>
            <w:tcW w:type="dxa" w:w="3600"/>
          </w:tcPr>
          <w:p>
            <w:pPr>
              <w:spacing w:after="20"/>
            </w:pPr>
            <w:r>
              <w:rPr>
                <w:b/>
                <w:color w:val="1C3A36"/>
                <w:sz w:val="17"/>
              </w:rPr>
              <w:t>Aldar Properties</w:t>
            </w:r>
          </w:p>
        </w:tc>
        <w:tc>
          <w:tcPr>
            <w:tcW w:type="dxa" w:w="1944"/>
          </w:tcPr>
          <w:p>
            <w:pPr>
              <w:spacing w:after="20"/>
              <w:jc w:val="right"/>
            </w:pPr>
            <w:r>
              <w:rPr>
                <w:color w:val="1C3A36"/>
                <w:sz w:val="17"/>
              </w:rPr>
              <w:t>ADX:ALDAR</w:t>
            </w:r>
          </w:p>
        </w:tc>
        <w:tc>
          <w:tcPr>
            <w:tcW w:type="dxa" w:w="2232"/>
          </w:tcPr>
          <w:p>
            <w:pPr>
              <w:spacing w:after="20"/>
              <w:jc w:val="right"/>
            </w:pPr>
            <w:r>
              <w:rPr>
                <w:color w:val="1C3A36"/>
                <w:sz w:val="17"/>
              </w:rPr>
              <w:t>7.70x</w:t>
            </w:r>
          </w:p>
        </w:tc>
        <w:tc>
          <w:tcPr>
            <w:tcW w:type="dxa" w:w="2304"/>
          </w:tcPr>
          <w:p>
            <w:pPr>
              <w:spacing w:after="20"/>
              <w:jc w:val="right"/>
            </w:pPr>
            <w:r>
              <w:rPr>
                <w:color w:val="1C3A36"/>
                <w:sz w:val="17"/>
              </w:rPr>
              <w:t>6.60x</w:t>
            </w:r>
          </w:p>
        </w:tc>
      </w:tr>
      <w:tr>
        <w:tc>
          <w:tcPr>
            <w:tcW w:type="dxa" w:w="3600"/>
            <w:shd w:val="clear" w:color="auto" w:fill="F6F1E6"/>
          </w:tcPr>
          <w:p>
            <w:pPr>
              <w:spacing w:after="20"/>
            </w:pPr>
            <w:r>
              <w:rPr>
                <w:b/>
                <w:color w:val="1C3A36"/>
                <w:sz w:val="17"/>
              </w:rPr>
              <w:t>Palm Hills Developments</w:t>
            </w:r>
          </w:p>
        </w:tc>
        <w:tc>
          <w:tcPr>
            <w:tcW w:type="dxa" w:w="1944"/>
            <w:shd w:val="clear" w:color="auto" w:fill="F6F1E6"/>
          </w:tcPr>
          <w:p>
            <w:pPr>
              <w:spacing w:after="20"/>
              <w:jc w:val="right"/>
            </w:pPr>
            <w:r>
              <w:rPr>
                <w:b/>
                <w:color w:val="1C3A36"/>
                <w:sz w:val="17"/>
              </w:rPr>
              <w:t>EGX:PHDC</w:t>
            </w:r>
          </w:p>
        </w:tc>
        <w:tc>
          <w:tcPr>
            <w:tcW w:type="dxa" w:w="2232"/>
            <w:shd w:val="clear" w:color="auto" w:fill="F6F1E6"/>
          </w:tcPr>
          <w:p>
            <w:pPr>
              <w:spacing w:after="20"/>
              <w:jc w:val="right"/>
            </w:pPr>
            <w:r>
              <w:rPr>
                <w:b/>
                <w:color w:val="1C3A36"/>
                <w:sz w:val="17"/>
              </w:rPr>
              <w:t>10.54x</w:t>
            </w:r>
          </w:p>
        </w:tc>
        <w:tc>
          <w:tcPr>
            <w:tcW w:type="dxa" w:w="2304"/>
            <w:shd w:val="clear" w:color="auto" w:fill="F6F1E6"/>
          </w:tcPr>
          <w:p>
            <w:pPr>
              <w:spacing w:after="20"/>
              <w:jc w:val="right"/>
            </w:pPr>
            <w:r>
              <w:rPr>
                <w:b/>
                <w:color w:val="1C3A36"/>
                <w:sz w:val="17"/>
              </w:rPr>
              <w:t>5.88x</w:t>
            </w:r>
          </w:p>
        </w:tc>
      </w:tr>
    </w:tbl>
    <w:p>
      <w:pPr>
        <w:spacing w:after="40"/>
      </w:pPr>
    </w:p>
    <w:p>
      <w:pPr>
        <w:spacing w:after="200" w:before="0"/>
      </w:pPr>
      <w:r>
        <w:rPr>
          <w:b w:val="0"/>
          <w:i/>
          <w:color w:val="6E7B77"/>
          <w:sz w:val="17"/>
        </w:rPr>
        <w:t>Table 7. Peers inside and outside the country. Peer multiples are market-data quotes dated 11 August 2026 for the Egyptian names and June to August 2026 for the Gulf names; they are used as a cross-check and never as a source for anything Palm Hills itself reported. Palm Hills' own figures are computed from its statements at the EGP 15.01 published price: trailing earnings per share of EGP 1.42 and trailing EBITDA of EGP 8,174mn.</w:t>
      </w:r>
    </w:p>
    <w:p>
      <w:pPr>
        <w:spacing w:after="120" w:before="0"/>
      </w:pPr>
      <w:r>
        <w:rPr>
          <w:b w:val="0"/>
          <w:i w:val="0"/>
          <w:color w:val="1C3A36"/>
          <w:sz w:val="19"/>
        </w:rPr>
        <w:t>The median Egyptian peer trades at 6.80x trailing earnings and the median Gulf peer at 7.10x. Applied to trailing earnings of EGP 1.42 a share those give EGP 9.68 and EGP 10.11. Capitalising trailing EBITDA at the Gulf median of 5.10x enterprise value and bridging to equity gives EGP 12.15. Palm Hills already trades at 10.54x earnings, a premium to both peer sets, and at 5.88x EBITDA, in line with Aldar and above Emaar. It is not a cheap stock on multiples.</w:t>
      </w:r>
    </w:p>
    <w:p>
      <w:pPr>
        <w:spacing w:after="80" w:before="200"/>
      </w:pPr>
      <w:r>
        <w:rPr>
          <w:b/>
          <w:i w:val="0"/>
          <w:color w:val="1C3A36"/>
          <w:sz w:val="24"/>
        </w:rPr>
        <w:t>1.4  Normalised earnings power</w:t>
      </w:r>
    </w:p>
    <w:p>
      <w:pPr>
        <w:spacing w:after="120" w:before="0"/>
      </w:pPr>
      <w:r>
        <w:rPr>
          <w:b w:val="0"/>
          <w:i w:val="0"/>
          <w:color w:val="1C3A36"/>
          <w:sz w:val="21"/>
        </w:rPr>
        <w:t>This lens strips out the cycle. It takes the current revenue base — trailing twelve months of EGP 40,145mn — and applies the average of the margins the company earned in 2023, 2024 and the first half of 2026, which is 20.7%. That gives EGP 8,309mn of earnings before interest, tax and depreciation. Depreciation, the unwinding of the discount on instalment receivables, the return on the treasury-bill book and interest on the disclosed debt at its measured rate leave EGP 6,648mn of pre-tax profit and EGP 4,857mn after tax, or EGP 1.72 a share. At the peer range of 6.80x to 7.10x that is EGP 11.69 to EGP 12.21.</w:t>
      </w:r>
    </w:p>
    <w:p>
      <w:pPr>
        <w:spacing w:after="80" w:before="200"/>
      </w:pPr>
      <w:r>
        <w:rPr>
          <w:b/>
          <w:i w:val="0"/>
          <w:color w:val="1C3A36"/>
          <w:sz w:val="24"/>
        </w:rPr>
        <w:t>1.5  Synthesis — four lenses, one field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893"/>
        <w:gridCol w:w="893"/>
        <w:gridCol w:w="979"/>
        <w:gridCol w:w="893"/>
        <w:gridCol w:w="4190"/>
      </w:tblGrid>
      <w:tr>
        <w:tc>
          <w:tcPr>
            <w:tcW w:type="dxa" w:w="2232"/>
            <w:shd w:val="clear" w:color="auto" w:fill="EAF0EE"/>
          </w:tcPr>
          <w:p>
            <w:pPr>
              <w:spacing w:after="20"/>
            </w:pPr>
            <w:r>
              <w:rPr>
                <w:b/>
                <w:color w:val="1C3A36"/>
                <w:sz w:val="17"/>
              </w:rPr>
              <w:t>Lens</w:t>
            </w:r>
          </w:p>
        </w:tc>
        <w:tc>
          <w:tcPr>
            <w:tcW w:type="dxa" w:w="893"/>
            <w:shd w:val="clear" w:color="auto" w:fill="EAF0EE"/>
          </w:tcPr>
          <w:p>
            <w:pPr>
              <w:spacing w:after="20"/>
            </w:pPr>
            <w:r>
              <w:rPr>
                <w:b/>
                <w:color w:val="1C3A36"/>
                <w:sz w:val="17"/>
              </w:rPr>
              <w:t>Weight</w:t>
            </w:r>
          </w:p>
        </w:tc>
        <w:tc>
          <w:tcPr>
            <w:tcW w:type="dxa" w:w="893"/>
            <w:shd w:val="clear" w:color="auto" w:fill="EAF0EE"/>
          </w:tcPr>
          <w:p>
            <w:pPr>
              <w:spacing w:after="20"/>
            </w:pPr>
            <w:r>
              <w:rPr>
                <w:b/>
                <w:color w:val="1C3A36"/>
                <w:sz w:val="17"/>
              </w:rPr>
              <w:t>Low</w:t>
            </w:r>
          </w:p>
        </w:tc>
        <w:tc>
          <w:tcPr>
            <w:tcW w:type="dxa" w:w="979"/>
            <w:shd w:val="clear" w:color="auto" w:fill="EAF0EE"/>
          </w:tcPr>
          <w:p>
            <w:pPr>
              <w:spacing w:after="20"/>
            </w:pPr>
            <w:r>
              <w:rPr>
                <w:b/>
                <w:color w:val="1C3A36"/>
                <w:sz w:val="17"/>
              </w:rPr>
              <w:t>Centre</w:t>
            </w:r>
          </w:p>
        </w:tc>
        <w:tc>
          <w:tcPr>
            <w:tcW w:type="dxa" w:w="893"/>
            <w:shd w:val="clear" w:color="auto" w:fill="EAF0EE"/>
          </w:tcPr>
          <w:p>
            <w:pPr>
              <w:spacing w:after="20"/>
            </w:pPr>
            <w:r>
              <w:rPr>
                <w:b/>
                <w:color w:val="1C3A36"/>
                <w:sz w:val="17"/>
              </w:rPr>
              <w:t>High</w:t>
            </w:r>
          </w:p>
        </w:tc>
        <w:tc>
          <w:tcPr>
            <w:tcW w:type="dxa" w:w="4190"/>
            <w:shd w:val="clear" w:color="auto" w:fill="EAF0EE"/>
          </w:tcPr>
          <w:p>
            <w:pPr>
              <w:spacing w:after="20"/>
              <w:jc w:val="left"/>
            </w:pPr>
            <w:r>
              <w:rPr>
                <w:b/>
                <w:color w:val="1C3A36"/>
                <w:sz w:val="17"/>
              </w:rPr>
              <w:t>What it is most sensitive to</w:t>
            </w:r>
          </w:p>
        </w:tc>
      </w:tr>
      <w:tr>
        <w:tc>
          <w:tcPr>
            <w:tcW w:type="dxa" w:w="2232"/>
          </w:tcPr>
          <w:p>
            <w:pPr>
              <w:spacing w:after="20"/>
            </w:pPr>
            <w:r>
              <w:rPr>
                <w:b/>
                <w:color w:val="1C3A36"/>
                <w:sz w:val="17"/>
              </w:rPr>
              <w:t>Cash flow</w:t>
            </w:r>
          </w:p>
        </w:tc>
        <w:tc>
          <w:tcPr>
            <w:tcW w:type="dxa" w:w="893"/>
          </w:tcPr>
          <w:p>
            <w:pPr>
              <w:spacing w:after="20"/>
              <w:jc w:val="right"/>
            </w:pPr>
            <w:r>
              <w:rPr>
                <w:color w:val="1C3A36"/>
                <w:sz w:val="17"/>
              </w:rPr>
              <w:t>45%</w:t>
            </w:r>
          </w:p>
        </w:tc>
        <w:tc>
          <w:tcPr>
            <w:tcW w:type="dxa" w:w="893"/>
          </w:tcPr>
          <w:p>
            <w:pPr>
              <w:spacing w:after="20"/>
              <w:jc w:val="right"/>
            </w:pPr>
            <w:r>
              <w:rPr>
                <w:color w:val="1C3A36"/>
                <w:sz w:val="17"/>
              </w:rPr>
              <w:t>11.67</w:t>
            </w:r>
          </w:p>
        </w:tc>
        <w:tc>
          <w:tcPr>
            <w:tcW w:type="dxa" w:w="979"/>
          </w:tcPr>
          <w:p>
            <w:pPr>
              <w:spacing w:after="20"/>
              <w:jc w:val="right"/>
            </w:pPr>
            <w:r>
              <w:rPr>
                <w:color w:val="1C3A36"/>
                <w:sz w:val="17"/>
              </w:rPr>
              <w:t>23.12</w:t>
            </w:r>
          </w:p>
        </w:tc>
        <w:tc>
          <w:tcPr>
            <w:tcW w:type="dxa" w:w="893"/>
          </w:tcPr>
          <w:p>
            <w:pPr>
              <w:spacing w:after="20"/>
              <w:jc w:val="right"/>
            </w:pPr>
            <w:r>
              <w:rPr>
                <w:color w:val="1C3A36"/>
                <w:sz w:val="17"/>
              </w:rPr>
              <w:t>34.56</w:t>
            </w:r>
          </w:p>
        </w:tc>
        <w:tc>
          <w:tcPr>
            <w:tcW w:type="dxa" w:w="4190"/>
          </w:tcPr>
          <w:p>
            <w:pPr>
              <w:spacing w:after="20"/>
              <w:jc w:val="left"/>
            </w:pPr>
            <w:r>
              <w:rPr>
                <w:color w:val="1C3A36"/>
                <w:sz w:val="17"/>
              </w:rPr>
              <w:t>the float, then the cost of capital, then the crux ratio</w:t>
            </w:r>
          </w:p>
        </w:tc>
      </w:tr>
      <w:tr>
        <w:tc>
          <w:tcPr>
            <w:tcW w:type="dxa" w:w="2232"/>
          </w:tcPr>
          <w:p>
            <w:pPr>
              <w:spacing w:after="20"/>
            </w:pPr>
            <w:r>
              <w:rPr>
                <w:b/>
                <w:color w:val="1C3A36"/>
                <w:sz w:val="17"/>
              </w:rPr>
              <w:t>Book value and return</w:t>
            </w:r>
          </w:p>
        </w:tc>
        <w:tc>
          <w:tcPr>
            <w:tcW w:type="dxa" w:w="893"/>
          </w:tcPr>
          <w:p>
            <w:pPr>
              <w:spacing w:after="20"/>
              <w:jc w:val="right"/>
            </w:pPr>
            <w:r>
              <w:rPr>
                <w:color w:val="1C3A36"/>
                <w:sz w:val="17"/>
              </w:rPr>
              <w:t>20%</w:t>
            </w:r>
          </w:p>
        </w:tc>
        <w:tc>
          <w:tcPr>
            <w:tcW w:type="dxa" w:w="893"/>
          </w:tcPr>
          <w:p>
            <w:pPr>
              <w:spacing w:after="20"/>
              <w:jc w:val="right"/>
            </w:pPr>
            <w:r>
              <w:rPr>
                <w:color w:val="1C3A36"/>
                <w:sz w:val="17"/>
              </w:rPr>
              <w:t>4.35</w:t>
            </w:r>
          </w:p>
        </w:tc>
        <w:tc>
          <w:tcPr>
            <w:tcW w:type="dxa" w:w="979"/>
          </w:tcPr>
          <w:p>
            <w:pPr>
              <w:spacing w:after="20"/>
              <w:jc w:val="right"/>
            </w:pPr>
            <w:r>
              <w:rPr>
                <w:color w:val="1C3A36"/>
                <w:sz w:val="17"/>
              </w:rPr>
              <w:t>7.19</w:t>
            </w:r>
          </w:p>
        </w:tc>
        <w:tc>
          <w:tcPr>
            <w:tcW w:type="dxa" w:w="893"/>
          </w:tcPr>
          <w:p>
            <w:pPr>
              <w:spacing w:after="20"/>
              <w:jc w:val="right"/>
            </w:pPr>
            <w:r>
              <w:rPr>
                <w:color w:val="1C3A36"/>
                <w:sz w:val="17"/>
              </w:rPr>
              <w:t>10.02</w:t>
            </w:r>
          </w:p>
        </w:tc>
        <w:tc>
          <w:tcPr>
            <w:tcW w:type="dxa" w:w="4190"/>
          </w:tcPr>
          <w:p>
            <w:pPr>
              <w:spacing w:after="20"/>
              <w:jc w:val="left"/>
            </w:pPr>
            <w:r>
              <w:rPr>
                <w:color w:val="1C3A36"/>
                <w:sz w:val="17"/>
              </w:rPr>
              <w:t>the cost of equity — nothing else moves it</w:t>
            </w:r>
          </w:p>
        </w:tc>
      </w:tr>
      <w:tr>
        <w:tc>
          <w:tcPr>
            <w:tcW w:type="dxa" w:w="2232"/>
          </w:tcPr>
          <w:p>
            <w:pPr>
              <w:spacing w:after="20"/>
            </w:pPr>
            <w:r>
              <w:rPr>
                <w:b/>
                <w:color w:val="1C3A36"/>
                <w:sz w:val="17"/>
              </w:rPr>
              <w:t>Relative multiples</w:t>
            </w:r>
          </w:p>
        </w:tc>
        <w:tc>
          <w:tcPr>
            <w:tcW w:type="dxa" w:w="893"/>
          </w:tcPr>
          <w:p>
            <w:pPr>
              <w:spacing w:after="20"/>
              <w:jc w:val="right"/>
            </w:pPr>
            <w:r>
              <w:rPr>
                <w:color w:val="1C3A36"/>
                <w:sz w:val="17"/>
              </w:rPr>
              <w:t>20%</w:t>
            </w:r>
          </w:p>
        </w:tc>
        <w:tc>
          <w:tcPr>
            <w:tcW w:type="dxa" w:w="893"/>
          </w:tcPr>
          <w:p>
            <w:pPr>
              <w:spacing w:after="20"/>
              <w:jc w:val="right"/>
            </w:pPr>
            <w:r>
              <w:rPr>
                <w:color w:val="1C3A36"/>
                <w:sz w:val="17"/>
              </w:rPr>
              <w:t>9.68</w:t>
            </w:r>
          </w:p>
        </w:tc>
        <w:tc>
          <w:tcPr>
            <w:tcW w:type="dxa" w:w="979"/>
          </w:tcPr>
          <w:p>
            <w:pPr>
              <w:spacing w:after="20"/>
              <w:jc w:val="right"/>
            </w:pPr>
            <w:r>
              <w:rPr>
                <w:color w:val="1C3A36"/>
                <w:sz w:val="17"/>
              </w:rPr>
              <w:t>10.91</w:t>
            </w:r>
          </w:p>
        </w:tc>
        <w:tc>
          <w:tcPr>
            <w:tcW w:type="dxa" w:w="893"/>
          </w:tcPr>
          <w:p>
            <w:pPr>
              <w:spacing w:after="20"/>
              <w:jc w:val="right"/>
            </w:pPr>
            <w:r>
              <w:rPr>
                <w:color w:val="1C3A36"/>
                <w:sz w:val="17"/>
              </w:rPr>
              <w:t>12.15</w:t>
            </w:r>
          </w:p>
        </w:tc>
        <w:tc>
          <w:tcPr>
            <w:tcW w:type="dxa" w:w="4190"/>
          </w:tcPr>
          <w:p>
            <w:pPr>
              <w:spacing w:after="20"/>
              <w:jc w:val="left"/>
            </w:pPr>
            <w:r>
              <w:rPr>
                <w:color w:val="1C3A36"/>
                <w:sz w:val="17"/>
              </w:rPr>
              <w:t>peer multiples, which are themselves depressed by Egyptian country risk</w:t>
            </w:r>
          </w:p>
        </w:tc>
      </w:tr>
      <w:tr>
        <w:tc>
          <w:tcPr>
            <w:tcW w:type="dxa" w:w="2232"/>
          </w:tcPr>
          <w:p>
            <w:pPr>
              <w:spacing w:after="20"/>
            </w:pPr>
            <w:r>
              <w:rPr>
                <w:b/>
                <w:color w:val="1C3A36"/>
                <w:sz w:val="17"/>
              </w:rPr>
              <w:t>Normalised earnings</w:t>
            </w:r>
          </w:p>
        </w:tc>
        <w:tc>
          <w:tcPr>
            <w:tcW w:type="dxa" w:w="893"/>
          </w:tcPr>
          <w:p>
            <w:pPr>
              <w:spacing w:after="20"/>
              <w:jc w:val="right"/>
            </w:pPr>
            <w:r>
              <w:rPr>
                <w:color w:val="1C3A36"/>
                <w:sz w:val="17"/>
              </w:rPr>
              <w:t>15%</w:t>
            </w:r>
          </w:p>
        </w:tc>
        <w:tc>
          <w:tcPr>
            <w:tcW w:type="dxa" w:w="893"/>
          </w:tcPr>
          <w:p>
            <w:pPr>
              <w:spacing w:after="20"/>
              <w:jc w:val="right"/>
            </w:pPr>
            <w:r>
              <w:rPr>
                <w:color w:val="1C3A36"/>
                <w:sz w:val="17"/>
              </w:rPr>
              <w:t>11.69</w:t>
            </w:r>
          </w:p>
        </w:tc>
        <w:tc>
          <w:tcPr>
            <w:tcW w:type="dxa" w:w="979"/>
          </w:tcPr>
          <w:p>
            <w:pPr>
              <w:spacing w:after="20"/>
              <w:jc w:val="right"/>
            </w:pPr>
            <w:r>
              <w:rPr>
                <w:color w:val="1C3A36"/>
                <w:sz w:val="17"/>
              </w:rPr>
              <w:t>11.95</w:t>
            </w:r>
          </w:p>
        </w:tc>
        <w:tc>
          <w:tcPr>
            <w:tcW w:type="dxa" w:w="893"/>
          </w:tcPr>
          <w:p>
            <w:pPr>
              <w:spacing w:after="20"/>
              <w:jc w:val="right"/>
            </w:pPr>
            <w:r>
              <w:rPr>
                <w:color w:val="1C3A36"/>
                <w:sz w:val="17"/>
              </w:rPr>
              <w:t>12.21</w:t>
            </w:r>
          </w:p>
        </w:tc>
        <w:tc>
          <w:tcPr>
            <w:tcW w:type="dxa" w:w="4190"/>
          </w:tcPr>
          <w:p>
            <w:pPr>
              <w:spacing w:after="20"/>
              <w:jc w:val="left"/>
            </w:pPr>
            <w:r>
              <w:rPr>
                <w:color w:val="1C3A36"/>
                <w:sz w:val="17"/>
              </w:rPr>
              <w:t>the margin taken as mid-cycle and the interest charge</w:t>
            </w:r>
          </w:p>
        </w:tc>
      </w:tr>
      <w:tr>
        <w:tc>
          <w:tcPr>
            <w:tcW w:type="dxa" w:w="2232"/>
            <w:shd w:val="clear" w:color="auto" w:fill="F6F1E6"/>
          </w:tcPr>
          <w:p>
            <w:pPr>
              <w:spacing w:after="20"/>
            </w:pPr>
            <w:r>
              <w:rPr>
                <w:b/>
                <w:color w:val="1C3A36"/>
                <w:sz w:val="17"/>
              </w:rPr>
              <w:t>Weighted field, framing A</w:t>
            </w:r>
          </w:p>
        </w:tc>
        <w:tc>
          <w:tcPr>
            <w:tcW w:type="dxa" w:w="893"/>
            <w:shd w:val="clear" w:color="auto" w:fill="F6F1E6"/>
          </w:tcPr>
          <w:p>
            <w:pPr>
              <w:spacing w:after="20"/>
              <w:jc w:val="right"/>
            </w:pPr>
            <w:r>
              <w:rPr>
                <w:b/>
                <w:color w:val="1C3A36"/>
                <w:sz w:val="17"/>
              </w:rPr>
              <w:t>100%</w:t>
            </w:r>
          </w:p>
        </w:tc>
        <w:tc>
          <w:tcPr>
            <w:tcW w:type="dxa" w:w="893"/>
            <w:shd w:val="clear" w:color="auto" w:fill="F6F1E6"/>
          </w:tcPr>
          <w:p>
            <w:pPr>
              <w:spacing w:after="20"/>
              <w:jc w:val="right"/>
            </w:pPr>
            <w:r>
              <w:rPr>
                <w:b/>
                <w:color w:val="1C3A36"/>
                <w:sz w:val="17"/>
              </w:rPr>
              <w:t>9.81</w:t>
            </w:r>
          </w:p>
        </w:tc>
        <w:tc>
          <w:tcPr>
            <w:tcW w:type="dxa" w:w="979"/>
            <w:shd w:val="clear" w:color="auto" w:fill="F6F1E6"/>
          </w:tcPr>
          <w:p>
            <w:pPr>
              <w:spacing w:after="20"/>
              <w:jc w:val="right"/>
            </w:pPr>
            <w:r>
              <w:rPr>
                <w:b/>
                <w:color w:val="1C3A36"/>
                <w:sz w:val="17"/>
              </w:rPr>
              <w:t>15.82</w:t>
            </w:r>
          </w:p>
        </w:tc>
        <w:tc>
          <w:tcPr>
            <w:tcW w:type="dxa" w:w="893"/>
            <w:shd w:val="clear" w:color="auto" w:fill="F6F1E6"/>
          </w:tcPr>
          <w:p>
            <w:pPr>
              <w:spacing w:after="20"/>
              <w:jc w:val="right"/>
            </w:pPr>
            <w:r>
              <w:rPr>
                <w:b/>
                <w:color w:val="1C3A36"/>
                <w:sz w:val="17"/>
              </w:rPr>
              <w:t>21.82</w:t>
            </w:r>
          </w:p>
        </w:tc>
        <w:tc>
          <w:tcPr>
            <w:tcW w:type="dxa" w:w="4190"/>
            <w:shd w:val="clear" w:color="auto" w:fill="F6F1E6"/>
          </w:tcPr>
          <w:p>
            <w:pPr>
              <w:spacing w:after="20"/>
              <w:jc w:val="left"/>
            </w:pPr>
            <w:r>
              <w:rPr>
                <w:b/>
                <w:color w:val="1C3A36"/>
                <w:sz w:val="17"/>
              </w:rPr>
            </w:r>
          </w:p>
        </w:tc>
      </w:tr>
      <w:tr>
        <w:tc>
          <w:tcPr>
            <w:tcW w:type="dxa" w:w="2232"/>
            <w:shd w:val="clear" w:color="auto" w:fill="F6F1E6"/>
          </w:tcPr>
          <w:p>
            <w:pPr>
              <w:spacing w:after="20"/>
            </w:pPr>
            <w:r>
              <w:rPr>
                <w:b/>
                <w:color w:val="1C3A36"/>
                <w:sz w:val="17"/>
              </w:rPr>
              <w:t>Weighted field, framing B</w:t>
            </w:r>
          </w:p>
        </w:tc>
        <w:tc>
          <w:tcPr>
            <w:tcW w:type="dxa" w:w="893"/>
            <w:shd w:val="clear" w:color="auto" w:fill="F6F1E6"/>
          </w:tcPr>
          <w:p>
            <w:pPr>
              <w:spacing w:after="20"/>
              <w:jc w:val="right"/>
            </w:pPr>
            <w:r>
              <w:rPr>
                <w:b/>
                <w:color w:val="1C3A36"/>
                <w:sz w:val="17"/>
              </w:rPr>
              <w:t>100%</w:t>
            </w:r>
          </w:p>
        </w:tc>
        <w:tc>
          <w:tcPr>
            <w:tcW w:type="dxa" w:w="893"/>
            <w:shd w:val="clear" w:color="auto" w:fill="F6F1E6"/>
          </w:tcPr>
          <w:p>
            <w:pPr>
              <w:spacing w:after="20"/>
              <w:jc w:val="right"/>
            </w:pPr>
            <w:r>
              <w:rPr>
                <w:b/>
                <w:color w:val="1C3A36"/>
                <w:sz w:val="17"/>
              </w:rPr>
              <w:t>2.39</w:t>
            </w:r>
          </w:p>
        </w:tc>
        <w:tc>
          <w:tcPr>
            <w:tcW w:type="dxa" w:w="979"/>
            <w:shd w:val="clear" w:color="auto" w:fill="F6F1E6"/>
          </w:tcPr>
          <w:p>
            <w:pPr>
              <w:spacing w:after="20"/>
              <w:jc w:val="right"/>
            </w:pPr>
            <w:r>
              <w:rPr>
                <w:b/>
                <w:color w:val="1C3A36"/>
                <w:sz w:val="17"/>
              </w:rPr>
              <w:t>5.79</w:t>
            </w:r>
          </w:p>
        </w:tc>
        <w:tc>
          <w:tcPr>
            <w:tcW w:type="dxa" w:w="893"/>
            <w:shd w:val="clear" w:color="auto" w:fill="F6F1E6"/>
          </w:tcPr>
          <w:p>
            <w:pPr>
              <w:spacing w:after="20"/>
              <w:jc w:val="right"/>
            </w:pPr>
            <w:r>
              <w:rPr>
                <w:b/>
                <w:color w:val="1C3A36"/>
                <w:sz w:val="17"/>
              </w:rPr>
              <w:t>9.19</w:t>
            </w:r>
          </w:p>
        </w:tc>
        <w:tc>
          <w:tcPr>
            <w:tcW w:type="dxa" w:w="4190"/>
            <w:shd w:val="clear" w:color="auto" w:fill="F6F1E6"/>
          </w:tcPr>
          <w:p>
            <w:pPr>
              <w:spacing w:after="20"/>
              <w:jc w:val="left"/>
            </w:pPr>
            <w:r>
              <w:rPr>
                <w:b/>
                <w:color w:val="1C3A36"/>
                <w:sz w:val="17"/>
              </w:rPr>
            </w:r>
          </w:p>
        </w:tc>
      </w:tr>
    </w:tbl>
    <w:p>
      <w:pPr>
        <w:spacing w:after="40"/>
      </w:pPr>
    </w:p>
    <w:p>
      <w:pPr>
        <w:spacing w:after="200" w:before="0"/>
      </w:pPr>
      <w:r>
        <w:rPr>
          <w:b w:val="0"/>
          <w:i/>
          <w:color w:val="6E7B77"/>
          <w:sz w:val="17"/>
        </w:rPr>
        <w:t>Table 8. The four lenses and their weights. The cash-flow lens carries the largest weight because it is the only one built from the company's own physical drivers; it is also the only one that moves between the framings.</w:t>
      </w:r>
    </w:p>
    <w:p>
      <w:pPr>
        <w:spacing w:after="80" w:before="200"/>
      </w:pPr>
      <w:r>
        <w:rPr>
          <w:b/>
          <w:i w:val="0"/>
          <w:color w:val="1C3A36"/>
          <w:sz w:val="24"/>
        </w:rPr>
        <w:t>1.6  Drivers — every disclosed line on its own driver</w:t>
      </w:r>
    </w:p>
    <w:p>
      <w:pPr>
        <w:spacing w:after="120" w:before="0"/>
      </w:pPr>
      <w:r>
        <w:rPr>
          <w:b w:val="0"/>
          <w:i w:val="0"/>
          <w:color w:val="1C3A36"/>
          <w:sz w:val="19"/>
        </w:rPr>
        <w:t>Revenue is volume times price and cost is cost per unit of volume, with growth projected in both. The volume driver is construction executed, which the company discloses. The price driver is revenue recognised per Egyptian pound of construction cost charged to the income statement. Margin is what falls out of the two; it is never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1656"/>
        <w:gridCol w:w="6264"/>
      </w:tblGrid>
      <w:tr>
        <w:tc>
          <w:tcPr>
            <w:tcW w:type="dxa" w:w="2232"/>
            <w:shd w:val="clear" w:color="auto" w:fill="EAF0EE"/>
          </w:tcPr>
          <w:p>
            <w:pPr>
              <w:spacing w:after="20"/>
            </w:pPr>
            <w:r>
              <w:rPr>
                <w:b/>
                <w:color w:val="1C3A36"/>
                <w:sz w:val="16"/>
              </w:rPr>
              <w:t>Driver</w:t>
            </w:r>
          </w:p>
        </w:tc>
        <w:tc>
          <w:tcPr>
            <w:tcW w:type="dxa" w:w="1656"/>
            <w:shd w:val="clear" w:color="auto" w:fill="EAF0EE"/>
          </w:tcPr>
          <w:p>
            <w:pPr>
              <w:spacing w:after="20"/>
            </w:pPr>
            <w:r>
              <w:rPr>
                <w:b/>
                <w:color w:val="1C3A36"/>
                <w:sz w:val="16"/>
              </w:rPr>
              <w:t>Measured value</w:t>
            </w:r>
          </w:p>
        </w:tc>
        <w:tc>
          <w:tcPr>
            <w:tcW w:type="dxa" w:w="6264"/>
            <w:shd w:val="clear" w:color="auto" w:fill="EAF0EE"/>
          </w:tcPr>
          <w:p>
            <w:pPr>
              <w:spacing w:after="20"/>
              <w:jc w:val="left"/>
            </w:pPr>
            <w:r>
              <w:rPr>
                <w:b/>
                <w:color w:val="1C3A36"/>
                <w:sz w:val="16"/>
              </w:rPr>
              <w:t>How it is measured, and what escalates it</w:t>
            </w:r>
          </w:p>
        </w:tc>
      </w:tr>
      <w:tr>
        <w:tc>
          <w:tcPr>
            <w:tcW w:type="dxa" w:w="2232"/>
          </w:tcPr>
          <w:p>
            <w:pPr>
              <w:spacing w:after="20"/>
            </w:pPr>
            <w:r>
              <w:rPr>
                <w:b/>
                <w:color w:val="1C3A36"/>
                <w:sz w:val="16"/>
              </w:rPr>
              <w:t>Construction executed</w:t>
            </w:r>
          </w:p>
        </w:tc>
        <w:tc>
          <w:tcPr>
            <w:tcW w:type="dxa" w:w="1656"/>
          </w:tcPr>
          <w:p>
            <w:pPr>
              <w:spacing w:after="20"/>
              <w:jc w:val="right"/>
            </w:pPr>
            <w:r>
              <w:rPr>
                <w:color w:val="1C3A36"/>
                <w:sz w:val="16"/>
              </w:rPr>
              <w:t>EGP 11,971mn in the half</w:t>
            </w:r>
          </w:p>
        </w:tc>
        <w:tc>
          <w:tcPr>
            <w:tcW w:type="dxa" w:w="6264"/>
          </w:tcPr>
          <w:p>
            <w:pPr>
              <w:spacing w:after="20"/>
              <w:jc w:val="left"/>
            </w:pPr>
            <w:r>
              <w:rPr>
                <w:color w:val="1C3A36"/>
                <w:sz w:val="16"/>
              </w:rPr>
              <w:t>Disclosed. Annualises to EGP 23,943mn against EGP 18,015mn for 2025, up +32.9%. Cash construction spending rose 60 per cent year on year in the first quarter and 71 per cent over the first nine months of 2025, which is the independent check on the same driver. The path then decelerates: 12% real growth in 2027 falling to 3% by 2031.</w:t>
            </w:r>
          </w:p>
        </w:tc>
      </w:tr>
      <w:tr>
        <w:tc>
          <w:tcPr>
            <w:tcW w:type="dxa" w:w="2232"/>
          </w:tcPr>
          <w:p>
            <w:pPr>
              <w:spacing w:after="20"/>
            </w:pPr>
            <w:r>
              <w:rPr>
                <w:b/>
                <w:color w:val="1C3A36"/>
                <w:sz w:val="16"/>
              </w:rPr>
              <w:t>Revenue per pound of build cost — THE CRUX</w:t>
            </w:r>
          </w:p>
        </w:tc>
        <w:tc>
          <w:tcPr>
            <w:tcW w:type="dxa" w:w="1656"/>
          </w:tcPr>
          <w:p>
            <w:pPr>
              <w:spacing w:after="20"/>
              <w:jc w:val="right"/>
            </w:pPr>
            <w:r>
              <w:rPr>
                <w:color w:val="1C3A36"/>
                <w:sz w:val="16"/>
              </w:rPr>
              <w:t>3.12x</w:t>
            </w:r>
          </w:p>
        </w:tc>
        <w:tc>
          <w:tcPr>
            <w:tcW w:type="dxa" w:w="6264"/>
          </w:tcPr>
          <w:p>
            <w:pPr>
              <w:spacing w:after="20"/>
              <w:jc w:val="left"/>
            </w:pPr>
            <w:r>
              <w:rPr>
                <w:color w:val="1C3A36"/>
                <w:sz w:val="16"/>
              </w:rPr>
              <w:t>EGP 17,547mn of real-estate revenue against EGP 5,626mn of construction cost charged to the income statement in the half. Escalates at the selling-price path over the build-cost path, so it falls only if costs outrun prices.</w:t>
            </w:r>
          </w:p>
        </w:tc>
      </w:tr>
      <w:tr>
        <w:tc>
          <w:tcPr>
            <w:tcW w:type="dxa" w:w="2232"/>
          </w:tcPr>
          <w:p>
            <w:pPr>
              <w:spacing w:after="20"/>
            </w:pPr>
            <w:r>
              <w:rPr>
                <w:b/>
                <w:color w:val="1C3A36"/>
                <w:sz w:val="16"/>
              </w:rPr>
              <w:t>Land and partners' share of revenue</w:t>
            </w:r>
          </w:p>
        </w:tc>
        <w:tc>
          <w:tcPr>
            <w:tcW w:type="dxa" w:w="1656"/>
          </w:tcPr>
          <w:p>
            <w:pPr>
              <w:spacing w:after="20"/>
              <w:jc w:val="right"/>
            </w:pPr>
            <w:r>
              <w:rPr>
                <w:color w:val="1C3A36"/>
                <w:sz w:val="16"/>
              </w:rPr>
              <w:t>37.1%</w:t>
            </w:r>
          </w:p>
        </w:tc>
        <w:tc>
          <w:tcPr>
            <w:tcW w:type="dxa" w:w="6264"/>
          </w:tcPr>
          <w:p>
            <w:pPr>
              <w:spacing w:after="20"/>
              <w:jc w:val="left"/>
            </w:pPr>
            <w:r>
              <w:rPr>
                <w:color w:val="1C3A36"/>
                <w:sz w:val="16"/>
              </w:rPr>
              <w:t>The residual of the disclosed cost of real-estate development after the construction block. It cannot be split into its two parts from anything the company publishes — see below — so it is carried at its measured rate and moves with revenue, not with cost inflation.</w:t>
            </w:r>
          </w:p>
        </w:tc>
      </w:tr>
      <w:tr>
        <w:tc>
          <w:tcPr>
            <w:tcW w:type="dxa" w:w="2232"/>
          </w:tcPr>
          <w:p>
            <w:pPr>
              <w:spacing w:after="20"/>
            </w:pPr>
            <w:r>
              <w:rPr>
                <w:b/>
                <w:color w:val="1C3A36"/>
                <w:sz w:val="16"/>
              </w:rPr>
              <w:t>Selling price</w:t>
            </w:r>
          </w:p>
        </w:tc>
        <w:tc>
          <w:tcPr>
            <w:tcW w:type="dxa" w:w="1656"/>
          </w:tcPr>
          <w:p>
            <w:pPr>
              <w:spacing w:after="20"/>
              <w:jc w:val="right"/>
            </w:pPr>
            <w:r>
              <w:rPr>
                <w:color w:val="1C3A36"/>
                <w:sz w:val="16"/>
              </w:rPr>
              <w:t>9% a year in 2027</w:t>
            </w:r>
          </w:p>
        </w:tc>
        <w:tc>
          <w:tcPr>
            <w:tcW w:type="dxa" w:w="6264"/>
          </w:tcPr>
          <w:p>
            <w:pPr>
              <w:spacing w:after="20"/>
              <w:jc w:val="left"/>
            </w:pPr>
            <w:r>
              <w:rPr>
                <w:color w:val="1C3A36"/>
                <w:sz w:val="16"/>
              </w:rPr>
              <w:t>Anchored on a measured market outcome, not an assumption: the ten largest Egyptian developers sold 2.9% more by value in the first half of 2026 on 5% fewer units, an implied average-ticket rise of 8.3%. Later years converge on the central bank's disinflation path.</w:t>
            </w:r>
          </w:p>
        </w:tc>
      </w:tr>
      <w:tr>
        <w:tc>
          <w:tcPr>
            <w:tcW w:type="dxa" w:w="2232"/>
          </w:tcPr>
          <w:p>
            <w:pPr>
              <w:spacing w:after="20"/>
            </w:pPr>
            <w:r>
              <w:rPr>
                <w:b/>
                <w:color w:val="1C3A36"/>
                <w:sz w:val="16"/>
              </w:rPr>
              <w:t>Build cost</w:t>
            </w:r>
          </w:p>
        </w:tc>
        <w:tc>
          <w:tcPr>
            <w:tcW w:type="dxa" w:w="1656"/>
          </w:tcPr>
          <w:p>
            <w:pPr>
              <w:spacing w:after="20"/>
              <w:jc w:val="right"/>
            </w:pPr>
            <w:r>
              <w:rPr>
                <w:color w:val="1C3A36"/>
                <w:sz w:val="16"/>
              </w:rPr>
              <w:t>10.2% a year in 2027</w:t>
            </w:r>
          </w:p>
        </w:tc>
        <w:tc>
          <w:tcPr>
            <w:tcW w:type="dxa" w:w="6264"/>
          </w:tcPr>
          <w:p>
            <w:pPr>
              <w:spacing w:after="20"/>
              <w:jc w:val="left"/>
            </w:pPr>
            <w:r>
              <w:rPr>
                <w:color w:val="1C3A36"/>
                <w:sz w:val="16"/>
              </w:rPr>
              <w:t>Four physically distinct classes, one escalator each, never one blended index. Steel at 6% in 2027 on the measured August producer prices, cement at 9% on the disclosed Egyptian price path, finishing at 11.5% on the published inflation path, site labour at 13.5%.</w:t>
            </w:r>
          </w:p>
        </w:tc>
      </w:tr>
      <w:tr>
        <w:tc>
          <w:tcPr>
            <w:tcW w:type="dxa" w:w="2232"/>
          </w:tcPr>
          <w:p>
            <w:pPr>
              <w:spacing w:after="20"/>
            </w:pPr>
            <w:r>
              <w:rPr>
                <w:b/>
                <w:color w:val="1C3A36"/>
                <w:sz w:val="16"/>
              </w:rPr>
              <w:t>Salaries and wages</w:t>
            </w:r>
          </w:p>
        </w:tc>
        <w:tc>
          <w:tcPr>
            <w:tcW w:type="dxa" w:w="1656"/>
          </w:tcPr>
          <w:p>
            <w:pPr>
              <w:spacing w:after="20"/>
              <w:jc w:val="right"/>
            </w:pPr>
            <w:r>
              <w:rPr>
                <w:color w:val="1C3A36"/>
                <w:sz w:val="16"/>
              </w:rPr>
              <w:t>EGP 678mn in the half</w:t>
            </w:r>
          </w:p>
        </w:tc>
        <w:tc>
          <w:tcPr>
            <w:tcW w:type="dxa" w:w="6264"/>
          </w:tcPr>
          <w:p>
            <w:pPr>
              <w:spacing w:after="20"/>
              <w:jc w:val="left"/>
            </w:pPr>
            <w:r>
              <w:rPr>
                <w:color w:val="1C3A36"/>
                <w:sz w:val="16"/>
              </w:rPr>
              <w:t>Disclosed separately from other administrative cost. Rose +40.8% year on year against revenue growth of +25.3%. Escalates on the wage path plus 2% of real headcount growth.</w:t>
            </w:r>
          </w:p>
        </w:tc>
      </w:tr>
      <w:tr>
        <w:tc>
          <w:tcPr>
            <w:tcW w:type="dxa" w:w="2232"/>
          </w:tcPr>
          <w:p>
            <w:pPr>
              <w:spacing w:after="20"/>
            </w:pPr>
            <w:r>
              <w:rPr>
                <w:b/>
                <w:color w:val="1C3A36"/>
                <w:sz w:val="16"/>
              </w:rPr>
              <w:t>Administration and marketing</w:t>
            </w:r>
          </w:p>
        </w:tc>
        <w:tc>
          <w:tcPr>
            <w:tcW w:type="dxa" w:w="1656"/>
          </w:tcPr>
          <w:p>
            <w:pPr>
              <w:spacing w:after="20"/>
              <w:jc w:val="right"/>
            </w:pPr>
            <w:r>
              <w:rPr>
                <w:color w:val="1C3A36"/>
                <w:sz w:val="16"/>
              </w:rPr>
              <w:t>11.1%</w:t>
            </w:r>
          </w:p>
        </w:tc>
        <w:tc>
          <w:tcPr>
            <w:tcW w:type="dxa" w:w="6264"/>
          </w:tcPr>
          <w:p>
            <w:pPr>
              <w:spacing w:after="20"/>
              <w:jc w:val="left"/>
            </w:pPr>
            <w:r>
              <w:rPr>
                <w:color w:val="1C3A36"/>
                <w:sz w:val="16"/>
              </w:rPr>
              <w:t>Held at its measured share of revenue, which is stable: 11.10% in the first half of 2026 against 11.07% a year earlier.</w:t>
            </w:r>
          </w:p>
        </w:tc>
      </w:tr>
      <w:tr>
        <w:tc>
          <w:tcPr>
            <w:tcW w:type="dxa" w:w="2232"/>
          </w:tcPr>
          <w:p>
            <w:pPr>
              <w:spacing w:after="20"/>
            </w:pPr>
            <w:r>
              <w:rPr>
                <w:b/>
                <w:color w:val="1C3A36"/>
                <w:sz w:val="16"/>
              </w:rPr>
              <w:t>Residents' Association float</w:t>
            </w:r>
          </w:p>
        </w:tc>
        <w:tc>
          <w:tcPr>
            <w:tcW w:type="dxa" w:w="1656"/>
          </w:tcPr>
          <w:p>
            <w:pPr>
              <w:spacing w:after="20"/>
              <w:jc w:val="right"/>
            </w:pPr>
            <w:r>
              <w:rPr>
                <w:color w:val="1C3A36"/>
                <w:sz w:val="16"/>
              </w:rPr>
              <w:t>1.00x revenue</w:t>
            </w:r>
          </w:p>
        </w:tc>
        <w:tc>
          <w:tcPr>
            <w:tcW w:type="dxa" w:w="6264"/>
          </w:tcPr>
          <w:p>
            <w:pPr>
              <w:spacing w:after="20"/>
              <w:jc w:val="left"/>
            </w:pPr>
            <w:r>
              <w:rPr>
                <w:color w:val="1C3A36"/>
                <w:sz w:val="16"/>
              </w:rPr>
              <w:t>Solved from the company's own movements rather than assumed. For every pound of revenue growth the balance rose by 0.98x in 2023, 1.04x in 2024 and 1.32x in the first half of 2026 on a like-for-like basis. The study lets the balance glide from its measured 0.88x of revenue today to 1.00x and stop there — near the bottom of that range, and bounded, rather than rising without limit.</w:t>
            </w:r>
          </w:p>
        </w:tc>
      </w:tr>
    </w:tbl>
    <w:p>
      <w:pPr>
        <w:spacing w:after="40"/>
      </w:pPr>
    </w:p>
    <w:p>
      <w:pPr>
        <w:spacing w:after="200" w:before="0"/>
      </w:pPr>
      <w:r>
        <w:rPr>
          <w:b w:val="0"/>
          <w:i/>
          <w:color w:val="6E7B77"/>
          <w:sz w:val="17"/>
        </w:rPr>
        <w:t>Table 9. The driver table. Every measured value is read from a company-issued document; every escalator names its own physical class.</w:t>
      </w:r>
    </w:p>
    <w:p>
      <w:pPr>
        <w:spacing w:after="40"/>
        <w:jc w:val="center"/>
      </w:pPr>
      <w:r>
        <w:drawing>
          <wp:inline xmlns:a="http://schemas.openxmlformats.org/drawingml/2006/main" xmlns:pic="http://schemas.openxmlformats.org/drawingml/2006/picture">
            <wp:extent cx="6035040" cy="3440617"/>
            <wp:docPr id="2" name="Picture 2"/>
            <wp:cNvGraphicFramePr>
              <a:graphicFrameLocks noChangeAspect="1"/>
            </wp:cNvGraphicFramePr>
            <a:graphic>
              <a:graphicData uri="http://schemas.openxmlformats.org/drawingml/2006/picture">
                <pic:pic>
                  <pic:nvPicPr>
                    <pic:cNvPr id="0" name="fig7_mix.png"/>
                    <pic:cNvPicPr/>
                  </pic:nvPicPr>
                  <pic:blipFill>
                    <a:blip r:embed="rId10"/>
                    <a:stretch>
                      <a:fillRect/>
                    </a:stretch>
                  </pic:blipFill>
                  <pic:spPr>
                    <a:xfrm>
                      <a:off x="0" y="0"/>
                      <a:ext cx="6035040" cy="3440617"/>
                    </a:xfrm>
                    <a:prstGeom prst="rect"/>
                  </pic:spPr>
                </pic:pic>
              </a:graphicData>
            </a:graphic>
          </wp:inline>
        </w:drawing>
      </w:r>
    </w:p>
    <w:p>
      <w:pPr>
        <w:spacing w:after="200" w:before="0"/>
      </w:pPr>
      <w:r>
        <w:rPr>
          <w:b w:val="0"/>
          <w:i/>
          <w:color w:val="6E7B77"/>
          <w:sz w:val="17"/>
        </w:rPr>
        <w:t>Figure 2. Left: the weight of each physically distinct construction cost class. These weights are estimated — no filing discloses a cost-by-nature split of construction — and they are carried through the sensitivity. Right: each class on its own escalator, against the selling-price path and the weighted build-cost path. Build cost runs above selling price in every year, which is why the margin drifts down slowly rather than holding flat.</w:t>
      </w:r>
    </w:p>
    <w:p>
      <w:pPr>
        <w:spacing w:after="120" w:before="0"/>
      </w:pPr>
      <w:r>
        <w:rPr>
          <w:b w:val="0"/>
          <w:i w:val="0"/>
          <w:color w:val="1C3A36"/>
          <w:sz w:val="19"/>
        </w:rPr>
        <w:t>A split the accounts do not identify, demonstrated rather than asserted. The cost of real estate development is one line. Note 43 pins the construction half of it at EGP 5,626mn for the half by giving the cumulative charge to the income statement at two dates. The remaining EGP 6,507mn is the land cost of contracted units plus the joint-arrangement partners' share of revenue, together. Nothing the company publishes separates them: note 43 states that work in progress is struck after excluding the cost of contracted lands, note 65 stops at the single line, and note 58 gives the partners' balance by project but not the charge. One equation, two unknowns. The study therefore carries the block whole and states the bound it can put on the year-on-year margin move instead of inventing a split.</w:t>
      </w:r>
    </w:p>
    <w:p>
      <w:pPr>
        <w:spacing w:after="80" w:before="200"/>
      </w:pPr>
      <w:r>
        <w:rPr>
          <w:b/>
          <w:i w:val="0"/>
          <w:color w:val="1C3A36"/>
          <w:sz w:val="24"/>
        </w:rPr>
        <w:t>1.7  The crux</w:t>
      </w:r>
    </w:p>
    <w:p>
      <w:pPr>
        <w:spacing w:after="120" w:before="0"/>
      </w:pPr>
      <w:r>
        <w:rPr>
          <w:b w:val="0"/>
          <w:i w:val="0"/>
          <w:color w:val="1C3A36"/>
          <w:sz w:val="21"/>
        </w:rPr>
        <w:t>The real-estate gross margin fell 7.59 points year on year, from 38.4% to 30.9%. Exactly two things can have done it: the price of the work fell against its cost, or the land-and-partners block grew. Both bounds can be computed and the truth is between them.</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2664"/>
        <w:gridCol w:w="5328"/>
      </w:tblGrid>
      <w:tr>
        <w:tc>
          <w:tcPr>
            <w:tcW w:type="dxa" w:w="2160"/>
            <w:shd w:val="clear" w:color="auto" w:fill="EAF0EE"/>
          </w:tcPr>
          <w:p>
            <w:pPr>
              <w:spacing w:after="20"/>
            </w:pPr>
            <w:r>
              <w:rPr>
                <w:b/>
                <w:color w:val="1C3A36"/>
                <w:sz w:val="17"/>
              </w:rPr>
              <w:t>If all of the move is …</w:t>
            </w:r>
          </w:p>
        </w:tc>
        <w:tc>
          <w:tcPr>
            <w:tcW w:type="dxa" w:w="2664"/>
            <w:shd w:val="clear" w:color="auto" w:fill="EAF0EE"/>
          </w:tcPr>
          <w:p>
            <w:pPr>
              <w:spacing w:after="20"/>
              <w:jc w:val="left"/>
            </w:pPr>
            <w:r>
              <w:rPr>
                <w:b/>
                <w:color w:val="1C3A36"/>
                <w:sz w:val="17"/>
              </w:rPr>
              <w:t>Then the driver went</w:t>
            </w:r>
          </w:p>
        </w:tc>
        <w:tc>
          <w:tcPr>
            <w:tcW w:type="dxa" w:w="5328"/>
            <w:shd w:val="clear" w:color="auto" w:fill="EAF0EE"/>
          </w:tcPr>
          <w:p>
            <w:pPr>
              <w:spacing w:after="20"/>
              <w:jc w:val="left"/>
            </w:pPr>
            <w:r>
              <w:rPr>
                <w:b/>
                <w:color w:val="1C3A36"/>
                <w:sz w:val="17"/>
              </w:rPr>
              <w:t>Read</w:t>
            </w:r>
          </w:p>
        </w:tc>
      </w:tr>
      <w:tr>
        <w:tc>
          <w:tcPr>
            <w:tcW w:type="dxa" w:w="2160"/>
          </w:tcPr>
          <w:p>
            <w:pPr>
              <w:spacing w:after="20"/>
            </w:pPr>
            <w:r>
              <w:rPr>
                <w:b/>
                <w:color w:val="1C3A36"/>
                <w:sz w:val="17"/>
              </w:rPr>
              <w:t>… price against cost</w:t>
            </w:r>
          </w:p>
        </w:tc>
        <w:tc>
          <w:tcPr>
            <w:tcW w:type="dxa" w:w="2664"/>
          </w:tcPr>
          <w:p>
            <w:pPr>
              <w:spacing w:after="20"/>
              <w:jc w:val="left"/>
            </w:pPr>
            <w:r>
              <w:rPr>
                <w:color w:val="1C3A36"/>
                <w:sz w:val="17"/>
              </w:rPr>
              <w:t>from 4.09x to 3.12x, a fall of 23.7%</w:t>
            </w:r>
          </w:p>
        </w:tc>
        <w:tc>
          <w:tcPr>
            <w:tcW w:type="dxa" w:w="5328"/>
          </w:tcPr>
          <w:p>
            <w:pPr>
              <w:spacing w:after="20"/>
              <w:jc w:val="left"/>
            </w:pPr>
            <w:r>
              <w:rPr>
                <w:color w:val="1C3A36"/>
                <w:sz w:val="17"/>
              </w:rPr>
              <w:t>Selling prices lost almost a quarter of their cover over build cost in a year. If that is structural the model is too generous; if it is the mix of projects delivering, it reverses.</w:t>
            </w:r>
          </w:p>
        </w:tc>
      </w:tr>
      <w:tr>
        <w:tc>
          <w:tcPr>
            <w:tcW w:type="dxa" w:w="2160"/>
          </w:tcPr>
          <w:p>
            <w:pPr>
              <w:spacing w:after="20"/>
            </w:pPr>
            <w:r>
              <w:rPr>
                <w:b/>
                <w:color w:val="1C3A36"/>
                <w:sz w:val="17"/>
              </w:rPr>
              <w:t>… land and partners</w:t>
            </w:r>
          </w:p>
        </w:tc>
        <w:tc>
          <w:tcPr>
            <w:tcW w:type="dxa" w:w="2664"/>
          </w:tcPr>
          <w:p>
            <w:pPr>
              <w:spacing w:after="20"/>
              <w:jc w:val="left"/>
            </w:pPr>
            <w:r>
              <w:rPr>
                <w:color w:val="1C3A36"/>
                <w:sz w:val="17"/>
              </w:rPr>
              <w:t>from 29.5% to 37.1% of revenue</w:t>
            </w:r>
          </w:p>
        </w:tc>
        <w:tc>
          <w:tcPr>
            <w:tcW w:type="dxa" w:w="5328"/>
          </w:tcPr>
          <w:p>
            <w:pPr>
              <w:spacing w:after="20"/>
              <w:jc w:val="left"/>
            </w:pPr>
            <w:r>
              <w:rPr>
                <w:color w:val="1C3A36"/>
                <w:sz w:val="17"/>
              </w:rPr>
              <w:t>A higher share of revenue came from revenue-sharing projects, where the partner takes 26 to 30 per cent off the top. That is mix, and mix is knowable in advance from the project list.</w:t>
            </w:r>
          </w:p>
        </w:tc>
      </w:tr>
    </w:tbl>
    <w:p>
      <w:pPr>
        <w:spacing w:after="40"/>
      </w:pPr>
    </w:p>
    <w:p>
      <w:pPr>
        <w:spacing w:after="200" w:before="0"/>
      </w:pPr>
      <w:r>
        <w:rPr>
          <w:b w:val="0"/>
          <w:i/>
          <w:color w:val="6E7B77"/>
          <w:sz w:val="17"/>
        </w:rPr>
        <w:t>Table 10. The bound on the margin move. The study does not pick a point inside it; it holds the measured rates flat and sensitises the price-to-cost ratio directly.</w:t>
      </w:r>
    </w:p>
    <w:p>
      <w:pPr>
        <w:spacing w:after="40"/>
        <w:jc w:val="center"/>
      </w:pPr>
      <w:r>
        <w:drawing>
          <wp:inline xmlns:a="http://schemas.openxmlformats.org/drawingml/2006/main" xmlns:pic="http://schemas.openxmlformats.org/drawingml/2006/picture">
            <wp:extent cx="5852160" cy="3037197"/>
            <wp:docPr id="3" name="Picture 3"/>
            <wp:cNvGraphicFramePr>
              <a:graphicFrameLocks noChangeAspect="1"/>
            </wp:cNvGraphicFramePr>
            <a:graphic>
              <a:graphicData uri="http://schemas.openxmlformats.org/drawingml/2006/picture">
                <pic:pic>
                  <pic:nvPicPr>
                    <pic:cNvPr id="0" name="fig3_margin.png"/>
                    <pic:cNvPicPr/>
                  </pic:nvPicPr>
                  <pic:blipFill>
                    <a:blip r:embed="rId11"/>
                    <a:stretch>
                      <a:fillRect/>
                    </a:stretch>
                  </pic:blipFill>
                  <pic:spPr>
                    <a:xfrm>
                      <a:off x="0" y="0"/>
                      <a:ext cx="5852160" cy="3037197"/>
                    </a:xfrm>
                    <a:prstGeom prst="rect"/>
                  </pic:spPr>
                </pic:pic>
              </a:graphicData>
            </a:graphic>
          </wp:inline>
        </w:drawing>
      </w:r>
    </w:p>
    <w:p>
      <w:pPr>
        <w:spacing w:after="200" w:before="0"/>
      </w:pPr>
      <w:r>
        <w:rPr>
          <w:b w:val="0"/>
          <w:i/>
          <w:color w:val="6E7B77"/>
          <w:sz w:val="17"/>
        </w:rPr>
        <w:t>Figure 3. Operating margin on the company's own definition, on every period that can be built from what it has issued. Three provenances, and they are not the same thing: 9M2025 and Q1-2026 are published figures; FY2023 and FY2024 are rebuilt from the audited statements on the definition recovered from them; Q4-2025 and Q2-2026 are differences between two disclosed cumulative periods. The first half of 2026 sits at 20.8%, above 2023 and marginally above 2024. The fall is from an exceptional 2025, and it began in the fourth quarter of that year, not in 2026.</w:t>
      </w:r>
    </w:p>
    <w:p>
      <w:pPr>
        <w:spacing w:after="120" w:before="0"/>
      </w:pPr>
      <w:r>
        <w:rPr>
          <w:b w:val="0"/>
          <w:i w:val="0"/>
          <w:color w:val="1C3A36"/>
          <w:sz w:val="19"/>
        </w:rPr>
        <w:t>Why the crux is held flat rather than extrapolated. The two most recent quarters read 20.5% and 21.1% — the compression stopped and reversed slightly. The measured mechanisms point in opposite directions: Egyptian producers left August steel prices unchanged after earlier falls, which is disinflationary, while the company's own subsequent-events note warns that currency and hydrocarbon moves are pushing up the cost of works. When measured mechanisms conflict, the disciplined answer is to hold the last reviewed rate and let the sensitivity carry the argument.</w:t>
      </w:r>
    </w:p>
    <w:p>
      <w:pPr>
        <w:spacing w:after="80" w:before="200"/>
      </w:pPr>
      <w:r>
        <w:rPr>
          <w:b/>
          <w:i w:val="0"/>
          <w:color w:val="1C3A36"/>
          <w:sz w:val="24"/>
        </w:rPr>
        <w:t>1.8  Macro, country and the cost of capital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1656"/>
        <w:gridCol w:w="6336"/>
      </w:tblGrid>
      <w:tr>
        <w:tc>
          <w:tcPr>
            <w:tcW w:type="dxa" w:w="2160"/>
            <w:shd w:val="clear" w:color="auto" w:fill="EAF0EE"/>
          </w:tcPr>
          <w:p>
            <w:pPr>
              <w:spacing w:after="20"/>
            </w:pPr>
            <w:r>
              <w:rPr>
                <w:b/>
                <w:color w:val="1C3A36"/>
                <w:sz w:val="16"/>
              </w:rPr>
              <w:t>Input</w:t>
            </w:r>
          </w:p>
        </w:tc>
        <w:tc>
          <w:tcPr>
            <w:tcW w:type="dxa" w:w="1656"/>
            <w:shd w:val="clear" w:color="auto" w:fill="EAF0EE"/>
          </w:tcPr>
          <w:p>
            <w:pPr>
              <w:spacing w:after="20"/>
            </w:pPr>
            <w:r>
              <w:rPr>
                <w:b/>
                <w:color w:val="1C3A36"/>
                <w:sz w:val="16"/>
              </w:rPr>
              <w:t>Value</w:t>
            </w:r>
          </w:p>
        </w:tc>
        <w:tc>
          <w:tcPr>
            <w:tcW w:type="dxa" w:w="6336"/>
            <w:shd w:val="clear" w:color="auto" w:fill="EAF0EE"/>
          </w:tcPr>
          <w:p>
            <w:pPr>
              <w:spacing w:after="20"/>
              <w:jc w:val="left"/>
            </w:pPr>
            <w:r>
              <w:rPr>
                <w:b/>
                <w:color w:val="1C3A36"/>
                <w:sz w:val="16"/>
              </w:rPr>
              <w:t>Source and construction</w:t>
            </w:r>
          </w:p>
        </w:tc>
      </w:tr>
      <w:tr>
        <w:tc>
          <w:tcPr>
            <w:tcW w:type="dxa" w:w="2160"/>
          </w:tcPr>
          <w:p>
            <w:pPr>
              <w:spacing w:after="20"/>
            </w:pPr>
            <w:r>
              <w:rPr>
                <w:b/>
                <w:color w:val="1C3A36"/>
                <w:sz w:val="16"/>
              </w:rPr>
              <w:t>Observed risk-free rate</w:t>
            </w:r>
          </w:p>
        </w:tc>
        <w:tc>
          <w:tcPr>
            <w:tcW w:type="dxa" w:w="1656"/>
          </w:tcPr>
          <w:p>
            <w:pPr>
              <w:spacing w:after="20"/>
              <w:jc w:val="right"/>
            </w:pPr>
            <w:r>
              <w:rPr>
                <w:color w:val="1C3A36"/>
                <w:sz w:val="16"/>
              </w:rPr>
              <w:t>23.269%</w:t>
            </w:r>
          </w:p>
        </w:tc>
        <w:tc>
          <w:tcPr>
            <w:tcW w:type="dxa" w:w="6336"/>
          </w:tcPr>
          <w:p>
            <w:pPr>
              <w:spacing w:after="20"/>
              <w:jc w:val="left"/>
            </w:pPr>
            <w:r>
              <w:rPr>
                <w:color w:val="1C3A36"/>
                <w:sz w:val="16"/>
              </w:rPr>
              <w:t>Three-year Egyptian government bond, accepted weighted-average yield at the auction of 17 August 2026 — 22 accepted bids and EGP 18.9bn placed out of EGP 39.7bn bid, the deepest print in the auction. The two-year cleared at 22.691% and the five-year at 19.700%, each on a single accepted bid; neither is a usable clearing level. A ten-year yield of 22.95%, taken independently in early August for another Egyptian study, corroborates it.</w:t>
            </w:r>
          </w:p>
        </w:tc>
      </w:tr>
      <w:tr>
        <w:tc>
          <w:tcPr>
            <w:tcW w:type="dxa" w:w="2160"/>
          </w:tcPr>
          <w:p>
            <w:pPr>
              <w:spacing w:after="20"/>
            </w:pPr>
            <w:r>
              <w:rPr>
                <w:b/>
                <w:color w:val="1C3A36"/>
                <w:sz w:val="16"/>
              </w:rPr>
              <w:t>Sovereign default spread, rating basis</w:t>
            </w:r>
          </w:p>
        </w:tc>
        <w:tc>
          <w:tcPr>
            <w:tcW w:type="dxa" w:w="1656"/>
          </w:tcPr>
          <w:p>
            <w:pPr>
              <w:spacing w:after="20"/>
              <w:jc w:val="right"/>
            </w:pPr>
            <w:r>
              <w:rPr>
                <w:color w:val="1C3A36"/>
                <w:sz w:val="16"/>
              </w:rPr>
              <w:t>5.970%</w:t>
            </w:r>
          </w:p>
        </w:tc>
        <w:tc>
          <w:tcPr>
            <w:tcW w:type="dxa" w:w="6336"/>
          </w:tcPr>
          <w:p>
            <w:pPr>
              <w:spacing w:after="20"/>
              <w:jc w:val="left"/>
            </w:pPr>
            <w:r>
              <w:rPr>
                <w:color w:val="1C3A36"/>
                <w:sz w:val="16"/>
              </w:rPr>
              <w:t>Egypt at Caa1, from the July 2026 original country-premium file</w:t>
            </w:r>
          </w:p>
        </w:tc>
      </w:tr>
      <w:tr>
        <w:tc>
          <w:tcPr>
            <w:tcW w:type="dxa" w:w="2160"/>
          </w:tcPr>
          <w:p>
            <w:pPr>
              <w:spacing w:after="20"/>
            </w:pPr>
            <w:r>
              <w:rPr>
                <w:b/>
                <w:color w:val="1C3A36"/>
                <w:sz w:val="16"/>
              </w:rPr>
              <w:t>Sovereign default spread, swap basis</w:t>
            </w:r>
          </w:p>
        </w:tc>
        <w:tc>
          <w:tcPr>
            <w:tcW w:type="dxa" w:w="1656"/>
          </w:tcPr>
          <w:p>
            <w:pPr>
              <w:spacing w:after="20"/>
              <w:jc w:val="right"/>
            </w:pPr>
            <w:r>
              <w:rPr>
                <w:color w:val="1C3A36"/>
                <w:sz w:val="16"/>
              </w:rPr>
              <w:t>3.420%</w:t>
            </w:r>
          </w:p>
        </w:tc>
        <w:tc>
          <w:tcPr>
            <w:tcW w:type="dxa" w:w="6336"/>
          </w:tcPr>
          <w:p>
            <w:pPr>
              <w:spacing w:after="20"/>
              <w:jc w:val="left"/>
            </w:pPr>
            <w:r>
              <w:rPr>
                <w:color w:val="1C3A36"/>
                <w:sz w:val="16"/>
              </w:rPr>
              <w:t>Egyptian sovereign credit-default swap net of Swiss, same file, spreads as at 30 June 2026</w:t>
            </w:r>
          </w:p>
        </w:tc>
      </w:tr>
      <w:tr>
        <w:tc>
          <w:tcPr>
            <w:tcW w:type="dxa" w:w="2160"/>
          </w:tcPr>
          <w:p>
            <w:pPr>
              <w:spacing w:after="20"/>
            </w:pPr>
            <w:r>
              <w:rPr>
                <w:b/>
                <w:color w:val="1C3A36"/>
                <w:sz w:val="16"/>
              </w:rPr>
              <w:t>Normalised risk-free rate</w:t>
            </w:r>
          </w:p>
        </w:tc>
        <w:tc>
          <w:tcPr>
            <w:tcW w:type="dxa" w:w="1656"/>
          </w:tcPr>
          <w:p>
            <w:pPr>
              <w:spacing w:after="20"/>
              <w:jc w:val="right"/>
            </w:pPr>
            <w:r>
              <w:rPr>
                <w:color w:val="1C3A36"/>
                <w:sz w:val="16"/>
              </w:rPr>
              <w:t>17.299% / 19.849%</w:t>
            </w:r>
          </w:p>
        </w:tc>
        <w:tc>
          <w:tcPr>
            <w:tcW w:type="dxa" w:w="6336"/>
          </w:tcPr>
          <w:p>
            <w:pPr>
              <w:spacing w:after="20"/>
              <w:jc w:val="left"/>
            </w:pPr>
            <w:r>
              <w:rPr>
                <w:color w:val="1C3A36"/>
                <w:sz w:val="16"/>
              </w:rPr>
              <w:t>The observed yield less the sovereign's own default spread, so country risk enters once and only once. The rating basis is stated first.</w:t>
            </w:r>
          </w:p>
        </w:tc>
      </w:tr>
      <w:tr>
        <w:tc>
          <w:tcPr>
            <w:tcW w:type="dxa" w:w="2160"/>
          </w:tcPr>
          <w:p>
            <w:pPr>
              <w:spacing w:after="20"/>
            </w:pPr>
            <w:r>
              <w:rPr>
                <w:b/>
                <w:color w:val="1C3A36"/>
                <w:sz w:val="16"/>
              </w:rPr>
              <w:t>Equity risk premium</w:t>
            </w:r>
          </w:p>
        </w:tc>
        <w:tc>
          <w:tcPr>
            <w:tcW w:type="dxa" w:w="1656"/>
          </w:tcPr>
          <w:p>
            <w:pPr>
              <w:spacing w:after="20"/>
              <w:jc w:val="right"/>
            </w:pPr>
            <w:r>
              <w:rPr>
                <w:color w:val="1C3A36"/>
                <w:sz w:val="16"/>
              </w:rPr>
              <w:t>13.481% / 9.516%</w:t>
            </w:r>
          </w:p>
        </w:tc>
        <w:tc>
          <w:tcPr>
            <w:tcW w:type="dxa" w:w="6336"/>
          </w:tcPr>
          <w:p>
            <w:pPr>
              <w:spacing w:after="20"/>
              <w:jc w:val="left"/>
            </w:pPr>
            <w:r>
              <w:rPr>
                <w:color w:val="1C3A36"/>
                <w:sz w:val="16"/>
              </w:rPr>
              <w:t>Total premium for Egypt on each basis, same file. Both are carried through to a published cost of capital; the two are never mixed.</w:t>
            </w:r>
          </w:p>
        </w:tc>
      </w:tr>
      <w:tr>
        <w:tc>
          <w:tcPr>
            <w:tcW w:type="dxa" w:w="2160"/>
          </w:tcPr>
          <w:p>
            <w:pPr>
              <w:spacing w:after="20"/>
            </w:pPr>
            <w:r>
              <w:rPr>
                <w:b/>
                <w:color w:val="1C3A36"/>
                <w:sz w:val="16"/>
              </w:rPr>
              <w:t>Beta</w:t>
            </w:r>
          </w:p>
        </w:tc>
        <w:tc>
          <w:tcPr>
            <w:tcW w:type="dxa" w:w="1656"/>
          </w:tcPr>
          <w:p>
            <w:pPr>
              <w:spacing w:after="20"/>
              <w:jc w:val="right"/>
            </w:pPr>
            <w:r>
              <w:rPr>
                <w:color w:val="1C3A36"/>
                <w:sz w:val="16"/>
              </w:rPr>
              <w:t>1.06</w:t>
            </w:r>
          </w:p>
        </w:tc>
        <w:tc>
          <w:tcPr>
            <w:tcW w:type="dxa" w:w="6336"/>
          </w:tcPr>
          <w:p>
            <w:pPr>
              <w:spacing w:after="20"/>
              <w:jc w:val="left"/>
            </w:pPr>
            <w:r>
              <w:rPr>
                <w:color w:val="1C3A36"/>
                <w:sz w:val="16"/>
              </w:rPr>
              <w:t>Own-stock weekly regression against the published index of the exchange the shares are listed on, 255 observations over 4.93 years to 2026-07-16, R-squared 29.8%, standard error 0.182. It clears the usability test, so no peer or default beta is needed. The adjusted cross-check is 1.04.</w:t>
            </w:r>
          </w:p>
        </w:tc>
      </w:tr>
      <w:tr>
        <w:tc>
          <w:tcPr>
            <w:tcW w:type="dxa" w:w="2160"/>
          </w:tcPr>
          <w:p>
            <w:pPr>
              <w:spacing w:after="20"/>
            </w:pPr>
            <w:r>
              <w:rPr>
                <w:b/>
                <w:color w:val="1C3A36"/>
                <w:sz w:val="16"/>
              </w:rPr>
              <w:t>Cost of equity</w:t>
            </w:r>
          </w:p>
        </w:tc>
        <w:tc>
          <w:tcPr>
            <w:tcW w:type="dxa" w:w="1656"/>
          </w:tcPr>
          <w:p>
            <w:pPr>
              <w:spacing w:after="20"/>
              <w:jc w:val="right"/>
            </w:pPr>
            <w:r>
              <w:rPr>
                <w:color w:val="1C3A36"/>
                <w:sz w:val="16"/>
              </w:rPr>
              <w:t>31.5% / 29.9%</w:t>
            </w:r>
          </w:p>
        </w:tc>
        <w:tc>
          <w:tcPr>
            <w:tcW w:type="dxa" w:w="6336"/>
          </w:tcPr>
          <w:p>
            <w:pPr>
              <w:spacing w:after="20"/>
              <w:jc w:val="left"/>
            </w:pPr>
            <w:r>
              <w:rPr>
                <w:color w:val="1C3A36"/>
                <w:sz w:val="16"/>
              </w:rPr>
              <w:t>Normalised risk-free rate plus beta times the premium, on each basis</w:t>
            </w:r>
          </w:p>
        </w:tc>
      </w:tr>
      <w:tr>
        <w:tc>
          <w:tcPr>
            <w:tcW w:type="dxa" w:w="2160"/>
          </w:tcPr>
          <w:p>
            <w:pPr>
              <w:spacing w:after="20"/>
            </w:pPr>
            <w:r>
              <w:rPr>
                <w:b/>
                <w:color w:val="1C3A36"/>
                <w:sz w:val="16"/>
              </w:rPr>
              <w:t>Marginal cost of debt</w:t>
            </w:r>
          </w:p>
        </w:tc>
        <w:tc>
          <w:tcPr>
            <w:tcW w:type="dxa" w:w="1656"/>
          </w:tcPr>
          <w:p>
            <w:pPr>
              <w:spacing w:after="20"/>
              <w:jc w:val="right"/>
            </w:pPr>
            <w:r>
              <w:rPr>
                <w:color w:val="1C3A36"/>
                <w:sz w:val="16"/>
              </w:rPr>
              <w:t>25.1%</w:t>
            </w:r>
          </w:p>
        </w:tc>
        <w:tc>
          <w:tcPr>
            <w:tcW w:type="dxa" w:w="6336"/>
          </w:tcPr>
          <w:p>
            <w:pPr>
              <w:spacing w:after="20"/>
              <w:jc w:val="left"/>
            </w:pPr>
            <w:r>
              <w:rPr>
                <w:color w:val="1C3A36"/>
                <w:sz w:val="16"/>
              </w:rPr>
              <w:t>Built from the company's own numbers, not a house assumption. It paid EGP 2,655mn of interest in the half including EGP 1,192mn capitalised, on average interest-bearing obligations of EGP 25,326mn — an all-in rate of 21.0%. Over the same period its own treasury-bill book earned 19.1%. The difference, 1.86%, is its measured credit spread, and it is added to the same government bond used for the risk-free rate so the two sit on one curve.</w:t>
            </w:r>
          </w:p>
        </w:tc>
      </w:tr>
      <w:tr>
        <w:tc>
          <w:tcPr>
            <w:tcW w:type="dxa" w:w="2160"/>
          </w:tcPr>
          <w:p>
            <w:pPr>
              <w:spacing w:after="20"/>
            </w:pPr>
            <w:r>
              <w:rPr>
                <w:b/>
                <w:color w:val="1C3A36"/>
                <w:sz w:val="16"/>
              </w:rPr>
              <w:t>Capital structure</w:t>
            </w:r>
          </w:p>
        </w:tc>
        <w:tc>
          <w:tcPr>
            <w:tcW w:type="dxa" w:w="1656"/>
          </w:tcPr>
          <w:p>
            <w:pPr>
              <w:spacing w:after="20"/>
              <w:jc w:val="right"/>
            </w:pPr>
            <w:r>
              <w:rPr>
                <w:color w:val="1C3A36"/>
                <w:sz w:val="16"/>
              </w:rPr>
              <w:t>61.6% equity / 38.4% debt</w:t>
            </w:r>
          </w:p>
        </w:tc>
        <w:tc>
          <w:tcPr>
            <w:tcW w:type="dxa" w:w="6336"/>
          </w:tcPr>
          <w:p>
            <w:pPr>
              <w:spacing w:after="20"/>
              <w:jc w:val="left"/>
            </w:pPr>
            <w:r>
              <w:rPr>
                <w:color w:val="1C3A36"/>
                <w:sz w:val="16"/>
              </w:rPr>
              <w:t>Equity at market value — the published price times the share count after treasury — and debt at the company's own schedule of interest-bearing obligations, EGP 26,480mn</w:t>
            </w:r>
          </w:p>
        </w:tc>
      </w:tr>
      <w:tr>
        <w:tc>
          <w:tcPr>
            <w:tcW w:type="dxa" w:w="2160"/>
            <w:shd w:val="clear" w:color="auto" w:fill="F6F1E6"/>
          </w:tcPr>
          <w:p>
            <w:pPr>
              <w:spacing w:after="20"/>
            </w:pPr>
            <w:r>
              <w:rPr>
                <w:b/>
                <w:color w:val="1C3A36"/>
                <w:sz w:val="16"/>
              </w:rPr>
              <w:t>WEIGHTED COST OF CAPITAL</w:t>
            </w:r>
          </w:p>
        </w:tc>
        <w:tc>
          <w:tcPr>
            <w:tcW w:type="dxa" w:w="1656"/>
            <w:shd w:val="clear" w:color="auto" w:fill="F6F1E6"/>
          </w:tcPr>
          <w:p>
            <w:pPr>
              <w:spacing w:after="20"/>
              <w:jc w:val="right"/>
            </w:pPr>
            <w:r>
              <w:rPr>
                <w:b/>
                <w:color w:val="1C3A36"/>
                <w:sz w:val="16"/>
              </w:rPr>
              <w:t>26.9% / 25.9%</w:t>
            </w:r>
          </w:p>
        </w:tc>
        <w:tc>
          <w:tcPr>
            <w:tcW w:type="dxa" w:w="6336"/>
            <w:shd w:val="clear" w:color="auto" w:fill="F6F1E6"/>
          </w:tcPr>
          <w:p>
            <w:pPr>
              <w:spacing w:after="20"/>
              <w:jc w:val="left"/>
            </w:pPr>
            <w:r>
              <w:rPr>
                <w:b/>
                <w:color w:val="1C3A36"/>
                <w:sz w:val="16"/>
              </w:rPr>
              <w:t>Published on both premium bases, as the method requires</w:t>
            </w:r>
          </w:p>
        </w:tc>
      </w:tr>
      <w:tr>
        <w:tc>
          <w:tcPr>
            <w:tcW w:type="dxa" w:w="2160"/>
          </w:tcPr>
          <w:p>
            <w:pPr>
              <w:spacing w:after="20"/>
            </w:pPr>
            <w:r>
              <w:rPr>
                <w:b/>
                <w:color w:val="1C3A36"/>
                <w:sz w:val="16"/>
              </w:rPr>
              <w:t>Terminal cost of capital</w:t>
            </w:r>
          </w:p>
        </w:tc>
        <w:tc>
          <w:tcPr>
            <w:tcW w:type="dxa" w:w="1656"/>
          </w:tcPr>
          <w:p>
            <w:pPr>
              <w:spacing w:after="20"/>
              <w:jc w:val="right"/>
            </w:pPr>
            <w:r>
              <w:rPr>
                <w:color w:val="1C3A36"/>
                <w:sz w:val="16"/>
              </w:rPr>
              <w:t>14.8%</w:t>
            </w:r>
          </w:p>
        </w:tc>
        <w:tc>
          <w:tcPr>
            <w:tcW w:type="dxa" w:w="6336"/>
          </w:tcPr>
          <w:p>
            <w:pPr>
              <w:spacing w:after="20"/>
              <w:jc w:val="left"/>
            </w:pPr>
            <w:r>
              <w:rPr>
                <w:color w:val="1C3A36"/>
                <w:sz w:val="16"/>
              </w:rPr>
              <w:t>On a risk-free rate of 10.5% built from the central bank's own longest published inflation target of 5 per cent for the fourth quarter of 2028 plus a standard emerging-market real rate, a normalised premium of 7.0% and a beta of 1.0</w:t>
            </w:r>
          </w:p>
        </w:tc>
      </w:tr>
    </w:tbl>
    <w:p>
      <w:pPr>
        <w:spacing w:after="40"/>
      </w:pPr>
    </w:p>
    <w:p>
      <w:pPr>
        <w:spacing w:after="200" w:before="0"/>
      </w:pPr>
      <w:r>
        <w:rPr>
          <w:b w:val="0"/>
          <w:i/>
          <w:color w:val="6E7B77"/>
          <w:sz w:val="17"/>
        </w:rPr>
        <w:t>Table 11. The cost of capital, built rather than assumed. Every line names its own source and date.</w:t>
      </w:r>
    </w:p>
    <w:p>
      <w:pPr>
        <w:spacing w:after="120" w:before="0"/>
      </w:pPr>
      <w:r>
        <w:rPr>
          <w:b w:val="0"/>
          <w:i w:val="0"/>
          <w:color w:val="1C3A36"/>
          <w:sz w:val="19"/>
        </w:rPr>
        <w:t>Local currency and foreign currency. Every facility in the debt note is denominated in Egyptian pounds — the syndicated Bank Misr and National Bank of Egypt lines, the Ahli United revolvers, the overdrafts. The only foreign-currency liability is EGP 121mn of bank credit balances. Against that the company holds EGP 2,569mn of foreign-currency cash and deposits and reports a net foreign-currency position that is an ASSET of EGP 2,448mn. A pound devaluation therefore helps the balance sheet and hurts the cost stack, which is exactly how the currency lever on the ticker page is now specified.</w:t>
      </w:r>
    </w:p>
    <w:p>
      <w:pPr>
        <w:spacing w:after="120" w:before="0"/>
      </w:pPr>
      <w:r>
        <w:rPr>
          <w:b w:val="0"/>
          <w:i w:val="0"/>
          <w:color w:val="1C3A36"/>
          <w:sz w:val="19"/>
        </w:rPr>
        <w:t>Two contested constructions, both priced. First, net debt. On the company's own definition — interest-bearing obligations less cash and treasury bills — it is EGP 5,660mn. Carry the notes payable to the land authority and under the sale-and-leaseback contracts, and the land purchase liabilities, and it is EGP 14,532mn. Treat the invested residents' money as restricted and it is EGP 24,983mn. All three are shown, and the framings use the first and the third. Second, the backlog. The only figure that appears in a reviewed statement is the contractual value of undelivered-unit contracts concluded since the start of 2023: EGP 149.12bn, against nominal notes receivable of EGP 116.54bn held off balance sheet and a present value of EGP 59.40bn. The company's own wider definition stood at EGP 263bn at the first quarter. The study anchors on the first and says so.</w:t>
      </w:r>
    </w:p>
    <w:p>
      <w:pPr>
        <w:spacing w:after="120" w:before="0"/>
      </w:pPr>
      <w:r>
        <w:rPr>
          <w:b w:val="0"/>
          <w:i w:val="0"/>
          <w:color w:val="1C3A36"/>
          <w:sz w:val="19"/>
        </w:rPr>
        <w:t>Does growth create value here? The answer depends on which capital you count, so both counts are given. Measured on every pound standing in the business, the return on invested capital is 11.3% against a spot weighted cost of capital of 25.9% and a normalised one of 14.8% — below both. Read that way, a single year of growth consumes more working capital than it produces above about 12.4% nominal, or about 21.1% once the residents' money is credited as funding. But 59.2% of that capital base is customer money, not shareholder money: net of it the return is 27.6%, comfortably above the normalised cost of capital. The full model carries the terminal value that the single-year arithmetic cannot, and it moves with the second measure — a half-again volume path is worth EGP 40.19 a share against EGP 25.05 at no growth at all under the first framing, and EGP 7.98 against EGP 4.01 under the second. Growth is not free here; it is also not value-destroying. What decides the valuation is whether the customer money is the company's to use.</w:t>
      </w:r>
    </w:p>
    <w:p>
      <w:pPr>
        <w:spacing w:after="80" w:before="200"/>
      </w:pPr>
      <w:r>
        <w:rPr>
          <w:b/>
          <w:i w:val="0"/>
          <w:color w:val="1C3A36"/>
          <w:sz w:val="24"/>
        </w:rPr>
        <w:t>1.9  Sensitivity</w:t>
      </w:r>
    </w:p>
    <w:p>
      <w:pPr>
        <w:spacing w:after="40"/>
        <w:jc w:val="center"/>
      </w:pPr>
      <w:r>
        <w:drawing>
          <wp:inline xmlns:a="http://schemas.openxmlformats.org/drawingml/2006/main" xmlns:pic="http://schemas.openxmlformats.org/drawingml/2006/picture">
            <wp:extent cx="6126480" cy="3457212"/>
            <wp:docPr id="4" name="Picture 4"/>
            <wp:cNvGraphicFramePr>
              <a:graphicFrameLocks noChangeAspect="1"/>
            </wp:cNvGraphicFramePr>
            <a:graphic>
              <a:graphicData uri="http://schemas.openxmlformats.org/drawingml/2006/picture">
                <pic:pic>
                  <pic:nvPicPr>
                    <pic:cNvPr id="0" name="fig2_sens.png"/>
                    <pic:cNvPicPr/>
                  </pic:nvPicPr>
                  <pic:blipFill>
                    <a:blip r:embed="rId12"/>
                    <a:stretch>
                      <a:fillRect/>
                    </a:stretch>
                  </pic:blipFill>
                  <pic:spPr>
                    <a:xfrm>
                      <a:off x="0" y="0"/>
                      <a:ext cx="6126480" cy="3457212"/>
                    </a:xfrm>
                    <a:prstGeom prst="rect"/>
                  </pic:spPr>
                </pic:pic>
              </a:graphicData>
            </a:graphic>
          </wp:inline>
        </w:drawing>
      </w:r>
    </w:p>
    <w:p>
      <w:pPr>
        <w:spacing w:after="200" w:before="0"/>
      </w:pPr>
      <w:r>
        <w:rPr>
          <w:b w:val="0"/>
          <w:i/>
          <w:color w:val="6E7B77"/>
          <w:sz w:val="17"/>
        </w:rPr>
        <w:t>Figure 4. Fair value per share against the crux ratio and the cost of capital, computed separately under each framing. The crux runs from 2.81x to 3.43x around the measured 3.12x; the cost of capital shifts the whole path by up to two hundred basis points either way.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2952"/>
        <w:gridCol w:w="4032"/>
      </w:tblGrid>
      <w:tr>
        <w:tc>
          <w:tcPr>
            <w:tcW w:type="dxa" w:w="3168"/>
            <w:shd w:val="clear" w:color="auto" w:fill="EAF0EE"/>
          </w:tcPr>
          <w:p>
            <w:pPr>
              <w:spacing w:after="20"/>
            </w:pPr>
            <w:r>
              <w:rPr>
                <w:b/>
                <w:color w:val="1C3A36"/>
                <w:sz w:val="17"/>
              </w:rPr>
              <w:t>Driver moved</w:t>
            </w:r>
          </w:p>
        </w:tc>
        <w:tc>
          <w:tcPr>
            <w:tcW w:type="dxa" w:w="2952"/>
            <w:shd w:val="clear" w:color="auto" w:fill="EAF0EE"/>
          </w:tcPr>
          <w:p>
            <w:pPr>
              <w:spacing w:after="20"/>
              <w:jc w:val="left"/>
            </w:pPr>
            <w:r>
              <w:rPr>
                <w:b/>
                <w:color w:val="1C3A36"/>
                <w:sz w:val="17"/>
              </w:rPr>
              <w:t>Range tested</w:t>
            </w:r>
          </w:p>
        </w:tc>
        <w:tc>
          <w:tcPr>
            <w:tcW w:type="dxa" w:w="4032"/>
            <w:shd w:val="clear" w:color="auto" w:fill="EAF0EE"/>
          </w:tcPr>
          <w:p>
            <w:pPr>
              <w:spacing w:after="20"/>
              <w:jc w:val="left"/>
            </w:pPr>
            <w:r>
              <w:rPr>
                <w:b/>
                <w:color w:val="1C3A36"/>
                <w:sz w:val="17"/>
              </w:rPr>
              <w:t>Effect on the cash-flow lens, framing A</w:t>
            </w:r>
          </w:p>
        </w:tc>
      </w:tr>
      <w:tr>
        <w:tc>
          <w:tcPr>
            <w:tcW w:type="dxa" w:w="3168"/>
          </w:tcPr>
          <w:p>
            <w:pPr>
              <w:spacing w:after="20"/>
            </w:pPr>
            <w:r>
              <w:rPr>
                <w:b/>
                <w:color w:val="1C3A36"/>
                <w:sz w:val="17"/>
              </w:rPr>
              <w:t>Real construction volume growth</w:t>
            </w:r>
          </w:p>
        </w:tc>
        <w:tc>
          <w:tcPr>
            <w:tcW w:type="dxa" w:w="2952"/>
          </w:tcPr>
          <w:p>
            <w:pPr>
              <w:spacing w:after="20"/>
              <w:jc w:val="left"/>
            </w:pPr>
            <w:r>
              <w:rPr>
                <w:color w:val="1C3A36"/>
                <w:sz w:val="17"/>
              </w:rPr>
              <w:t>from no growth at all to half again the base path</w:t>
            </w:r>
          </w:p>
        </w:tc>
        <w:tc>
          <w:tcPr>
            <w:tcW w:type="dxa" w:w="4032"/>
          </w:tcPr>
          <w:p>
            <w:pPr>
              <w:spacing w:after="20"/>
              <w:jc w:val="left"/>
            </w:pPr>
            <w:r>
              <w:rPr>
                <w:color w:val="1C3A36"/>
                <w:sz w:val="17"/>
              </w:rPr>
              <w:t>EGP 25.05 at no growth to EGP 40.19 at half again</w:t>
            </w:r>
          </w:p>
        </w:tc>
      </w:tr>
      <w:tr>
        <w:tc>
          <w:tcPr>
            <w:tcW w:type="dxa" w:w="3168"/>
          </w:tcPr>
          <w:p>
            <w:pPr>
              <w:spacing w:after="20"/>
            </w:pPr>
            <w:r>
              <w:rPr>
                <w:b/>
                <w:color w:val="1C3A36"/>
                <w:sz w:val="17"/>
              </w:rPr>
              <w:t>Build-cost escalation, all four classes together</w:t>
            </w:r>
          </w:p>
        </w:tc>
        <w:tc>
          <w:tcPr>
            <w:tcW w:type="dxa" w:w="2952"/>
          </w:tcPr>
          <w:p>
            <w:pPr>
              <w:spacing w:after="20"/>
              <w:jc w:val="left"/>
            </w:pPr>
            <w:r>
              <w:rPr>
                <w:color w:val="1C3A36"/>
                <w:sz w:val="17"/>
              </w:rPr>
              <w:t>two hundred basis points either way</w:t>
            </w:r>
          </w:p>
        </w:tc>
        <w:tc>
          <w:tcPr>
            <w:tcW w:type="dxa" w:w="4032"/>
          </w:tcPr>
          <w:p>
            <w:pPr>
              <w:spacing w:after="20"/>
              <w:jc w:val="left"/>
            </w:pPr>
            <w:r>
              <w:rPr>
                <w:color w:val="1C3A36"/>
                <w:sz w:val="17"/>
              </w:rPr>
              <w:t>EGP 27.51 to EGP 41.14</w:t>
            </w:r>
          </w:p>
        </w:tc>
      </w:tr>
      <w:tr>
        <w:tc>
          <w:tcPr>
            <w:tcW w:type="dxa" w:w="3168"/>
          </w:tcPr>
          <w:p>
            <w:pPr>
              <w:spacing w:after="20"/>
            </w:pPr>
            <w:r>
              <w:rPr>
                <w:b/>
                <w:color w:val="1C3A36"/>
                <w:sz w:val="17"/>
              </w:rPr>
              <w:t>Cost of capital, whole path</w:t>
            </w:r>
          </w:p>
        </w:tc>
        <w:tc>
          <w:tcPr>
            <w:tcW w:type="dxa" w:w="2952"/>
          </w:tcPr>
          <w:p>
            <w:pPr>
              <w:spacing w:after="20"/>
              <w:jc w:val="left"/>
            </w:pPr>
            <w:r>
              <w:rPr>
                <w:color w:val="1C3A36"/>
                <w:sz w:val="17"/>
              </w:rPr>
              <w:t>two hundred basis points either way, crux held at its measured level</w:t>
            </w:r>
          </w:p>
        </w:tc>
        <w:tc>
          <w:tcPr>
            <w:tcW w:type="dxa" w:w="4032"/>
          </w:tcPr>
          <w:p>
            <w:pPr>
              <w:spacing w:after="20"/>
              <w:jc w:val="left"/>
            </w:pPr>
            <w:r>
              <w:rPr>
                <w:color w:val="1C3A36"/>
                <w:sz w:val="17"/>
              </w:rPr>
              <w:t>EGP 25.91 to EGP 50.52</w:t>
            </w:r>
          </w:p>
        </w:tc>
      </w:tr>
      <w:tr>
        <w:tc>
          <w:tcPr>
            <w:tcW w:type="dxa" w:w="3168"/>
          </w:tcPr>
          <w:p>
            <w:pPr>
              <w:spacing w:after="20"/>
            </w:pPr>
            <w:r>
              <w:rPr>
                <w:b/>
                <w:color w:val="1C3A36"/>
                <w:sz w:val="17"/>
              </w:rPr>
              <w:t>The crux ratio alone</w:t>
            </w:r>
          </w:p>
        </w:tc>
        <w:tc>
          <w:tcPr>
            <w:tcW w:type="dxa" w:w="2952"/>
          </w:tcPr>
          <w:p>
            <w:pPr>
              <w:spacing w:after="20"/>
              <w:jc w:val="left"/>
            </w:pPr>
            <w:r>
              <w:rPr>
                <w:color w:val="1C3A36"/>
                <w:sz w:val="17"/>
              </w:rPr>
              <w:t>2.81x to 3.43x</w:t>
            </w:r>
          </w:p>
        </w:tc>
        <w:tc>
          <w:tcPr>
            <w:tcW w:type="dxa" w:w="4032"/>
          </w:tcPr>
          <w:p>
            <w:pPr>
              <w:spacing w:after="20"/>
              <w:jc w:val="left"/>
            </w:pPr>
            <w:r>
              <w:rPr>
                <w:color w:val="1C3A36"/>
                <w:sz w:val="17"/>
              </w:rPr>
              <w:t>EGP 25.20 to EGP 42.22</w:t>
            </w:r>
          </w:p>
        </w:tc>
      </w:tr>
      <w:tr>
        <w:tc>
          <w:tcPr>
            <w:tcW w:type="dxa" w:w="3168"/>
          </w:tcPr>
          <w:p>
            <w:pPr>
              <w:spacing w:after="20"/>
            </w:pPr>
            <w:r>
              <w:rPr>
                <w:b/>
                <w:color w:val="1C3A36"/>
                <w:sz w:val="17"/>
              </w:rPr>
              <w:t>Both together, worst corner against best</w:t>
            </w:r>
          </w:p>
        </w:tc>
        <w:tc>
          <w:tcPr>
            <w:tcW w:type="dxa" w:w="2952"/>
          </w:tcPr>
          <w:p>
            <w:pPr>
              <w:spacing w:after="20"/>
              <w:jc w:val="left"/>
            </w:pPr>
            <w:r>
              <w:rPr>
                <w:color w:val="1C3A36"/>
                <w:sz w:val="17"/>
              </w:rPr>
              <w:t>crux 2.81x and the cost of capital two hundred basis points higher, against 3.43x and two hundred lower</w:t>
            </w:r>
          </w:p>
        </w:tc>
        <w:tc>
          <w:tcPr>
            <w:tcW w:type="dxa" w:w="4032"/>
          </w:tcPr>
          <w:p>
            <w:pPr>
              <w:spacing w:after="20"/>
              <w:jc w:val="left"/>
            </w:pPr>
            <w:r>
              <w:rPr>
                <w:color w:val="1C3A36"/>
                <w:sz w:val="17"/>
              </w:rPr>
              <w:t>EGP 18.41 to EGP 60.98</w:t>
            </w:r>
          </w:p>
        </w:tc>
      </w:tr>
      <w:tr>
        <w:tc>
          <w:tcPr>
            <w:tcW w:type="dxa" w:w="3168"/>
            <w:shd w:val="clear" w:color="auto" w:fill="F6F1E6"/>
          </w:tcPr>
          <w:p>
            <w:pPr>
              <w:spacing w:after="20"/>
            </w:pPr>
            <w:r>
              <w:rPr>
                <w:b/>
                <w:color w:val="1C3A36"/>
                <w:sz w:val="17"/>
              </w:rPr>
              <w:t>The contested judgement</w:t>
            </w:r>
          </w:p>
        </w:tc>
        <w:tc>
          <w:tcPr>
            <w:tcW w:type="dxa" w:w="2952"/>
            <w:shd w:val="clear" w:color="auto" w:fill="F6F1E6"/>
          </w:tcPr>
          <w:p>
            <w:pPr>
              <w:spacing w:after="20"/>
              <w:jc w:val="left"/>
            </w:pPr>
            <w:r>
              <w:rPr>
                <w:b/>
                <w:color w:val="1C3A36"/>
                <w:sz w:val="17"/>
              </w:rPr>
              <w:t>framing B against framing A</w:t>
            </w:r>
          </w:p>
        </w:tc>
        <w:tc>
          <w:tcPr>
            <w:tcW w:type="dxa" w:w="4032"/>
            <w:shd w:val="clear" w:color="auto" w:fill="F6F1E6"/>
          </w:tcPr>
          <w:p>
            <w:pPr>
              <w:spacing w:after="20"/>
              <w:jc w:val="left"/>
            </w:pPr>
            <w:r>
              <w:rPr>
                <w:b/>
                <w:color w:val="1C3A36"/>
                <w:sz w:val="17"/>
              </w:rPr>
              <w:t>EGP 6.51 against EGP 34.56 on this lens; EGP 5.79 against EGP 15.82 on the published four-lens range</w:t>
            </w:r>
          </w:p>
        </w:tc>
      </w:tr>
    </w:tbl>
    <w:p>
      <w:pPr>
        <w:spacing w:after="40"/>
      </w:pPr>
    </w:p>
    <w:p>
      <w:pPr>
        <w:spacing w:after="200" w:before="0"/>
      </w:pPr>
      <w:r>
        <w:rPr>
          <w:b w:val="0"/>
          <w:i/>
          <w:color w:val="6E7B77"/>
          <w:sz w:val="17"/>
        </w:rPr>
        <w:t>Table 12. Every axis in observable units. The first row runs the right way round — more volume is worth more — because most of the capital funding that volume is the customers', not the shareholders'. Strip the customer money out of the denominator and the return on what shareholders actually contributed is 27.6%, above the normalised cost of capital; leave it in and the return is 11.3%, below it. Section 1.8 gives both.</w:t>
      </w:r>
    </w:p>
    <w:p>
      <w:pPr>
        <w:spacing w:after="120" w:before="280"/>
      </w:pPr>
      <w:r>
        <w:rPr>
          <w:b/>
          <w:i w:val="0"/>
          <w:color w:val="1C3A36"/>
          <w:sz w:val="30"/>
        </w:rPr>
        <w:t>2. Technical and price structure</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Carried forward unchanged. </w:t>
            </w:r>
            <w:r>
              <w:rPr>
                <w:color w:val="1C3A36"/>
                <w:sz w:val="19"/>
              </w:rPr>
              <w:t>This is a fundamentals-only refresh. Sections 2 and 3 reproduce the last published technical read and probability map exactly as they stand, so a reader can see which half of this document is as of the new fundamentals and which half is as of the last price update. The stamps are quoted verbatim below.</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3096"/>
        <w:gridCol w:w="3096"/>
      </w:tblGrid>
      <w:tr>
        <w:tc>
          <w:tcPr>
            <w:tcW w:type="dxa" w:w="3456"/>
            <w:shd w:val="clear" w:color="auto" w:fill="EAF0EE"/>
          </w:tcPr>
          <w:p>
            <w:pPr>
              <w:spacing w:after="20"/>
            </w:pPr>
            <w:r>
              <w:rPr>
                <w:b/>
                <w:color w:val="1C3A36"/>
                <w:sz w:val="18"/>
              </w:rPr>
              <w:t>Stamp</w:t>
            </w:r>
          </w:p>
        </w:tc>
        <w:tc>
          <w:tcPr>
            <w:tcW w:type="dxa" w:w="3096"/>
            <w:shd w:val="clear" w:color="auto" w:fill="EAF0EE"/>
          </w:tcPr>
          <w:p>
            <w:pPr>
              <w:spacing w:after="20"/>
            </w:pPr>
            <w:r>
              <w:rPr>
                <w:b/>
                <w:color w:val="1C3A36"/>
                <w:sz w:val="18"/>
              </w:rPr>
              <w:t>Data as of</w:t>
            </w:r>
          </w:p>
        </w:tc>
        <w:tc>
          <w:tcPr>
            <w:tcW w:type="dxa" w:w="3096"/>
            <w:shd w:val="clear" w:color="auto" w:fill="EAF0EE"/>
          </w:tcPr>
          <w:p>
            <w:pPr>
              <w:spacing w:after="20"/>
            </w:pPr>
            <w:r>
              <w:rPr>
                <w:b/>
                <w:color w:val="1C3A36"/>
                <w:sz w:val="18"/>
              </w:rPr>
              <w:t>Computed on</w:t>
            </w:r>
          </w:p>
        </w:tc>
      </w:tr>
      <w:tr>
        <w:tc>
          <w:tcPr>
            <w:tcW w:type="dxa" w:w="3456"/>
          </w:tcPr>
          <w:p>
            <w:pPr>
              <w:spacing w:after="20"/>
            </w:pPr>
            <w:r>
              <w:rPr>
                <w:b/>
                <w:color w:val="1C3A36"/>
                <w:sz w:val="18"/>
              </w:rPr>
              <w:t>Probability map</w:t>
            </w:r>
          </w:p>
        </w:tc>
        <w:tc>
          <w:tcPr>
            <w:tcW w:type="dxa" w:w="3096"/>
          </w:tcPr>
          <w:p>
            <w:pPr>
              <w:spacing w:after="20"/>
              <w:jc w:val="right"/>
            </w:pPr>
            <w:r>
              <w:rPr>
                <w:color w:val="1C3A36"/>
                <w:sz w:val="18"/>
              </w:rPr>
              <w:t>2026-07-22</w:t>
            </w:r>
          </w:p>
        </w:tc>
        <w:tc>
          <w:tcPr>
            <w:tcW w:type="dxa" w:w="3096"/>
          </w:tcPr>
          <w:p>
            <w:pPr>
              <w:spacing w:after="20"/>
              <w:jc w:val="right"/>
            </w:pPr>
            <w:r>
              <w:rPr>
                <w:color w:val="1C3A36"/>
                <w:sz w:val="18"/>
              </w:rPr>
              <w:t>2026-07-28</w:t>
            </w:r>
          </w:p>
        </w:tc>
      </w:tr>
      <w:tr>
        <w:tc>
          <w:tcPr>
            <w:tcW w:type="dxa" w:w="3456"/>
          </w:tcPr>
          <w:p>
            <w:pPr>
              <w:spacing w:after="20"/>
            </w:pPr>
            <w:r>
              <w:rPr>
                <w:b/>
                <w:color w:val="1C3A36"/>
                <w:sz w:val="18"/>
              </w:rPr>
              <w:t>Technical read</w:t>
            </w:r>
          </w:p>
        </w:tc>
        <w:tc>
          <w:tcPr>
            <w:tcW w:type="dxa" w:w="3096"/>
          </w:tcPr>
          <w:p>
            <w:pPr>
              <w:spacing w:after="20"/>
              <w:jc w:val="right"/>
            </w:pPr>
            <w:r>
              <w:rPr>
                <w:color w:val="1C3A36"/>
                <w:sz w:val="18"/>
              </w:rPr>
              <w:t>2026-07-22</w:t>
            </w:r>
          </w:p>
        </w:tc>
        <w:tc>
          <w:tcPr>
            <w:tcW w:type="dxa" w:w="3096"/>
          </w:tcPr>
          <w:p>
            <w:pPr>
              <w:spacing w:after="20"/>
              <w:jc w:val="right"/>
            </w:pPr>
            <w:r>
              <w:rPr>
                <w:color w:val="1C3A36"/>
                <w:sz w:val="18"/>
              </w:rPr>
              <w:t>2026-08-17</w:t>
            </w:r>
          </w:p>
        </w:tc>
      </w:tr>
      <w:tr>
        <w:tc>
          <w:tcPr>
            <w:tcW w:type="dxa" w:w="3456"/>
          </w:tcPr>
          <w:p>
            <w:pPr>
              <w:spacing w:after="20"/>
            </w:pPr>
            <w:r>
              <w:rPr>
                <w:b/>
                <w:color w:val="1C3A36"/>
                <w:sz w:val="18"/>
              </w:rPr>
              <w:t>Fundamentals (this document)</w:t>
            </w:r>
          </w:p>
        </w:tc>
        <w:tc>
          <w:tcPr>
            <w:tcW w:type="dxa" w:w="3096"/>
          </w:tcPr>
          <w:p>
            <w:pPr>
              <w:spacing w:after="20"/>
              <w:jc w:val="right"/>
            </w:pPr>
            <w:r>
              <w:rPr>
                <w:color w:val="1C3A36"/>
                <w:sz w:val="18"/>
              </w:rPr>
              <w:t>2026-06-30</w:t>
            </w:r>
          </w:p>
        </w:tc>
        <w:tc>
          <w:tcPr>
            <w:tcW w:type="dxa" w:w="3096"/>
          </w:tcPr>
          <w:p>
            <w:pPr>
              <w:spacing w:after="20"/>
              <w:jc w:val="right"/>
            </w:pPr>
            <w:r>
              <w:rPr>
                <w:color w:val="1C3A36"/>
                <w:sz w:val="18"/>
              </w:rPr>
              <w:t>2026-08-19</w:t>
            </w:r>
          </w:p>
        </w:tc>
      </w:tr>
    </w:tbl>
    <w:p>
      <w:pPr>
        <w:spacing w:after="40"/>
      </w:pPr>
    </w:p>
    <w:p>
      <w:pPr>
        <w:spacing w:after="200" w:before="0"/>
      </w:pPr>
      <w:r>
        <w:rPr>
          <w:b w:val="0"/>
          <w:i/>
          <w:color w:val="6E7B77"/>
          <w:sz w:val="17"/>
        </w:rPr>
        <w:t>Table 13. The three clocks. Both price-side stamps read 2026-07-22 for data, four weeks before this document. Nothing in sections 2 or 3 has been recomputed.</w:t>
      </w:r>
    </w:p>
    <w:p>
      <w:pPr>
        <w:spacing w:after="120" w:before="0"/>
      </w:pPr>
      <w:r>
        <w:rPr>
          <w:b w:val="0"/>
          <w:i w:val="0"/>
          <w:color w:val="1C3A36"/>
          <w:sz w:val="21"/>
        </w:rPr>
        <w:t>The read as published: trading above the whole moving-average stack, on a rising 200-day. The price closed at EGP 15.01 above a falling twenty-day mean, a rising fifty-day and a rising two-hundred-day. Over the preceding year it ranged EGP 6.99 to EGP 16.43.</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2448"/>
      </w:tblGrid>
      <w:tr>
        <w:tc>
          <w:tcPr>
            <w:tcW w:type="dxa" w:w="2448"/>
            <w:shd w:val="clear" w:color="auto" w:fill="EAF0EE"/>
          </w:tcPr>
          <w:p>
            <w:pPr>
              <w:spacing w:after="20"/>
            </w:pPr>
            <w:r>
              <w:rPr>
                <w:b/>
                <w:color w:val="1C3A36"/>
                <w:sz w:val="18"/>
              </w:rPr>
              <w:t>Resistance</w:t>
            </w:r>
          </w:p>
        </w:tc>
        <w:tc>
          <w:tcPr>
            <w:tcW w:type="dxa" w:w="2448"/>
            <w:shd w:val="clear" w:color="auto" w:fill="EAF0EE"/>
          </w:tcPr>
          <w:p>
            <w:pPr>
              <w:spacing w:after="20"/>
            </w:pPr>
            <w:r>
              <w:rPr>
                <w:b/>
                <w:color w:val="1C3A36"/>
                <w:sz w:val="18"/>
              </w:rPr>
              <w:t>Support</w:t>
            </w:r>
          </w:p>
        </w:tc>
      </w:tr>
      <w:tr>
        <w:tc>
          <w:tcPr>
            <w:tcW w:type="dxa" w:w="2448"/>
          </w:tcPr>
          <w:p>
            <w:pPr>
              <w:spacing w:after="20"/>
              <w:jc w:val="right"/>
            </w:pPr>
            <w:r>
              <w:rPr>
                <w:color w:val="1C3A36"/>
                <w:sz w:val="18"/>
              </w:rPr>
              <w:t>16.08</w:t>
            </w:r>
          </w:p>
        </w:tc>
        <w:tc>
          <w:tcPr>
            <w:tcW w:type="dxa" w:w="2448"/>
          </w:tcPr>
          <w:p>
            <w:pPr>
              <w:spacing w:after="20"/>
              <w:jc w:val="right"/>
            </w:pPr>
            <w:r>
              <w:rPr>
                <w:color w:val="1C3A36"/>
                <w:sz w:val="18"/>
              </w:rPr>
              <w:t>14.85</w:t>
            </w:r>
          </w:p>
        </w:tc>
      </w:tr>
      <w:tr>
        <w:tc>
          <w:tcPr>
            <w:tcW w:type="dxa" w:w="2448"/>
          </w:tcPr>
          <w:p>
            <w:pPr>
              <w:spacing w:after="20"/>
              <w:jc w:val="right"/>
            </w:pPr>
            <w:r>
              <w:rPr>
                <w:color w:val="1C3A36"/>
                <w:sz w:val="18"/>
              </w:rPr>
              <w:t>16.43</w:t>
            </w:r>
          </w:p>
        </w:tc>
        <w:tc>
          <w:tcPr>
            <w:tcW w:type="dxa" w:w="2448"/>
          </w:tcPr>
          <w:p>
            <w:pPr>
              <w:spacing w:after="20"/>
              <w:jc w:val="right"/>
            </w:pPr>
            <w:r>
              <w:rPr>
                <w:color w:val="1C3A36"/>
                <w:sz w:val="18"/>
              </w:rPr>
              <w:t>14.34</w:t>
            </w:r>
          </w:p>
        </w:tc>
      </w:tr>
      <w:tr>
        <w:tc>
          <w:tcPr>
            <w:tcW w:type="dxa" w:w="2448"/>
          </w:tcPr>
          <w:p>
            <w:pPr>
              <w:spacing w:after="20"/>
              <w:jc w:val="right"/>
            </w:pPr>
            <w:r>
              <w:rPr>
                <w:color w:val="1C3A36"/>
                <w:sz w:val="18"/>
              </w:rPr>
              <w:t>17.00</w:t>
            </w:r>
          </w:p>
        </w:tc>
        <w:tc>
          <w:tcPr>
            <w:tcW w:type="dxa" w:w="2448"/>
          </w:tcPr>
          <w:p>
            <w:pPr>
              <w:spacing w:after="20"/>
              <w:jc w:val="right"/>
            </w:pPr>
            <w:r>
              <w:rPr>
                <w:color w:val="1C3A36"/>
                <w:sz w:val="18"/>
              </w:rPr>
              <w:t>13.01</w:t>
            </w:r>
          </w:p>
        </w:tc>
      </w:tr>
    </w:tbl>
    <w:p>
      <w:pPr>
        <w:spacing w:after="40"/>
      </w:pPr>
    </w:p>
    <w:p>
      <w:pPr>
        <w:spacing w:after="200" w:before="0"/>
      </w:pPr>
      <w:r>
        <w:rPr>
          <w:b w:val="0"/>
          <w:i/>
          <w:color w:val="6E7B77"/>
          <w:sz w:val="17"/>
        </w:rPr>
        <w:t>Table 14. The published level ladder, nearest first, carried forward unchanged.</w:t>
      </w:r>
    </w:p>
    <w:p>
      <w:pPr>
        <w:spacing w:after="120" w:before="280"/>
      </w:pPr>
      <w:r>
        <w:rPr>
          <w:b/>
          <w:i w:val="0"/>
          <w:color w:val="1C3A36"/>
          <w:sz w:val="30"/>
        </w:rPr>
        <w:t>3. Probabilistic price map</w:t>
      </w:r>
    </w:p>
    <w:p>
      <w:pPr>
        <w:spacing w:after="120" w:before="0"/>
      </w:pPr>
      <w:r>
        <w:rPr>
          <w:b w:val="0"/>
          <w:i w:val="0"/>
          <w:color w:val="1C3A36"/>
          <w:sz w:val="21"/>
        </w:rPr>
        <w:t>The probability map below is the last published one, struck on the 2026-07-22 close and computed on 2026-07-28. It is reproduced here without recomputation. Because this refresh moves the fundamental value and not the price data, the two should be read on their own clocks: the cone answers where the price might be in one and three months, the fundamental sections answer what the business appears to be worth.</w:t>
      </w:r>
    </w:p>
    <w:p>
      <w:pPr>
        <w:spacing w:after="120" w:before="0"/>
      </w:pPr>
      <w:r>
        <w:rPr>
          <w:b w:val="0"/>
          <w:i w:val="0"/>
          <w:color w:val="1C3A36"/>
          <w:sz w:val="19"/>
        </w:rPr>
        <w:t>A note on how much weight the cone carries. The simulation behind it was tested by re-running it across five years of history, striking a forecast every quarter and scoring the result against what actually happened, with each window scored on a scale-free basis so that a high-priced name cannot dominate a low-priced one. On this market the pooled result beats a carry-anchored random walk, which is the honest benchmark: a model that cannot beat it is adding nothing. The width of the bands, not their centre, is what the test mostly disciplines.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1181"/>
        <w:gridCol w:w="1181"/>
        <w:gridCol w:w="1296"/>
        <w:gridCol w:w="1181"/>
        <w:gridCol w:w="1181"/>
        <w:gridCol w:w="1728"/>
      </w:tblGrid>
      <w:tr>
        <w:tc>
          <w:tcPr>
            <w:tcW w:type="dxa" w:w="1728"/>
            <w:shd w:val="clear" w:color="auto" w:fill="EAF0EE"/>
          </w:tcPr>
          <w:p>
            <w:pPr>
              <w:spacing w:after="20"/>
            </w:pPr>
            <w:r>
              <w:rPr>
                <w:b/>
                <w:color w:val="1C3A36"/>
                <w:sz w:val="17"/>
              </w:rPr>
              <w:t>Horizon</w:t>
            </w:r>
          </w:p>
        </w:tc>
        <w:tc>
          <w:tcPr>
            <w:tcW w:type="dxa" w:w="1181"/>
            <w:shd w:val="clear" w:color="auto" w:fill="EAF0EE"/>
          </w:tcPr>
          <w:p>
            <w:pPr>
              <w:spacing w:after="20"/>
            </w:pPr>
            <w:r>
              <w:rPr>
                <w:b/>
                <w:color w:val="1C3A36"/>
                <w:sz w:val="17"/>
              </w:rPr>
              <w:t>5%</w:t>
            </w:r>
          </w:p>
        </w:tc>
        <w:tc>
          <w:tcPr>
            <w:tcW w:type="dxa" w:w="1181"/>
            <w:shd w:val="clear" w:color="auto" w:fill="EAF0EE"/>
          </w:tcPr>
          <w:p>
            <w:pPr>
              <w:spacing w:after="20"/>
            </w:pPr>
            <w:r>
              <w:rPr>
                <w:b/>
                <w:color w:val="1C3A36"/>
                <w:sz w:val="17"/>
              </w:rPr>
              <w:t>25%</w:t>
            </w:r>
          </w:p>
        </w:tc>
        <w:tc>
          <w:tcPr>
            <w:tcW w:type="dxa" w:w="1296"/>
            <w:shd w:val="clear" w:color="auto" w:fill="EAF0EE"/>
          </w:tcPr>
          <w:p>
            <w:pPr>
              <w:spacing w:after="20"/>
            </w:pPr>
            <w:r>
              <w:rPr>
                <w:b/>
                <w:color w:val="1C3A36"/>
                <w:sz w:val="17"/>
              </w:rPr>
              <w:t>Median</w:t>
            </w:r>
          </w:p>
        </w:tc>
        <w:tc>
          <w:tcPr>
            <w:tcW w:type="dxa" w:w="1181"/>
            <w:shd w:val="clear" w:color="auto" w:fill="EAF0EE"/>
          </w:tcPr>
          <w:p>
            <w:pPr>
              <w:spacing w:after="20"/>
            </w:pPr>
            <w:r>
              <w:rPr>
                <w:b/>
                <w:color w:val="1C3A36"/>
                <w:sz w:val="17"/>
              </w:rPr>
              <w:t>75%</w:t>
            </w:r>
          </w:p>
        </w:tc>
        <w:tc>
          <w:tcPr>
            <w:tcW w:type="dxa" w:w="1181"/>
            <w:shd w:val="clear" w:color="auto" w:fill="EAF0EE"/>
          </w:tcPr>
          <w:p>
            <w:pPr>
              <w:spacing w:after="20"/>
            </w:pPr>
            <w:r>
              <w:rPr>
                <w:b/>
                <w:color w:val="1C3A36"/>
                <w:sz w:val="17"/>
              </w:rPr>
              <w:t>95%</w:t>
            </w:r>
          </w:p>
        </w:tc>
        <w:tc>
          <w:tcPr>
            <w:tcW w:type="dxa" w:w="1728"/>
            <w:shd w:val="clear" w:color="auto" w:fill="EAF0EE"/>
          </w:tcPr>
          <w:p>
            <w:pPr>
              <w:spacing w:after="20"/>
            </w:pPr>
            <w:r>
              <w:rPr>
                <w:b/>
                <w:color w:val="1C3A36"/>
                <w:sz w:val="17"/>
              </w:rPr>
              <w:t>Resolves</w:t>
            </w:r>
          </w:p>
        </w:tc>
      </w:tr>
      <w:tr>
        <w:tc>
          <w:tcPr>
            <w:tcW w:type="dxa" w:w="1728"/>
          </w:tcPr>
          <w:p>
            <w:pPr>
              <w:spacing w:after="20"/>
            </w:pPr>
            <w:r>
              <w:rPr>
                <w:b/>
                <w:color w:val="1C3A36"/>
                <w:sz w:val="17"/>
              </w:rPr>
              <w:t>One month</w:t>
            </w:r>
          </w:p>
        </w:tc>
        <w:tc>
          <w:tcPr>
            <w:tcW w:type="dxa" w:w="1181"/>
          </w:tcPr>
          <w:p>
            <w:pPr>
              <w:spacing w:after="20"/>
              <w:jc w:val="right"/>
            </w:pPr>
            <w:r>
              <w:rPr>
                <w:color w:val="1C3A36"/>
                <w:sz w:val="17"/>
              </w:rPr>
              <w:t>12.89</w:t>
            </w:r>
          </w:p>
        </w:tc>
        <w:tc>
          <w:tcPr>
            <w:tcW w:type="dxa" w:w="1181"/>
          </w:tcPr>
          <w:p>
            <w:pPr>
              <w:spacing w:after="20"/>
              <w:jc w:val="right"/>
            </w:pPr>
            <w:r>
              <w:rPr>
                <w:color w:val="1C3A36"/>
                <w:sz w:val="17"/>
              </w:rPr>
              <w:t>14.32</w:t>
            </w:r>
          </w:p>
        </w:tc>
        <w:tc>
          <w:tcPr>
            <w:tcW w:type="dxa" w:w="1296"/>
          </w:tcPr>
          <w:p>
            <w:pPr>
              <w:spacing w:after="20"/>
              <w:jc w:val="right"/>
            </w:pPr>
            <w:r>
              <w:rPr>
                <w:color w:val="1C3A36"/>
                <w:sz w:val="17"/>
              </w:rPr>
              <w:t>15.23</w:t>
            </w:r>
          </w:p>
        </w:tc>
        <w:tc>
          <w:tcPr>
            <w:tcW w:type="dxa" w:w="1181"/>
          </w:tcPr>
          <w:p>
            <w:pPr>
              <w:spacing w:after="20"/>
              <w:jc w:val="right"/>
            </w:pPr>
            <w:r>
              <w:rPr>
                <w:color w:val="1C3A36"/>
                <w:sz w:val="17"/>
              </w:rPr>
              <w:t>16.22</w:t>
            </w:r>
          </w:p>
        </w:tc>
        <w:tc>
          <w:tcPr>
            <w:tcW w:type="dxa" w:w="1181"/>
          </w:tcPr>
          <w:p>
            <w:pPr>
              <w:spacing w:after="20"/>
              <w:jc w:val="right"/>
            </w:pPr>
            <w:r>
              <w:rPr>
                <w:color w:val="1C3A36"/>
                <w:sz w:val="17"/>
              </w:rPr>
              <w:t>18.01</w:t>
            </w:r>
          </w:p>
        </w:tc>
        <w:tc>
          <w:tcPr>
            <w:tcW w:type="dxa" w:w="1728"/>
          </w:tcPr>
          <w:p>
            <w:pPr>
              <w:spacing w:after="20"/>
              <w:jc w:val="right"/>
            </w:pPr>
            <w:r>
              <w:rPr>
                <w:color w:val="1C3A36"/>
                <w:sz w:val="17"/>
              </w:rPr>
              <w:t>2026-08-23</w:t>
            </w:r>
          </w:p>
        </w:tc>
      </w:tr>
      <w:tr>
        <w:tc>
          <w:tcPr>
            <w:tcW w:type="dxa" w:w="1728"/>
          </w:tcPr>
          <w:p>
            <w:pPr>
              <w:spacing w:after="20"/>
            </w:pPr>
            <w:r>
              <w:rPr>
                <w:b/>
                <w:color w:val="1C3A36"/>
                <w:sz w:val="17"/>
              </w:rPr>
              <w:t>Three months</w:t>
            </w:r>
          </w:p>
        </w:tc>
        <w:tc>
          <w:tcPr>
            <w:tcW w:type="dxa" w:w="1181"/>
          </w:tcPr>
          <w:p>
            <w:pPr>
              <w:spacing w:after="20"/>
              <w:jc w:val="right"/>
            </w:pPr>
            <w:r>
              <w:rPr>
                <w:color w:val="1C3A36"/>
                <w:sz w:val="17"/>
              </w:rPr>
              <w:t>11.52</w:t>
            </w:r>
          </w:p>
        </w:tc>
        <w:tc>
          <w:tcPr>
            <w:tcW w:type="dxa" w:w="1181"/>
          </w:tcPr>
          <w:p>
            <w:pPr>
              <w:spacing w:after="20"/>
              <w:jc w:val="right"/>
            </w:pPr>
            <w:r>
              <w:rPr>
                <w:color w:val="1C3A36"/>
                <w:sz w:val="17"/>
              </w:rPr>
              <w:t>14.01</w:t>
            </w:r>
          </w:p>
        </w:tc>
        <w:tc>
          <w:tcPr>
            <w:tcW w:type="dxa" w:w="1296"/>
          </w:tcPr>
          <w:p>
            <w:pPr>
              <w:spacing w:after="20"/>
              <w:jc w:val="right"/>
            </w:pPr>
            <w:r>
              <w:rPr>
                <w:color w:val="1C3A36"/>
                <w:sz w:val="17"/>
              </w:rPr>
              <w:t>15.72</w:t>
            </w:r>
          </w:p>
        </w:tc>
        <w:tc>
          <w:tcPr>
            <w:tcW w:type="dxa" w:w="1181"/>
          </w:tcPr>
          <w:p>
            <w:pPr>
              <w:spacing w:after="20"/>
              <w:jc w:val="right"/>
            </w:pPr>
            <w:r>
              <w:rPr>
                <w:color w:val="1C3A36"/>
                <w:sz w:val="17"/>
              </w:rPr>
              <w:t>17.59</w:t>
            </w:r>
          </w:p>
        </w:tc>
        <w:tc>
          <w:tcPr>
            <w:tcW w:type="dxa" w:w="1181"/>
          </w:tcPr>
          <w:p>
            <w:pPr>
              <w:spacing w:after="20"/>
              <w:jc w:val="right"/>
            </w:pPr>
            <w:r>
              <w:rPr>
                <w:color w:val="1C3A36"/>
                <w:sz w:val="17"/>
              </w:rPr>
              <w:t>21.39</w:t>
            </w:r>
          </w:p>
        </w:tc>
        <w:tc>
          <w:tcPr>
            <w:tcW w:type="dxa" w:w="1728"/>
          </w:tcPr>
          <w:p>
            <w:pPr>
              <w:spacing w:after="20"/>
              <w:jc w:val="right"/>
            </w:pPr>
            <w:r>
              <w:rPr>
                <w:color w:val="1C3A36"/>
                <w:sz w:val="17"/>
              </w:rPr>
              <w:t>2026-10-22</w:t>
            </w:r>
          </w:p>
        </w:tc>
      </w:tr>
    </w:tbl>
    <w:p>
      <w:pPr>
        <w:spacing w:after="40"/>
      </w:pPr>
    </w:p>
    <w:p>
      <w:pPr>
        <w:spacing w:after="200" w:before="0"/>
      </w:pPr>
      <w:r>
        <w:rPr>
          <w:b w:val="0"/>
          <w:i/>
          <w:color w:val="6E7B77"/>
          <w:sz w:val="17"/>
        </w:rPr>
        <w:t>Table 15. The published percentile map, EGP per share, anchored on the EGP 15.01 close of 2026-07-22.</w:t>
      </w:r>
    </w:p>
    <w:p>
      <w:pPr>
        <w:spacing w:after="40"/>
        <w:jc w:val="center"/>
      </w:pPr>
      <w:r>
        <w:drawing>
          <wp:inline xmlns:a="http://schemas.openxmlformats.org/drawingml/2006/main" xmlns:pic="http://schemas.openxmlformats.org/drawingml/2006/picture">
            <wp:extent cx="5852160" cy="3111275"/>
            <wp:docPr id="5" name="Picture 5"/>
            <wp:cNvGraphicFramePr>
              <a:graphicFrameLocks noChangeAspect="1"/>
            </wp:cNvGraphicFramePr>
            <a:graphic>
              <a:graphicData uri="http://schemas.openxmlformats.org/drawingml/2006/picture">
                <pic:pic>
                  <pic:nvPicPr>
                    <pic:cNvPr id="0" name="fig4_fan.png"/>
                    <pic:cNvPicPr/>
                  </pic:nvPicPr>
                  <pic:blipFill>
                    <a:blip r:embed="rId13"/>
                    <a:stretch>
                      <a:fillRect/>
                    </a:stretch>
                  </pic:blipFill>
                  <pic:spPr>
                    <a:xfrm>
                      <a:off x="0" y="0"/>
                      <a:ext cx="5852160" cy="3111275"/>
                    </a:xfrm>
                    <a:prstGeom prst="rect"/>
                  </pic:spPr>
                </pic:pic>
              </a:graphicData>
            </a:graphic>
          </wp:inline>
        </w:drawing>
      </w:r>
    </w:p>
    <w:p>
      <w:pPr>
        <w:spacing w:after="200" w:before="0"/>
      </w:pPr>
      <w:r>
        <w:rPr>
          <w:b w:val="0"/>
          <w:i/>
          <w:color w:val="6E7B77"/>
          <w:sz w:val="17"/>
        </w:rPr>
        <w:t>Figure 5. The published cone, with this study's fundamental base value drawn across it. The base sits inside the three-month middle half, which is not a forecast of convergence — it is simply where the two clocks happen to stand.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160"/>
        <w:gridCol w:w="3888"/>
        <w:gridCol w:w="3168"/>
      </w:tblGrid>
      <w:tr>
        <w:tc>
          <w:tcPr>
            <w:tcW w:type="dxa" w:w="2160"/>
            <w:shd w:val="clear" w:color="auto" w:fill="EAF0EE"/>
          </w:tcPr>
          <w:p>
            <w:pPr>
              <w:spacing w:after="20"/>
            </w:pPr>
            <w:r>
              <w:rPr>
                <w:b/>
                <w:color w:val="1C3A36"/>
                <w:sz w:val="17"/>
              </w:rPr>
              <w:t>Level, EGP</w:t>
            </w:r>
          </w:p>
        </w:tc>
        <w:tc>
          <w:tcPr>
            <w:tcW w:type="dxa" w:w="3888"/>
            <w:shd w:val="clear" w:color="auto" w:fill="EAF0EE"/>
          </w:tcPr>
          <w:p>
            <w:pPr>
              <w:spacing w:after="20"/>
            </w:pPr>
            <w:r>
              <w:rPr>
                <w:b/>
                <w:color w:val="1C3A36"/>
                <w:sz w:val="17"/>
              </w:rPr>
              <w:t>Chance of touching within one month</w:t>
            </w:r>
          </w:p>
        </w:tc>
        <w:tc>
          <w:tcPr>
            <w:tcW w:type="dxa" w:w="3168"/>
            <w:shd w:val="clear" w:color="auto" w:fill="EAF0EE"/>
          </w:tcPr>
          <w:p>
            <w:pPr>
              <w:spacing w:after="20"/>
            </w:pPr>
            <w:r>
              <w:rPr>
                <w:b/>
                <w:color w:val="1C3A36"/>
                <w:sz w:val="17"/>
              </w:rPr>
              <w:t>Within three months</w:t>
            </w:r>
          </w:p>
        </w:tc>
      </w:tr>
      <w:tr>
        <w:tc>
          <w:tcPr>
            <w:tcW w:type="dxa" w:w="2160"/>
          </w:tcPr>
          <w:p>
            <w:pPr>
              <w:spacing w:after="20"/>
            </w:pPr>
            <w:r>
              <w:rPr>
                <w:color w:val="1C3A36"/>
                <w:sz w:val="17"/>
              </w:rPr>
              <w:t>20.00</w:t>
            </w:r>
          </w:p>
        </w:tc>
        <w:tc>
          <w:tcPr>
            <w:tcW w:type="dxa" w:w="3888"/>
          </w:tcPr>
          <w:p>
            <w:pPr>
              <w:spacing w:after="20"/>
              <w:jc w:val="right"/>
            </w:pPr>
            <w:r>
              <w:rPr>
                <w:color w:val="1C3A36"/>
                <w:sz w:val="17"/>
              </w:rPr>
              <w:t>1%</w:t>
            </w:r>
          </w:p>
        </w:tc>
        <w:tc>
          <w:tcPr>
            <w:tcW w:type="dxa" w:w="3168"/>
          </w:tcPr>
          <w:p>
            <w:pPr>
              <w:spacing w:after="20"/>
              <w:jc w:val="right"/>
            </w:pPr>
            <w:r>
              <w:rPr>
                <w:color w:val="1C3A36"/>
                <w:sz w:val="17"/>
              </w:rPr>
              <w:t>15%</w:t>
            </w:r>
          </w:p>
        </w:tc>
      </w:tr>
      <w:tr>
        <w:tc>
          <w:tcPr>
            <w:tcW w:type="dxa" w:w="2160"/>
          </w:tcPr>
          <w:p>
            <w:pPr>
              <w:spacing w:after="20"/>
            </w:pPr>
            <w:r>
              <w:rPr>
                <w:color w:val="1C3A36"/>
                <w:sz w:val="17"/>
              </w:rPr>
              <w:t>18.50</w:t>
            </w:r>
          </w:p>
        </w:tc>
        <w:tc>
          <w:tcPr>
            <w:tcW w:type="dxa" w:w="3888"/>
          </w:tcPr>
          <w:p>
            <w:pPr>
              <w:spacing w:after="20"/>
              <w:jc w:val="right"/>
            </w:pPr>
            <w:r>
              <w:rPr>
                <w:color w:val="1C3A36"/>
                <w:sz w:val="17"/>
              </w:rPr>
              <w:t>5%</w:t>
            </w:r>
          </w:p>
        </w:tc>
        <w:tc>
          <w:tcPr>
            <w:tcW w:type="dxa" w:w="3168"/>
          </w:tcPr>
          <w:p>
            <w:pPr>
              <w:spacing w:after="20"/>
              <w:jc w:val="right"/>
            </w:pPr>
            <w:r>
              <w:rPr>
                <w:color w:val="1C3A36"/>
                <w:sz w:val="17"/>
              </w:rPr>
              <w:t>28%</w:t>
            </w:r>
          </w:p>
        </w:tc>
      </w:tr>
      <w:tr>
        <w:tc>
          <w:tcPr>
            <w:tcW w:type="dxa" w:w="2160"/>
          </w:tcPr>
          <w:p>
            <w:pPr>
              <w:spacing w:after="20"/>
            </w:pPr>
            <w:r>
              <w:rPr>
                <w:color w:val="1C3A36"/>
                <w:sz w:val="17"/>
              </w:rPr>
              <w:t>17.50</w:t>
            </w:r>
          </w:p>
        </w:tc>
        <w:tc>
          <w:tcPr>
            <w:tcW w:type="dxa" w:w="3888"/>
          </w:tcPr>
          <w:p>
            <w:pPr>
              <w:spacing w:after="20"/>
              <w:jc w:val="right"/>
            </w:pPr>
            <w:r>
              <w:rPr>
                <w:color w:val="1C3A36"/>
                <w:sz w:val="17"/>
              </w:rPr>
              <w:t>12%</w:t>
            </w:r>
          </w:p>
        </w:tc>
        <w:tc>
          <w:tcPr>
            <w:tcW w:type="dxa" w:w="3168"/>
          </w:tcPr>
          <w:p>
            <w:pPr>
              <w:spacing w:after="20"/>
              <w:jc w:val="right"/>
            </w:pPr>
            <w:r>
              <w:rPr>
                <w:color w:val="1C3A36"/>
                <w:sz w:val="17"/>
              </w:rPr>
              <w:t>42%</w:t>
            </w:r>
          </w:p>
        </w:tc>
      </w:tr>
      <w:tr>
        <w:tc>
          <w:tcPr>
            <w:tcW w:type="dxa" w:w="2160"/>
          </w:tcPr>
          <w:p>
            <w:pPr>
              <w:spacing w:after="20"/>
            </w:pPr>
            <w:r>
              <w:rPr>
                <w:color w:val="1C3A36"/>
                <w:sz w:val="17"/>
              </w:rPr>
              <w:t>16.50</w:t>
            </w:r>
          </w:p>
        </w:tc>
        <w:tc>
          <w:tcPr>
            <w:tcW w:type="dxa" w:w="3888"/>
          </w:tcPr>
          <w:p>
            <w:pPr>
              <w:spacing w:after="20"/>
              <w:jc w:val="right"/>
            </w:pPr>
            <w:r>
              <w:rPr>
                <w:color w:val="1C3A36"/>
                <w:sz w:val="17"/>
              </w:rPr>
              <w:t>31%</w:t>
            </w:r>
          </w:p>
        </w:tc>
        <w:tc>
          <w:tcPr>
            <w:tcW w:type="dxa" w:w="3168"/>
          </w:tcPr>
          <w:p>
            <w:pPr>
              <w:spacing w:after="20"/>
              <w:jc w:val="right"/>
            </w:pPr>
            <w:r>
              <w:rPr>
                <w:color w:val="1C3A36"/>
                <w:sz w:val="17"/>
              </w:rPr>
              <w:t>62%</w:t>
            </w:r>
          </w:p>
        </w:tc>
      </w:tr>
      <w:tr>
        <w:tc>
          <w:tcPr>
            <w:tcW w:type="dxa" w:w="2160"/>
          </w:tcPr>
          <w:p>
            <w:pPr>
              <w:spacing w:after="20"/>
            </w:pPr>
            <w:r>
              <w:rPr>
                <w:color w:val="1C3A36"/>
                <w:sz w:val="17"/>
              </w:rPr>
              <w:t>15.55</w:t>
            </w:r>
          </w:p>
        </w:tc>
        <w:tc>
          <w:tcPr>
            <w:tcW w:type="dxa" w:w="3888"/>
          </w:tcPr>
          <w:p>
            <w:pPr>
              <w:spacing w:after="20"/>
              <w:jc w:val="right"/>
            </w:pPr>
            <w:r>
              <w:rPr>
                <w:color w:val="1C3A36"/>
                <w:sz w:val="17"/>
              </w:rPr>
              <w:t>66%</w:t>
            </w:r>
          </w:p>
        </w:tc>
        <w:tc>
          <w:tcPr>
            <w:tcW w:type="dxa" w:w="3168"/>
          </w:tcPr>
          <w:p>
            <w:pPr>
              <w:spacing w:after="20"/>
              <w:jc w:val="right"/>
            </w:pPr>
            <w:r>
              <w:rPr>
                <w:color w:val="1C3A36"/>
                <w:sz w:val="17"/>
              </w:rPr>
              <w:t>83%</w:t>
            </w:r>
          </w:p>
        </w:tc>
      </w:tr>
    </w:tbl>
    <w:p>
      <w:pPr>
        <w:spacing w:after="40"/>
      </w:pPr>
    </w:p>
    <w:p>
      <w:pPr>
        <w:spacing w:after="200" w:before="0"/>
      </w:pPr>
      <w:r>
        <w:rPr>
          <w:b w:val="0"/>
          <w:i/>
          <w:color w:val="6E7B77"/>
          <w:sz w:val="17"/>
        </w:rPr>
        <w:t>Table 16. Level-touch probabilities as published. A descriptive output of the simulation: how often paths reach each level, nothing more.</w:t>
      </w:r>
    </w:p>
    <w:p>
      <w:pPr>
        <w:spacing w:after="40"/>
        <w:jc w:val="center"/>
      </w:pPr>
      <w:r>
        <w:drawing>
          <wp:inline xmlns:a="http://schemas.openxmlformats.org/drawingml/2006/main" xmlns:pic="http://schemas.openxmlformats.org/drawingml/2006/picture">
            <wp:extent cx="5760720" cy="3075639"/>
            <wp:docPr id="6" name="Picture 6"/>
            <wp:cNvGraphicFramePr>
              <a:graphicFrameLocks noChangeAspect="1"/>
            </wp:cNvGraphicFramePr>
            <a:graphic>
              <a:graphicData uri="http://schemas.openxmlformats.org/drawingml/2006/picture">
                <pic:pic>
                  <pic:nvPicPr>
                    <pic:cNvPr id="0" name="fig5_dist.png"/>
                    <pic:cNvPicPr/>
                  </pic:nvPicPr>
                  <pic:blipFill>
                    <a:blip r:embed="rId14"/>
                    <a:stretch>
                      <a:fillRect/>
                    </a:stretch>
                  </pic:blipFill>
                  <pic:spPr>
                    <a:xfrm>
                      <a:off x="0" y="0"/>
                      <a:ext cx="5760720" cy="3075639"/>
                    </a:xfrm>
                    <a:prstGeom prst="rect"/>
                  </pic:spPr>
                </pic:pic>
              </a:graphicData>
            </a:graphic>
          </wp:inline>
        </w:drawing>
      </w:r>
    </w:p>
    <w:p>
      <w:pPr>
        <w:spacing w:after="200" w:before="0"/>
      </w:pPr>
      <w:r>
        <w:rPr>
          <w:b w:val="0"/>
          <w:i/>
          <w:color w:val="6E7B77"/>
          <w:sz w:val="17"/>
        </w:rPr>
        <w:t>Figure 6. The one-month distribution as published.</w:t>
      </w:r>
    </w:p>
    <w:p>
      <w:pPr>
        <w:spacing w:after="40"/>
        <w:jc w:val="center"/>
      </w:pPr>
      <w:r>
        <w:drawing>
          <wp:inline xmlns:a="http://schemas.openxmlformats.org/drawingml/2006/main" xmlns:pic="http://schemas.openxmlformats.org/drawingml/2006/picture">
            <wp:extent cx="5760720" cy="3037032"/>
            <wp:docPr id="7" name="Picture 7"/>
            <wp:cNvGraphicFramePr>
              <a:graphicFrameLocks noChangeAspect="1"/>
            </wp:cNvGraphicFramePr>
            <a:graphic>
              <a:graphicData uri="http://schemas.openxmlformats.org/drawingml/2006/picture">
                <pic:pic>
                  <pic:nvPicPr>
                    <pic:cNvPr id="0" name="fig6_dist.png"/>
                    <pic:cNvPicPr/>
                  </pic:nvPicPr>
                  <pic:blipFill>
                    <a:blip r:embed="rId15"/>
                    <a:stretch>
                      <a:fillRect/>
                    </a:stretch>
                  </pic:blipFill>
                  <pic:spPr>
                    <a:xfrm>
                      <a:off x="0" y="0"/>
                      <a:ext cx="5760720" cy="3037032"/>
                    </a:xfrm>
                    <a:prstGeom prst="rect"/>
                  </pic:spPr>
                </pic:pic>
              </a:graphicData>
            </a:graphic>
          </wp:inline>
        </w:drawing>
      </w:r>
    </w:p>
    <w:p>
      <w:pPr>
        <w:spacing w:after="200" w:before="0"/>
      </w:pPr>
      <w:r>
        <w:rPr>
          <w:b w:val="0"/>
          <w:i/>
          <w:color w:val="6E7B77"/>
          <w:sz w:val="17"/>
        </w:rPr>
        <w:t>Figure 7. The three-month distribution as published.</w:t>
      </w:r>
    </w:p>
    <w:p>
      <w:pPr>
        <w:spacing w:after="120" w:before="280"/>
      </w:pPr>
      <w:r>
        <w:rPr>
          <w:b/>
          <w:i w:val="0"/>
          <w:color w:val="1C3A36"/>
          <w:sz w:val="30"/>
        </w:rPr>
        <w:t>4. Comparison of the lenses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728"/>
        <w:gridCol w:w="2664"/>
        <w:gridCol w:w="1656"/>
        <w:gridCol w:w="4104"/>
      </w:tblGrid>
      <w:tr>
        <w:tc>
          <w:tcPr>
            <w:tcW w:type="dxa" w:w="1728"/>
            <w:shd w:val="clear" w:color="auto" w:fill="EAF0EE"/>
          </w:tcPr>
          <w:p>
            <w:pPr>
              <w:spacing w:after="20"/>
            </w:pPr>
            <w:r>
              <w:rPr>
                <w:b/>
                <w:color w:val="1C3A36"/>
                <w:sz w:val="16"/>
              </w:rPr>
              <w:t>Lens</w:t>
            </w:r>
          </w:p>
        </w:tc>
        <w:tc>
          <w:tcPr>
            <w:tcW w:type="dxa" w:w="2664"/>
            <w:shd w:val="clear" w:color="auto" w:fill="EAF0EE"/>
          </w:tcPr>
          <w:p>
            <w:pPr>
              <w:spacing w:after="20"/>
              <w:jc w:val="left"/>
            </w:pPr>
            <w:r>
              <w:rPr>
                <w:b/>
                <w:color w:val="1C3A36"/>
                <w:sz w:val="16"/>
              </w:rPr>
              <w:t>What it says</w:t>
            </w:r>
          </w:p>
        </w:tc>
        <w:tc>
          <w:tcPr>
            <w:tcW w:type="dxa" w:w="1656"/>
            <w:shd w:val="clear" w:color="auto" w:fill="EAF0EE"/>
          </w:tcPr>
          <w:p>
            <w:pPr>
              <w:spacing w:after="20"/>
              <w:jc w:val="left"/>
            </w:pPr>
            <w:r>
              <w:rPr>
                <w:b/>
                <w:color w:val="1C3A36"/>
                <w:sz w:val="16"/>
              </w:rPr>
              <w:t>On what clock</w:t>
            </w:r>
          </w:p>
        </w:tc>
        <w:tc>
          <w:tcPr>
            <w:tcW w:type="dxa" w:w="4104"/>
            <w:shd w:val="clear" w:color="auto" w:fill="EAF0EE"/>
          </w:tcPr>
          <w:p>
            <w:pPr>
              <w:spacing w:after="20"/>
              <w:jc w:val="left"/>
            </w:pPr>
            <w:r>
              <w:rPr>
                <w:b/>
                <w:color w:val="1C3A36"/>
                <w:sz w:val="16"/>
              </w:rPr>
              <w:t>Where it can be wrong</w:t>
            </w:r>
          </w:p>
        </w:tc>
      </w:tr>
      <w:tr>
        <w:tc>
          <w:tcPr>
            <w:tcW w:type="dxa" w:w="1728"/>
          </w:tcPr>
          <w:p>
            <w:pPr>
              <w:spacing w:after="20"/>
            </w:pPr>
            <w:r>
              <w:rPr>
                <w:b/>
                <w:color w:val="1C3A36"/>
                <w:sz w:val="16"/>
              </w:rPr>
              <w:t>Cash flow</w:t>
            </w:r>
          </w:p>
        </w:tc>
        <w:tc>
          <w:tcPr>
            <w:tcW w:type="dxa" w:w="2664"/>
          </w:tcPr>
          <w:p>
            <w:pPr>
              <w:spacing w:after="20"/>
              <w:jc w:val="left"/>
            </w:pPr>
            <w:r>
              <w:rPr>
                <w:color w:val="1C3A36"/>
                <w:sz w:val="16"/>
              </w:rPr>
              <w:t>EGP 11.67 to EGP 34.56 under the adopted framing; EGP -4.82 to EGP 6.51 under the other</w:t>
            </w:r>
          </w:p>
        </w:tc>
        <w:tc>
          <w:tcPr>
            <w:tcW w:type="dxa" w:w="1656"/>
          </w:tcPr>
          <w:p>
            <w:pPr>
              <w:spacing w:after="20"/>
              <w:jc w:val="left"/>
            </w:pPr>
            <w:r>
              <w:rPr>
                <w:color w:val="1C3A36"/>
                <w:sz w:val="16"/>
              </w:rPr>
              <w:t>five and a half years plus a terminal value</w:t>
            </w:r>
          </w:p>
        </w:tc>
        <w:tc>
          <w:tcPr>
            <w:tcW w:type="dxa" w:w="4104"/>
          </w:tcPr>
          <w:p>
            <w:pPr>
              <w:spacing w:after="20"/>
              <w:jc w:val="left"/>
            </w:pPr>
            <w:r>
              <w:rPr>
                <w:color w:val="1C3A36"/>
                <w:sz w:val="16"/>
              </w:rPr>
              <w:t>The terminal carries 74% of the value under framing A and 88% under framing B. A model that leans that hard on year six is fragile by construction, and the study says so rather than burying it.</w:t>
            </w:r>
          </w:p>
        </w:tc>
      </w:tr>
      <w:tr>
        <w:tc>
          <w:tcPr>
            <w:tcW w:type="dxa" w:w="1728"/>
          </w:tcPr>
          <w:p>
            <w:pPr>
              <w:spacing w:after="20"/>
            </w:pPr>
            <w:r>
              <w:rPr>
                <w:b/>
                <w:color w:val="1C3A36"/>
                <w:sz w:val="16"/>
              </w:rPr>
              <w:t>Book value and return</w:t>
            </w:r>
          </w:p>
        </w:tc>
        <w:tc>
          <w:tcPr>
            <w:tcW w:type="dxa" w:w="2664"/>
          </w:tcPr>
          <w:p>
            <w:pPr>
              <w:spacing w:after="20"/>
              <w:jc w:val="left"/>
            </w:pPr>
            <w:r>
              <w:rPr>
                <w:color w:val="1C3A36"/>
                <w:sz w:val="16"/>
              </w:rPr>
              <w:t>EGP 4.35 at the spot cost of equity, EGP 10.02 at the normalised one</w:t>
            </w:r>
          </w:p>
        </w:tc>
        <w:tc>
          <w:tcPr>
            <w:tcW w:type="dxa" w:w="1656"/>
          </w:tcPr>
          <w:p>
            <w:pPr>
              <w:spacing w:after="20"/>
              <w:jc w:val="left"/>
            </w:pPr>
            <w:r>
              <w:rPr>
                <w:color w:val="1C3A36"/>
                <w:sz w:val="16"/>
              </w:rPr>
              <w:t>today</w:t>
            </w:r>
          </w:p>
        </w:tc>
        <w:tc>
          <w:tcPr>
            <w:tcW w:type="dxa" w:w="4104"/>
          </w:tcPr>
          <w:p>
            <w:pPr>
              <w:spacing w:after="20"/>
              <w:jc w:val="left"/>
            </w:pPr>
            <w:r>
              <w:rPr>
                <w:color w:val="1C3A36"/>
                <w:sz w:val="16"/>
              </w:rPr>
              <w:t>It assumes the trailing return on equity of 22.2% is sustainable. Half of that return is the unwinding of discount on instalment receivables and the return on the treasury-bill book, neither of which is an operating return.</w:t>
            </w:r>
          </w:p>
        </w:tc>
      </w:tr>
      <w:tr>
        <w:tc>
          <w:tcPr>
            <w:tcW w:type="dxa" w:w="1728"/>
          </w:tcPr>
          <w:p>
            <w:pPr>
              <w:spacing w:after="20"/>
            </w:pPr>
            <w:r>
              <w:rPr>
                <w:b/>
                <w:color w:val="1C3A36"/>
                <w:sz w:val="16"/>
              </w:rPr>
              <w:t>Relative multiples</w:t>
            </w:r>
          </w:p>
        </w:tc>
        <w:tc>
          <w:tcPr>
            <w:tcW w:type="dxa" w:w="2664"/>
          </w:tcPr>
          <w:p>
            <w:pPr>
              <w:spacing w:after="20"/>
              <w:jc w:val="left"/>
            </w:pPr>
            <w:r>
              <w:rPr>
                <w:color w:val="1C3A36"/>
                <w:sz w:val="16"/>
              </w:rPr>
              <w:t>EGP 9.68 to EGP 12.15</w:t>
            </w:r>
          </w:p>
        </w:tc>
        <w:tc>
          <w:tcPr>
            <w:tcW w:type="dxa" w:w="1656"/>
          </w:tcPr>
          <w:p>
            <w:pPr>
              <w:spacing w:after="20"/>
              <w:jc w:val="left"/>
            </w:pPr>
            <w:r>
              <w:rPr>
                <w:color w:val="1C3A36"/>
                <w:sz w:val="16"/>
              </w:rPr>
              <w:t>today</w:t>
            </w:r>
          </w:p>
        </w:tc>
        <w:tc>
          <w:tcPr>
            <w:tcW w:type="dxa" w:w="4104"/>
          </w:tcPr>
          <w:p>
            <w:pPr>
              <w:spacing w:after="20"/>
              <w:jc w:val="left"/>
            </w:pPr>
            <w:r>
              <w:rPr>
                <w:color w:val="1C3A36"/>
                <w:sz w:val="16"/>
              </w:rPr>
              <w:t>Egyptian peers trade at 6.10x to 10.20x because the country risk premium is 9.3%. Marking Palm Hills to them prices in that risk twice if the cash-flow lens has already discounted for it.</w:t>
            </w:r>
          </w:p>
        </w:tc>
      </w:tr>
      <w:tr>
        <w:tc>
          <w:tcPr>
            <w:tcW w:type="dxa" w:w="1728"/>
          </w:tcPr>
          <w:p>
            <w:pPr>
              <w:spacing w:after="20"/>
            </w:pPr>
            <w:r>
              <w:rPr>
                <w:b/>
                <w:color w:val="1C3A36"/>
                <w:sz w:val="16"/>
              </w:rPr>
              <w:t>Normalised earnings</w:t>
            </w:r>
          </w:p>
        </w:tc>
        <w:tc>
          <w:tcPr>
            <w:tcW w:type="dxa" w:w="2664"/>
          </w:tcPr>
          <w:p>
            <w:pPr>
              <w:spacing w:after="20"/>
              <w:jc w:val="left"/>
            </w:pPr>
            <w:r>
              <w:rPr>
                <w:color w:val="1C3A36"/>
                <w:sz w:val="16"/>
              </w:rPr>
              <w:t>EGP 11.69 to EGP 12.21</w:t>
            </w:r>
          </w:p>
        </w:tc>
        <w:tc>
          <w:tcPr>
            <w:tcW w:type="dxa" w:w="1656"/>
          </w:tcPr>
          <w:p>
            <w:pPr>
              <w:spacing w:after="20"/>
              <w:jc w:val="left"/>
            </w:pPr>
            <w:r>
              <w:rPr>
                <w:color w:val="1C3A36"/>
                <w:sz w:val="16"/>
              </w:rPr>
              <w:t>mid-cycle</w:t>
            </w:r>
          </w:p>
        </w:tc>
        <w:tc>
          <w:tcPr>
            <w:tcW w:type="dxa" w:w="4104"/>
          </w:tcPr>
          <w:p>
            <w:pPr>
              <w:spacing w:after="20"/>
              <w:jc w:val="left"/>
            </w:pPr>
            <w:r>
              <w:rPr>
                <w:color w:val="1C3A36"/>
                <w:sz w:val="16"/>
              </w:rPr>
              <w:t>The mid-cycle margin of 20.7% is an average of three periods, one of which is a half-year. Three observations is not a cycle.</w:t>
            </w:r>
          </w:p>
        </w:tc>
      </w:tr>
    </w:tbl>
    <w:p>
      <w:pPr>
        <w:spacing w:after="40"/>
      </w:pPr>
    </w:p>
    <w:p>
      <w:pPr>
        <w:spacing w:after="200" w:before="0"/>
      </w:pPr>
      <w:r>
        <w:rPr>
          <w:b w:val="0"/>
          <w:i/>
          <w:color w:val="6E7B77"/>
          <w:sz w:val="17"/>
        </w:rPr>
        <w:t>Table 17. Where the lenses agree and where they do not. Three of the four cluster between EGP 4.35 and EGP 12.21. The cash-flow lens is the outlier in both directions, and the reason is the float.</w:t>
      </w:r>
    </w:p>
    <w:p>
      <w:pPr>
        <w:spacing w:after="120" w:before="0"/>
      </w:pPr>
      <w:r>
        <w:rPr>
          <w:b w:val="0"/>
          <w:i w:val="0"/>
          <w:color w:val="1C3A36"/>
          <w:sz w:val="21"/>
        </w:rPr>
        <w:t>The verdict. Three lenses that do not depend on the contested judgement put the shares between EGP 4.35 and EGP 12.21 against a market price of EGP 15.01 — that is, expensive. The cash-flow lens agrees with them under framing B and disagrees violently under framing A. So the whole argument for the current price rests on the float being permanent funding and on Egyptian rates normalising. Neither is unreasonable. Both are assumptions, and this study prices them rather than assuming them away.</w:t>
      </w:r>
    </w:p>
    <w:p>
      <w:pPr>
        <w:spacing w:after="120" w:before="280"/>
      </w:pPr>
      <w:r>
        <w:rPr>
          <w:b/>
          <w:i w:val="0"/>
          <w:color w:val="1C3A36"/>
          <w:sz w:val="30"/>
        </w:rPr>
        <w:t>5. Catalysts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880"/>
        <w:gridCol w:w="1800"/>
        <w:gridCol w:w="5472"/>
      </w:tblGrid>
      <w:tr>
        <w:tc>
          <w:tcPr>
            <w:tcW w:type="dxa" w:w="2880"/>
            <w:shd w:val="clear" w:color="auto" w:fill="EAF0EE"/>
          </w:tcPr>
          <w:p>
            <w:pPr>
              <w:spacing w:after="20"/>
            </w:pPr>
            <w:r>
              <w:rPr>
                <w:b/>
                <w:color w:val="1C3A36"/>
                <w:sz w:val="16"/>
              </w:rPr>
              <w:t>What</w:t>
            </w:r>
          </w:p>
        </w:tc>
        <w:tc>
          <w:tcPr>
            <w:tcW w:type="dxa" w:w="1800"/>
            <w:shd w:val="clear" w:color="auto" w:fill="EAF0EE"/>
          </w:tcPr>
          <w:p>
            <w:pPr>
              <w:spacing w:after="20"/>
              <w:jc w:val="left"/>
            </w:pPr>
            <w:r>
              <w:rPr>
                <w:b/>
                <w:color w:val="1C3A36"/>
                <w:sz w:val="16"/>
              </w:rPr>
              <w:t>When</w:t>
            </w:r>
          </w:p>
        </w:tc>
        <w:tc>
          <w:tcPr>
            <w:tcW w:type="dxa" w:w="5472"/>
            <w:shd w:val="clear" w:color="auto" w:fill="EAF0EE"/>
          </w:tcPr>
          <w:p>
            <w:pPr>
              <w:spacing w:after="20"/>
              <w:jc w:val="left"/>
            </w:pPr>
            <w:r>
              <w:rPr>
                <w:b/>
                <w:color w:val="1C3A36"/>
                <w:sz w:val="16"/>
              </w:rPr>
              <w:t>Why it matters here</w:t>
            </w:r>
          </w:p>
        </w:tc>
      </w:tr>
      <w:tr>
        <w:tc>
          <w:tcPr>
            <w:tcW w:type="dxa" w:w="2880"/>
          </w:tcPr>
          <w:p>
            <w:pPr>
              <w:spacing w:after="20"/>
            </w:pPr>
            <w:r>
              <w:rPr>
                <w:b/>
                <w:color w:val="1C3A36"/>
                <w:sz w:val="16"/>
              </w:rPr>
              <w:t>The results release for the first half</w:t>
            </w:r>
          </w:p>
        </w:tc>
        <w:tc>
          <w:tcPr>
            <w:tcW w:type="dxa" w:w="1800"/>
          </w:tcPr>
          <w:p>
            <w:pPr>
              <w:spacing w:after="20"/>
              <w:jc w:val="left"/>
            </w:pPr>
            <w:r>
              <w:rPr>
                <w:color w:val="1C3A36"/>
                <w:sz w:val="16"/>
              </w:rPr>
              <w:t>expected imminently</w:t>
            </w:r>
          </w:p>
        </w:tc>
        <w:tc>
          <w:tcPr>
            <w:tcW w:type="dxa" w:w="5472"/>
          </w:tcPr>
          <w:p>
            <w:pPr>
              <w:spacing w:after="20"/>
              <w:jc w:val="left"/>
            </w:pPr>
            <w:r>
              <w:rPr>
                <w:color w:val="1C3A36"/>
                <w:sz w:val="16"/>
              </w:rPr>
              <w:t>It was not published on the company's own channel as of 19 August 2026 — the newest financial result there is the first-quarter release of 20 May. Press reporting attributes a record backlog of EGP 284bn and EGP 75bn of launch sales to it. None of that has been verified against a company document and no number in this study reads it.</w:t>
            </w:r>
          </w:p>
        </w:tc>
      </w:tr>
      <w:tr>
        <w:tc>
          <w:tcPr>
            <w:tcW w:type="dxa" w:w="2880"/>
          </w:tcPr>
          <w:p>
            <w:pPr>
              <w:spacing w:after="20"/>
            </w:pPr>
            <w:r>
              <w:rPr>
                <w:b/>
                <w:color w:val="1C3A36"/>
                <w:sz w:val="16"/>
              </w:rPr>
              <w:t>The audited statements for 2025</w:t>
            </w:r>
          </w:p>
        </w:tc>
        <w:tc>
          <w:tcPr>
            <w:tcW w:type="dxa" w:w="1800"/>
          </w:tcPr>
          <w:p>
            <w:pPr>
              <w:spacing w:after="20"/>
              <w:jc w:val="left"/>
            </w:pPr>
            <w:r>
              <w:rPr>
                <w:color w:val="1C3A36"/>
                <w:sz w:val="16"/>
              </w:rPr>
              <w:t>overdue</w:t>
            </w:r>
          </w:p>
        </w:tc>
        <w:tc>
          <w:tcPr>
            <w:tcW w:type="dxa" w:w="5472"/>
          </w:tcPr>
          <w:p>
            <w:pPr>
              <w:spacing w:after="20"/>
              <w:jc w:val="left"/>
            </w:pPr>
            <w:r>
              <w:rPr>
                <w:color w:val="1C3A36"/>
                <w:sz w:val="16"/>
              </w:rPr>
              <w:t>Neither the 2025 annual statements nor a 2025 results release is published on the company's investor-relations channel. That is why the three-year history in appendix A shows blanks for 2025 gross profit and finance costs rather than estimates.</w:t>
            </w:r>
          </w:p>
        </w:tc>
      </w:tr>
      <w:tr>
        <w:tc>
          <w:tcPr>
            <w:tcW w:type="dxa" w:w="2880"/>
          </w:tcPr>
          <w:p>
            <w:pPr>
              <w:spacing w:after="20"/>
            </w:pPr>
            <w:r>
              <w:rPr>
                <w:b/>
                <w:color w:val="1C3A36"/>
                <w:sz w:val="16"/>
              </w:rPr>
              <w:t>A residents' association taking legal personality</w:t>
            </w:r>
          </w:p>
        </w:tc>
        <w:tc>
          <w:tcPr>
            <w:tcW w:type="dxa" w:w="1800"/>
          </w:tcPr>
          <w:p>
            <w:pPr>
              <w:spacing w:after="20"/>
              <w:jc w:val="left"/>
            </w:pPr>
            <w:r>
              <w:rPr>
                <w:color w:val="1C3A36"/>
                <w:sz w:val="16"/>
              </w:rPr>
              <w:t>unscheduled</w:t>
            </w:r>
          </w:p>
        </w:tc>
        <w:tc>
          <w:tcPr>
            <w:tcW w:type="dxa" w:w="5472"/>
          </w:tcPr>
          <w:p>
            <w:pPr>
              <w:spacing w:after="20"/>
              <w:jc w:val="left"/>
            </w:pPr>
            <w:r>
              <w:rPr>
                <w:color w:val="1C3A36"/>
                <w:sz w:val="16"/>
              </w:rPr>
              <w:t>This is the falsifier for the base case. Under Building Law 119 the assets and liabilities held for an association separate in its favour on constitution. The first one to do so at scale converts the study from framing A to framing B, which is worth EGP 10.02 a share.</w:t>
            </w:r>
          </w:p>
        </w:tc>
      </w:tr>
      <w:tr>
        <w:tc>
          <w:tcPr>
            <w:tcW w:type="dxa" w:w="2880"/>
          </w:tcPr>
          <w:p>
            <w:pPr>
              <w:spacing w:after="20"/>
            </w:pPr>
            <w:r>
              <w:rPr>
                <w:b/>
                <w:color w:val="1C3A36"/>
                <w:sz w:val="16"/>
              </w:rPr>
              <w:t>The central bank's rate decision and the inflation print</w:t>
            </w:r>
          </w:p>
        </w:tc>
        <w:tc>
          <w:tcPr>
            <w:tcW w:type="dxa" w:w="1800"/>
          </w:tcPr>
          <w:p>
            <w:pPr>
              <w:spacing w:after="20"/>
              <w:jc w:val="left"/>
            </w:pPr>
            <w:r>
              <w:rPr>
                <w:color w:val="1C3A36"/>
                <w:sz w:val="16"/>
              </w:rPr>
              <w:t>monthly</w:t>
            </w:r>
          </w:p>
        </w:tc>
        <w:tc>
          <w:tcPr>
            <w:tcW w:type="dxa" w:w="5472"/>
          </w:tcPr>
          <w:p>
            <w:pPr>
              <w:spacing w:after="20"/>
              <w:jc w:val="left"/>
            </w:pPr>
            <w:r>
              <w:rPr>
                <w:color w:val="1C3A36"/>
                <w:sz w:val="16"/>
              </w:rPr>
              <w:t>The whole gap between the spot and normalised costs of capital is a bet on the disinflation path. July's urban print of 14.9% was the first acceleration in four months.</w:t>
            </w:r>
          </w:p>
        </w:tc>
      </w:tr>
      <w:tr>
        <w:tc>
          <w:tcPr>
            <w:tcW w:type="dxa" w:w="2880"/>
          </w:tcPr>
          <w:p>
            <w:pPr>
              <w:spacing w:after="20"/>
            </w:pPr>
            <w:r>
              <w:rPr>
                <w:b/>
                <w:color w:val="1C3A36"/>
                <w:sz w:val="16"/>
              </w:rPr>
              <w:t>Third-quarter results</w:t>
            </w:r>
          </w:p>
        </w:tc>
        <w:tc>
          <w:tcPr>
            <w:tcW w:type="dxa" w:w="1800"/>
          </w:tcPr>
          <w:p>
            <w:pPr>
              <w:spacing w:after="20"/>
              <w:jc w:val="left"/>
            </w:pPr>
            <w:r>
              <w:rPr>
                <w:color w:val="1C3A36"/>
                <w:sz w:val="16"/>
              </w:rPr>
              <w:t>November</w:t>
            </w:r>
          </w:p>
        </w:tc>
        <w:tc>
          <w:tcPr>
            <w:tcW w:type="dxa" w:w="5472"/>
          </w:tcPr>
          <w:p>
            <w:pPr>
              <w:spacing w:after="20"/>
              <w:jc w:val="left"/>
            </w:pPr>
            <w:r>
              <w:rPr>
                <w:color w:val="1C3A36"/>
                <w:sz w:val="16"/>
              </w:rPr>
              <w:t>The first period in which the North Coast launch sales, whatever they prove to be, are recognised as contracted sales — and the first read on whether the crux ratio held.</w:t>
            </w:r>
          </w:p>
        </w:tc>
      </w:tr>
    </w:tbl>
    <w:p>
      <w:pPr>
        <w:spacing w:after="40"/>
      </w:pPr>
    </w:p>
    <w:p>
      <w:pPr>
        <w:spacing w:after="200" w:before="0"/>
      </w:pPr>
      <w:r>
        <w:rPr>
          <w:b w:val="0"/>
          <w:i/>
          <w:color w:val="6E7B77"/>
          <w:sz w:val="17"/>
        </w:rPr>
        <w:t>Table 18. What would move this, and in which direction.</w:t>
      </w:r>
    </w:p>
    <w:p>
      <w:pPr>
        <w:spacing w:after="120" w:before="280"/>
      </w:pPr>
      <w:r>
        <w:rPr>
          <w:b/>
          <w:i w:val="0"/>
          <w:color w:val="1C3A36"/>
          <w:sz w:val="30"/>
        </w:rPr>
        <w:t>6. Reading the probability zones</w:t>
      </w:r>
    </w:p>
    <w:p>
      <w:pPr>
        <w:spacing w:after="120" w:before="0"/>
      </w:pPr>
      <w:r>
        <w:rPr>
          <w:b w:val="0"/>
          <w:i w:val="0"/>
          <w:color w:val="1C3A36"/>
          <w:sz w:val="21"/>
        </w:rPr>
        <w:t>This section translates the published map into the price zones where the lenses say something analytically distinct. It is a description of a distribution, not a plan, and it is not calibrated to any reader's circumstances.</w:t>
      </w:r>
    </w:p>
    <w:p>
      <w:pPr>
        <w:pStyle w:val="ListBullet"/>
        <w:spacing w:after="60"/>
      </w:pPr>
      <w:r>
        <w:rPr>
          <w:b/>
          <w:color w:val="1C3A36"/>
          <w:sz w:val="21"/>
        </w:rPr>
        <w:t xml:space="preserve">Below EGP 12.21 — </w:t>
      </w:r>
      <w:r>
        <w:rPr>
          <w:color w:val="1C3A36"/>
          <w:sz w:val="21"/>
        </w:rPr>
        <w:t>the three lenses that do not depend on the contested judgement all sit here. A price inside this band is consistent with the float being restricted and with Egyptian rates staying where they are.</w:t>
      </w:r>
    </w:p>
    <w:p>
      <w:pPr>
        <w:pStyle w:val="ListBullet"/>
        <w:spacing w:after="60"/>
      </w:pPr>
      <w:r>
        <w:rPr>
          <w:b/>
          <w:color w:val="1C3A36"/>
          <w:sz w:val="21"/>
        </w:rPr>
        <w:t xml:space="preserve">EGP 15.01 to EGP 15.82 — </w:t>
      </w:r>
      <w:r>
        <w:rPr>
          <w:color w:val="1C3A36"/>
          <w:sz w:val="21"/>
        </w:rPr>
        <w:t>the adopted base case. The published cone puts the three-month median at EGP 15.72, so the map and the fundamentals are close to agreement here, on different clocks.</w:t>
      </w:r>
    </w:p>
    <w:p>
      <w:pPr>
        <w:pStyle w:val="ListBullet"/>
        <w:spacing w:after="60"/>
      </w:pPr>
      <w:r>
        <w:rPr>
          <w:b/>
          <w:color w:val="1C3A36"/>
          <w:sz w:val="21"/>
        </w:rPr>
        <w:t xml:space="preserve">EGP 15.82 to EGP 21.82 — </w:t>
      </w:r>
      <w:r>
        <w:rPr>
          <w:color w:val="1C3A36"/>
          <w:sz w:val="21"/>
        </w:rPr>
        <w:t>this requires both the float to be permanent and rates to normalise. The published map gives a 42 per cent chance of touching EGP 17.50 within three months.</w:t>
      </w:r>
    </w:p>
    <w:p>
      <w:pPr>
        <w:pStyle w:val="ListBullet"/>
        <w:spacing w:after="60"/>
      </w:pPr>
      <w:r>
        <w:rPr>
          <w:b/>
          <w:color w:val="1C3A36"/>
          <w:sz w:val="21"/>
        </w:rPr>
        <w:t xml:space="preserve">Below EGP 5.79 — </w:t>
      </w:r>
      <w:r>
        <w:rPr>
          <w:color w:val="1C3A36"/>
          <w:sz w:val="21"/>
        </w:rPr>
        <w:t>the market would be paying less than the alternative framing of the balance sheet implies even on generous assumptions about the cost of capital. That is the level at which the downside case in this study would itself need rebuilding.</w:t>
      </w:r>
    </w:p>
    <w:p>
      <w:pPr>
        <w:spacing w:after="120" w:before="280"/>
      </w:pPr>
      <w:r>
        <w:rPr>
          <w:b/>
          <w:i w:val="0"/>
          <w:color w:val="1C3A36"/>
          <w:sz w:val="30"/>
        </w:rPr>
        <w:t>7. Caveats, and what would change our mind</w:t>
      </w:r>
    </w:p>
    <w:p>
      <w:pPr>
        <w:pStyle w:val="ListBullet"/>
        <w:spacing w:after="60"/>
      </w:pPr>
      <w:r>
        <w:rPr>
          <w:b/>
          <w:color w:val="1C3A36"/>
          <w:sz w:val="21"/>
        </w:rPr>
        <w:t xml:space="preserve">A document is missing. </w:t>
      </w:r>
      <w:r>
        <w:rPr>
          <w:color w:val="1C3A36"/>
          <w:sz w:val="21"/>
        </w:rPr>
        <w:t>The results release for the first half of 2026 could not be obtained from the company. Its operating anchors — the company's own backlog figure, its own net-debt definition, first-half contracted sales and construction spending — are carried as unverified press reporting and no model driver reads them. Attaching that document would sharpen the volume path and the catalyst calendar.</w:t>
      </w:r>
    </w:p>
    <w:p>
      <w:pPr>
        <w:pStyle w:val="ListBullet"/>
        <w:spacing w:after="60"/>
      </w:pPr>
      <w:r>
        <w:rPr>
          <w:b/>
          <w:color w:val="1C3A36"/>
          <w:sz w:val="21"/>
        </w:rPr>
        <w:t xml:space="preserve">So is another. </w:t>
      </w:r>
      <w:r>
        <w:rPr>
          <w:color w:val="1C3A36"/>
          <w:sz w:val="21"/>
        </w:rPr>
        <w:t>The 2025 audited statements are not published either. Gross profit, cost of revenues and finance costs for 2025 are shown blank in appendix A rather than estimated, so the three-year history has a hole in the middle of it.</w:t>
      </w:r>
    </w:p>
    <w:p>
      <w:pPr>
        <w:pStyle w:val="ListBullet"/>
        <w:spacing w:after="60"/>
      </w:pPr>
      <w:r>
        <w:rPr>
          <w:b/>
          <w:color w:val="1C3A36"/>
          <w:sz w:val="21"/>
        </w:rPr>
        <w:t xml:space="preserve">One cost block is not identified. </w:t>
      </w:r>
      <w:r>
        <w:rPr>
          <w:color w:val="1C3A36"/>
          <w:sz w:val="21"/>
        </w:rPr>
        <w:t>The split between land cost and the joint-arrangement partners' share cannot be identified from anything the company publishes. The study demonstrates that rather than asserting a split, but it means one of the two largest cost blocks is carried whole.</w:t>
      </w:r>
    </w:p>
    <w:p>
      <w:pPr>
        <w:pStyle w:val="ListBullet"/>
        <w:spacing w:after="60"/>
      </w:pPr>
      <w:r>
        <w:rPr>
          <w:b/>
          <w:color w:val="1C3A36"/>
          <w:sz w:val="21"/>
        </w:rPr>
        <w:t xml:space="preserve">Some weights are estimates. </w:t>
      </w:r>
      <w:r>
        <w:rPr>
          <w:color w:val="1C3A36"/>
          <w:sz w:val="21"/>
        </w:rPr>
        <w:t>The weights of the four construction cost classes are estimated. No filing discloses a cost-by-nature split of construction. They are carried through the sensitivity, and a two-hundred-basis-point error in the blended escalator is worth EGP 13.62 a share.</w:t>
      </w:r>
    </w:p>
    <w:p>
      <w:pPr>
        <w:pStyle w:val="ListBullet"/>
        <w:spacing w:after="60"/>
      </w:pPr>
      <w:r>
        <w:rPr>
          <w:b/>
          <w:color w:val="1C3A36"/>
          <w:sz w:val="21"/>
        </w:rPr>
        <w:t xml:space="preserve">The terminal is large. </w:t>
      </w:r>
      <w:r>
        <w:rPr>
          <w:color w:val="1C3A36"/>
          <w:sz w:val="21"/>
        </w:rPr>
        <w:t>The terminal value carries 74% of enterprise value under the adopted framing. A model that leans that hard on the far future is fragile, and the reinvestment charge that keeps growth from being free is itself computed from a return on capital of 11.3% that the study measures rather than assumes.</w:t>
      </w:r>
    </w:p>
    <w:p>
      <w:pPr>
        <w:pStyle w:val="ListBullet"/>
        <w:spacing w:after="60"/>
      </w:pPr>
      <w:r>
        <w:rPr>
          <w:b/>
          <w:color w:val="1C3A36"/>
          <w:sz w:val="21"/>
        </w:rPr>
        <w:t xml:space="preserve">Two sections are stale by design. </w:t>
      </w:r>
      <w:r>
        <w:rPr>
          <w:color w:val="1C3A36"/>
          <w:sz w:val="21"/>
        </w:rPr>
        <w:t>Sections 2 and 3 are four weeks older than the rest of this document. They have not been recomputed and their stamps say so.</w:t>
      </w:r>
    </w:p>
    <w:p>
      <w:pPr>
        <w:spacing w:after="120" w:before="0"/>
      </w:pPr>
      <w:r>
        <w:rPr>
          <w:b w:val="0"/>
          <w:i w:val="0"/>
          <w:color w:val="1C3A36"/>
          <w:sz w:val="21"/>
        </w:rPr>
        <w:t>What would change our mind. A residents' association taking legal personality and its assets with it would move the study from framing A to framing B. A first-half results release showing the crux ratio below 2.81x would break the flat-margin assumption. An inflation path that stops falling would remove the normalisation the market is already paying for. Any of the three is observable within two quarters.</w:t>
      </w:r>
    </w:p>
    <w:p>
      <w:pPr>
        <w:spacing w:after="120" w:before="280"/>
      </w:pPr>
      <w:r>
        <w:rPr>
          <w:b/>
          <w:i w:val="0"/>
          <w:color w:val="1C3A36"/>
          <w:sz w:val="30"/>
        </w:rPr>
        <w:t>Appendix A — the statements</w:t>
      </w:r>
    </w:p>
    <w:p>
      <w:pPr>
        <w:spacing w:after="80" w:before="200"/>
      </w:pPr>
      <w:r>
        <w:rPr>
          <w:b/>
          <w:i w:val="0"/>
          <w:color w:val="1C3A36"/>
          <w:sz w:val="24"/>
        </w:rPr>
        <w:t>A.1  Income statement: three years of history and five years forward</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78"/>
        <w:gridCol w:w="893"/>
        <w:gridCol w:w="893"/>
        <w:gridCol w:w="893"/>
        <w:gridCol w:w="893"/>
        <w:gridCol w:w="893"/>
        <w:gridCol w:w="893"/>
        <w:gridCol w:w="893"/>
        <w:gridCol w:w="893"/>
        <w:gridCol w:w="893"/>
        <w:gridCol w:w="893"/>
      </w:tblGrid>
      <w:tr>
        <w:tc>
          <w:tcPr>
            <w:tcW w:type="dxa" w:w="2678"/>
            <w:shd w:val="clear" w:color="auto" w:fill="EAF0EE"/>
          </w:tcPr>
          <w:p>
            <w:pPr>
              <w:spacing w:after="20"/>
            </w:pPr>
            <w:r>
              <w:rPr>
                <w:b/>
                <w:color w:val="1C3A36"/>
                <w:sz w:val="13"/>
              </w:rPr>
              <w:t>EGP mn</w:t>
            </w:r>
          </w:p>
        </w:tc>
        <w:tc>
          <w:tcPr>
            <w:tcW w:type="dxa" w:w="893"/>
            <w:shd w:val="clear" w:color="auto" w:fill="EAF0EE"/>
          </w:tcPr>
          <w:p>
            <w:pPr>
              <w:spacing w:after="20"/>
            </w:pPr>
            <w:r>
              <w:rPr>
                <w:b/>
                <w:color w:val="1C3A36"/>
                <w:sz w:val="13"/>
              </w:rPr>
              <w:t>FY2023</w:t>
            </w:r>
          </w:p>
        </w:tc>
        <w:tc>
          <w:tcPr>
            <w:tcW w:type="dxa" w:w="893"/>
            <w:shd w:val="clear" w:color="auto" w:fill="EAF0EE"/>
          </w:tcPr>
          <w:p>
            <w:pPr>
              <w:spacing w:after="20"/>
            </w:pPr>
            <w:r>
              <w:rPr>
                <w:b/>
                <w:color w:val="1C3A36"/>
                <w:sz w:val="13"/>
              </w:rPr>
              <w:t>FY2024</w:t>
            </w:r>
          </w:p>
        </w:tc>
        <w:tc>
          <w:tcPr>
            <w:tcW w:type="dxa" w:w="893"/>
            <w:shd w:val="clear" w:color="auto" w:fill="EAF0EE"/>
          </w:tcPr>
          <w:p>
            <w:pPr>
              <w:spacing w:after="20"/>
            </w:pPr>
            <w:r>
              <w:rPr>
                <w:b/>
                <w:color w:val="1C3A36"/>
                <w:sz w:val="13"/>
              </w:rPr>
              <w:t>FY2025</w:t>
            </w:r>
          </w:p>
        </w:tc>
        <w:tc>
          <w:tcPr>
            <w:tcW w:type="dxa" w:w="893"/>
            <w:shd w:val="clear" w:color="auto" w:fill="EAF0EE"/>
          </w:tcPr>
          <w:p>
            <w:pPr>
              <w:spacing w:after="20"/>
            </w:pPr>
            <w:r>
              <w:rPr>
                <w:b/>
                <w:color w:val="1C3A36"/>
                <w:sz w:val="13"/>
              </w:rPr>
              <w:t>H1-2025</w:t>
            </w:r>
          </w:p>
        </w:tc>
        <w:tc>
          <w:tcPr>
            <w:tcW w:type="dxa" w:w="893"/>
            <w:shd w:val="clear" w:color="auto" w:fill="EAF0EE"/>
          </w:tcPr>
          <w:p>
            <w:pPr>
              <w:spacing w:after="20"/>
            </w:pPr>
            <w:r>
              <w:rPr>
                <w:b/>
                <w:color w:val="1C3A36"/>
                <w:sz w:val="13"/>
              </w:rPr>
              <w:t>H1-2026</w:t>
            </w:r>
          </w:p>
        </w:tc>
        <w:tc>
          <w:tcPr>
            <w:tcW w:type="dxa" w:w="893"/>
            <w:shd w:val="clear" w:color="auto" w:fill="EAF0EE"/>
          </w:tcPr>
          <w:p>
            <w:pPr>
              <w:spacing w:after="20"/>
            </w:pPr>
            <w:r>
              <w:rPr>
                <w:b/>
                <w:color w:val="1C3A36"/>
                <w:sz w:val="13"/>
              </w:rPr>
              <w:t>FY2027E</w:t>
            </w:r>
          </w:p>
        </w:tc>
        <w:tc>
          <w:tcPr>
            <w:tcW w:type="dxa" w:w="893"/>
            <w:shd w:val="clear" w:color="auto" w:fill="EAF0EE"/>
          </w:tcPr>
          <w:p>
            <w:pPr>
              <w:spacing w:after="20"/>
            </w:pPr>
            <w:r>
              <w:rPr>
                <w:b/>
                <w:color w:val="1C3A36"/>
                <w:sz w:val="13"/>
              </w:rPr>
              <w:t>FY2028E</w:t>
            </w:r>
          </w:p>
        </w:tc>
        <w:tc>
          <w:tcPr>
            <w:tcW w:type="dxa" w:w="893"/>
            <w:shd w:val="clear" w:color="auto" w:fill="EAF0EE"/>
          </w:tcPr>
          <w:p>
            <w:pPr>
              <w:spacing w:after="20"/>
            </w:pPr>
            <w:r>
              <w:rPr>
                <w:b/>
                <w:color w:val="1C3A36"/>
                <w:sz w:val="13"/>
              </w:rPr>
              <w:t>FY2029E</w:t>
            </w:r>
          </w:p>
        </w:tc>
        <w:tc>
          <w:tcPr>
            <w:tcW w:type="dxa" w:w="893"/>
            <w:shd w:val="clear" w:color="auto" w:fill="EAF0EE"/>
          </w:tcPr>
          <w:p>
            <w:pPr>
              <w:spacing w:after="20"/>
            </w:pPr>
            <w:r>
              <w:rPr>
                <w:b/>
                <w:color w:val="1C3A36"/>
                <w:sz w:val="13"/>
              </w:rPr>
              <w:t>FY2030E</w:t>
            </w:r>
          </w:p>
        </w:tc>
        <w:tc>
          <w:tcPr>
            <w:tcW w:type="dxa" w:w="893"/>
            <w:shd w:val="clear" w:color="auto" w:fill="EAF0EE"/>
          </w:tcPr>
          <w:p>
            <w:pPr>
              <w:spacing w:after="20"/>
            </w:pPr>
            <w:r>
              <w:rPr>
                <w:b/>
                <w:color w:val="1C3A36"/>
                <w:sz w:val="13"/>
              </w:rPr>
              <w:t>FY2031E</w:t>
            </w:r>
          </w:p>
        </w:tc>
      </w:tr>
      <w:tr>
        <w:tc>
          <w:tcPr>
            <w:tcW w:type="dxa" w:w="2678"/>
          </w:tcPr>
          <w:p>
            <w:pPr>
              <w:spacing w:after="20"/>
            </w:pPr>
            <w:r>
              <w:rPr>
                <w:b/>
                <w:color w:val="1C3A36"/>
                <w:sz w:val="13"/>
              </w:rPr>
              <w:t>Revenue</w:t>
            </w:r>
          </w:p>
        </w:tc>
        <w:tc>
          <w:tcPr>
            <w:tcW w:type="dxa" w:w="893"/>
          </w:tcPr>
          <w:p>
            <w:pPr>
              <w:spacing w:after="20"/>
              <w:jc w:val="right"/>
            </w:pPr>
            <w:r>
              <w:rPr>
                <w:color w:val="1C3A36"/>
                <w:sz w:val="13"/>
              </w:rPr>
              <w:t>17,462</w:t>
            </w:r>
          </w:p>
        </w:tc>
        <w:tc>
          <w:tcPr>
            <w:tcW w:type="dxa" w:w="893"/>
          </w:tcPr>
          <w:p>
            <w:pPr>
              <w:spacing w:after="20"/>
              <w:jc w:val="right"/>
            </w:pPr>
            <w:r>
              <w:rPr>
                <w:color w:val="1C3A36"/>
                <w:sz w:val="13"/>
              </w:rPr>
              <w:t>27,167</w:t>
            </w:r>
          </w:p>
        </w:tc>
        <w:tc>
          <w:tcPr>
            <w:tcW w:type="dxa" w:w="893"/>
          </w:tcPr>
          <w:p>
            <w:pPr>
              <w:spacing w:after="20"/>
              <w:jc w:val="right"/>
            </w:pPr>
            <w:r>
              <w:rPr>
                <w:color w:val="1C3A36"/>
                <w:sz w:val="13"/>
              </w:rPr>
              <w:t>36,196</w:t>
            </w:r>
          </w:p>
        </w:tc>
        <w:tc>
          <w:tcPr>
            <w:tcW w:type="dxa" w:w="893"/>
          </w:tcPr>
          <w:p>
            <w:pPr>
              <w:spacing w:after="20"/>
              <w:jc w:val="right"/>
            </w:pPr>
            <w:r>
              <w:rPr>
                <w:color w:val="1C3A36"/>
                <w:sz w:val="13"/>
              </w:rPr>
              <w:t>15,579</w:t>
            </w:r>
          </w:p>
        </w:tc>
        <w:tc>
          <w:tcPr>
            <w:tcW w:type="dxa" w:w="893"/>
          </w:tcPr>
          <w:p>
            <w:pPr>
              <w:spacing w:after="20"/>
              <w:jc w:val="right"/>
            </w:pPr>
            <w:r>
              <w:rPr>
                <w:color w:val="1C3A36"/>
                <w:sz w:val="13"/>
              </w:rPr>
              <w:t>19,528</w:t>
            </w:r>
          </w:p>
        </w:tc>
        <w:tc>
          <w:tcPr>
            <w:tcW w:type="dxa" w:w="893"/>
          </w:tcPr>
          <w:p>
            <w:pPr>
              <w:spacing w:after="20"/>
              <w:jc w:val="right"/>
            </w:pPr>
            <w:r>
              <w:rPr>
                <w:color w:val="1C3A36"/>
                <w:sz w:val="13"/>
              </w:rPr>
              <w:t>47,322</w:t>
            </w:r>
          </w:p>
        </w:tc>
        <w:tc>
          <w:tcPr>
            <w:tcW w:type="dxa" w:w="893"/>
          </w:tcPr>
          <w:p>
            <w:pPr>
              <w:spacing w:after="20"/>
              <w:jc w:val="right"/>
            </w:pPr>
            <w:r>
              <w:rPr>
                <w:color w:val="1C3A36"/>
                <w:sz w:val="13"/>
              </w:rPr>
              <w:t>55,707</w:t>
            </w:r>
          </w:p>
        </w:tc>
        <w:tc>
          <w:tcPr>
            <w:tcW w:type="dxa" w:w="893"/>
          </w:tcPr>
          <w:p>
            <w:pPr>
              <w:spacing w:after="20"/>
              <w:jc w:val="right"/>
            </w:pPr>
            <w:r>
              <w:rPr>
                <w:color w:val="1C3A36"/>
                <w:sz w:val="13"/>
              </w:rPr>
              <w:t>63,478</w:t>
            </w:r>
          </w:p>
        </w:tc>
        <w:tc>
          <w:tcPr>
            <w:tcW w:type="dxa" w:w="893"/>
          </w:tcPr>
          <w:p>
            <w:pPr>
              <w:spacing w:after="20"/>
              <w:jc w:val="right"/>
            </w:pPr>
            <w:r>
              <w:rPr>
                <w:color w:val="1C3A36"/>
                <w:sz w:val="13"/>
              </w:rPr>
              <w:t>70,638</w:t>
            </w:r>
          </w:p>
        </w:tc>
        <w:tc>
          <w:tcPr>
            <w:tcW w:type="dxa" w:w="893"/>
          </w:tcPr>
          <w:p>
            <w:pPr>
              <w:spacing w:after="20"/>
              <w:jc w:val="right"/>
            </w:pPr>
            <w:r>
              <w:rPr>
                <w:color w:val="1C3A36"/>
                <w:sz w:val="13"/>
              </w:rPr>
              <w:t>77,487</w:t>
            </w:r>
          </w:p>
        </w:tc>
      </w:tr>
      <w:tr>
        <w:tc>
          <w:tcPr>
            <w:tcW w:type="dxa" w:w="2678"/>
          </w:tcPr>
          <w:p>
            <w:pPr>
              <w:spacing w:after="20"/>
            </w:pPr>
            <w:r>
              <w:rPr>
                <w:b/>
                <w:color w:val="1C3A36"/>
                <w:sz w:val="13"/>
              </w:rPr>
              <w:t>Cost of revenues</w:t>
            </w:r>
          </w:p>
        </w:tc>
        <w:tc>
          <w:tcPr>
            <w:tcW w:type="dxa" w:w="893"/>
          </w:tcPr>
          <w:p>
            <w:pPr>
              <w:spacing w:after="20"/>
              <w:jc w:val="right"/>
            </w:pPr>
            <w:r>
              <w:rPr>
                <w:color w:val="1C3A36"/>
                <w:sz w:val="13"/>
              </w:rPr>
              <w:t>-11,907</w:t>
            </w:r>
          </w:p>
        </w:tc>
        <w:tc>
          <w:tcPr>
            <w:tcW w:type="dxa" w:w="893"/>
          </w:tcPr>
          <w:p>
            <w:pPr>
              <w:spacing w:after="20"/>
              <w:jc w:val="right"/>
            </w:pPr>
            <w:r>
              <w:rPr>
                <w:color w:val="1C3A36"/>
                <w:sz w:val="13"/>
              </w:rPr>
              <w:t>-17,740</w:t>
            </w:r>
          </w:p>
        </w:tc>
        <w:tc>
          <w:tcPr>
            <w:tcW w:type="dxa" w:w="893"/>
          </w:tcPr>
          <w:p>
            <w:pPr>
              <w:spacing w:after="20"/>
              <w:jc w:val="right"/>
            </w:pPr>
            <w:r>
              <w:rPr>
                <w:color w:val="1C3A36"/>
                <w:sz w:val="13"/>
              </w:rPr>
            </w:r>
          </w:p>
        </w:tc>
        <w:tc>
          <w:tcPr>
            <w:tcW w:type="dxa" w:w="893"/>
          </w:tcPr>
          <w:p>
            <w:pPr>
              <w:spacing w:after="20"/>
              <w:jc w:val="right"/>
            </w:pPr>
            <w:r>
              <w:rPr>
                <w:color w:val="1C3A36"/>
                <w:sz w:val="13"/>
              </w:rPr>
              <w:t>-8,860</w:t>
            </w:r>
          </w:p>
        </w:tc>
        <w:tc>
          <w:tcPr>
            <w:tcW w:type="dxa" w:w="893"/>
          </w:tcPr>
          <w:p>
            <w:pPr>
              <w:spacing w:after="20"/>
              <w:jc w:val="right"/>
            </w:pPr>
            <w:r>
              <w:rPr>
                <w:color w:val="1C3A36"/>
                <w:sz w:val="13"/>
              </w:rPr>
              <w:t>-12,539</w:t>
            </w:r>
          </w:p>
        </w:tc>
        <w:tc>
          <w:tcPr>
            <w:tcW w:type="dxa" w:w="893"/>
          </w:tcPr>
          <w:p>
            <w:pPr>
              <w:spacing w:after="20"/>
              <w:jc w:val="right"/>
            </w:pPr>
            <w:r>
              <w:rPr>
                <w:color w:val="1C3A36"/>
                <w:sz w:val="13"/>
              </w:rPr>
              <w:t>-30,920</w:t>
            </w:r>
          </w:p>
        </w:tc>
        <w:tc>
          <w:tcPr>
            <w:tcW w:type="dxa" w:w="893"/>
          </w:tcPr>
          <w:p>
            <w:pPr>
              <w:spacing w:after="20"/>
              <w:jc w:val="right"/>
            </w:pPr>
            <w:r>
              <w:rPr>
                <w:color w:val="1C3A36"/>
                <w:sz w:val="13"/>
              </w:rPr>
              <w:t>-36,579</w:t>
            </w:r>
          </w:p>
        </w:tc>
        <w:tc>
          <w:tcPr>
            <w:tcW w:type="dxa" w:w="893"/>
          </w:tcPr>
          <w:p>
            <w:pPr>
              <w:spacing w:after="20"/>
              <w:jc w:val="right"/>
            </w:pPr>
            <w:r>
              <w:rPr>
                <w:color w:val="1C3A36"/>
                <w:sz w:val="13"/>
              </w:rPr>
              <w:t>-41,825</w:t>
            </w:r>
          </w:p>
        </w:tc>
        <w:tc>
          <w:tcPr>
            <w:tcW w:type="dxa" w:w="893"/>
          </w:tcPr>
          <w:p>
            <w:pPr>
              <w:spacing w:after="20"/>
              <w:jc w:val="right"/>
            </w:pPr>
            <w:r>
              <w:rPr>
                <w:color w:val="1C3A36"/>
                <w:sz w:val="13"/>
              </w:rPr>
              <w:t>-46,650</w:t>
            </w:r>
          </w:p>
        </w:tc>
        <w:tc>
          <w:tcPr>
            <w:tcW w:type="dxa" w:w="893"/>
          </w:tcPr>
          <w:p>
            <w:pPr>
              <w:spacing w:after="20"/>
              <w:jc w:val="right"/>
            </w:pPr>
            <w:r>
              <w:rPr>
                <w:color w:val="1C3A36"/>
                <w:sz w:val="13"/>
              </w:rPr>
              <w:t>-51,232</w:t>
            </w:r>
          </w:p>
        </w:tc>
      </w:tr>
      <w:tr>
        <w:tc>
          <w:tcPr>
            <w:tcW w:type="dxa" w:w="2678"/>
          </w:tcPr>
          <w:p>
            <w:pPr>
              <w:spacing w:after="20"/>
            </w:pPr>
            <w:r>
              <w:rPr>
                <w:b/>
                <w:color w:val="1C3A36"/>
                <w:sz w:val="13"/>
              </w:rPr>
              <w:t>Gross profit</w:t>
            </w:r>
          </w:p>
        </w:tc>
        <w:tc>
          <w:tcPr>
            <w:tcW w:type="dxa" w:w="893"/>
          </w:tcPr>
          <w:p>
            <w:pPr>
              <w:spacing w:after="20"/>
              <w:jc w:val="right"/>
            </w:pPr>
            <w:r>
              <w:rPr>
                <w:color w:val="1C3A36"/>
                <w:sz w:val="13"/>
              </w:rPr>
              <w:t>5,508</w:t>
            </w:r>
          </w:p>
        </w:tc>
        <w:tc>
          <w:tcPr>
            <w:tcW w:type="dxa" w:w="893"/>
          </w:tcPr>
          <w:p>
            <w:pPr>
              <w:spacing w:after="20"/>
              <w:jc w:val="right"/>
            </w:pPr>
            <w:r>
              <w:rPr>
                <w:color w:val="1C3A36"/>
                <w:sz w:val="13"/>
              </w:rPr>
              <w:t>9,330</w:t>
            </w:r>
          </w:p>
        </w:tc>
        <w:tc>
          <w:tcPr>
            <w:tcW w:type="dxa" w:w="893"/>
          </w:tcPr>
          <w:p>
            <w:pPr>
              <w:spacing w:after="20"/>
              <w:jc w:val="right"/>
            </w:pPr>
            <w:r>
              <w:rPr>
                <w:color w:val="1C3A36"/>
                <w:sz w:val="13"/>
              </w:rPr>
            </w:r>
          </w:p>
        </w:tc>
        <w:tc>
          <w:tcPr>
            <w:tcW w:type="dxa" w:w="893"/>
          </w:tcPr>
          <w:p>
            <w:pPr>
              <w:spacing w:after="20"/>
              <w:jc w:val="right"/>
            </w:pPr>
            <w:r>
              <w:rPr>
                <w:color w:val="1C3A36"/>
                <w:sz w:val="13"/>
              </w:rPr>
              <w:t>6,665</w:t>
            </w:r>
          </w:p>
        </w:tc>
        <w:tc>
          <w:tcPr>
            <w:tcW w:type="dxa" w:w="893"/>
          </w:tcPr>
          <w:p>
            <w:pPr>
              <w:spacing w:after="20"/>
              <w:jc w:val="right"/>
            </w:pPr>
            <w:r>
              <w:rPr>
                <w:color w:val="1C3A36"/>
                <w:sz w:val="13"/>
              </w:rPr>
              <w:t>6,926</w:t>
            </w:r>
          </w:p>
        </w:tc>
        <w:tc>
          <w:tcPr>
            <w:tcW w:type="dxa" w:w="893"/>
          </w:tcPr>
          <w:p>
            <w:pPr>
              <w:spacing w:after="20"/>
              <w:jc w:val="right"/>
            </w:pPr>
            <w:r>
              <w:rPr>
                <w:color w:val="1C3A36"/>
                <w:sz w:val="13"/>
              </w:rPr>
              <w:t>16,402</w:t>
            </w:r>
          </w:p>
        </w:tc>
        <w:tc>
          <w:tcPr>
            <w:tcW w:type="dxa" w:w="893"/>
          </w:tcPr>
          <w:p>
            <w:pPr>
              <w:spacing w:after="20"/>
              <w:jc w:val="right"/>
            </w:pPr>
            <w:r>
              <w:rPr>
                <w:color w:val="1C3A36"/>
                <w:sz w:val="13"/>
              </w:rPr>
              <w:t>19,128</w:t>
            </w:r>
          </w:p>
        </w:tc>
        <w:tc>
          <w:tcPr>
            <w:tcW w:type="dxa" w:w="893"/>
          </w:tcPr>
          <w:p>
            <w:pPr>
              <w:spacing w:after="20"/>
              <w:jc w:val="right"/>
            </w:pPr>
            <w:r>
              <w:rPr>
                <w:color w:val="1C3A36"/>
                <w:sz w:val="13"/>
              </w:rPr>
              <w:t>21,653</w:t>
            </w:r>
          </w:p>
        </w:tc>
        <w:tc>
          <w:tcPr>
            <w:tcW w:type="dxa" w:w="893"/>
          </w:tcPr>
          <w:p>
            <w:pPr>
              <w:spacing w:after="20"/>
              <w:jc w:val="right"/>
            </w:pPr>
            <w:r>
              <w:rPr>
                <w:color w:val="1C3A36"/>
                <w:sz w:val="13"/>
              </w:rPr>
              <w:t>23,988</w:t>
            </w:r>
          </w:p>
        </w:tc>
        <w:tc>
          <w:tcPr>
            <w:tcW w:type="dxa" w:w="893"/>
          </w:tcPr>
          <w:p>
            <w:pPr>
              <w:spacing w:after="20"/>
              <w:jc w:val="right"/>
            </w:pPr>
            <w:r>
              <w:rPr>
                <w:color w:val="1C3A36"/>
                <w:sz w:val="13"/>
              </w:rPr>
              <w:t>26,255</w:t>
            </w:r>
          </w:p>
        </w:tc>
      </w:tr>
      <w:tr>
        <w:tc>
          <w:tcPr>
            <w:tcW w:type="dxa" w:w="2678"/>
          </w:tcPr>
          <w:p>
            <w:pPr>
              <w:spacing w:after="20"/>
            </w:pPr>
            <w:r>
              <w:rPr>
                <w:b/>
                <w:color w:val="1C3A36"/>
                <w:sz w:val="13"/>
              </w:rPr>
              <w:t xml:space="preserve">  gross margin</w:t>
            </w:r>
          </w:p>
        </w:tc>
        <w:tc>
          <w:tcPr>
            <w:tcW w:type="dxa" w:w="893"/>
          </w:tcPr>
          <w:p>
            <w:pPr>
              <w:spacing w:after="20"/>
              <w:jc w:val="right"/>
            </w:pPr>
            <w:r>
              <w:rPr>
                <w:color w:val="1C3A36"/>
                <w:sz w:val="13"/>
              </w:rPr>
              <w:t>31.5%</w:t>
            </w:r>
          </w:p>
        </w:tc>
        <w:tc>
          <w:tcPr>
            <w:tcW w:type="dxa" w:w="893"/>
          </w:tcPr>
          <w:p>
            <w:pPr>
              <w:spacing w:after="20"/>
              <w:jc w:val="right"/>
            </w:pPr>
            <w:r>
              <w:rPr>
                <w:color w:val="1C3A36"/>
                <w:sz w:val="13"/>
              </w:rPr>
              <w:t>34.3%</w:t>
            </w:r>
          </w:p>
        </w:tc>
        <w:tc>
          <w:tcPr>
            <w:tcW w:type="dxa" w:w="893"/>
          </w:tcPr>
          <w:p>
            <w:pPr>
              <w:spacing w:after="20"/>
              <w:jc w:val="right"/>
            </w:pPr>
            <w:r>
              <w:rPr>
                <w:color w:val="1C3A36"/>
                <w:sz w:val="13"/>
              </w:rPr>
            </w:r>
          </w:p>
        </w:tc>
        <w:tc>
          <w:tcPr>
            <w:tcW w:type="dxa" w:w="893"/>
          </w:tcPr>
          <w:p>
            <w:pPr>
              <w:spacing w:after="20"/>
              <w:jc w:val="right"/>
            </w:pPr>
            <w:r>
              <w:rPr>
                <w:color w:val="1C3A36"/>
                <w:sz w:val="13"/>
              </w:rPr>
              <w:t>42.8%</w:t>
            </w:r>
          </w:p>
        </w:tc>
        <w:tc>
          <w:tcPr>
            <w:tcW w:type="dxa" w:w="893"/>
          </w:tcPr>
          <w:p>
            <w:pPr>
              <w:spacing w:after="20"/>
              <w:jc w:val="right"/>
            </w:pPr>
            <w:r>
              <w:rPr>
                <w:color w:val="1C3A36"/>
                <w:sz w:val="13"/>
              </w:rPr>
              <w:t>35.5%</w:t>
            </w:r>
          </w:p>
        </w:tc>
        <w:tc>
          <w:tcPr>
            <w:tcW w:type="dxa" w:w="893"/>
          </w:tcPr>
          <w:p>
            <w:pPr>
              <w:spacing w:after="20"/>
              <w:jc w:val="right"/>
            </w:pPr>
            <w:r>
              <w:rPr>
                <w:color w:val="1C3A36"/>
                <w:sz w:val="13"/>
              </w:rPr>
              <w:t>34.7%</w:t>
            </w:r>
          </w:p>
        </w:tc>
        <w:tc>
          <w:tcPr>
            <w:tcW w:type="dxa" w:w="893"/>
          </w:tcPr>
          <w:p>
            <w:pPr>
              <w:spacing w:after="20"/>
              <w:jc w:val="right"/>
            </w:pPr>
            <w:r>
              <w:rPr>
                <w:color w:val="1C3A36"/>
                <w:sz w:val="13"/>
              </w:rPr>
              <w:t>34.3%</w:t>
            </w:r>
          </w:p>
        </w:tc>
        <w:tc>
          <w:tcPr>
            <w:tcW w:type="dxa" w:w="893"/>
          </w:tcPr>
          <w:p>
            <w:pPr>
              <w:spacing w:after="20"/>
              <w:jc w:val="right"/>
            </w:pPr>
            <w:r>
              <w:rPr>
                <w:color w:val="1C3A36"/>
                <w:sz w:val="13"/>
              </w:rPr>
              <w:t>34.1%</w:t>
            </w:r>
          </w:p>
        </w:tc>
        <w:tc>
          <w:tcPr>
            <w:tcW w:type="dxa" w:w="893"/>
          </w:tcPr>
          <w:p>
            <w:pPr>
              <w:spacing w:after="20"/>
              <w:jc w:val="right"/>
            </w:pPr>
            <w:r>
              <w:rPr>
                <w:color w:val="1C3A36"/>
                <w:sz w:val="13"/>
              </w:rPr>
              <w:t>34.0%</w:t>
            </w:r>
          </w:p>
        </w:tc>
        <w:tc>
          <w:tcPr>
            <w:tcW w:type="dxa" w:w="893"/>
          </w:tcPr>
          <w:p>
            <w:pPr>
              <w:spacing w:after="20"/>
              <w:jc w:val="right"/>
            </w:pPr>
            <w:r>
              <w:rPr>
                <w:color w:val="1C3A36"/>
                <w:sz w:val="13"/>
              </w:rPr>
              <w:t>33.9%</w:t>
            </w:r>
          </w:p>
        </w:tc>
      </w:tr>
      <w:tr>
        <w:tc>
          <w:tcPr>
            <w:tcW w:type="dxa" w:w="2678"/>
          </w:tcPr>
          <w:p>
            <w:pPr>
              <w:spacing w:after="20"/>
            </w:pPr>
            <w:r>
              <w:rPr>
                <w:b/>
                <w:color w:val="1C3A36"/>
                <w:sz w:val="13"/>
              </w:rPr>
              <w:t>Administrative, selling and marketing</w:t>
            </w:r>
          </w:p>
        </w:tc>
        <w:tc>
          <w:tcPr>
            <w:tcW w:type="dxa" w:w="893"/>
          </w:tcPr>
          <w:p>
            <w:pPr>
              <w:spacing w:after="20"/>
              <w:jc w:val="right"/>
            </w:pPr>
            <w:r>
              <w:rPr>
                <w:color w:val="1C3A36"/>
                <w:sz w:val="13"/>
              </w:rPr>
              <w:t>-2,060</w:t>
            </w:r>
          </w:p>
        </w:tc>
        <w:tc>
          <w:tcPr>
            <w:tcW w:type="dxa" w:w="893"/>
          </w:tcPr>
          <w:p>
            <w:pPr>
              <w:spacing w:after="20"/>
              <w:jc w:val="right"/>
            </w:pPr>
            <w:r>
              <w:rPr>
                <w:color w:val="1C3A36"/>
                <w:sz w:val="13"/>
              </w:rPr>
              <w:t>-3,436</w:t>
            </w:r>
          </w:p>
        </w:tc>
        <w:tc>
          <w:tcPr>
            <w:tcW w:type="dxa" w:w="893"/>
          </w:tcPr>
          <w:p>
            <w:pPr>
              <w:spacing w:after="20"/>
              <w:jc w:val="right"/>
            </w:pPr>
            <w:r>
              <w:rPr>
                <w:color w:val="1C3A36"/>
                <w:sz w:val="13"/>
              </w:rPr>
            </w:r>
          </w:p>
        </w:tc>
        <w:tc>
          <w:tcPr>
            <w:tcW w:type="dxa" w:w="893"/>
          </w:tcPr>
          <w:p>
            <w:pPr>
              <w:spacing w:after="20"/>
              <w:jc w:val="right"/>
            </w:pPr>
            <w:r>
              <w:rPr>
                <w:color w:val="1C3A36"/>
                <w:sz w:val="13"/>
              </w:rPr>
              <w:t>-2,206</w:t>
            </w:r>
          </w:p>
        </w:tc>
        <w:tc>
          <w:tcPr>
            <w:tcW w:type="dxa" w:w="893"/>
          </w:tcPr>
          <w:p>
            <w:pPr>
              <w:spacing w:after="20"/>
              <w:jc w:val="right"/>
            </w:pPr>
            <w:r>
              <w:rPr>
                <w:color w:val="1C3A36"/>
                <w:sz w:val="13"/>
              </w:rPr>
              <w:t>-2,846</w:t>
            </w:r>
          </w:p>
        </w:tc>
        <w:tc>
          <w:tcPr>
            <w:tcW w:type="dxa" w:w="893"/>
          </w:tcPr>
          <w:p>
            <w:pPr>
              <w:spacing w:after="20"/>
              <w:jc w:val="right"/>
            </w:pPr>
            <w:r>
              <w:rPr>
                <w:color w:val="1C3A36"/>
                <w:sz w:val="13"/>
              </w:rPr>
              <w:t>-6,823</w:t>
            </w:r>
          </w:p>
        </w:tc>
        <w:tc>
          <w:tcPr>
            <w:tcW w:type="dxa" w:w="893"/>
          </w:tcPr>
          <w:p>
            <w:pPr>
              <w:spacing w:after="20"/>
              <w:jc w:val="right"/>
            </w:pPr>
            <w:r>
              <w:rPr>
                <w:color w:val="1C3A36"/>
                <w:sz w:val="13"/>
              </w:rPr>
              <w:t>-7,977</w:t>
            </w:r>
          </w:p>
        </w:tc>
        <w:tc>
          <w:tcPr>
            <w:tcW w:type="dxa" w:w="893"/>
          </w:tcPr>
          <w:p>
            <w:pPr>
              <w:spacing w:after="20"/>
              <w:jc w:val="right"/>
            </w:pPr>
            <w:r>
              <w:rPr>
                <w:color w:val="1C3A36"/>
                <w:sz w:val="13"/>
              </w:rPr>
              <w:t>-9,077</w:t>
            </w:r>
          </w:p>
        </w:tc>
        <w:tc>
          <w:tcPr>
            <w:tcW w:type="dxa" w:w="893"/>
          </w:tcPr>
          <w:p>
            <w:pPr>
              <w:spacing w:after="20"/>
              <w:jc w:val="right"/>
            </w:pPr>
            <w:r>
              <w:rPr>
                <w:color w:val="1C3A36"/>
                <w:sz w:val="13"/>
              </w:rPr>
              <w:t>-10,120</w:t>
            </w:r>
          </w:p>
        </w:tc>
        <w:tc>
          <w:tcPr>
            <w:tcW w:type="dxa" w:w="893"/>
          </w:tcPr>
          <w:p>
            <w:pPr>
              <w:spacing w:after="20"/>
              <w:jc w:val="right"/>
            </w:pPr>
            <w:r>
              <w:rPr>
                <w:color w:val="1C3A36"/>
                <w:sz w:val="13"/>
              </w:rPr>
              <w:t>-11,135</w:t>
            </w:r>
          </w:p>
        </w:tc>
      </w:tr>
      <w:tr>
        <w:tc>
          <w:tcPr>
            <w:tcW w:type="dxa" w:w="2678"/>
            <w:shd w:val="clear" w:color="auto" w:fill="F6F1E6"/>
          </w:tcPr>
          <w:p>
            <w:pPr>
              <w:spacing w:after="20"/>
            </w:pPr>
            <w:r>
              <w:rPr>
                <w:b/>
                <w:color w:val="1C3A36"/>
                <w:sz w:val="13"/>
              </w:rPr>
              <w:t>Earnings before interest, tax and depreciation</w:t>
            </w:r>
          </w:p>
        </w:tc>
        <w:tc>
          <w:tcPr>
            <w:tcW w:type="dxa" w:w="893"/>
            <w:shd w:val="clear" w:color="auto" w:fill="F6F1E6"/>
          </w:tcPr>
          <w:p>
            <w:pPr>
              <w:spacing w:after="20"/>
              <w:jc w:val="right"/>
            </w:pPr>
            <w:r>
              <w:rPr>
                <w:b/>
                <w:color w:val="1C3A36"/>
                <w:sz w:val="13"/>
              </w:rPr>
              <w:t>3,433</w:t>
            </w:r>
          </w:p>
        </w:tc>
        <w:tc>
          <w:tcPr>
            <w:tcW w:type="dxa" w:w="893"/>
            <w:shd w:val="clear" w:color="auto" w:fill="F6F1E6"/>
          </w:tcPr>
          <w:p>
            <w:pPr>
              <w:spacing w:after="20"/>
              <w:jc w:val="right"/>
            </w:pPr>
            <w:r>
              <w:rPr>
                <w:b/>
                <w:color w:val="1C3A36"/>
                <w:sz w:val="13"/>
              </w:rPr>
              <w:t>5,871</w:t>
            </w:r>
          </w:p>
        </w:tc>
        <w:tc>
          <w:tcPr>
            <w:tcW w:type="dxa" w:w="893"/>
            <w:shd w:val="clear" w:color="auto" w:fill="F6F1E6"/>
          </w:tcPr>
          <w:p>
            <w:pPr>
              <w:spacing w:after="20"/>
              <w:jc w:val="right"/>
            </w:pPr>
            <w:r>
              <w:rPr>
                <w:b/>
                <w:color w:val="1C3A36"/>
                <w:sz w:val="13"/>
              </w:rPr>
              <w:t>8,552</w:t>
            </w:r>
          </w:p>
        </w:tc>
        <w:tc>
          <w:tcPr>
            <w:tcW w:type="dxa" w:w="893"/>
            <w:shd w:val="clear" w:color="auto" w:fill="F6F1E6"/>
          </w:tcPr>
          <w:p>
            <w:pPr>
              <w:spacing w:after="20"/>
              <w:jc w:val="right"/>
            </w:pPr>
            <w:r>
              <w:rPr>
                <w:b/>
                <w:color w:val="1C3A36"/>
                <w:sz w:val="13"/>
              </w:rPr>
              <w:t>4,444</w:t>
            </w:r>
          </w:p>
        </w:tc>
        <w:tc>
          <w:tcPr>
            <w:tcW w:type="dxa" w:w="893"/>
            <w:shd w:val="clear" w:color="auto" w:fill="F6F1E6"/>
          </w:tcPr>
          <w:p>
            <w:pPr>
              <w:spacing w:after="20"/>
              <w:jc w:val="right"/>
            </w:pPr>
            <w:r>
              <w:rPr>
                <w:b/>
                <w:color w:val="1C3A36"/>
                <w:sz w:val="13"/>
              </w:rPr>
              <w:t>4,066</w:t>
            </w:r>
          </w:p>
        </w:tc>
        <w:tc>
          <w:tcPr>
            <w:tcW w:type="dxa" w:w="893"/>
            <w:shd w:val="clear" w:color="auto" w:fill="F6F1E6"/>
          </w:tcPr>
          <w:p>
            <w:pPr>
              <w:spacing w:after="20"/>
              <w:jc w:val="right"/>
            </w:pPr>
            <w:r>
              <w:rPr>
                <w:b/>
                <w:color w:val="1C3A36"/>
                <w:sz w:val="13"/>
              </w:rPr>
              <w:t>10,927</w:t>
            </w:r>
          </w:p>
        </w:tc>
        <w:tc>
          <w:tcPr>
            <w:tcW w:type="dxa" w:w="893"/>
            <w:shd w:val="clear" w:color="auto" w:fill="F6F1E6"/>
          </w:tcPr>
          <w:p>
            <w:pPr>
              <w:spacing w:after="20"/>
              <w:jc w:val="right"/>
            </w:pPr>
            <w:r>
              <w:rPr>
                <w:b/>
                <w:color w:val="1C3A36"/>
                <w:sz w:val="13"/>
              </w:rPr>
              <w:t>12,757</w:t>
            </w:r>
          </w:p>
        </w:tc>
        <w:tc>
          <w:tcPr>
            <w:tcW w:type="dxa" w:w="893"/>
            <w:shd w:val="clear" w:color="auto" w:fill="F6F1E6"/>
          </w:tcPr>
          <w:p>
            <w:pPr>
              <w:spacing w:after="20"/>
              <w:jc w:val="right"/>
            </w:pPr>
            <w:r>
              <w:rPr>
                <w:b/>
                <w:color w:val="1C3A36"/>
                <w:sz w:val="13"/>
              </w:rPr>
              <w:t>14,420</w:t>
            </w:r>
          </w:p>
        </w:tc>
        <w:tc>
          <w:tcPr>
            <w:tcW w:type="dxa" w:w="893"/>
            <w:shd w:val="clear" w:color="auto" w:fill="F6F1E6"/>
          </w:tcPr>
          <w:p>
            <w:pPr>
              <w:spacing w:after="20"/>
              <w:jc w:val="right"/>
            </w:pPr>
            <w:r>
              <w:rPr>
                <w:b/>
                <w:color w:val="1C3A36"/>
                <w:sz w:val="13"/>
              </w:rPr>
              <w:t>15,932</w:t>
            </w:r>
          </w:p>
        </w:tc>
        <w:tc>
          <w:tcPr>
            <w:tcW w:type="dxa" w:w="893"/>
            <w:shd w:val="clear" w:color="auto" w:fill="F6F1E6"/>
          </w:tcPr>
          <w:p>
            <w:pPr>
              <w:spacing w:after="20"/>
              <w:jc w:val="right"/>
            </w:pPr>
            <w:r>
              <w:rPr>
                <w:b/>
                <w:color w:val="1C3A36"/>
                <w:sz w:val="13"/>
              </w:rPr>
              <w:t>17,389</w:t>
            </w:r>
          </w:p>
        </w:tc>
      </w:tr>
      <w:tr>
        <w:tc>
          <w:tcPr>
            <w:tcW w:type="dxa" w:w="2678"/>
          </w:tcPr>
          <w:p>
            <w:pPr>
              <w:spacing w:after="20"/>
            </w:pPr>
            <w:r>
              <w:rPr>
                <w:b/>
                <w:color w:val="1C3A36"/>
                <w:sz w:val="13"/>
              </w:rPr>
              <w:t xml:space="preserve">  margin</w:t>
            </w:r>
          </w:p>
        </w:tc>
        <w:tc>
          <w:tcPr>
            <w:tcW w:type="dxa" w:w="893"/>
          </w:tcPr>
          <w:p>
            <w:pPr>
              <w:spacing w:after="20"/>
              <w:jc w:val="right"/>
            </w:pPr>
            <w:r>
              <w:rPr>
                <w:color w:val="1C3A36"/>
                <w:sz w:val="13"/>
              </w:rPr>
              <w:t>19.7%</w:t>
            </w:r>
          </w:p>
        </w:tc>
        <w:tc>
          <w:tcPr>
            <w:tcW w:type="dxa" w:w="893"/>
          </w:tcPr>
          <w:p>
            <w:pPr>
              <w:spacing w:after="20"/>
              <w:jc w:val="right"/>
            </w:pPr>
            <w:r>
              <w:rPr>
                <w:color w:val="1C3A36"/>
                <w:sz w:val="13"/>
              </w:rPr>
              <w:t>21.6%</w:t>
            </w:r>
          </w:p>
        </w:tc>
        <w:tc>
          <w:tcPr>
            <w:tcW w:type="dxa" w:w="893"/>
          </w:tcPr>
          <w:p>
            <w:pPr>
              <w:spacing w:after="20"/>
              <w:jc w:val="right"/>
            </w:pPr>
            <w:r>
              <w:rPr>
                <w:color w:val="1C3A36"/>
                <w:sz w:val="13"/>
              </w:rPr>
              <w:t>23.6%</w:t>
            </w:r>
          </w:p>
        </w:tc>
        <w:tc>
          <w:tcPr>
            <w:tcW w:type="dxa" w:w="893"/>
          </w:tcPr>
          <w:p>
            <w:pPr>
              <w:spacing w:after="20"/>
              <w:jc w:val="right"/>
            </w:pPr>
            <w:r>
              <w:rPr>
                <w:color w:val="1C3A36"/>
                <w:sz w:val="13"/>
              </w:rPr>
              <w:t>28.5%</w:t>
            </w:r>
          </w:p>
        </w:tc>
        <w:tc>
          <w:tcPr>
            <w:tcW w:type="dxa" w:w="893"/>
          </w:tcPr>
          <w:p>
            <w:pPr>
              <w:spacing w:after="20"/>
              <w:jc w:val="right"/>
            </w:pPr>
            <w:r>
              <w:rPr>
                <w:color w:val="1C3A36"/>
                <w:sz w:val="13"/>
              </w:rPr>
              <w:t>20.8%</w:t>
            </w:r>
          </w:p>
        </w:tc>
        <w:tc>
          <w:tcPr>
            <w:tcW w:type="dxa" w:w="893"/>
          </w:tcPr>
          <w:p>
            <w:pPr>
              <w:spacing w:after="20"/>
              <w:jc w:val="right"/>
            </w:pPr>
            <w:r>
              <w:rPr>
                <w:color w:val="1C3A36"/>
                <w:sz w:val="13"/>
              </w:rPr>
              <w:t>23.1%</w:t>
            </w:r>
          </w:p>
        </w:tc>
        <w:tc>
          <w:tcPr>
            <w:tcW w:type="dxa" w:w="893"/>
          </w:tcPr>
          <w:p>
            <w:pPr>
              <w:spacing w:after="20"/>
              <w:jc w:val="right"/>
            </w:pPr>
            <w:r>
              <w:rPr>
                <w:color w:val="1C3A36"/>
                <w:sz w:val="13"/>
              </w:rPr>
              <w:t>22.9%</w:t>
            </w:r>
          </w:p>
        </w:tc>
        <w:tc>
          <w:tcPr>
            <w:tcW w:type="dxa" w:w="893"/>
          </w:tcPr>
          <w:p>
            <w:pPr>
              <w:spacing w:after="20"/>
              <w:jc w:val="right"/>
            </w:pPr>
            <w:r>
              <w:rPr>
                <w:color w:val="1C3A36"/>
                <w:sz w:val="13"/>
              </w:rPr>
              <w:t>22.7%</w:t>
            </w:r>
          </w:p>
        </w:tc>
        <w:tc>
          <w:tcPr>
            <w:tcW w:type="dxa" w:w="893"/>
          </w:tcPr>
          <w:p>
            <w:pPr>
              <w:spacing w:after="20"/>
              <w:jc w:val="right"/>
            </w:pPr>
            <w:r>
              <w:rPr>
                <w:color w:val="1C3A36"/>
                <w:sz w:val="13"/>
              </w:rPr>
              <w:t>22.6%</w:t>
            </w:r>
          </w:p>
        </w:tc>
        <w:tc>
          <w:tcPr>
            <w:tcW w:type="dxa" w:w="893"/>
          </w:tcPr>
          <w:p>
            <w:pPr>
              <w:spacing w:after="20"/>
              <w:jc w:val="right"/>
            </w:pPr>
            <w:r>
              <w:rPr>
                <w:color w:val="1C3A36"/>
                <w:sz w:val="13"/>
              </w:rPr>
              <w:t>22.4%</w:t>
            </w:r>
          </w:p>
        </w:tc>
      </w:tr>
      <w:tr>
        <w:tc>
          <w:tcPr>
            <w:tcW w:type="dxa" w:w="2678"/>
          </w:tcPr>
          <w:p>
            <w:pPr>
              <w:spacing w:after="20"/>
            </w:pPr>
            <w:r>
              <w:rPr>
                <w:b/>
                <w:color w:val="1C3A36"/>
                <w:sz w:val="13"/>
              </w:rPr>
              <w:t>Finance costs and interest</w:t>
            </w:r>
          </w:p>
        </w:tc>
        <w:tc>
          <w:tcPr>
            <w:tcW w:type="dxa" w:w="893"/>
          </w:tcPr>
          <w:p>
            <w:pPr>
              <w:spacing w:after="20"/>
              <w:jc w:val="right"/>
            </w:pPr>
            <w:r>
              <w:rPr>
                <w:color w:val="1C3A36"/>
                <w:sz w:val="13"/>
              </w:rPr>
              <w:t>-1,504</w:t>
            </w:r>
          </w:p>
        </w:tc>
        <w:tc>
          <w:tcPr>
            <w:tcW w:type="dxa" w:w="893"/>
          </w:tcPr>
          <w:p>
            <w:pPr>
              <w:spacing w:after="20"/>
              <w:jc w:val="right"/>
            </w:pPr>
            <w:r>
              <w:rPr>
                <w:color w:val="1C3A36"/>
                <w:sz w:val="13"/>
              </w:rPr>
              <w:t>-2,311</w:t>
            </w:r>
          </w:p>
        </w:tc>
        <w:tc>
          <w:tcPr>
            <w:tcW w:type="dxa" w:w="893"/>
          </w:tcPr>
          <w:p>
            <w:pPr>
              <w:spacing w:after="20"/>
              <w:jc w:val="right"/>
            </w:pPr>
            <w:r>
              <w:rPr>
                <w:color w:val="1C3A36"/>
                <w:sz w:val="13"/>
              </w:rPr>
            </w:r>
          </w:p>
        </w:tc>
        <w:tc>
          <w:tcPr>
            <w:tcW w:type="dxa" w:w="893"/>
          </w:tcPr>
          <w:p>
            <w:pPr>
              <w:spacing w:after="20"/>
              <w:jc w:val="right"/>
            </w:pPr>
            <w:r>
              <w:rPr>
                <w:color w:val="1C3A36"/>
                <w:sz w:val="13"/>
              </w:rPr>
              <w:t>-1,338</w:t>
            </w:r>
          </w:p>
        </w:tc>
        <w:tc>
          <w:tcPr>
            <w:tcW w:type="dxa" w:w="893"/>
          </w:tcPr>
          <w:p>
            <w:pPr>
              <w:spacing w:after="20"/>
              <w:jc w:val="right"/>
            </w:pPr>
            <w:r>
              <w:rPr>
                <w:color w:val="1C3A36"/>
                <w:sz w:val="13"/>
              </w:rPr>
              <w:t>-1,677</w:t>
            </w:r>
          </w:p>
        </w:tc>
        <w:tc>
          <w:tcPr>
            <w:tcW w:type="dxa" w:w="893"/>
          </w:tcPr>
          <w:p>
            <w:pPr>
              <w:spacing w:after="20"/>
              <w:jc w:val="right"/>
            </w:pPr>
            <w:r>
              <w:rPr>
                <w:color w:val="1C3A36"/>
                <w:sz w:val="13"/>
              </w:rPr>
            </w:r>
          </w:p>
        </w:tc>
        <w:tc>
          <w:tcPr>
            <w:tcW w:type="dxa" w:w="893"/>
          </w:tcPr>
          <w:p>
            <w:pPr>
              <w:spacing w:after="20"/>
              <w:jc w:val="right"/>
            </w:pPr>
            <w:r>
              <w:rPr>
                <w:color w:val="1C3A36"/>
                <w:sz w:val="13"/>
              </w:rPr>
            </w:r>
          </w:p>
        </w:tc>
        <w:tc>
          <w:tcPr>
            <w:tcW w:type="dxa" w:w="893"/>
          </w:tcPr>
          <w:p>
            <w:pPr>
              <w:spacing w:after="20"/>
              <w:jc w:val="right"/>
            </w:pPr>
            <w:r>
              <w:rPr>
                <w:color w:val="1C3A36"/>
                <w:sz w:val="13"/>
              </w:rPr>
            </w:r>
          </w:p>
        </w:tc>
        <w:tc>
          <w:tcPr>
            <w:tcW w:type="dxa" w:w="893"/>
          </w:tcPr>
          <w:p>
            <w:pPr>
              <w:spacing w:after="20"/>
              <w:jc w:val="right"/>
            </w:pPr>
            <w:r>
              <w:rPr>
                <w:color w:val="1C3A36"/>
                <w:sz w:val="13"/>
              </w:rPr>
            </w:r>
          </w:p>
        </w:tc>
        <w:tc>
          <w:tcPr>
            <w:tcW w:type="dxa" w:w="893"/>
          </w:tcPr>
          <w:p>
            <w:pPr>
              <w:spacing w:after="20"/>
              <w:jc w:val="right"/>
            </w:pPr>
            <w:r>
              <w:rPr>
                <w:color w:val="1C3A36"/>
                <w:sz w:val="13"/>
              </w:rPr>
            </w:r>
          </w:p>
        </w:tc>
      </w:tr>
      <w:tr>
        <w:tc>
          <w:tcPr>
            <w:tcW w:type="dxa" w:w="2678"/>
          </w:tcPr>
          <w:p>
            <w:pPr>
              <w:spacing w:after="20"/>
            </w:pPr>
            <w:r>
              <w:rPr>
                <w:b/>
                <w:color w:val="1C3A36"/>
                <w:sz w:val="13"/>
              </w:rPr>
              <w:t>Profit before tax</w:t>
            </w:r>
          </w:p>
        </w:tc>
        <w:tc>
          <w:tcPr>
            <w:tcW w:type="dxa" w:w="893"/>
          </w:tcPr>
          <w:p>
            <w:pPr>
              <w:spacing w:after="20"/>
              <w:jc w:val="right"/>
            </w:pPr>
            <w:r>
              <w:rPr>
                <w:color w:val="1C3A36"/>
                <w:sz w:val="13"/>
              </w:rPr>
              <w:t>2,301</w:t>
            </w:r>
          </w:p>
        </w:tc>
        <w:tc>
          <w:tcPr>
            <w:tcW w:type="dxa" w:w="893"/>
          </w:tcPr>
          <w:p>
            <w:pPr>
              <w:spacing w:after="20"/>
              <w:jc w:val="right"/>
            </w:pPr>
            <w:r>
              <w:rPr>
                <w:color w:val="1C3A36"/>
                <w:sz w:val="13"/>
              </w:rPr>
              <w:t>4,321</w:t>
            </w:r>
          </w:p>
        </w:tc>
        <w:tc>
          <w:tcPr>
            <w:tcW w:type="dxa" w:w="893"/>
          </w:tcPr>
          <w:p>
            <w:pPr>
              <w:spacing w:after="20"/>
              <w:jc w:val="right"/>
            </w:pPr>
            <w:r>
              <w:rPr>
                <w:color w:val="1C3A36"/>
                <w:sz w:val="13"/>
              </w:rPr>
            </w:r>
          </w:p>
        </w:tc>
        <w:tc>
          <w:tcPr>
            <w:tcW w:type="dxa" w:w="893"/>
          </w:tcPr>
          <w:p>
            <w:pPr>
              <w:spacing w:after="20"/>
              <w:jc w:val="right"/>
            </w:pPr>
            <w:r>
              <w:rPr>
                <w:color w:val="1C3A36"/>
                <w:sz w:val="13"/>
              </w:rPr>
              <w:t>3,588</w:t>
            </w:r>
          </w:p>
        </w:tc>
        <w:tc>
          <w:tcPr>
            <w:tcW w:type="dxa" w:w="893"/>
          </w:tcPr>
          <w:p>
            <w:pPr>
              <w:spacing w:after="20"/>
              <w:jc w:val="right"/>
            </w:pPr>
            <w:r>
              <w:rPr>
                <w:color w:val="1C3A36"/>
                <w:sz w:val="13"/>
              </w:rPr>
              <w:t>3,138</w:t>
            </w:r>
          </w:p>
        </w:tc>
        <w:tc>
          <w:tcPr>
            <w:tcW w:type="dxa" w:w="893"/>
          </w:tcPr>
          <w:p>
            <w:pPr>
              <w:spacing w:after="20"/>
              <w:jc w:val="right"/>
            </w:pPr>
            <w:r>
              <w:rPr>
                <w:color w:val="1C3A36"/>
                <w:sz w:val="13"/>
              </w:rPr>
            </w:r>
          </w:p>
        </w:tc>
        <w:tc>
          <w:tcPr>
            <w:tcW w:type="dxa" w:w="893"/>
          </w:tcPr>
          <w:p>
            <w:pPr>
              <w:spacing w:after="20"/>
              <w:jc w:val="right"/>
            </w:pPr>
            <w:r>
              <w:rPr>
                <w:color w:val="1C3A36"/>
                <w:sz w:val="13"/>
              </w:rPr>
            </w:r>
          </w:p>
        </w:tc>
        <w:tc>
          <w:tcPr>
            <w:tcW w:type="dxa" w:w="893"/>
          </w:tcPr>
          <w:p>
            <w:pPr>
              <w:spacing w:after="20"/>
              <w:jc w:val="right"/>
            </w:pPr>
            <w:r>
              <w:rPr>
                <w:color w:val="1C3A36"/>
                <w:sz w:val="13"/>
              </w:rPr>
            </w:r>
          </w:p>
        </w:tc>
        <w:tc>
          <w:tcPr>
            <w:tcW w:type="dxa" w:w="893"/>
          </w:tcPr>
          <w:p>
            <w:pPr>
              <w:spacing w:after="20"/>
              <w:jc w:val="right"/>
            </w:pPr>
            <w:r>
              <w:rPr>
                <w:color w:val="1C3A36"/>
                <w:sz w:val="13"/>
              </w:rPr>
            </w:r>
          </w:p>
        </w:tc>
        <w:tc>
          <w:tcPr>
            <w:tcW w:type="dxa" w:w="893"/>
          </w:tcPr>
          <w:p>
            <w:pPr>
              <w:spacing w:after="20"/>
              <w:jc w:val="right"/>
            </w:pPr>
            <w:r>
              <w:rPr>
                <w:color w:val="1C3A36"/>
                <w:sz w:val="13"/>
              </w:rPr>
            </w:r>
          </w:p>
        </w:tc>
      </w:tr>
      <w:tr>
        <w:tc>
          <w:tcPr>
            <w:tcW w:type="dxa" w:w="2678"/>
          </w:tcPr>
          <w:p>
            <w:pPr>
              <w:spacing w:after="20"/>
            </w:pPr>
            <w:r>
              <w:rPr>
                <w:b/>
                <w:color w:val="1C3A36"/>
                <w:sz w:val="13"/>
              </w:rPr>
              <w:t>Attributable profit</w:t>
            </w:r>
          </w:p>
        </w:tc>
        <w:tc>
          <w:tcPr>
            <w:tcW w:type="dxa" w:w="893"/>
          </w:tcPr>
          <w:p>
            <w:pPr>
              <w:spacing w:after="20"/>
              <w:jc w:val="right"/>
            </w:pPr>
            <w:r>
              <w:rPr>
                <w:color w:val="1C3A36"/>
                <w:sz w:val="13"/>
              </w:rPr>
              <w:t>1,582</w:t>
            </w:r>
          </w:p>
        </w:tc>
        <w:tc>
          <w:tcPr>
            <w:tcW w:type="dxa" w:w="893"/>
          </w:tcPr>
          <w:p>
            <w:pPr>
              <w:spacing w:after="20"/>
              <w:jc w:val="right"/>
            </w:pPr>
            <w:r>
              <w:rPr>
                <w:color w:val="1C3A36"/>
                <w:sz w:val="13"/>
              </w:rPr>
              <w:t>3,255</w:t>
            </w:r>
          </w:p>
        </w:tc>
        <w:tc>
          <w:tcPr>
            <w:tcW w:type="dxa" w:w="893"/>
          </w:tcPr>
          <w:p>
            <w:pPr>
              <w:spacing w:after="20"/>
              <w:jc w:val="right"/>
            </w:pPr>
            <w:r>
              <w:rPr>
                <w:color w:val="1C3A36"/>
                <w:sz w:val="13"/>
              </w:rPr>
              <w:t>4,217</w:t>
            </w:r>
          </w:p>
        </w:tc>
        <w:tc>
          <w:tcPr>
            <w:tcW w:type="dxa" w:w="893"/>
          </w:tcPr>
          <w:p>
            <w:pPr>
              <w:spacing w:after="20"/>
              <w:jc w:val="right"/>
            </w:pPr>
            <w:r>
              <w:rPr>
                <w:color w:val="1C3A36"/>
                <w:sz w:val="13"/>
              </w:rPr>
              <w:t>2,443</w:t>
            </w:r>
          </w:p>
        </w:tc>
        <w:tc>
          <w:tcPr>
            <w:tcW w:type="dxa" w:w="893"/>
          </w:tcPr>
          <w:p>
            <w:pPr>
              <w:spacing w:after="20"/>
              <w:jc w:val="right"/>
            </w:pPr>
            <w:r>
              <w:rPr>
                <w:color w:val="1C3A36"/>
                <w:sz w:val="13"/>
              </w:rPr>
              <w:t>2,265</w:t>
            </w:r>
          </w:p>
        </w:tc>
        <w:tc>
          <w:tcPr>
            <w:tcW w:type="dxa" w:w="893"/>
          </w:tcPr>
          <w:p>
            <w:pPr>
              <w:spacing w:after="20"/>
              <w:jc w:val="right"/>
            </w:pPr>
            <w:r>
              <w:rPr>
                <w:color w:val="1C3A36"/>
                <w:sz w:val="13"/>
              </w:rPr>
            </w:r>
          </w:p>
        </w:tc>
        <w:tc>
          <w:tcPr>
            <w:tcW w:type="dxa" w:w="893"/>
          </w:tcPr>
          <w:p>
            <w:pPr>
              <w:spacing w:after="20"/>
              <w:jc w:val="right"/>
            </w:pPr>
            <w:r>
              <w:rPr>
                <w:color w:val="1C3A36"/>
                <w:sz w:val="13"/>
              </w:rPr>
            </w:r>
          </w:p>
        </w:tc>
        <w:tc>
          <w:tcPr>
            <w:tcW w:type="dxa" w:w="893"/>
          </w:tcPr>
          <w:p>
            <w:pPr>
              <w:spacing w:after="20"/>
              <w:jc w:val="right"/>
            </w:pPr>
            <w:r>
              <w:rPr>
                <w:color w:val="1C3A36"/>
                <w:sz w:val="13"/>
              </w:rPr>
            </w:r>
          </w:p>
        </w:tc>
        <w:tc>
          <w:tcPr>
            <w:tcW w:type="dxa" w:w="893"/>
          </w:tcPr>
          <w:p>
            <w:pPr>
              <w:spacing w:after="20"/>
              <w:jc w:val="right"/>
            </w:pPr>
            <w:r>
              <w:rPr>
                <w:color w:val="1C3A36"/>
                <w:sz w:val="13"/>
              </w:rPr>
            </w:r>
          </w:p>
        </w:tc>
        <w:tc>
          <w:tcPr>
            <w:tcW w:type="dxa" w:w="893"/>
          </w:tcPr>
          <w:p>
            <w:pPr>
              <w:spacing w:after="20"/>
              <w:jc w:val="right"/>
            </w:pPr>
            <w:r>
              <w:rPr>
                <w:color w:val="1C3A36"/>
                <w:sz w:val="13"/>
              </w:rPr>
            </w:r>
          </w:p>
        </w:tc>
      </w:tr>
    </w:tbl>
    <w:p>
      <w:pPr>
        <w:spacing w:after="40"/>
      </w:pPr>
    </w:p>
    <w:p>
      <w:pPr>
        <w:spacing w:after="200" w:before="0"/>
      </w:pPr>
      <w:r>
        <w:rPr>
          <w:b w:val="0"/>
          <w:i/>
          <w:color w:val="6E7B77"/>
          <w:sz w:val="17"/>
        </w:rPr>
        <w:t>Table 19. History from the company's own statements; the forward columns are the model, stated before financing so profit before tax is not carried forward. No FY2025 annual financial statements and no FY2025 earnings release are published on the company investor-relations channel. FY2025 revenue and EBITDA are therefore carried from the company's own history charts in the 1Q2026 release; FY2025 attributable net profit comes from the audited statement of changes in equity inside the 30-Jun-2026 filing. FY2025 gross profit, cost of revenues and finance costs are NOT AVAILABLE from any obtained official document and are shown blank rather than estimated.</w:t>
      </w:r>
    </w:p>
    <w:p>
      <w:pPr>
        <w:spacing w:after="80" w:before="200"/>
      </w:pPr>
      <w:r>
        <w:rPr>
          <w:b/>
          <w:i w:val="0"/>
          <w:color w:val="1C3A36"/>
          <w:sz w:val="24"/>
        </w:rPr>
        <w:t>A.2  Balance sheet at 30 June 2026, with the December comparative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752"/>
        <w:gridCol w:w="2448"/>
        <w:gridCol w:w="2448"/>
      </w:tblGrid>
      <w:tr>
        <w:tc>
          <w:tcPr>
            <w:tcW w:type="dxa" w:w="4752"/>
            <w:shd w:val="clear" w:color="auto" w:fill="EAF0EE"/>
          </w:tcPr>
          <w:p>
            <w:pPr>
              <w:spacing w:after="20"/>
            </w:pPr>
            <w:r>
              <w:rPr>
                <w:b/>
                <w:color w:val="1C3A36"/>
                <w:sz w:val="16"/>
              </w:rPr>
              <w:t>EGP mn</w:t>
            </w:r>
          </w:p>
        </w:tc>
        <w:tc>
          <w:tcPr>
            <w:tcW w:type="dxa" w:w="2448"/>
            <w:shd w:val="clear" w:color="auto" w:fill="EAF0EE"/>
          </w:tcPr>
          <w:p>
            <w:pPr>
              <w:spacing w:after="20"/>
            </w:pPr>
            <w:r>
              <w:rPr>
                <w:b/>
                <w:color w:val="1C3A36"/>
                <w:sz w:val="16"/>
              </w:rPr>
              <w:t>30 Jun 2026</w:t>
            </w:r>
          </w:p>
        </w:tc>
        <w:tc>
          <w:tcPr>
            <w:tcW w:type="dxa" w:w="2448"/>
            <w:shd w:val="clear" w:color="auto" w:fill="EAF0EE"/>
          </w:tcPr>
          <w:p>
            <w:pPr>
              <w:spacing w:after="20"/>
            </w:pPr>
            <w:r>
              <w:rPr>
                <w:b/>
                <w:color w:val="1C3A36"/>
                <w:sz w:val="16"/>
              </w:rPr>
              <w:t>31 Dec 2025</w:t>
            </w:r>
          </w:p>
        </w:tc>
      </w:tr>
      <w:tr>
        <w:tc>
          <w:tcPr>
            <w:tcW w:type="dxa" w:w="4752"/>
          </w:tcPr>
          <w:p>
            <w:pPr>
              <w:spacing w:after="20"/>
            </w:pPr>
            <w:r>
              <w:rPr>
                <w:b/>
                <w:color w:val="1C3A36"/>
                <w:sz w:val="16"/>
              </w:rPr>
              <w:t>Notes receivable, long term</w:t>
            </w:r>
          </w:p>
        </w:tc>
        <w:tc>
          <w:tcPr>
            <w:tcW w:type="dxa" w:w="2448"/>
          </w:tcPr>
          <w:p>
            <w:pPr>
              <w:spacing w:after="20"/>
              <w:jc w:val="right"/>
            </w:pPr>
            <w:r>
              <w:rPr>
                <w:color w:val="1C3A36"/>
                <w:sz w:val="16"/>
              </w:rPr>
              <w:t>55,708</w:t>
            </w:r>
          </w:p>
        </w:tc>
        <w:tc>
          <w:tcPr>
            <w:tcW w:type="dxa" w:w="2448"/>
          </w:tcPr>
          <w:p>
            <w:pPr>
              <w:spacing w:after="20"/>
              <w:jc w:val="right"/>
            </w:pPr>
            <w:r>
              <w:rPr>
                <w:color w:val="1C3A36"/>
                <w:sz w:val="16"/>
              </w:rPr>
              <w:t>54,801</w:t>
            </w:r>
          </w:p>
        </w:tc>
      </w:tr>
      <w:tr>
        <w:tc>
          <w:tcPr>
            <w:tcW w:type="dxa" w:w="4752"/>
          </w:tcPr>
          <w:p>
            <w:pPr>
              <w:spacing w:after="20"/>
            </w:pPr>
            <w:r>
              <w:rPr>
                <w:b/>
                <w:color w:val="1C3A36"/>
                <w:sz w:val="16"/>
              </w:rPr>
              <w:t>Fixed assets and investment property</w:t>
            </w:r>
          </w:p>
        </w:tc>
        <w:tc>
          <w:tcPr>
            <w:tcW w:type="dxa" w:w="2448"/>
          </w:tcPr>
          <w:p>
            <w:pPr>
              <w:spacing w:after="20"/>
              <w:jc w:val="right"/>
            </w:pPr>
            <w:r>
              <w:rPr>
                <w:color w:val="1C3A36"/>
                <w:sz w:val="16"/>
              </w:rPr>
              <w:t>6,646</w:t>
            </w:r>
          </w:p>
        </w:tc>
        <w:tc>
          <w:tcPr>
            <w:tcW w:type="dxa" w:w="2448"/>
          </w:tcPr>
          <w:p>
            <w:pPr>
              <w:spacing w:after="20"/>
              <w:jc w:val="right"/>
            </w:pPr>
            <w:r>
              <w:rPr>
                <w:color w:val="1C3A36"/>
                <w:sz w:val="16"/>
              </w:rPr>
              <w:t>5,555</w:t>
            </w:r>
          </w:p>
        </w:tc>
      </w:tr>
      <w:tr>
        <w:tc>
          <w:tcPr>
            <w:tcW w:type="dxa" w:w="4752"/>
          </w:tcPr>
          <w:p>
            <w:pPr>
              <w:spacing w:after="20"/>
            </w:pPr>
            <w:r>
              <w:rPr>
                <w:b/>
                <w:color w:val="1C3A36"/>
                <w:sz w:val="16"/>
              </w:rPr>
              <w:t>Total non-current assets</w:t>
            </w:r>
          </w:p>
        </w:tc>
        <w:tc>
          <w:tcPr>
            <w:tcW w:type="dxa" w:w="2448"/>
          </w:tcPr>
          <w:p>
            <w:pPr>
              <w:spacing w:after="20"/>
              <w:jc w:val="right"/>
            </w:pPr>
            <w:r>
              <w:rPr>
                <w:color w:val="1C3A36"/>
                <w:sz w:val="16"/>
              </w:rPr>
              <w:t>67,801</w:t>
            </w:r>
          </w:p>
        </w:tc>
        <w:tc>
          <w:tcPr>
            <w:tcW w:type="dxa" w:w="2448"/>
          </w:tcPr>
          <w:p>
            <w:pPr>
              <w:spacing w:after="20"/>
              <w:jc w:val="right"/>
            </w:pPr>
            <w:r>
              <w:rPr>
                <w:color w:val="1C3A36"/>
                <w:sz w:val="16"/>
              </w:rPr>
              <w:t>65,900</w:t>
            </w:r>
          </w:p>
        </w:tc>
      </w:tr>
      <w:tr>
        <w:tc>
          <w:tcPr>
            <w:tcW w:type="dxa" w:w="4752"/>
          </w:tcPr>
          <w:p>
            <w:pPr>
              <w:spacing w:after="20"/>
            </w:pPr>
            <w:r>
              <w:rPr>
                <w:b/>
                <w:color w:val="1C3A36"/>
                <w:sz w:val="16"/>
              </w:rPr>
              <w:t>Work in progress</w:t>
            </w:r>
          </w:p>
        </w:tc>
        <w:tc>
          <w:tcPr>
            <w:tcW w:type="dxa" w:w="2448"/>
          </w:tcPr>
          <w:p>
            <w:pPr>
              <w:spacing w:after="20"/>
              <w:jc w:val="right"/>
            </w:pPr>
            <w:r>
              <w:rPr>
                <w:color w:val="1C3A36"/>
                <w:sz w:val="16"/>
              </w:rPr>
              <w:t>23,916</w:t>
            </w:r>
          </w:p>
        </w:tc>
        <w:tc>
          <w:tcPr>
            <w:tcW w:type="dxa" w:w="2448"/>
          </w:tcPr>
          <w:p>
            <w:pPr>
              <w:spacing w:after="20"/>
              <w:jc w:val="right"/>
            </w:pPr>
            <w:r>
              <w:rPr>
                <w:color w:val="1C3A36"/>
                <w:sz w:val="16"/>
              </w:rPr>
              <w:t>17,571</w:t>
            </w:r>
          </w:p>
        </w:tc>
      </w:tr>
      <w:tr>
        <w:tc>
          <w:tcPr>
            <w:tcW w:type="dxa" w:w="4752"/>
          </w:tcPr>
          <w:p>
            <w:pPr>
              <w:spacing w:after="20"/>
            </w:pPr>
            <w:r>
              <w:rPr>
                <w:b/>
                <w:color w:val="1C3A36"/>
                <w:sz w:val="16"/>
              </w:rPr>
              <w:t>Accounts receivable</w:t>
            </w:r>
          </w:p>
        </w:tc>
        <w:tc>
          <w:tcPr>
            <w:tcW w:type="dxa" w:w="2448"/>
          </w:tcPr>
          <w:p>
            <w:pPr>
              <w:spacing w:after="20"/>
              <w:jc w:val="right"/>
            </w:pPr>
            <w:r>
              <w:rPr>
                <w:color w:val="1C3A36"/>
                <w:sz w:val="16"/>
              </w:rPr>
              <w:t>35,055</w:t>
            </w:r>
          </w:p>
        </w:tc>
        <w:tc>
          <w:tcPr>
            <w:tcW w:type="dxa" w:w="2448"/>
          </w:tcPr>
          <w:p>
            <w:pPr>
              <w:spacing w:after="20"/>
              <w:jc w:val="right"/>
            </w:pPr>
            <w:r>
              <w:rPr>
                <w:color w:val="1C3A36"/>
                <w:sz w:val="16"/>
              </w:rPr>
              <w:t>28,118</w:t>
            </w:r>
          </w:p>
        </w:tc>
      </w:tr>
      <w:tr>
        <w:tc>
          <w:tcPr>
            <w:tcW w:type="dxa" w:w="4752"/>
          </w:tcPr>
          <w:p>
            <w:pPr>
              <w:spacing w:after="20"/>
            </w:pPr>
            <w:r>
              <w:rPr>
                <w:b/>
                <w:color w:val="1C3A36"/>
                <w:sz w:val="16"/>
              </w:rPr>
              <w:t>Notes receivable, short term</w:t>
            </w:r>
          </w:p>
        </w:tc>
        <w:tc>
          <w:tcPr>
            <w:tcW w:type="dxa" w:w="2448"/>
          </w:tcPr>
          <w:p>
            <w:pPr>
              <w:spacing w:after="20"/>
              <w:jc w:val="right"/>
            </w:pPr>
            <w:r>
              <w:rPr>
                <w:color w:val="1C3A36"/>
                <w:sz w:val="16"/>
              </w:rPr>
              <w:t>20,531</w:t>
            </w:r>
          </w:p>
        </w:tc>
        <w:tc>
          <w:tcPr>
            <w:tcW w:type="dxa" w:w="2448"/>
          </w:tcPr>
          <w:p>
            <w:pPr>
              <w:spacing w:after="20"/>
              <w:jc w:val="right"/>
            </w:pPr>
            <w:r>
              <w:rPr>
                <w:color w:val="1C3A36"/>
                <w:sz w:val="16"/>
              </w:rPr>
              <w:t>18,138</w:t>
            </w:r>
          </w:p>
        </w:tc>
      </w:tr>
      <w:tr>
        <w:tc>
          <w:tcPr>
            <w:tcW w:type="dxa" w:w="4752"/>
          </w:tcPr>
          <w:p>
            <w:pPr>
              <w:spacing w:after="20"/>
            </w:pPr>
            <w:r>
              <w:rPr>
                <w:b/>
                <w:color w:val="1C3A36"/>
                <w:sz w:val="16"/>
              </w:rPr>
              <w:t>Treasury bills and bonds at amortised cost</w:t>
            </w:r>
          </w:p>
        </w:tc>
        <w:tc>
          <w:tcPr>
            <w:tcW w:type="dxa" w:w="2448"/>
          </w:tcPr>
          <w:p>
            <w:pPr>
              <w:spacing w:after="20"/>
              <w:jc w:val="right"/>
            </w:pPr>
            <w:r>
              <w:rPr>
                <w:color w:val="1C3A36"/>
                <w:sz w:val="16"/>
              </w:rPr>
              <w:t>13,016</w:t>
            </w:r>
          </w:p>
        </w:tc>
        <w:tc>
          <w:tcPr>
            <w:tcW w:type="dxa" w:w="2448"/>
          </w:tcPr>
          <w:p>
            <w:pPr>
              <w:spacing w:after="20"/>
              <w:jc w:val="right"/>
            </w:pPr>
            <w:r>
              <w:rPr>
                <w:color w:val="1C3A36"/>
                <w:sz w:val="16"/>
              </w:rPr>
              <w:t>9,582</w:t>
            </w:r>
          </w:p>
        </w:tc>
      </w:tr>
      <w:tr>
        <w:tc>
          <w:tcPr>
            <w:tcW w:type="dxa" w:w="4752"/>
          </w:tcPr>
          <w:p>
            <w:pPr>
              <w:spacing w:after="20"/>
            </w:pPr>
            <w:r>
              <w:rPr>
                <w:b/>
                <w:color w:val="1C3A36"/>
                <w:sz w:val="16"/>
              </w:rPr>
              <w:t>Cash and cash equivalents</w:t>
            </w:r>
          </w:p>
        </w:tc>
        <w:tc>
          <w:tcPr>
            <w:tcW w:type="dxa" w:w="2448"/>
          </w:tcPr>
          <w:p>
            <w:pPr>
              <w:spacing w:after="20"/>
              <w:jc w:val="right"/>
            </w:pPr>
            <w:r>
              <w:rPr>
                <w:color w:val="1C3A36"/>
                <w:sz w:val="16"/>
              </w:rPr>
              <w:t>7,804</w:t>
            </w:r>
          </w:p>
        </w:tc>
        <w:tc>
          <w:tcPr>
            <w:tcW w:type="dxa" w:w="2448"/>
          </w:tcPr>
          <w:p>
            <w:pPr>
              <w:spacing w:after="20"/>
              <w:jc w:val="right"/>
            </w:pPr>
            <w:r>
              <w:rPr>
                <w:color w:val="1C3A36"/>
                <w:sz w:val="16"/>
              </w:rPr>
              <w:t>9,420</w:t>
            </w:r>
          </w:p>
        </w:tc>
      </w:tr>
      <w:tr>
        <w:tc>
          <w:tcPr>
            <w:tcW w:type="dxa" w:w="4752"/>
            <w:shd w:val="clear" w:color="auto" w:fill="F6F1E6"/>
          </w:tcPr>
          <w:p>
            <w:pPr>
              <w:spacing w:after="20"/>
            </w:pPr>
            <w:r>
              <w:rPr>
                <w:b/>
                <w:color w:val="1C3A36"/>
                <w:sz w:val="16"/>
              </w:rPr>
              <w:t>TOTAL ASSETS</w:t>
            </w:r>
          </w:p>
        </w:tc>
        <w:tc>
          <w:tcPr>
            <w:tcW w:type="dxa" w:w="2448"/>
            <w:shd w:val="clear" w:color="auto" w:fill="F6F1E6"/>
          </w:tcPr>
          <w:p>
            <w:pPr>
              <w:spacing w:after="20"/>
              <w:jc w:val="right"/>
            </w:pPr>
            <w:r>
              <w:rPr>
                <w:b/>
                <w:color w:val="1C3A36"/>
                <w:sz w:val="16"/>
              </w:rPr>
              <w:t>194,767</w:t>
            </w:r>
          </w:p>
        </w:tc>
        <w:tc>
          <w:tcPr>
            <w:tcW w:type="dxa" w:w="2448"/>
            <w:shd w:val="clear" w:color="auto" w:fill="F6F1E6"/>
          </w:tcPr>
          <w:p>
            <w:pPr>
              <w:spacing w:after="20"/>
              <w:jc w:val="right"/>
            </w:pPr>
            <w:r>
              <w:rPr>
                <w:b/>
                <w:color w:val="1C3A36"/>
                <w:sz w:val="16"/>
              </w:rPr>
              <w:t>172,130</w:t>
            </w:r>
          </w:p>
        </w:tc>
      </w:tr>
      <w:tr>
        <w:tc>
          <w:tcPr>
            <w:tcW w:type="dxa" w:w="4752"/>
          </w:tcPr>
          <w:p>
            <w:pPr>
              <w:spacing w:after="20"/>
            </w:pPr>
            <w:r>
              <w:rPr>
                <w:b/>
                <w:color w:val="1C3A36"/>
                <w:sz w:val="16"/>
              </w:rPr>
              <w:t>Controlling equity</w:t>
            </w:r>
          </w:p>
        </w:tc>
        <w:tc>
          <w:tcPr>
            <w:tcW w:type="dxa" w:w="2448"/>
          </w:tcPr>
          <w:p>
            <w:pPr>
              <w:spacing w:after="20"/>
              <w:jc w:val="right"/>
            </w:pPr>
            <w:r>
              <w:rPr>
                <w:color w:val="1C3A36"/>
                <w:sz w:val="16"/>
              </w:rPr>
              <w:t>18,911</w:t>
            </w:r>
          </w:p>
        </w:tc>
        <w:tc>
          <w:tcPr>
            <w:tcW w:type="dxa" w:w="2448"/>
          </w:tcPr>
          <w:p>
            <w:pPr>
              <w:spacing w:after="20"/>
              <w:jc w:val="right"/>
            </w:pPr>
            <w:r>
              <w:rPr>
                <w:color w:val="1C3A36"/>
                <w:sz w:val="16"/>
              </w:rPr>
              <w:t>17,431</w:t>
            </w:r>
          </w:p>
        </w:tc>
      </w:tr>
      <w:tr>
        <w:tc>
          <w:tcPr>
            <w:tcW w:type="dxa" w:w="4752"/>
          </w:tcPr>
          <w:p>
            <w:pPr>
              <w:spacing w:after="20"/>
            </w:pPr>
            <w:r>
              <w:rPr>
                <w:b/>
                <w:color w:val="1C3A36"/>
                <w:sz w:val="16"/>
              </w:rPr>
              <w:t>Non-controlling interests</w:t>
            </w:r>
          </w:p>
        </w:tc>
        <w:tc>
          <w:tcPr>
            <w:tcW w:type="dxa" w:w="2448"/>
          </w:tcPr>
          <w:p>
            <w:pPr>
              <w:spacing w:after="20"/>
              <w:jc w:val="right"/>
            </w:pPr>
            <w:r>
              <w:rPr>
                <w:color w:val="1C3A36"/>
                <w:sz w:val="16"/>
              </w:rPr>
              <w:t>1,723</w:t>
            </w:r>
          </w:p>
        </w:tc>
        <w:tc>
          <w:tcPr>
            <w:tcW w:type="dxa" w:w="2448"/>
          </w:tcPr>
          <w:p>
            <w:pPr>
              <w:spacing w:after="20"/>
              <w:jc w:val="right"/>
            </w:pPr>
            <w:r>
              <w:rPr>
                <w:color w:val="1C3A36"/>
                <w:sz w:val="16"/>
              </w:rPr>
              <w:t>1,334</w:t>
            </w:r>
          </w:p>
        </w:tc>
      </w:tr>
      <w:tr>
        <w:tc>
          <w:tcPr>
            <w:tcW w:type="dxa" w:w="4752"/>
          </w:tcPr>
          <w:p>
            <w:pPr>
              <w:spacing w:after="20"/>
            </w:pPr>
            <w:r>
              <w:rPr>
                <w:b/>
                <w:color w:val="1C3A36"/>
                <w:sz w:val="16"/>
              </w:rPr>
              <w:t>Loans, long term</w:t>
            </w:r>
          </w:p>
        </w:tc>
        <w:tc>
          <w:tcPr>
            <w:tcW w:type="dxa" w:w="2448"/>
          </w:tcPr>
          <w:p>
            <w:pPr>
              <w:spacing w:after="20"/>
              <w:jc w:val="right"/>
            </w:pPr>
            <w:r>
              <w:rPr>
                <w:color w:val="1C3A36"/>
                <w:sz w:val="16"/>
              </w:rPr>
              <w:t>10,236</w:t>
            </w:r>
          </w:p>
        </w:tc>
        <w:tc>
          <w:tcPr>
            <w:tcW w:type="dxa" w:w="2448"/>
          </w:tcPr>
          <w:p>
            <w:pPr>
              <w:spacing w:after="20"/>
              <w:jc w:val="right"/>
            </w:pPr>
            <w:r>
              <w:rPr>
                <w:color w:val="1C3A36"/>
                <w:sz w:val="16"/>
              </w:rPr>
              <w:t>10,543</w:t>
            </w:r>
          </w:p>
        </w:tc>
      </w:tr>
      <w:tr>
        <w:tc>
          <w:tcPr>
            <w:tcW w:type="dxa" w:w="4752"/>
          </w:tcPr>
          <w:p>
            <w:pPr>
              <w:spacing w:after="20"/>
            </w:pPr>
            <w:r>
              <w:rPr>
                <w:b/>
                <w:color w:val="1C3A36"/>
                <w:sz w:val="16"/>
              </w:rPr>
              <w:t>Credit facilities</w:t>
            </w:r>
          </w:p>
        </w:tc>
        <w:tc>
          <w:tcPr>
            <w:tcW w:type="dxa" w:w="2448"/>
          </w:tcPr>
          <w:p>
            <w:pPr>
              <w:spacing w:after="20"/>
              <w:jc w:val="right"/>
            </w:pPr>
            <w:r>
              <w:rPr>
                <w:color w:val="1C3A36"/>
                <w:sz w:val="16"/>
              </w:rPr>
              <w:t>13,922</w:t>
            </w:r>
          </w:p>
        </w:tc>
        <w:tc>
          <w:tcPr>
            <w:tcW w:type="dxa" w:w="2448"/>
          </w:tcPr>
          <w:p>
            <w:pPr>
              <w:spacing w:after="20"/>
              <w:jc w:val="right"/>
            </w:pPr>
            <w:r>
              <w:rPr>
                <w:color w:val="1C3A36"/>
                <w:sz w:val="16"/>
              </w:rPr>
              <w:t>11,338</w:t>
            </w:r>
          </w:p>
        </w:tc>
      </w:tr>
      <w:tr>
        <w:tc>
          <w:tcPr>
            <w:tcW w:type="dxa" w:w="4752"/>
          </w:tcPr>
          <w:p>
            <w:pPr>
              <w:spacing w:after="20"/>
            </w:pPr>
            <w:r>
              <w:rPr>
                <w:b/>
                <w:color w:val="1C3A36"/>
                <w:sz w:val="16"/>
              </w:rPr>
              <w:t>Residents' Association</w:t>
            </w:r>
          </w:p>
        </w:tc>
        <w:tc>
          <w:tcPr>
            <w:tcW w:type="dxa" w:w="2448"/>
          </w:tcPr>
          <w:p>
            <w:pPr>
              <w:spacing w:after="20"/>
              <w:jc w:val="right"/>
            </w:pPr>
            <w:r>
              <w:rPr>
                <w:color w:val="1C3A36"/>
                <w:sz w:val="16"/>
              </w:rPr>
              <w:t>34,337</w:t>
            </w:r>
          </w:p>
        </w:tc>
        <w:tc>
          <w:tcPr>
            <w:tcW w:type="dxa" w:w="2448"/>
          </w:tcPr>
          <w:p>
            <w:pPr>
              <w:spacing w:after="20"/>
              <w:jc w:val="right"/>
            </w:pPr>
            <w:r>
              <w:rPr>
                <w:color w:val="1C3A36"/>
                <w:sz w:val="16"/>
              </w:rPr>
              <w:t>29,123</w:t>
            </w:r>
          </w:p>
        </w:tc>
      </w:tr>
      <w:tr>
        <w:tc>
          <w:tcPr>
            <w:tcW w:type="dxa" w:w="4752"/>
          </w:tcPr>
          <w:p>
            <w:pPr>
              <w:spacing w:after="20"/>
            </w:pPr>
            <w:r>
              <w:rPr>
                <w:b/>
                <w:color w:val="1C3A36"/>
                <w:sz w:val="16"/>
              </w:rPr>
              <w:t>Advances from customers</w:t>
            </w:r>
          </w:p>
        </w:tc>
        <w:tc>
          <w:tcPr>
            <w:tcW w:type="dxa" w:w="2448"/>
          </w:tcPr>
          <w:p>
            <w:pPr>
              <w:spacing w:after="20"/>
              <w:jc w:val="right"/>
            </w:pPr>
            <w:r>
              <w:rPr>
                <w:color w:val="1C3A36"/>
                <w:sz w:val="16"/>
              </w:rPr>
              <w:t>83,483</w:t>
            </w:r>
          </w:p>
        </w:tc>
        <w:tc>
          <w:tcPr>
            <w:tcW w:type="dxa" w:w="2448"/>
          </w:tcPr>
          <w:p>
            <w:pPr>
              <w:spacing w:after="20"/>
              <w:jc w:val="right"/>
            </w:pPr>
            <w:r>
              <w:rPr>
                <w:color w:val="1C3A36"/>
                <w:sz w:val="16"/>
              </w:rPr>
              <w:t>69,354</w:t>
            </w:r>
          </w:p>
        </w:tc>
      </w:tr>
      <w:tr>
        <w:tc>
          <w:tcPr>
            <w:tcW w:type="dxa" w:w="4752"/>
          </w:tcPr>
          <w:p>
            <w:pPr>
              <w:spacing w:after="20"/>
            </w:pPr>
            <w:r>
              <w:rPr>
                <w:b/>
                <w:color w:val="1C3A36"/>
                <w:sz w:val="16"/>
              </w:rPr>
              <w:t>Notes payable, short and long term</w:t>
            </w:r>
          </w:p>
        </w:tc>
        <w:tc>
          <w:tcPr>
            <w:tcW w:type="dxa" w:w="2448"/>
          </w:tcPr>
          <w:p>
            <w:pPr>
              <w:spacing w:after="20"/>
              <w:jc w:val="right"/>
            </w:pPr>
            <w:r>
              <w:rPr>
                <w:color w:val="1C3A36"/>
                <w:sz w:val="16"/>
              </w:rPr>
              <w:t>8,795</w:t>
            </w:r>
          </w:p>
        </w:tc>
        <w:tc>
          <w:tcPr>
            <w:tcW w:type="dxa" w:w="2448"/>
          </w:tcPr>
          <w:p>
            <w:pPr>
              <w:spacing w:after="20"/>
              <w:jc w:val="right"/>
            </w:pPr>
            <w:r>
              <w:rPr>
                <w:color w:val="1C3A36"/>
                <w:sz w:val="16"/>
              </w:rPr>
              <w:t>9,381</w:t>
            </w:r>
          </w:p>
        </w:tc>
      </w:tr>
      <w:tr>
        <w:tc>
          <w:tcPr>
            <w:tcW w:type="dxa" w:w="4752"/>
          </w:tcPr>
          <w:p>
            <w:pPr>
              <w:spacing w:after="20"/>
            </w:pPr>
            <w:r>
              <w:rPr>
                <w:b/>
                <w:color w:val="1C3A36"/>
                <w:sz w:val="16"/>
              </w:rPr>
              <w:t>Joint arrangement, partners' share</w:t>
            </w:r>
          </w:p>
        </w:tc>
        <w:tc>
          <w:tcPr>
            <w:tcW w:type="dxa" w:w="2448"/>
          </w:tcPr>
          <w:p>
            <w:pPr>
              <w:spacing w:after="20"/>
              <w:jc w:val="right"/>
            </w:pPr>
            <w:r>
              <w:rPr>
                <w:color w:val="1C3A36"/>
                <w:sz w:val="16"/>
              </w:rPr>
              <w:t>5,363</w:t>
            </w:r>
          </w:p>
        </w:tc>
        <w:tc>
          <w:tcPr>
            <w:tcW w:type="dxa" w:w="2448"/>
          </w:tcPr>
          <w:p>
            <w:pPr>
              <w:spacing w:after="20"/>
              <w:jc w:val="right"/>
            </w:pPr>
            <w:r>
              <w:rPr>
                <w:color w:val="1C3A36"/>
                <w:sz w:val="16"/>
              </w:rPr>
              <w:t>6,974</w:t>
            </w:r>
          </w:p>
        </w:tc>
      </w:tr>
      <w:tr>
        <w:tc>
          <w:tcPr>
            <w:tcW w:type="dxa" w:w="4752"/>
            <w:shd w:val="clear" w:color="auto" w:fill="F6F1E6"/>
          </w:tcPr>
          <w:p>
            <w:pPr>
              <w:spacing w:after="20"/>
            </w:pPr>
            <w:r>
              <w:rPr>
                <w:b/>
                <w:color w:val="1C3A36"/>
                <w:sz w:val="16"/>
              </w:rPr>
              <w:t>TOTAL LIABILITIES</w:t>
            </w:r>
          </w:p>
        </w:tc>
        <w:tc>
          <w:tcPr>
            <w:tcW w:type="dxa" w:w="2448"/>
            <w:shd w:val="clear" w:color="auto" w:fill="F6F1E6"/>
          </w:tcPr>
          <w:p>
            <w:pPr>
              <w:spacing w:after="20"/>
              <w:jc w:val="right"/>
            </w:pPr>
            <w:r>
              <w:rPr>
                <w:b/>
                <w:color w:val="1C3A36"/>
                <w:sz w:val="16"/>
              </w:rPr>
              <w:t>174,133</w:t>
            </w:r>
          </w:p>
        </w:tc>
        <w:tc>
          <w:tcPr>
            <w:tcW w:type="dxa" w:w="2448"/>
            <w:shd w:val="clear" w:color="auto" w:fill="F6F1E6"/>
          </w:tcPr>
          <w:p>
            <w:pPr>
              <w:spacing w:after="20"/>
              <w:jc w:val="right"/>
            </w:pPr>
            <w:r>
              <w:rPr>
                <w:b/>
                <w:color w:val="1C3A36"/>
                <w:sz w:val="16"/>
              </w:rPr>
              <w:t>153,364</w:t>
            </w:r>
          </w:p>
        </w:tc>
      </w:tr>
    </w:tbl>
    <w:p>
      <w:pPr>
        <w:spacing w:after="40"/>
      </w:pPr>
    </w:p>
    <w:p>
      <w:pPr>
        <w:spacing w:after="200" w:before="0"/>
      </w:pPr>
      <w:r>
        <w:rPr>
          <w:b w:val="0"/>
          <w:i/>
          <w:color w:val="6E7B77"/>
          <w:sz w:val="17"/>
        </w:rPr>
        <w:t>Table 20. Read from the face of the reviewed statements. Total assets less total liabilities equals total equity in both columns, which the model asserts before it will produce a number.</w:t>
      </w:r>
    </w:p>
    <w:p>
      <w:pPr>
        <w:spacing w:after="80" w:before="200"/>
      </w:pPr>
      <w:r>
        <w:rPr>
          <w:b/>
          <w:i w:val="0"/>
          <w:color w:val="1C3A36"/>
          <w:sz w:val="24"/>
        </w:rPr>
        <w:t>A.3  Forecast balance-sheet and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226"/>
        <w:gridCol w:w="1138"/>
        <w:gridCol w:w="1138"/>
        <w:gridCol w:w="1138"/>
        <w:gridCol w:w="1138"/>
        <w:gridCol w:w="1138"/>
        <w:gridCol w:w="1138"/>
      </w:tblGrid>
      <w:tr>
        <w:tc>
          <w:tcPr>
            <w:tcW w:type="dxa" w:w="3226"/>
            <w:shd w:val="clear" w:color="auto" w:fill="EAF0EE"/>
          </w:tcPr>
          <w:p>
            <w:pPr>
              <w:spacing w:after="20"/>
            </w:pPr>
            <w:r>
              <w:rPr>
                <w:b/>
                <w:color w:val="1C3A36"/>
                <w:sz w:val="15"/>
              </w:rPr>
              <w:t>EGP mn</w:t>
            </w:r>
          </w:p>
        </w:tc>
        <w:tc>
          <w:tcPr>
            <w:tcW w:type="dxa" w:w="1138"/>
            <w:shd w:val="clear" w:color="auto" w:fill="EAF0EE"/>
          </w:tcPr>
          <w:p>
            <w:pPr>
              <w:spacing w:after="20"/>
            </w:pPr>
            <w:r>
              <w:rPr>
                <w:b/>
                <w:color w:val="1C3A36"/>
                <w:sz w:val="15"/>
              </w:rPr>
              <w:t>H2-2026E</w:t>
            </w:r>
          </w:p>
        </w:tc>
        <w:tc>
          <w:tcPr>
            <w:tcW w:type="dxa" w:w="1138"/>
            <w:shd w:val="clear" w:color="auto" w:fill="EAF0EE"/>
          </w:tcPr>
          <w:p>
            <w:pPr>
              <w:spacing w:after="20"/>
            </w:pPr>
            <w:r>
              <w:rPr>
                <w:b/>
                <w:color w:val="1C3A36"/>
                <w:sz w:val="15"/>
              </w:rPr>
              <w:t>FY2027E</w:t>
            </w:r>
          </w:p>
        </w:tc>
        <w:tc>
          <w:tcPr>
            <w:tcW w:type="dxa" w:w="1138"/>
            <w:shd w:val="clear" w:color="auto" w:fill="EAF0EE"/>
          </w:tcPr>
          <w:p>
            <w:pPr>
              <w:spacing w:after="20"/>
            </w:pPr>
            <w:r>
              <w:rPr>
                <w:b/>
                <w:color w:val="1C3A36"/>
                <w:sz w:val="15"/>
              </w:rPr>
              <w:t>FY2028E</w:t>
            </w:r>
          </w:p>
        </w:tc>
        <w:tc>
          <w:tcPr>
            <w:tcW w:type="dxa" w:w="1138"/>
            <w:shd w:val="clear" w:color="auto" w:fill="EAF0EE"/>
          </w:tcPr>
          <w:p>
            <w:pPr>
              <w:spacing w:after="20"/>
            </w:pPr>
            <w:r>
              <w:rPr>
                <w:b/>
                <w:color w:val="1C3A36"/>
                <w:sz w:val="15"/>
              </w:rPr>
              <w:t>FY2029E</w:t>
            </w:r>
          </w:p>
        </w:tc>
        <w:tc>
          <w:tcPr>
            <w:tcW w:type="dxa" w:w="1138"/>
            <w:shd w:val="clear" w:color="auto" w:fill="EAF0EE"/>
          </w:tcPr>
          <w:p>
            <w:pPr>
              <w:spacing w:after="20"/>
            </w:pPr>
            <w:r>
              <w:rPr>
                <w:b/>
                <w:color w:val="1C3A36"/>
                <w:sz w:val="15"/>
              </w:rPr>
              <w:t>FY2030E</w:t>
            </w:r>
          </w:p>
        </w:tc>
        <w:tc>
          <w:tcPr>
            <w:tcW w:type="dxa" w:w="1138"/>
            <w:shd w:val="clear" w:color="auto" w:fill="EAF0EE"/>
          </w:tcPr>
          <w:p>
            <w:pPr>
              <w:spacing w:after="20"/>
            </w:pPr>
            <w:r>
              <w:rPr>
                <w:b/>
                <w:color w:val="1C3A36"/>
                <w:sz w:val="15"/>
              </w:rPr>
              <w:t>FY2031E</w:t>
            </w:r>
          </w:p>
        </w:tc>
      </w:tr>
      <w:tr>
        <w:tc>
          <w:tcPr>
            <w:tcW w:type="dxa" w:w="3226"/>
          </w:tcPr>
          <w:p>
            <w:pPr>
              <w:spacing w:after="20"/>
            </w:pPr>
            <w:r>
              <w:rPr>
                <w:b/>
                <w:color w:val="1C3A36"/>
                <w:sz w:val="15"/>
              </w:rPr>
              <w:t>Working capital employed</w:t>
            </w:r>
          </w:p>
        </w:tc>
        <w:tc>
          <w:tcPr>
            <w:tcW w:type="dxa" w:w="1138"/>
          </w:tcPr>
          <w:p>
            <w:pPr>
              <w:spacing w:after="20"/>
              <w:jc w:val="right"/>
            </w:pPr>
            <w:r>
              <w:rPr>
                <w:color w:val="1C3A36"/>
                <w:sz w:val="15"/>
              </w:rPr>
              <w:t>67,490</w:t>
            </w:r>
          </w:p>
        </w:tc>
        <w:tc>
          <w:tcPr>
            <w:tcW w:type="dxa" w:w="1138"/>
          </w:tcPr>
          <w:p>
            <w:pPr>
              <w:spacing w:after="20"/>
              <w:jc w:val="right"/>
            </w:pPr>
            <w:r>
              <w:rPr>
                <w:color w:val="1C3A36"/>
                <w:sz w:val="15"/>
              </w:rPr>
              <w:t>74,767</w:t>
            </w:r>
          </w:p>
        </w:tc>
        <w:tc>
          <w:tcPr>
            <w:tcW w:type="dxa" w:w="1138"/>
          </w:tcPr>
          <w:p>
            <w:pPr>
              <w:spacing w:after="20"/>
              <w:jc w:val="right"/>
            </w:pPr>
            <w:r>
              <w:rPr>
                <w:color w:val="1C3A36"/>
                <w:sz w:val="15"/>
              </w:rPr>
              <w:t>88,479</w:t>
            </w:r>
          </w:p>
        </w:tc>
        <w:tc>
          <w:tcPr>
            <w:tcW w:type="dxa" w:w="1138"/>
          </w:tcPr>
          <w:p>
            <w:pPr>
              <w:spacing w:after="20"/>
              <w:jc w:val="right"/>
            </w:pPr>
            <w:r>
              <w:rPr>
                <w:color w:val="1C3A36"/>
                <w:sz w:val="15"/>
              </w:rPr>
              <w:t>101,190</w:t>
            </w:r>
          </w:p>
        </w:tc>
        <w:tc>
          <w:tcPr>
            <w:tcW w:type="dxa" w:w="1138"/>
          </w:tcPr>
          <w:p>
            <w:pPr>
              <w:spacing w:after="20"/>
              <w:jc w:val="right"/>
            </w:pPr>
            <w:r>
              <w:rPr>
                <w:color w:val="1C3A36"/>
                <w:sz w:val="15"/>
              </w:rPr>
              <w:t>112,881</w:t>
            </w:r>
          </w:p>
        </w:tc>
        <w:tc>
          <w:tcPr>
            <w:tcW w:type="dxa" w:w="1138"/>
          </w:tcPr>
          <w:p>
            <w:pPr>
              <w:spacing w:after="20"/>
              <w:jc w:val="right"/>
            </w:pPr>
            <w:r>
              <w:rPr>
                <w:color w:val="1C3A36"/>
                <w:sz w:val="15"/>
              </w:rPr>
              <w:t>123,978</w:t>
            </w:r>
          </w:p>
        </w:tc>
      </w:tr>
      <w:tr>
        <w:tc>
          <w:tcPr>
            <w:tcW w:type="dxa" w:w="3226"/>
          </w:tcPr>
          <w:p>
            <w:pPr>
              <w:spacing w:after="20"/>
            </w:pPr>
            <w:r>
              <w:rPr>
                <w:b/>
                <w:color w:val="1C3A36"/>
                <w:sz w:val="15"/>
              </w:rPr>
              <w:t>Construction cost charged to income</w:t>
            </w:r>
          </w:p>
        </w:tc>
        <w:tc>
          <w:tcPr>
            <w:tcW w:type="dxa" w:w="1138"/>
          </w:tcPr>
          <w:p>
            <w:pPr>
              <w:spacing w:after="20"/>
              <w:jc w:val="right"/>
            </w:pPr>
            <w:r>
              <w:rPr>
                <w:color w:val="1C3A36"/>
                <w:sz w:val="15"/>
              </w:rPr>
              <w:t>6,251</w:t>
            </w:r>
          </w:p>
        </w:tc>
        <w:tc>
          <w:tcPr>
            <w:tcW w:type="dxa" w:w="1138"/>
          </w:tcPr>
          <w:p>
            <w:pPr>
              <w:spacing w:after="20"/>
              <w:jc w:val="right"/>
            </w:pPr>
            <w:r>
              <w:rPr>
                <w:color w:val="1C3A36"/>
                <w:sz w:val="15"/>
              </w:rPr>
              <w:t>13,892</w:t>
            </w:r>
          </w:p>
        </w:tc>
        <w:tc>
          <w:tcPr>
            <w:tcW w:type="dxa" w:w="1138"/>
          </w:tcPr>
          <w:p>
            <w:pPr>
              <w:spacing w:after="20"/>
              <w:jc w:val="right"/>
            </w:pPr>
            <w:r>
              <w:rPr>
                <w:color w:val="1C3A36"/>
                <w:sz w:val="15"/>
              </w:rPr>
              <w:t>16,535</w:t>
            </w:r>
          </w:p>
        </w:tc>
        <w:tc>
          <w:tcPr>
            <w:tcW w:type="dxa" w:w="1138"/>
          </w:tcPr>
          <w:p>
            <w:pPr>
              <w:spacing w:after="20"/>
              <w:jc w:val="right"/>
            </w:pPr>
            <w:r>
              <w:rPr>
                <w:color w:val="1C3A36"/>
                <w:sz w:val="15"/>
              </w:rPr>
              <w:t>18,986</w:t>
            </w:r>
          </w:p>
        </w:tc>
        <w:tc>
          <w:tcPr>
            <w:tcW w:type="dxa" w:w="1138"/>
          </w:tcPr>
          <w:p>
            <w:pPr>
              <w:spacing w:after="20"/>
              <w:jc w:val="right"/>
            </w:pPr>
            <w:r>
              <w:rPr>
                <w:color w:val="1C3A36"/>
                <w:sz w:val="15"/>
              </w:rPr>
              <w:t>21,237</w:t>
            </w:r>
          </w:p>
        </w:tc>
        <w:tc>
          <w:tcPr>
            <w:tcW w:type="dxa" w:w="1138"/>
          </w:tcPr>
          <w:p>
            <w:pPr>
              <w:spacing w:after="20"/>
              <w:jc w:val="right"/>
            </w:pPr>
            <w:r>
              <w:rPr>
                <w:color w:val="1C3A36"/>
                <w:sz w:val="15"/>
              </w:rPr>
              <w:t>23,356</w:t>
            </w:r>
          </w:p>
        </w:tc>
      </w:tr>
      <w:tr>
        <w:tc>
          <w:tcPr>
            <w:tcW w:type="dxa" w:w="3226"/>
          </w:tcPr>
          <w:p>
            <w:pPr>
              <w:spacing w:after="20"/>
            </w:pPr>
            <w:r>
              <w:rPr>
                <w:b/>
                <w:color w:val="1C3A36"/>
                <w:sz w:val="15"/>
              </w:rPr>
              <w:t>Land and partners' share</w:t>
            </w:r>
          </w:p>
        </w:tc>
        <w:tc>
          <w:tcPr>
            <w:tcW w:type="dxa" w:w="1138"/>
          </w:tcPr>
          <w:p>
            <w:pPr>
              <w:spacing w:after="20"/>
              <w:jc w:val="right"/>
            </w:pPr>
            <w:r>
              <w:rPr>
                <w:color w:val="1C3A36"/>
                <w:sz w:val="15"/>
              </w:rPr>
              <w:t>7,189</w:t>
            </w:r>
          </w:p>
        </w:tc>
        <w:tc>
          <w:tcPr>
            <w:tcW w:type="dxa" w:w="1138"/>
          </w:tcPr>
          <w:p>
            <w:pPr>
              <w:spacing w:after="20"/>
              <w:jc w:val="right"/>
            </w:pPr>
            <w:r>
              <w:rPr>
                <w:color w:val="1C3A36"/>
                <w:sz w:val="15"/>
              </w:rPr>
              <w:t>15,887</w:t>
            </w:r>
          </w:p>
        </w:tc>
        <w:tc>
          <w:tcPr>
            <w:tcW w:type="dxa" w:w="1138"/>
          </w:tcPr>
          <w:p>
            <w:pPr>
              <w:spacing w:after="20"/>
              <w:jc w:val="right"/>
            </w:pPr>
            <w:r>
              <w:rPr>
                <w:color w:val="1C3A36"/>
                <w:sz w:val="15"/>
              </w:rPr>
              <w:t>18,702</w:t>
            </w:r>
          </w:p>
        </w:tc>
        <w:tc>
          <w:tcPr>
            <w:tcW w:type="dxa" w:w="1138"/>
          </w:tcPr>
          <w:p>
            <w:pPr>
              <w:spacing w:after="20"/>
              <w:jc w:val="right"/>
            </w:pPr>
            <w:r>
              <w:rPr>
                <w:color w:val="1C3A36"/>
                <w:sz w:val="15"/>
              </w:rPr>
              <w:t>21,310</w:t>
            </w:r>
          </w:p>
        </w:tc>
        <w:tc>
          <w:tcPr>
            <w:tcW w:type="dxa" w:w="1138"/>
          </w:tcPr>
          <w:p>
            <w:pPr>
              <w:spacing w:after="20"/>
              <w:jc w:val="right"/>
            </w:pPr>
            <w:r>
              <w:rPr>
                <w:color w:val="1C3A36"/>
                <w:sz w:val="15"/>
              </w:rPr>
              <w:t>23,714</w:t>
            </w:r>
          </w:p>
        </w:tc>
        <w:tc>
          <w:tcPr>
            <w:tcW w:type="dxa" w:w="1138"/>
          </w:tcPr>
          <w:p>
            <w:pPr>
              <w:spacing w:after="20"/>
              <w:jc w:val="right"/>
            </w:pPr>
            <w:r>
              <w:rPr>
                <w:color w:val="1C3A36"/>
                <w:sz w:val="15"/>
              </w:rPr>
              <w:t>26,013</w:t>
            </w:r>
          </w:p>
        </w:tc>
      </w:tr>
      <w:tr>
        <w:tc>
          <w:tcPr>
            <w:tcW w:type="dxa" w:w="3226"/>
          </w:tcPr>
          <w:p>
            <w:pPr>
              <w:spacing w:after="20"/>
            </w:pPr>
            <w:r>
              <w:rPr>
                <w:b/>
                <w:color w:val="1C3A36"/>
                <w:sz w:val="15"/>
              </w:rPr>
              <w:t>Capital expenditure</w:t>
            </w:r>
          </w:p>
        </w:tc>
        <w:tc>
          <w:tcPr>
            <w:tcW w:type="dxa" w:w="1138"/>
          </w:tcPr>
          <w:p>
            <w:pPr>
              <w:spacing w:after="20"/>
              <w:jc w:val="right"/>
            </w:pPr>
            <w:r>
              <w:rPr>
                <w:color w:val="1C3A36"/>
                <w:sz w:val="15"/>
              </w:rPr>
              <w:t>364</w:t>
            </w:r>
          </w:p>
        </w:tc>
        <w:tc>
          <w:tcPr>
            <w:tcW w:type="dxa" w:w="1138"/>
          </w:tcPr>
          <w:p>
            <w:pPr>
              <w:spacing w:after="20"/>
              <w:jc w:val="right"/>
            </w:pPr>
            <w:r>
              <w:rPr>
                <w:color w:val="1C3A36"/>
                <w:sz w:val="15"/>
              </w:rPr>
              <w:t>805</w:t>
            </w:r>
          </w:p>
        </w:tc>
        <w:tc>
          <w:tcPr>
            <w:tcW w:type="dxa" w:w="1138"/>
          </w:tcPr>
          <w:p>
            <w:pPr>
              <w:spacing w:after="20"/>
              <w:jc w:val="right"/>
            </w:pPr>
            <w:r>
              <w:rPr>
                <w:color w:val="1C3A36"/>
                <w:sz w:val="15"/>
              </w:rPr>
              <w:t>948</w:t>
            </w:r>
          </w:p>
        </w:tc>
        <w:tc>
          <w:tcPr>
            <w:tcW w:type="dxa" w:w="1138"/>
          </w:tcPr>
          <w:p>
            <w:pPr>
              <w:spacing w:after="20"/>
              <w:jc w:val="right"/>
            </w:pPr>
            <w:r>
              <w:rPr>
                <w:color w:val="1C3A36"/>
                <w:sz w:val="15"/>
              </w:rPr>
              <w:t>1,080</w:t>
            </w:r>
          </w:p>
        </w:tc>
        <w:tc>
          <w:tcPr>
            <w:tcW w:type="dxa" w:w="1138"/>
          </w:tcPr>
          <w:p>
            <w:pPr>
              <w:spacing w:after="20"/>
              <w:jc w:val="right"/>
            </w:pPr>
            <w:r>
              <w:rPr>
                <w:color w:val="1C3A36"/>
                <w:sz w:val="15"/>
              </w:rPr>
              <w:t>1,202</w:t>
            </w:r>
          </w:p>
        </w:tc>
        <w:tc>
          <w:tcPr>
            <w:tcW w:type="dxa" w:w="1138"/>
          </w:tcPr>
          <w:p>
            <w:pPr>
              <w:spacing w:after="20"/>
              <w:jc w:val="right"/>
            </w:pPr>
            <w:r>
              <w:rPr>
                <w:color w:val="1C3A36"/>
                <w:sz w:val="15"/>
              </w:rPr>
              <w:t>1,319</w:t>
            </w:r>
          </w:p>
        </w:tc>
      </w:tr>
      <w:tr>
        <w:tc>
          <w:tcPr>
            <w:tcW w:type="dxa" w:w="3226"/>
          </w:tcPr>
          <w:p>
            <w:pPr>
              <w:spacing w:after="20"/>
            </w:pPr>
            <w:r>
              <w:rPr>
                <w:b/>
                <w:color w:val="1C3A36"/>
                <w:sz w:val="15"/>
              </w:rPr>
              <w:t>Residents' Association movement</w:t>
            </w:r>
          </w:p>
        </w:tc>
        <w:tc>
          <w:tcPr>
            <w:tcW w:type="dxa" w:w="1138"/>
          </w:tcPr>
          <w:p>
            <w:pPr>
              <w:spacing w:after="20"/>
              <w:jc w:val="right"/>
            </w:pPr>
            <w:r>
              <w:rPr>
                <w:color w:val="1C3A36"/>
                <w:sz w:val="15"/>
              </w:rPr>
              <w:t>4,179</w:t>
            </w:r>
          </w:p>
        </w:tc>
        <w:tc>
          <w:tcPr>
            <w:tcW w:type="dxa" w:w="1138"/>
          </w:tcPr>
          <w:p>
            <w:pPr>
              <w:spacing w:after="20"/>
              <w:jc w:val="right"/>
            </w:pPr>
            <w:r>
              <w:rPr>
                <w:color w:val="1C3A36"/>
                <w:sz w:val="15"/>
              </w:rPr>
              <w:t>4,993</w:t>
            </w:r>
          </w:p>
        </w:tc>
        <w:tc>
          <w:tcPr>
            <w:tcW w:type="dxa" w:w="1138"/>
          </w:tcPr>
          <w:p>
            <w:pPr>
              <w:spacing w:after="20"/>
              <w:jc w:val="right"/>
            </w:pPr>
            <w:r>
              <w:rPr>
                <w:color w:val="1C3A36"/>
                <w:sz w:val="15"/>
              </w:rPr>
              <w:t>8,832</w:t>
            </w:r>
          </w:p>
        </w:tc>
        <w:tc>
          <w:tcPr>
            <w:tcW w:type="dxa" w:w="1138"/>
          </w:tcPr>
          <w:p>
            <w:pPr>
              <w:spacing w:after="20"/>
              <w:jc w:val="right"/>
            </w:pPr>
            <w:r>
              <w:rPr>
                <w:color w:val="1C3A36"/>
                <w:sz w:val="15"/>
              </w:rPr>
              <w:t>8,580</w:t>
            </w:r>
          </w:p>
        </w:tc>
        <w:tc>
          <w:tcPr>
            <w:tcW w:type="dxa" w:w="1138"/>
          </w:tcPr>
          <w:p>
            <w:pPr>
              <w:spacing w:after="20"/>
              <w:jc w:val="right"/>
            </w:pPr>
            <w:r>
              <w:rPr>
                <w:color w:val="1C3A36"/>
                <w:sz w:val="15"/>
              </w:rPr>
              <w:t>8,294</w:t>
            </w:r>
          </w:p>
        </w:tc>
        <w:tc>
          <w:tcPr>
            <w:tcW w:type="dxa" w:w="1138"/>
          </w:tcPr>
          <w:p>
            <w:pPr>
              <w:spacing w:after="20"/>
              <w:jc w:val="right"/>
            </w:pPr>
            <w:r>
              <w:rPr>
                <w:color w:val="1C3A36"/>
                <w:sz w:val="15"/>
              </w:rPr>
              <w:t>8,271</w:t>
            </w:r>
          </w:p>
        </w:tc>
      </w:tr>
      <w:tr>
        <w:tc>
          <w:tcPr>
            <w:tcW w:type="dxa" w:w="3226"/>
          </w:tcPr>
          <w:p>
            <w:pPr>
              <w:spacing w:after="20"/>
            </w:pPr>
            <w:r>
              <w:rPr>
                <w:b/>
                <w:color w:val="1C3A36"/>
                <w:sz w:val="15"/>
              </w:rPr>
              <w:t>Free cash flow to the firm</w:t>
            </w:r>
          </w:p>
        </w:tc>
        <w:tc>
          <w:tcPr>
            <w:tcW w:type="dxa" w:w="1138"/>
          </w:tcPr>
          <w:p>
            <w:pPr>
              <w:spacing w:after="20"/>
              <w:jc w:val="right"/>
            </w:pPr>
            <w:r>
              <w:rPr>
                <w:color w:val="1C3A36"/>
                <w:sz w:val="15"/>
              </w:rPr>
              <w:t>2,017</w:t>
            </w:r>
          </w:p>
        </w:tc>
        <w:tc>
          <w:tcPr>
            <w:tcW w:type="dxa" w:w="1138"/>
          </w:tcPr>
          <w:p>
            <w:pPr>
              <w:spacing w:after="20"/>
              <w:jc w:val="right"/>
            </w:pPr>
            <w:r>
              <w:rPr>
                <w:color w:val="1C3A36"/>
                <w:sz w:val="15"/>
              </w:rPr>
              <w:t>6,810</w:t>
            </w:r>
          </w:p>
        </w:tc>
        <w:tc>
          <w:tcPr>
            <w:tcW w:type="dxa" w:w="1138"/>
          </w:tcPr>
          <w:p>
            <w:pPr>
              <w:spacing w:after="20"/>
              <w:jc w:val="right"/>
            </w:pPr>
            <w:r>
              <w:rPr>
                <w:color w:val="1C3A36"/>
                <w:sz w:val="15"/>
              </w:rPr>
              <w:t>5,747</w:t>
            </w:r>
          </w:p>
        </w:tc>
        <w:tc>
          <w:tcPr>
            <w:tcW w:type="dxa" w:w="1138"/>
          </w:tcPr>
          <w:p>
            <w:pPr>
              <w:spacing w:after="20"/>
              <w:jc w:val="right"/>
            </w:pPr>
            <w:r>
              <w:rPr>
                <w:color w:val="1C3A36"/>
                <w:sz w:val="15"/>
              </w:rPr>
              <w:t>7,893</w:t>
            </w:r>
          </w:p>
        </w:tc>
        <w:tc>
          <w:tcPr>
            <w:tcW w:type="dxa" w:w="1138"/>
          </w:tcPr>
          <w:p>
            <w:pPr>
              <w:spacing w:after="20"/>
              <w:jc w:val="right"/>
            </w:pPr>
            <w:r>
              <w:rPr>
                <w:color w:val="1C3A36"/>
                <w:sz w:val="15"/>
              </w:rPr>
              <w:t>9,900</w:t>
            </w:r>
          </w:p>
        </w:tc>
        <w:tc>
          <w:tcPr>
            <w:tcW w:type="dxa" w:w="1138"/>
          </w:tcPr>
          <w:p>
            <w:pPr>
              <w:spacing w:after="20"/>
              <w:jc w:val="right"/>
            </w:pPr>
            <w:r>
              <w:rPr>
                <w:color w:val="1C3A36"/>
                <w:sz w:val="15"/>
              </w:rPr>
              <w:t>11,696</w:t>
            </w:r>
          </w:p>
        </w:tc>
      </w:tr>
    </w:tbl>
    <w:p>
      <w:pPr>
        <w:spacing w:after="40"/>
      </w:pPr>
    </w:p>
    <w:p>
      <w:pPr>
        <w:spacing w:after="200" w:before="0"/>
      </w:pPr>
      <w:r>
        <w:rPr>
          <w:b w:val="0"/>
          <w:i/>
          <w:color w:val="6E7B77"/>
          <w:sz w:val="17"/>
        </w:rPr>
        <w:t>Table 21. The balance-sheet and cash markers the forecast turns on. Working capital is rolled on each block's own measured ratio to its own driver, not on a single revenue percentage.</w:t>
      </w:r>
    </w:p>
    <w:p>
      <w:pPr>
        <w:spacing w:after="120" w:before="280"/>
      </w:pPr>
      <w:r>
        <w:rPr>
          <w:b/>
          <w:i w:val="0"/>
          <w:color w:val="1C3A36"/>
          <w:sz w:val="30"/>
        </w:rPr>
        <w:t>Appendix B — peers, risks and the research record</w:t>
      </w:r>
    </w:p>
    <w:p>
      <w:pPr>
        <w:spacing w:after="80" w:before="200"/>
      </w:pPr>
      <w:r>
        <w:rPr>
          <w:b/>
          <w:i w:val="0"/>
          <w:color w:val="1C3A36"/>
          <w:sz w:val="24"/>
        </w:rPr>
        <w:t>B.1  Peer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872"/>
        <w:gridCol w:w="2376"/>
        <w:gridCol w:w="2160"/>
      </w:tblGrid>
      <w:tr>
        <w:tc>
          <w:tcPr>
            <w:tcW w:type="dxa" w:w="3456"/>
            <w:shd w:val="clear" w:color="auto" w:fill="EAF0EE"/>
          </w:tcPr>
          <w:p>
            <w:pPr>
              <w:spacing w:after="20"/>
            </w:pPr>
            <w:r>
              <w:rPr>
                <w:b/>
                <w:color w:val="1C3A36"/>
                <w:sz w:val="17"/>
              </w:rPr>
              <w:t>Company</w:t>
            </w:r>
          </w:p>
        </w:tc>
        <w:tc>
          <w:tcPr>
            <w:tcW w:type="dxa" w:w="1872"/>
            <w:shd w:val="clear" w:color="auto" w:fill="EAF0EE"/>
          </w:tcPr>
          <w:p>
            <w:pPr>
              <w:spacing w:after="20"/>
            </w:pPr>
            <w:r>
              <w:rPr>
                <w:b/>
                <w:color w:val="1C3A36"/>
                <w:sz w:val="17"/>
              </w:rPr>
              <w:t>Listing</w:t>
            </w:r>
          </w:p>
        </w:tc>
        <w:tc>
          <w:tcPr>
            <w:tcW w:type="dxa" w:w="2376"/>
            <w:shd w:val="clear" w:color="auto" w:fill="EAF0EE"/>
          </w:tcPr>
          <w:p>
            <w:pPr>
              <w:spacing w:after="20"/>
            </w:pPr>
            <w:r>
              <w:rPr>
                <w:b/>
                <w:color w:val="1C3A36"/>
                <w:sz w:val="17"/>
              </w:rPr>
              <w:t>Market value, EGP mn</w:t>
            </w:r>
          </w:p>
        </w:tc>
        <w:tc>
          <w:tcPr>
            <w:tcW w:type="dxa" w:w="2160"/>
            <w:shd w:val="clear" w:color="auto" w:fill="EAF0EE"/>
          </w:tcPr>
          <w:p>
            <w:pPr>
              <w:spacing w:after="20"/>
            </w:pPr>
            <w:r>
              <w:rPr>
                <w:b/>
                <w:color w:val="1C3A36"/>
                <w:sz w:val="17"/>
              </w:rPr>
              <w:t>Price to earnings</w:t>
            </w:r>
          </w:p>
        </w:tc>
      </w:tr>
      <w:tr>
        <w:tc>
          <w:tcPr>
            <w:tcW w:type="dxa" w:w="3456"/>
          </w:tcPr>
          <w:p>
            <w:pPr>
              <w:spacing w:after="20"/>
            </w:pPr>
            <w:r>
              <w:rPr>
                <w:b/>
                <w:color w:val="1C3A36"/>
                <w:sz w:val="17"/>
              </w:rPr>
              <w:t>Talaat Moustafa Group Holding</w:t>
            </w:r>
          </w:p>
        </w:tc>
        <w:tc>
          <w:tcPr>
            <w:tcW w:type="dxa" w:w="1872"/>
          </w:tcPr>
          <w:p>
            <w:pPr>
              <w:spacing w:after="20"/>
              <w:jc w:val="right"/>
            </w:pPr>
            <w:r>
              <w:rPr>
                <w:color w:val="1C3A36"/>
                <w:sz w:val="17"/>
              </w:rPr>
              <w:t>EGX:TMGH</w:t>
            </w:r>
          </w:p>
        </w:tc>
        <w:tc>
          <w:tcPr>
            <w:tcW w:type="dxa" w:w="2376"/>
          </w:tcPr>
          <w:p>
            <w:pPr>
              <w:spacing w:after="20"/>
              <w:jc w:val="right"/>
            </w:pPr>
            <w:r>
              <w:rPr>
                <w:color w:val="1C3A36"/>
                <w:sz w:val="17"/>
              </w:rPr>
              <w:t>156,630</w:t>
            </w:r>
          </w:p>
        </w:tc>
        <w:tc>
          <w:tcPr>
            <w:tcW w:type="dxa" w:w="2160"/>
          </w:tcPr>
          <w:p>
            <w:pPr>
              <w:spacing w:after="20"/>
              <w:jc w:val="right"/>
            </w:pPr>
            <w:r>
              <w:rPr>
                <w:color w:val="1C3A36"/>
                <w:sz w:val="17"/>
              </w:rPr>
              <w:t>10.20x</w:t>
            </w:r>
          </w:p>
        </w:tc>
      </w:tr>
      <w:tr>
        <w:tc>
          <w:tcPr>
            <w:tcW w:type="dxa" w:w="3456"/>
          </w:tcPr>
          <w:p>
            <w:pPr>
              <w:spacing w:after="20"/>
            </w:pPr>
            <w:r>
              <w:rPr>
                <w:b/>
                <w:color w:val="1C3A36"/>
                <w:sz w:val="17"/>
              </w:rPr>
              <w:t>Emaar Misr for Development</w:t>
            </w:r>
          </w:p>
        </w:tc>
        <w:tc>
          <w:tcPr>
            <w:tcW w:type="dxa" w:w="1872"/>
          </w:tcPr>
          <w:p>
            <w:pPr>
              <w:spacing w:after="20"/>
              <w:jc w:val="right"/>
            </w:pPr>
            <w:r>
              <w:rPr>
                <w:color w:val="1C3A36"/>
                <w:sz w:val="17"/>
              </w:rPr>
              <w:t>EGX:EMFD</w:t>
            </w:r>
          </w:p>
        </w:tc>
        <w:tc>
          <w:tcPr>
            <w:tcW w:type="dxa" w:w="2376"/>
          </w:tcPr>
          <w:p>
            <w:pPr>
              <w:spacing w:after="20"/>
              <w:jc w:val="right"/>
            </w:pPr>
            <w:r>
              <w:rPr>
                <w:color w:val="1C3A36"/>
                <w:sz w:val="17"/>
              </w:rPr>
              <w:t>54,600</w:t>
            </w:r>
          </w:p>
        </w:tc>
        <w:tc>
          <w:tcPr>
            <w:tcW w:type="dxa" w:w="2160"/>
          </w:tcPr>
          <w:p>
            <w:pPr>
              <w:spacing w:after="20"/>
              <w:jc w:val="right"/>
            </w:pPr>
            <w:r>
              <w:rPr>
                <w:color w:val="1C3A36"/>
                <w:sz w:val="17"/>
              </w:rPr>
              <w:t>6.10x</w:t>
            </w:r>
          </w:p>
        </w:tc>
      </w:tr>
      <w:tr>
        <w:tc>
          <w:tcPr>
            <w:tcW w:type="dxa" w:w="3456"/>
          </w:tcPr>
          <w:p>
            <w:pPr>
              <w:spacing w:after="20"/>
            </w:pPr>
            <w:r>
              <w:rPr>
                <w:b/>
                <w:color w:val="1C3A36"/>
                <w:sz w:val="17"/>
              </w:rPr>
              <w:t>SODIC</w:t>
            </w:r>
          </w:p>
        </w:tc>
        <w:tc>
          <w:tcPr>
            <w:tcW w:type="dxa" w:w="1872"/>
          </w:tcPr>
          <w:p>
            <w:pPr>
              <w:spacing w:after="20"/>
              <w:jc w:val="right"/>
            </w:pPr>
            <w:r>
              <w:rPr>
                <w:color w:val="1C3A36"/>
                <w:sz w:val="17"/>
              </w:rPr>
              <w:t>EGX:OCDI</w:t>
            </w:r>
          </w:p>
        </w:tc>
        <w:tc>
          <w:tcPr>
            <w:tcW w:type="dxa" w:w="2376"/>
          </w:tcPr>
          <w:p>
            <w:pPr>
              <w:spacing w:after="20"/>
              <w:jc w:val="right"/>
            </w:pPr>
            <w:r>
              <w:rPr>
                <w:color w:val="1C3A36"/>
                <w:sz w:val="17"/>
              </w:rPr>
              <w:t>24,100</w:t>
            </w:r>
          </w:p>
        </w:tc>
        <w:tc>
          <w:tcPr>
            <w:tcW w:type="dxa" w:w="2160"/>
          </w:tcPr>
          <w:p>
            <w:pPr>
              <w:spacing w:after="20"/>
              <w:jc w:val="right"/>
            </w:pPr>
            <w:r>
              <w:rPr>
                <w:color w:val="1C3A36"/>
                <w:sz w:val="17"/>
              </w:rPr>
              <w:t>6.10x</w:t>
            </w:r>
          </w:p>
        </w:tc>
      </w:tr>
      <w:tr>
        <w:tc>
          <w:tcPr>
            <w:tcW w:type="dxa" w:w="3456"/>
          </w:tcPr>
          <w:p>
            <w:pPr>
              <w:spacing w:after="20"/>
            </w:pPr>
            <w:r>
              <w:rPr>
                <w:b/>
                <w:color w:val="1C3A36"/>
                <w:sz w:val="17"/>
              </w:rPr>
              <w:t>Heliopolis Housing</w:t>
            </w:r>
          </w:p>
        </w:tc>
        <w:tc>
          <w:tcPr>
            <w:tcW w:type="dxa" w:w="1872"/>
          </w:tcPr>
          <w:p>
            <w:pPr>
              <w:spacing w:after="20"/>
              <w:jc w:val="right"/>
            </w:pPr>
            <w:r>
              <w:rPr>
                <w:color w:val="1C3A36"/>
                <w:sz w:val="17"/>
              </w:rPr>
              <w:t>EGX:HELI</w:t>
            </w:r>
          </w:p>
        </w:tc>
        <w:tc>
          <w:tcPr>
            <w:tcW w:type="dxa" w:w="2376"/>
          </w:tcPr>
          <w:p>
            <w:pPr>
              <w:spacing w:after="20"/>
              <w:jc w:val="right"/>
            </w:pPr>
            <w:r>
              <w:rPr>
                <w:color w:val="1C3A36"/>
                <w:sz w:val="17"/>
              </w:rPr>
              <w:t>22,670</w:t>
            </w:r>
          </w:p>
        </w:tc>
        <w:tc>
          <w:tcPr>
            <w:tcW w:type="dxa" w:w="2160"/>
          </w:tcPr>
          <w:p>
            <w:pPr>
              <w:spacing w:after="20"/>
              <w:jc w:val="right"/>
            </w:pPr>
            <w:r>
              <w:rPr>
                <w:color w:val="1C3A36"/>
                <w:sz w:val="17"/>
              </w:rPr>
              <w:t>7.50x</w:t>
            </w:r>
          </w:p>
        </w:tc>
      </w:tr>
      <w:tr>
        <w:tc>
          <w:tcPr>
            <w:tcW w:type="dxa" w:w="3456"/>
          </w:tcPr>
          <w:p>
            <w:pPr>
              <w:spacing w:after="20"/>
            </w:pPr>
            <w:r>
              <w:rPr>
                <w:b/>
                <w:color w:val="1C3A36"/>
                <w:sz w:val="17"/>
              </w:rPr>
              <w:t>Madinet Masr</w:t>
            </w:r>
          </w:p>
        </w:tc>
        <w:tc>
          <w:tcPr>
            <w:tcW w:type="dxa" w:w="1872"/>
          </w:tcPr>
          <w:p>
            <w:pPr>
              <w:spacing w:after="20"/>
              <w:jc w:val="right"/>
            </w:pPr>
            <w:r>
              <w:rPr>
                <w:color w:val="1C3A36"/>
                <w:sz w:val="17"/>
              </w:rPr>
              <w:t>EGX:MASR</w:t>
            </w:r>
          </w:p>
        </w:tc>
        <w:tc>
          <w:tcPr>
            <w:tcW w:type="dxa" w:w="2376"/>
          </w:tcPr>
          <w:p>
            <w:pPr>
              <w:spacing w:after="20"/>
              <w:jc w:val="right"/>
            </w:pPr>
            <w:r>
              <w:rPr>
                <w:color w:val="1C3A36"/>
                <w:sz w:val="17"/>
              </w:rPr>
              <w:t>16,500</w:t>
            </w:r>
          </w:p>
        </w:tc>
        <w:tc>
          <w:tcPr>
            <w:tcW w:type="dxa" w:w="2160"/>
          </w:tcPr>
          <w:p>
            <w:pPr>
              <w:spacing w:after="20"/>
              <w:jc w:val="right"/>
            </w:pPr>
            <w:r>
              <w:rPr>
                <w:color w:val="1C3A36"/>
                <w:sz w:val="17"/>
              </w:rPr>
            </w:r>
          </w:p>
        </w:tc>
      </w:tr>
      <w:tr>
        <w:tc>
          <w:tcPr>
            <w:tcW w:type="dxa" w:w="3456"/>
          </w:tcPr>
          <w:p>
            <w:pPr>
              <w:spacing w:after="20"/>
            </w:pPr>
            <w:r>
              <w:rPr>
                <w:b/>
                <w:color w:val="1C3A36"/>
                <w:sz w:val="17"/>
              </w:rPr>
              <w:t>Emaar Properties</w:t>
            </w:r>
          </w:p>
        </w:tc>
        <w:tc>
          <w:tcPr>
            <w:tcW w:type="dxa" w:w="1872"/>
          </w:tcPr>
          <w:p>
            <w:pPr>
              <w:spacing w:after="20"/>
              <w:jc w:val="right"/>
            </w:pPr>
            <w:r>
              <w:rPr>
                <w:color w:val="1C3A36"/>
                <w:sz w:val="17"/>
              </w:rPr>
              <w:t>DFM:EMAAR</w:t>
            </w:r>
          </w:p>
        </w:tc>
        <w:tc>
          <w:tcPr>
            <w:tcW w:type="dxa" w:w="2376"/>
          </w:tcPr>
          <w:p>
            <w:pPr>
              <w:spacing w:after="20"/>
              <w:jc w:val="right"/>
            </w:pPr>
            <w:r>
              <w:rPr>
                <w:color w:val="1C3A36"/>
                <w:sz w:val="17"/>
              </w:rPr>
            </w:r>
          </w:p>
        </w:tc>
        <w:tc>
          <w:tcPr>
            <w:tcW w:type="dxa" w:w="2160"/>
          </w:tcPr>
          <w:p>
            <w:pPr>
              <w:spacing w:after="20"/>
              <w:jc w:val="right"/>
            </w:pPr>
            <w:r>
              <w:rPr>
                <w:color w:val="1C3A36"/>
                <w:sz w:val="17"/>
              </w:rPr>
              <w:t>6.50x</w:t>
            </w:r>
          </w:p>
        </w:tc>
      </w:tr>
      <w:tr>
        <w:tc>
          <w:tcPr>
            <w:tcW w:type="dxa" w:w="3456"/>
          </w:tcPr>
          <w:p>
            <w:pPr>
              <w:spacing w:after="20"/>
            </w:pPr>
            <w:r>
              <w:rPr>
                <w:b/>
                <w:color w:val="1C3A36"/>
                <w:sz w:val="17"/>
              </w:rPr>
              <w:t>Aldar Properties</w:t>
            </w:r>
          </w:p>
        </w:tc>
        <w:tc>
          <w:tcPr>
            <w:tcW w:type="dxa" w:w="1872"/>
          </w:tcPr>
          <w:p>
            <w:pPr>
              <w:spacing w:after="20"/>
              <w:jc w:val="right"/>
            </w:pPr>
            <w:r>
              <w:rPr>
                <w:color w:val="1C3A36"/>
                <w:sz w:val="17"/>
              </w:rPr>
              <w:t>ADX:ALDAR</w:t>
            </w:r>
          </w:p>
        </w:tc>
        <w:tc>
          <w:tcPr>
            <w:tcW w:type="dxa" w:w="2376"/>
          </w:tcPr>
          <w:p>
            <w:pPr>
              <w:spacing w:after="20"/>
              <w:jc w:val="right"/>
            </w:pPr>
            <w:r>
              <w:rPr>
                <w:color w:val="1C3A36"/>
                <w:sz w:val="17"/>
              </w:rPr>
            </w:r>
          </w:p>
        </w:tc>
        <w:tc>
          <w:tcPr>
            <w:tcW w:type="dxa" w:w="2160"/>
          </w:tcPr>
          <w:p>
            <w:pPr>
              <w:spacing w:after="20"/>
              <w:jc w:val="right"/>
            </w:pPr>
            <w:r>
              <w:rPr>
                <w:color w:val="1C3A36"/>
                <w:sz w:val="17"/>
              </w:rPr>
              <w:t>7.70x</w:t>
            </w:r>
          </w:p>
        </w:tc>
      </w:tr>
      <w:tr>
        <w:tc>
          <w:tcPr>
            <w:tcW w:type="dxa" w:w="3456"/>
            <w:shd w:val="clear" w:color="auto" w:fill="F6F1E6"/>
          </w:tcPr>
          <w:p>
            <w:pPr>
              <w:spacing w:after="20"/>
            </w:pPr>
            <w:r>
              <w:rPr>
                <w:b/>
                <w:color w:val="1C3A36"/>
                <w:sz w:val="17"/>
              </w:rPr>
              <w:t>Palm Hills Developments</w:t>
            </w:r>
          </w:p>
        </w:tc>
        <w:tc>
          <w:tcPr>
            <w:tcW w:type="dxa" w:w="1872"/>
            <w:shd w:val="clear" w:color="auto" w:fill="F6F1E6"/>
          </w:tcPr>
          <w:p>
            <w:pPr>
              <w:spacing w:after="20"/>
              <w:jc w:val="right"/>
            </w:pPr>
            <w:r>
              <w:rPr>
                <w:b/>
                <w:color w:val="1C3A36"/>
                <w:sz w:val="17"/>
              </w:rPr>
              <w:t>EGX:PHDC</w:t>
            </w:r>
          </w:p>
        </w:tc>
        <w:tc>
          <w:tcPr>
            <w:tcW w:type="dxa" w:w="2376"/>
            <w:shd w:val="clear" w:color="auto" w:fill="F6F1E6"/>
          </w:tcPr>
          <w:p>
            <w:pPr>
              <w:spacing w:after="20"/>
              <w:jc w:val="right"/>
            </w:pPr>
            <w:r>
              <w:rPr>
                <w:b/>
                <w:color w:val="1C3A36"/>
                <w:sz w:val="17"/>
              </w:rPr>
              <w:t>42,395</w:t>
            </w:r>
          </w:p>
        </w:tc>
        <w:tc>
          <w:tcPr>
            <w:tcW w:type="dxa" w:w="2160"/>
            <w:shd w:val="clear" w:color="auto" w:fill="F6F1E6"/>
          </w:tcPr>
          <w:p>
            <w:pPr>
              <w:spacing w:after="20"/>
              <w:jc w:val="right"/>
            </w:pPr>
            <w:r>
              <w:rPr>
                <w:b/>
                <w:color w:val="1C3A36"/>
                <w:sz w:val="17"/>
              </w:rPr>
              <w:t>10.54x</w:t>
            </w:r>
          </w:p>
        </w:tc>
      </w:tr>
    </w:tbl>
    <w:p>
      <w:pPr>
        <w:spacing w:after="40"/>
      </w:pPr>
    </w:p>
    <w:p>
      <w:pPr>
        <w:spacing w:after="200" w:before="0"/>
      </w:pPr>
      <w:r>
        <w:rPr>
          <w:b w:val="0"/>
          <w:i/>
          <w:color w:val="6E7B77"/>
          <w:sz w:val="17"/>
        </w:rPr>
        <w:t>Table 22. Five Egyptian peers and two Gulf peers, inside and outside the country as the method requires.</w:t>
      </w:r>
    </w:p>
    <w:p>
      <w:pPr>
        <w:spacing w:after="80" w:before="200"/>
      </w:pPr>
      <w:r>
        <w:rPr>
          <w:b/>
          <w:i w:val="0"/>
          <w:color w:val="1C3A36"/>
          <w:sz w:val="24"/>
        </w:rPr>
        <w:t>B.2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3600"/>
        <w:gridCol w:w="4032"/>
      </w:tblGrid>
      <w:tr>
        <w:tc>
          <w:tcPr>
            <w:tcW w:type="dxa" w:w="2232"/>
            <w:shd w:val="clear" w:color="auto" w:fill="EAF0EE"/>
          </w:tcPr>
          <w:p>
            <w:pPr>
              <w:spacing w:after="20"/>
            </w:pPr>
            <w:r>
              <w:rPr>
                <w:b/>
                <w:color w:val="1C3A36"/>
                <w:sz w:val="16"/>
              </w:rPr>
              <w:t>Risk</w:t>
            </w:r>
          </w:p>
        </w:tc>
        <w:tc>
          <w:tcPr>
            <w:tcW w:type="dxa" w:w="3600"/>
            <w:shd w:val="clear" w:color="auto" w:fill="EAF0EE"/>
          </w:tcPr>
          <w:p>
            <w:pPr>
              <w:spacing w:after="20"/>
              <w:jc w:val="left"/>
            </w:pPr>
            <w:r>
              <w:rPr>
                <w:b/>
                <w:color w:val="1C3A36"/>
                <w:sz w:val="16"/>
              </w:rPr>
              <w:t>How it would show up</w:t>
            </w:r>
          </w:p>
        </w:tc>
        <w:tc>
          <w:tcPr>
            <w:tcW w:type="dxa" w:w="4032"/>
            <w:shd w:val="clear" w:color="auto" w:fill="EAF0EE"/>
          </w:tcPr>
          <w:p>
            <w:pPr>
              <w:spacing w:after="20"/>
              <w:jc w:val="left"/>
            </w:pPr>
            <w:r>
              <w:rPr>
                <w:b/>
                <w:color w:val="1C3A36"/>
                <w:sz w:val="16"/>
              </w:rPr>
              <w:t>What it is worth</w:t>
            </w:r>
          </w:p>
        </w:tc>
      </w:tr>
      <w:tr>
        <w:tc>
          <w:tcPr>
            <w:tcW w:type="dxa" w:w="2232"/>
          </w:tcPr>
          <w:p>
            <w:pPr>
              <w:spacing w:after="20"/>
            </w:pPr>
            <w:r>
              <w:rPr>
                <w:b/>
                <w:color w:val="1C3A36"/>
                <w:sz w:val="16"/>
              </w:rPr>
              <w:t>Residents' associations constituted</w:t>
            </w:r>
          </w:p>
        </w:tc>
        <w:tc>
          <w:tcPr>
            <w:tcW w:type="dxa" w:w="3600"/>
          </w:tcPr>
          <w:p>
            <w:pPr>
              <w:spacing w:after="20"/>
              <w:jc w:val="left"/>
            </w:pPr>
            <w:r>
              <w:rPr>
                <w:color w:val="1C3A36"/>
                <w:sz w:val="16"/>
              </w:rPr>
              <w:t>A transfer of assets and liabilities out of the group</w:t>
            </w:r>
          </w:p>
        </w:tc>
        <w:tc>
          <w:tcPr>
            <w:tcW w:type="dxa" w:w="4032"/>
          </w:tcPr>
          <w:p>
            <w:pPr>
              <w:spacing w:after="20"/>
              <w:jc w:val="left"/>
            </w:pPr>
            <w:r>
              <w:rPr>
                <w:color w:val="1C3A36"/>
                <w:sz w:val="16"/>
              </w:rPr>
              <w:t>The whole gap between the framings: EGP 10.02 a share</w:t>
            </w:r>
          </w:p>
        </w:tc>
      </w:tr>
      <w:tr>
        <w:tc>
          <w:tcPr>
            <w:tcW w:type="dxa" w:w="2232"/>
          </w:tcPr>
          <w:p>
            <w:pPr>
              <w:spacing w:after="20"/>
            </w:pPr>
            <w:r>
              <w:rPr>
                <w:b/>
                <w:color w:val="1C3A36"/>
                <w:sz w:val="16"/>
              </w:rPr>
              <w:t>Disinflation stalls</w:t>
            </w:r>
          </w:p>
        </w:tc>
        <w:tc>
          <w:tcPr>
            <w:tcW w:type="dxa" w:w="3600"/>
          </w:tcPr>
          <w:p>
            <w:pPr>
              <w:spacing w:after="20"/>
              <w:jc w:val="left"/>
            </w:pPr>
            <w:r>
              <w:rPr>
                <w:color w:val="1C3A36"/>
                <w:sz w:val="16"/>
              </w:rPr>
              <w:t>The cost of capital stays at spot rather than gliding</w:t>
            </w:r>
          </w:p>
        </w:tc>
        <w:tc>
          <w:tcPr>
            <w:tcW w:type="dxa" w:w="4032"/>
          </w:tcPr>
          <w:p>
            <w:pPr>
              <w:spacing w:after="20"/>
              <w:jc w:val="left"/>
            </w:pPr>
            <w:r>
              <w:rPr>
                <w:color w:val="1C3A36"/>
                <w:sz w:val="16"/>
              </w:rPr>
              <w:t>EGP 22.89 a share on the cash-flow lens</w:t>
            </w:r>
          </w:p>
        </w:tc>
      </w:tr>
      <w:tr>
        <w:tc>
          <w:tcPr>
            <w:tcW w:type="dxa" w:w="2232"/>
          </w:tcPr>
          <w:p>
            <w:pPr>
              <w:spacing w:after="20"/>
            </w:pPr>
            <w:r>
              <w:rPr>
                <w:b/>
                <w:color w:val="1C3A36"/>
                <w:sz w:val="16"/>
              </w:rPr>
              <w:t>Build cost outruns selling price</w:t>
            </w:r>
          </w:p>
        </w:tc>
        <w:tc>
          <w:tcPr>
            <w:tcW w:type="dxa" w:w="3600"/>
          </w:tcPr>
          <w:p>
            <w:pPr>
              <w:spacing w:after="20"/>
              <w:jc w:val="left"/>
            </w:pPr>
            <w:r>
              <w:rPr>
                <w:color w:val="1C3A36"/>
                <w:sz w:val="16"/>
              </w:rPr>
              <w:t>The crux ratio falls from its measured 3.12x to 2.81x, ten per cent lower</w:t>
            </w:r>
          </w:p>
        </w:tc>
        <w:tc>
          <w:tcPr>
            <w:tcW w:type="dxa" w:w="4032"/>
          </w:tcPr>
          <w:p>
            <w:pPr>
              <w:spacing w:after="20"/>
              <w:jc w:val="left"/>
            </w:pPr>
            <w:r>
              <w:rPr>
                <w:color w:val="1C3A36"/>
                <w:sz w:val="16"/>
              </w:rPr>
              <w:t>EGP 9.36 a share on the cash-flow lens</w:t>
            </w:r>
          </w:p>
        </w:tc>
      </w:tr>
      <w:tr>
        <w:tc>
          <w:tcPr>
            <w:tcW w:type="dxa" w:w="2232"/>
          </w:tcPr>
          <w:p>
            <w:pPr>
              <w:spacing w:after="20"/>
            </w:pPr>
            <w:r>
              <w:rPr>
                <w:b/>
                <w:color w:val="1C3A36"/>
                <w:sz w:val="16"/>
              </w:rPr>
              <w:t>Refinancing</w:t>
            </w:r>
          </w:p>
        </w:tc>
        <w:tc>
          <w:tcPr>
            <w:tcW w:type="dxa" w:w="3600"/>
          </w:tcPr>
          <w:p>
            <w:pPr>
              <w:spacing w:after="20"/>
              <w:jc w:val="left"/>
            </w:pPr>
            <w:r>
              <w:rPr>
                <w:color w:val="1C3A36"/>
                <w:sz w:val="16"/>
              </w:rPr>
              <w:t>EGP 26,480mn of interest-bearing obligations, about EGP 21.4bn of it floating; a two-point rate move is worth EGP 428mn of profit on the company's own disclosure</w:t>
            </w:r>
          </w:p>
        </w:tc>
        <w:tc>
          <w:tcPr>
            <w:tcW w:type="dxa" w:w="4032"/>
          </w:tcPr>
          <w:p>
            <w:pPr>
              <w:spacing w:after="20"/>
              <w:jc w:val="left"/>
            </w:pPr>
            <w:r>
              <w:rPr>
                <w:color w:val="1C3A36"/>
                <w:sz w:val="16"/>
              </w:rPr>
              <w:t>Not modelled as a separate scenario; it is inside the cost-of-capital axis</w:t>
            </w:r>
          </w:p>
        </w:tc>
      </w:tr>
      <w:tr>
        <w:tc>
          <w:tcPr>
            <w:tcW w:type="dxa" w:w="2232"/>
          </w:tcPr>
          <w:p>
            <w:pPr>
              <w:spacing w:after="20"/>
            </w:pPr>
            <w:r>
              <w:rPr>
                <w:b/>
                <w:color w:val="1C3A36"/>
                <w:sz w:val="16"/>
              </w:rPr>
              <w:t>Concentration in one country</w:t>
            </w:r>
          </w:p>
        </w:tc>
        <w:tc>
          <w:tcPr>
            <w:tcW w:type="dxa" w:w="3600"/>
          </w:tcPr>
          <w:p>
            <w:pPr>
              <w:spacing w:after="20"/>
              <w:jc w:val="left"/>
            </w:pPr>
            <w:r>
              <w:rPr>
                <w:color w:val="1C3A36"/>
                <w:sz w:val="16"/>
              </w:rPr>
              <w:t>Every project but Saadiyat is Egyptian</w:t>
            </w:r>
          </w:p>
        </w:tc>
        <w:tc>
          <w:tcPr>
            <w:tcW w:type="dxa" w:w="4032"/>
          </w:tcPr>
          <w:p>
            <w:pPr>
              <w:spacing w:after="20"/>
              <w:jc w:val="left"/>
            </w:pPr>
            <w:r>
              <w:rPr>
                <w:color w:val="1C3A36"/>
                <w:sz w:val="16"/>
              </w:rPr>
              <w:t>Carried through the country risk premium of 9.3% inside the cost of equity</w:t>
            </w:r>
          </w:p>
        </w:tc>
      </w:tr>
    </w:tbl>
    <w:p>
      <w:pPr>
        <w:spacing w:after="40"/>
      </w:pPr>
    </w:p>
    <w:p>
      <w:pPr>
        <w:spacing w:after="200" w:before="0"/>
      </w:pPr>
      <w:r>
        <w:rPr>
          <w:b w:val="0"/>
          <w:i/>
          <w:color w:val="6E7B77"/>
          <w:sz w:val="17"/>
        </w:rPr>
        <w:t>Table 23. Each risk priced in the same units as the valuation, not described in adjectives.</w:t>
      </w:r>
    </w:p>
    <w:p>
      <w:pPr>
        <w:spacing w:after="80" w:before="200"/>
      </w:pPr>
      <w:r>
        <w:rPr>
          <w:b/>
          <w:i w:val="0"/>
          <w:color w:val="1C3A36"/>
          <w:sz w:val="24"/>
        </w:rPr>
        <w:t>B.3  Research record</w:t>
      </w:r>
    </w:p>
    <w:p>
      <w:pPr>
        <w:spacing w:after="120" w:before="0"/>
      </w:pPr>
      <w:r>
        <w:rPr>
          <w:b w:val="0"/>
          <w:i w:val="0"/>
          <w:color w:val="1C3A36"/>
          <w:sz w:val="19"/>
        </w:rPr>
        <w:t>The four layers of research behind this document — global, country, industry and company — were re-run on the new disclosure. The company layer was rebuilt in full. The country layer was rebuilt in full because every one of its drivers moved: the sovereign yield, the equity risk premium file, the inflation print and the policy rate. The industry layer was rebuilt because a dated market survey published the day before this study gave a measurable price and volume outcome. Within the global layer, the currency and commodity findings were re-run and the trade and supply-chain search was repeated and again returned nothing bearing on the subject, so that finding is carried forward. Twenty-three findings were recorded in all, of which five are dated negative searches. Seven separate attempts were made to reach primary documents; five succeeded and two failed, and both failures are named in the caveats.</w:t>
      </w:r>
    </w:p>
    <w:p>
      <w:pPr>
        <w:spacing w:after="120" w:before="0"/>
      </w:pPr>
      <w:r>
        <w:rPr>
          <w:b w:val="0"/>
          <w:i w:val="0"/>
          <w:color w:val="1C3A36"/>
          <w:sz w:val="19"/>
        </w:rPr>
        <w:t>Every number in this study that describes what Palm Hills reported comes from a document Palm Hills issued. Market data comes from the central bank's own auction results and from the original country-risk file. Peer multiples come from market-data aggregators and are used only to price other companies. No aggregator sits anywhere in the path of a Palm Hills historical.</w:t>
      </w:r>
    </w:p>
    <w:p>
      <w:pPr>
        <w:spacing w:after="120" w:before="280"/>
      </w:pPr>
      <w:r>
        <w:rPr>
          <w:b/>
          <w:i w:val="0"/>
          <w:color w:val="1C3A36"/>
          <w:sz w:val="30"/>
        </w:rPr>
        <w:t>Appendix C — three experts, three methods</w:t>
      </w:r>
    </w:p>
    <w:p>
      <w:pPr>
        <w:spacing w:after="80" w:before="200"/>
      </w:pPr>
      <w:r>
        <w:rPr>
          <w:b/>
          <w:i w:val="0"/>
          <w:color w:val="1C3A36"/>
          <w:sz w:val="24"/>
        </w:rPr>
        <w:t>C.1  Expert 1 — the cash-flow analyst</w:t>
      </w:r>
    </w:p>
    <w:p>
      <w:pPr>
        <w:spacing w:after="120" w:before="0"/>
      </w:pPr>
      <w:r>
        <w:rPr>
          <w:b w:val="0"/>
          <w:i w:val="0"/>
          <w:color w:val="1C3A36"/>
          <w:sz w:val="21"/>
        </w:rPr>
        <w:t>Worldview. A developer is a machine that converts construction spending into contracted revenue over several years. Value it on what the machine produces net of what it consumes, and be honest that in a business with a 1,193-day gross cycle the consumption is most of the story.</w:t>
      </w:r>
    </w:p>
    <w:p>
      <w:pPr>
        <w:spacing w:after="120" w:before="0"/>
      </w:pPr>
      <w:r>
        <w:rPr>
          <w:b w:val="0"/>
          <w:i w:val="0"/>
          <w:color w:val="1C3A36"/>
          <w:sz w:val="21"/>
        </w:rPr>
        <w:t>When it works: when the physical driver is disclosed, which here it is. When it fails: when the terminal carries most of the value, which here it does.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456"/>
      </w:tblGrid>
      <w:tr>
        <w:tc>
          <w:tcPr>
            <w:tcW w:type="dxa" w:w="6192"/>
            <w:shd w:val="clear" w:color="auto" w:fill="EAF0EE"/>
          </w:tcPr>
          <w:p>
            <w:pPr>
              <w:spacing w:after="20"/>
            </w:pPr>
            <w:r>
              <w:rPr>
                <w:b/>
                <w:color w:val="1C3A36"/>
                <w:sz w:val="17"/>
              </w:rPr>
              <w:t>Line</w:t>
            </w:r>
          </w:p>
        </w:tc>
        <w:tc>
          <w:tcPr>
            <w:tcW w:type="dxa" w:w="3456"/>
            <w:shd w:val="clear" w:color="auto" w:fill="EAF0EE"/>
          </w:tcPr>
          <w:p>
            <w:pPr>
              <w:spacing w:after="20"/>
            </w:pPr>
            <w:r>
              <w:rPr>
                <w:b/>
                <w:color w:val="1C3A36"/>
                <w:sz w:val="17"/>
              </w:rPr>
              <w:t>Value</w:t>
            </w:r>
          </w:p>
        </w:tc>
      </w:tr>
      <w:tr>
        <w:tc>
          <w:tcPr>
            <w:tcW w:type="dxa" w:w="6192"/>
          </w:tcPr>
          <w:p>
            <w:pPr>
              <w:spacing w:after="20"/>
            </w:pPr>
            <w:r>
              <w:rPr>
                <w:b/>
                <w:color w:val="1C3A36"/>
                <w:sz w:val="17"/>
              </w:rPr>
              <w:t>Return on invested capital, computed from the model's own year-five capital</w:t>
            </w:r>
          </w:p>
        </w:tc>
        <w:tc>
          <w:tcPr>
            <w:tcW w:type="dxa" w:w="3456"/>
          </w:tcPr>
          <w:p>
            <w:pPr>
              <w:spacing w:after="20"/>
              <w:jc w:val="right"/>
            </w:pPr>
            <w:r>
              <w:rPr>
                <w:color w:val="1C3A36"/>
                <w:sz w:val="17"/>
              </w:rPr>
              <w:t>11.3%</w:t>
            </w:r>
          </w:p>
        </w:tc>
      </w:tr>
      <w:tr>
        <w:tc>
          <w:tcPr>
            <w:tcW w:type="dxa" w:w="6192"/>
          </w:tcPr>
          <w:p>
            <w:pPr>
              <w:spacing w:after="20"/>
            </w:pPr>
            <w:r>
              <w:rPr>
                <w:b/>
                <w:color w:val="1C3A36"/>
                <w:sz w:val="17"/>
              </w:rPr>
              <w:t>Weighted cost of capital, spot</w:t>
            </w:r>
          </w:p>
        </w:tc>
        <w:tc>
          <w:tcPr>
            <w:tcW w:type="dxa" w:w="3456"/>
          </w:tcPr>
          <w:p>
            <w:pPr>
              <w:spacing w:after="20"/>
              <w:jc w:val="right"/>
            </w:pPr>
            <w:r>
              <w:rPr>
                <w:color w:val="1C3A36"/>
                <w:sz w:val="17"/>
              </w:rPr>
              <w:t>25.9%</w:t>
            </w:r>
          </w:p>
        </w:tc>
      </w:tr>
      <w:tr>
        <w:tc>
          <w:tcPr>
            <w:tcW w:type="dxa" w:w="6192"/>
          </w:tcPr>
          <w:p>
            <w:pPr>
              <w:spacing w:after="20"/>
            </w:pPr>
            <w:r>
              <w:rPr>
                <w:b/>
                <w:color w:val="1C3A36"/>
                <w:sz w:val="17"/>
              </w:rPr>
              <w:t>Weighted cost of capital, normalised</w:t>
            </w:r>
          </w:p>
        </w:tc>
        <w:tc>
          <w:tcPr>
            <w:tcW w:type="dxa" w:w="3456"/>
          </w:tcPr>
          <w:p>
            <w:pPr>
              <w:spacing w:after="20"/>
              <w:jc w:val="right"/>
            </w:pPr>
            <w:r>
              <w:rPr>
                <w:color w:val="1C3A36"/>
                <w:sz w:val="17"/>
              </w:rPr>
              <w:t>14.8%</w:t>
            </w:r>
          </w:p>
        </w:tc>
      </w:tr>
      <w:tr>
        <w:tc>
          <w:tcPr>
            <w:tcW w:type="dxa" w:w="6192"/>
          </w:tcPr>
          <w:p>
            <w:pPr>
              <w:spacing w:after="20"/>
            </w:pPr>
            <w:r>
              <w:rPr>
                <w:b/>
                <w:color w:val="1C3A36"/>
                <w:sz w:val="17"/>
              </w:rPr>
              <w:t>Present value of the explicit forecast, EGP mn</w:t>
            </w:r>
          </w:p>
        </w:tc>
        <w:tc>
          <w:tcPr>
            <w:tcW w:type="dxa" w:w="3456"/>
          </w:tcPr>
          <w:p>
            <w:pPr>
              <w:spacing w:after="20"/>
              <w:jc w:val="right"/>
            </w:pPr>
            <w:r>
              <w:rPr>
                <w:color w:val="1C3A36"/>
                <w:sz w:val="17"/>
              </w:rPr>
              <w:t>27,111</w:t>
            </w:r>
          </w:p>
        </w:tc>
      </w:tr>
      <w:tr>
        <w:tc>
          <w:tcPr>
            <w:tcW w:type="dxa" w:w="6192"/>
          </w:tcPr>
          <w:p>
            <w:pPr>
              <w:spacing w:after="20"/>
            </w:pPr>
            <w:r>
              <w:rPr>
                <w:b/>
                <w:color w:val="1C3A36"/>
                <w:sz w:val="17"/>
              </w:rPr>
              <w:t>Present value of the terminal, EGP mn</w:t>
            </w:r>
          </w:p>
        </w:tc>
        <w:tc>
          <w:tcPr>
            <w:tcW w:type="dxa" w:w="3456"/>
          </w:tcPr>
          <w:p>
            <w:pPr>
              <w:spacing w:after="20"/>
              <w:jc w:val="right"/>
            </w:pPr>
            <w:r>
              <w:rPr>
                <w:color w:val="1C3A36"/>
                <w:sz w:val="17"/>
              </w:rPr>
              <w:t>77,891</w:t>
            </w:r>
          </w:p>
        </w:tc>
      </w:tr>
      <w:tr>
        <w:tc>
          <w:tcPr>
            <w:tcW w:type="dxa" w:w="6192"/>
          </w:tcPr>
          <w:p>
            <w:pPr>
              <w:spacing w:after="20"/>
            </w:pPr>
            <w:r>
              <w:rPr>
                <w:b/>
                <w:color w:val="1C3A36"/>
                <w:sz w:val="17"/>
              </w:rPr>
              <w:t>Terminal share of enterprise value</w:t>
            </w:r>
          </w:p>
        </w:tc>
        <w:tc>
          <w:tcPr>
            <w:tcW w:type="dxa" w:w="3456"/>
          </w:tcPr>
          <w:p>
            <w:pPr>
              <w:spacing w:after="20"/>
              <w:jc w:val="right"/>
            </w:pPr>
            <w:r>
              <w:rPr>
                <w:color w:val="1C3A36"/>
                <w:sz w:val="17"/>
              </w:rPr>
              <w:t>74.2%</w:t>
            </w:r>
          </w:p>
        </w:tc>
      </w:tr>
      <w:tr>
        <w:tc>
          <w:tcPr>
            <w:tcW w:type="dxa" w:w="6192"/>
            <w:shd w:val="clear" w:color="auto" w:fill="F6F1E6"/>
          </w:tcPr>
          <w:p>
            <w:pPr>
              <w:spacing w:after="20"/>
            </w:pPr>
            <w:r>
              <w:rPr>
                <w:b/>
                <w:color w:val="1C3A36"/>
                <w:sz w:val="17"/>
              </w:rPr>
              <w:t>Value per share, float as operating funding</w:t>
            </w:r>
          </w:p>
        </w:tc>
        <w:tc>
          <w:tcPr>
            <w:tcW w:type="dxa" w:w="3456"/>
            <w:shd w:val="clear" w:color="auto" w:fill="F6F1E6"/>
          </w:tcPr>
          <w:p>
            <w:pPr>
              <w:spacing w:after="20"/>
              <w:jc w:val="right"/>
            </w:pPr>
            <w:r>
              <w:rPr>
                <w:b/>
                <w:color w:val="1C3A36"/>
                <w:sz w:val="17"/>
              </w:rPr>
              <w:t>EGP 34.56</w:t>
            </w:r>
          </w:p>
        </w:tc>
      </w:tr>
      <w:tr>
        <w:tc>
          <w:tcPr>
            <w:tcW w:type="dxa" w:w="6192"/>
            <w:shd w:val="clear" w:color="auto" w:fill="F6F1E6"/>
          </w:tcPr>
          <w:p>
            <w:pPr>
              <w:spacing w:after="20"/>
            </w:pPr>
            <w:r>
              <w:rPr>
                <w:b/>
                <w:color w:val="1C3A36"/>
                <w:sz w:val="17"/>
              </w:rPr>
              <w:t>Value per share, float restricted</w:t>
            </w:r>
          </w:p>
        </w:tc>
        <w:tc>
          <w:tcPr>
            <w:tcW w:type="dxa" w:w="3456"/>
            <w:shd w:val="clear" w:color="auto" w:fill="F6F1E6"/>
          </w:tcPr>
          <w:p>
            <w:pPr>
              <w:spacing w:after="20"/>
              <w:jc w:val="right"/>
            </w:pPr>
            <w:r>
              <w:rPr>
                <w:b/>
                <w:color w:val="1C3A36"/>
                <w:sz w:val="17"/>
              </w:rPr>
              <w:t>EGP 6.51</w:t>
            </w:r>
          </w:p>
        </w:tc>
      </w:tr>
    </w:tbl>
    <w:p>
      <w:pPr>
        <w:spacing w:after="40"/>
      </w:pPr>
    </w:p>
    <w:p>
      <w:pPr>
        <w:spacing w:after="200" w:before="0"/>
      </w:pPr>
      <w:r>
        <w:rPr>
          <w:b w:val="0"/>
          <w:i/>
          <w:color w:val="6E7B77"/>
          <w:sz w:val="17"/>
        </w:rPr>
        <w:t>Table 24. Expert 1's workings, every intermediate line shown.</w:t>
      </w:r>
    </w:p>
    <w:p>
      <w:pPr>
        <w:spacing w:after="120" w:before="0"/>
      </w:pPr>
      <w:r>
        <w:rPr>
          <w:b w:val="0"/>
          <w:i w:val="0"/>
          <w:color w:val="1C3A36"/>
          <w:sz w:val="21"/>
        </w:rPr>
        <w:t>Named sensitivity: two hundred basis points on the cost-of-capital path moves the answer from EGP 25.91 to EGP 50.52. Falsifier stated in advance: if the return on invested capital measured on the 2027 statements comes in above the normalised cost of capital of 14.8%, the growth path in this model is too pessimistic and the value is understated.</w:t>
      </w:r>
    </w:p>
    <w:p>
      <w:pPr>
        <w:spacing w:after="80" w:before="200"/>
      </w:pPr>
      <w:r>
        <w:rPr>
          <w:b/>
          <w:i w:val="0"/>
          <w:color w:val="1C3A36"/>
          <w:sz w:val="24"/>
        </w:rPr>
        <w:t>C.2  Expert 2 — the contracted-book analyst</w:t>
      </w:r>
    </w:p>
    <w:p>
      <w:pPr>
        <w:spacing w:after="120" w:before="0"/>
      </w:pPr>
      <w:r>
        <w:rPr>
          <w:b w:val="0"/>
          <w:i w:val="0"/>
          <w:color w:val="1C3A36"/>
          <w:sz w:val="21"/>
        </w:rPr>
        <w:t>Worldview. Forget the forecast. The company has already sold the units; the question is what is left after building them and paying everyone else. Value the book that exists and treat everything beyond it as free.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456"/>
      </w:tblGrid>
      <w:tr>
        <w:tc>
          <w:tcPr>
            <w:tcW w:type="dxa" w:w="6192"/>
            <w:shd w:val="clear" w:color="auto" w:fill="EAF0EE"/>
          </w:tcPr>
          <w:p>
            <w:pPr>
              <w:spacing w:after="20"/>
            </w:pPr>
            <w:r>
              <w:rPr>
                <w:b/>
                <w:color w:val="1C3A36"/>
                <w:sz w:val="17"/>
              </w:rPr>
              <w:t>Line</w:t>
            </w:r>
          </w:p>
        </w:tc>
        <w:tc>
          <w:tcPr>
            <w:tcW w:type="dxa" w:w="3456"/>
            <w:shd w:val="clear" w:color="auto" w:fill="EAF0EE"/>
          </w:tcPr>
          <w:p>
            <w:pPr>
              <w:spacing w:after="20"/>
            </w:pPr>
            <w:r>
              <w:rPr>
                <w:b/>
                <w:color w:val="1C3A36"/>
                <w:sz w:val="17"/>
              </w:rPr>
              <w:t>EGP mn</w:t>
            </w:r>
          </w:p>
        </w:tc>
      </w:tr>
      <w:tr>
        <w:tc>
          <w:tcPr>
            <w:tcW w:type="dxa" w:w="6192"/>
          </w:tcPr>
          <w:p>
            <w:pPr>
              <w:spacing w:after="20"/>
            </w:pPr>
            <w:r>
              <w:rPr>
                <w:b/>
                <w:color w:val="1C3A36"/>
                <w:sz w:val="17"/>
              </w:rPr>
              <w:t>Present value of undelivered-unit notes receivable, off balance sheet</w:t>
            </w:r>
          </w:p>
        </w:tc>
        <w:tc>
          <w:tcPr>
            <w:tcW w:type="dxa" w:w="3456"/>
          </w:tcPr>
          <w:p>
            <w:pPr>
              <w:spacing w:after="20"/>
              <w:jc w:val="right"/>
            </w:pPr>
            <w:r>
              <w:rPr>
                <w:color w:val="1C3A36"/>
                <w:sz w:val="17"/>
              </w:rPr>
              <w:t>59,398</w:t>
            </w:r>
          </w:p>
        </w:tc>
      </w:tr>
      <w:tr>
        <w:tc>
          <w:tcPr>
            <w:tcW w:type="dxa" w:w="6192"/>
          </w:tcPr>
          <w:p>
            <w:pPr>
              <w:spacing w:after="20"/>
            </w:pPr>
            <w:r>
              <w:rPr>
                <w:b/>
                <w:color w:val="1C3A36"/>
                <w:sz w:val="17"/>
              </w:rPr>
              <w:t>Notes and accounts receivable already on the balance sheet</w:t>
            </w:r>
          </w:p>
        </w:tc>
        <w:tc>
          <w:tcPr>
            <w:tcW w:type="dxa" w:w="3456"/>
          </w:tcPr>
          <w:p>
            <w:pPr>
              <w:spacing w:after="20"/>
              <w:jc w:val="right"/>
            </w:pPr>
            <w:r>
              <w:rPr>
                <w:color w:val="1C3A36"/>
                <w:sz w:val="17"/>
              </w:rPr>
              <w:t>111,293</w:t>
            </w:r>
          </w:p>
        </w:tc>
      </w:tr>
      <w:tr>
        <w:tc>
          <w:tcPr>
            <w:tcW w:type="dxa" w:w="6192"/>
          </w:tcPr>
          <w:p>
            <w:pPr>
              <w:spacing w:after="20"/>
            </w:pPr>
            <w:r>
              <w:rPr>
                <w:b/>
                <w:color w:val="1C3A36"/>
                <w:sz w:val="17"/>
              </w:rPr>
              <w:t>Less advances already taken from customers</w:t>
            </w:r>
          </w:p>
        </w:tc>
        <w:tc>
          <w:tcPr>
            <w:tcW w:type="dxa" w:w="3456"/>
          </w:tcPr>
          <w:p>
            <w:pPr>
              <w:spacing w:after="20"/>
              <w:jc w:val="right"/>
            </w:pPr>
            <w:r>
              <w:rPr>
                <w:color w:val="1C3A36"/>
                <w:sz w:val="17"/>
              </w:rPr>
              <w:t>(83,483)</w:t>
            </w:r>
          </w:p>
        </w:tc>
      </w:tr>
      <w:tr>
        <w:tc>
          <w:tcPr>
            <w:tcW w:type="dxa" w:w="6192"/>
          </w:tcPr>
          <w:p>
            <w:pPr>
              <w:spacing w:after="20"/>
            </w:pPr>
            <w:r>
              <w:rPr>
                <w:b/>
                <w:color w:val="1C3A36"/>
                <w:sz w:val="17"/>
              </w:rPr>
              <w:t>Less construction still to spend on that book, half attributed to the period</w:t>
            </w:r>
          </w:p>
        </w:tc>
        <w:tc>
          <w:tcPr>
            <w:tcW w:type="dxa" w:w="3456"/>
          </w:tcPr>
          <w:p>
            <w:pPr>
              <w:spacing w:after="20"/>
              <w:jc w:val="right"/>
            </w:pPr>
            <w:r>
              <w:rPr>
                <w:color w:val="1C3A36"/>
                <w:sz w:val="17"/>
              </w:rPr>
              <w:t>(23,908)</w:t>
            </w:r>
          </w:p>
        </w:tc>
      </w:tr>
      <w:tr>
        <w:tc>
          <w:tcPr>
            <w:tcW w:type="dxa" w:w="6192"/>
          </w:tcPr>
          <w:p>
            <w:pPr>
              <w:spacing w:after="20"/>
            </w:pPr>
            <w:r>
              <w:rPr>
                <w:b/>
                <w:color w:val="1C3A36"/>
                <w:sz w:val="17"/>
              </w:rPr>
              <w:t>Less land and partners' share still to come, half attributed</w:t>
            </w:r>
          </w:p>
        </w:tc>
        <w:tc>
          <w:tcPr>
            <w:tcW w:type="dxa" w:w="3456"/>
          </w:tcPr>
          <w:p>
            <w:pPr>
              <w:spacing w:after="20"/>
              <w:jc w:val="right"/>
            </w:pPr>
            <w:r>
              <w:rPr>
                <w:color w:val="1C3A36"/>
                <w:sz w:val="17"/>
              </w:rPr>
              <w:t>(27,648)</w:t>
            </w:r>
          </w:p>
        </w:tc>
      </w:tr>
      <w:tr>
        <w:tc>
          <w:tcPr>
            <w:tcW w:type="dxa" w:w="6192"/>
          </w:tcPr>
          <w:p>
            <w:pPr>
              <w:spacing w:after="20"/>
            </w:pPr>
            <w:r>
              <w:rPr>
                <w:b/>
                <w:color w:val="1C3A36"/>
                <w:sz w:val="17"/>
              </w:rPr>
              <w:t>Less net debt</w:t>
            </w:r>
          </w:p>
        </w:tc>
        <w:tc>
          <w:tcPr>
            <w:tcW w:type="dxa" w:w="3456"/>
          </w:tcPr>
          <w:p>
            <w:pPr>
              <w:spacing w:after="20"/>
              <w:jc w:val="right"/>
            </w:pPr>
            <w:r>
              <w:rPr>
                <w:color w:val="1C3A36"/>
                <w:sz w:val="17"/>
              </w:rPr>
              <w:t>(5,660)</w:t>
            </w:r>
          </w:p>
        </w:tc>
      </w:tr>
      <w:tr>
        <w:tc>
          <w:tcPr>
            <w:tcW w:type="dxa" w:w="6192"/>
          </w:tcPr>
          <w:p>
            <w:pPr>
              <w:spacing w:after="20"/>
            </w:pPr>
            <w:r>
              <w:rPr>
                <w:b/>
                <w:color w:val="1C3A36"/>
                <w:sz w:val="17"/>
              </w:rPr>
              <w:t>Less non-controlling interests</w:t>
            </w:r>
          </w:p>
        </w:tc>
        <w:tc>
          <w:tcPr>
            <w:tcW w:type="dxa" w:w="3456"/>
          </w:tcPr>
          <w:p>
            <w:pPr>
              <w:spacing w:after="20"/>
              <w:jc w:val="right"/>
            </w:pPr>
            <w:r>
              <w:rPr>
                <w:color w:val="1C3A36"/>
                <w:sz w:val="17"/>
              </w:rPr>
              <w:t>(1,723)</w:t>
            </w:r>
          </w:p>
        </w:tc>
      </w:tr>
      <w:tr>
        <w:tc>
          <w:tcPr>
            <w:tcW w:type="dxa" w:w="6192"/>
            <w:shd w:val="clear" w:color="auto" w:fill="F6F1E6"/>
          </w:tcPr>
          <w:p>
            <w:pPr>
              <w:spacing w:after="20"/>
            </w:pPr>
            <w:r>
              <w:rPr>
                <w:b/>
                <w:color w:val="1C3A36"/>
                <w:sz w:val="17"/>
              </w:rPr>
              <w:t>Equity value</w:t>
            </w:r>
          </w:p>
        </w:tc>
        <w:tc>
          <w:tcPr>
            <w:tcW w:type="dxa" w:w="3456"/>
            <w:shd w:val="clear" w:color="auto" w:fill="F6F1E6"/>
          </w:tcPr>
          <w:p>
            <w:pPr>
              <w:spacing w:after="20"/>
              <w:jc w:val="right"/>
            </w:pPr>
            <w:r>
              <w:rPr>
                <w:b/>
                <w:color w:val="1C3A36"/>
                <w:sz w:val="17"/>
              </w:rPr>
              <w:t>28,270</w:t>
            </w:r>
          </w:p>
        </w:tc>
      </w:tr>
      <w:tr>
        <w:tc>
          <w:tcPr>
            <w:tcW w:type="dxa" w:w="6192"/>
            <w:shd w:val="clear" w:color="auto" w:fill="F6F1E6"/>
          </w:tcPr>
          <w:p>
            <w:pPr>
              <w:spacing w:after="20"/>
            </w:pPr>
            <w:r>
              <w:rPr>
                <w:b/>
                <w:color w:val="1C3A36"/>
                <w:sz w:val="17"/>
              </w:rPr>
              <w:t>Value per share, EGP</w:t>
            </w:r>
          </w:p>
        </w:tc>
        <w:tc>
          <w:tcPr>
            <w:tcW w:type="dxa" w:w="3456"/>
            <w:shd w:val="clear" w:color="auto" w:fill="F6F1E6"/>
          </w:tcPr>
          <w:p>
            <w:pPr>
              <w:spacing w:after="20"/>
              <w:jc w:val="right"/>
            </w:pPr>
            <w:r>
              <w:rPr>
                <w:b/>
                <w:color w:val="1C3A36"/>
                <w:sz w:val="17"/>
              </w:rPr>
              <w:t>10.01</w:t>
            </w:r>
          </w:p>
        </w:tc>
      </w:tr>
    </w:tbl>
    <w:p>
      <w:pPr>
        <w:spacing w:after="40"/>
      </w:pPr>
    </w:p>
    <w:p>
      <w:pPr>
        <w:spacing w:after="200" w:before="0"/>
      </w:pPr>
      <w:r>
        <w:rPr>
          <w:b w:val="0"/>
          <w:i/>
          <w:color w:val="6E7B77"/>
          <w:sz w:val="17"/>
        </w:rPr>
        <w:t>Table 25. Expert 2's workings. The book is taken at the present value the company itself discloses, and the costs still to come are struck at the study's own measured rates.</w:t>
      </w:r>
    </w:p>
    <w:p>
      <w:pPr>
        <w:spacing w:after="120" w:before="0"/>
      </w:pPr>
      <w:r>
        <w:rPr>
          <w:b w:val="0"/>
          <w:i w:val="0"/>
          <w:color w:val="1C3A36"/>
          <w:sz w:val="21"/>
        </w:rPr>
        <w:t>Named sensitivity: taking the notes receivable at nominal rather than present value would add EGP 20.23 a share, which is exactly why the present value is used. Falsifier: if the company delivers the book at a gross margin materially below 30.9%, this number is too high.</w:t>
      </w:r>
    </w:p>
    <w:p>
      <w:pPr>
        <w:spacing w:after="80" w:before="200"/>
      </w:pPr>
      <w:r>
        <w:rPr>
          <w:b/>
          <w:i w:val="0"/>
          <w:color w:val="1C3A36"/>
          <w:sz w:val="24"/>
        </w:rPr>
        <w:t>C.3  Expert 3 — the returns analyst</w:t>
      </w:r>
    </w:p>
    <w:p>
      <w:pPr>
        <w:spacing w:after="120" w:before="0"/>
      </w:pPr>
      <w:r>
        <w:rPr>
          <w:b w:val="0"/>
          <w:i w:val="0"/>
          <w:color w:val="1C3A36"/>
          <w:sz w:val="21"/>
        </w:rPr>
        <w:t>Worldview. Over any long period a company is worth its book value adjusted for the gap between what it earns on that book and what the book costs. Everything else is arithmetic about timing.</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192"/>
        <w:gridCol w:w="3456"/>
      </w:tblGrid>
      <w:tr>
        <w:tc>
          <w:tcPr>
            <w:tcW w:type="dxa" w:w="6192"/>
            <w:shd w:val="clear" w:color="auto" w:fill="EAF0EE"/>
          </w:tcPr>
          <w:p>
            <w:pPr>
              <w:spacing w:after="20"/>
            </w:pPr>
            <w:r>
              <w:rPr>
                <w:b/>
                <w:color w:val="1C3A36"/>
                <w:sz w:val="17"/>
              </w:rPr>
              <w:t>Line</w:t>
            </w:r>
          </w:p>
        </w:tc>
        <w:tc>
          <w:tcPr>
            <w:tcW w:type="dxa" w:w="3456"/>
            <w:shd w:val="clear" w:color="auto" w:fill="EAF0EE"/>
          </w:tcPr>
          <w:p>
            <w:pPr>
              <w:spacing w:after="20"/>
            </w:pPr>
            <w:r>
              <w:rPr>
                <w:b/>
                <w:color w:val="1C3A36"/>
                <w:sz w:val="17"/>
              </w:rPr>
              <w:t>Value</w:t>
            </w:r>
          </w:p>
        </w:tc>
      </w:tr>
      <w:tr>
        <w:tc>
          <w:tcPr>
            <w:tcW w:type="dxa" w:w="6192"/>
          </w:tcPr>
          <w:p>
            <w:pPr>
              <w:spacing w:after="20"/>
            </w:pPr>
            <w:r>
              <w:rPr>
                <w:b/>
                <w:color w:val="1C3A36"/>
                <w:sz w:val="17"/>
              </w:rPr>
              <w:t>Book value per share, controlling equity</w:t>
            </w:r>
          </w:p>
        </w:tc>
        <w:tc>
          <w:tcPr>
            <w:tcW w:type="dxa" w:w="3456"/>
          </w:tcPr>
          <w:p>
            <w:pPr>
              <w:spacing w:after="20"/>
              <w:jc w:val="right"/>
            </w:pPr>
            <w:r>
              <w:rPr>
                <w:color w:val="1C3A36"/>
                <w:sz w:val="17"/>
              </w:rPr>
              <w:t>EGP 6.70</w:t>
            </w:r>
          </w:p>
        </w:tc>
      </w:tr>
      <w:tr>
        <w:tc>
          <w:tcPr>
            <w:tcW w:type="dxa" w:w="6192"/>
          </w:tcPr>
          <w:p>
            <w:pPr>
              <w:spacing w:after="20"/>
            </w:pPr>
            <w:r>
              <w:rPr>
                <w:b/>
                <w:color w:val="1C3A36"/>
                <w:sz w:val="17"/>
              </w:rPr>
              <w:t>Trailing return on equity</w:t>
            </w:r>
          </w:p>
        </w:tc>
        <w:tc>
          <w:tcPr>
            <w:tcW w:type="dxa" w:w="3456"/>
          </w:tcPr>
          <w:p>
            <w:pPr>
              <w:spacing w:after="20"/>
              <w:jc w:val="right"/>
            </w:pPr>
            <w:r>
              <w:rPr>
                <w:color w:val="1C3A36"/>
                <w:sz w:val="17"/>
              </w:rPr>
              <w:t>22.2%</w:t>
            </w:r>
          </w:p>
        </w:tc>
      </w:tr>
      <w:tr>
        <w:tc>
          <w:tcPr>
            <w:tcW w:type="dxa" w:w="6192"/>
          </w:tcPr>
          <w:p>
            <w:pPr>
              <w:spacing w:after="20"/>
            </w:pPr>
            <w:r>
              <w:rPr>
                <w:b/>
                <w:color w:val="1C3A36"/>
                <w:sz w:val="17"/>
              </w:rPr>
              <w:t>Cost of equity, spot</w:t>
            </w:r>
          </w:p>
        </w:tc>
        <w:tc>
          <w:tcPr>
            <w:tcW w:type="dxa" w:w="3456"/>
          </w:tcPr>
          <w:p>
            <w:pPr>
              <w:spacing w:after="20"/>
              <w:jc w:val="right"/>
            </w:pPr>
            <w:r>
              <w:rPr>
                <w:color w:val="1C3A36"/>
                <w:sz w:val="17"/>
              </w:rPr>
              <w:t>29.9%</w:t>
            </w:r>
          </w:p>
        </w:tc>
      </w:tr>
      <w:tr>
        <w:tc>
          <w:tcPr>
            <w:tcW w:type="dxa" w:w="6192"/>
          </w:tcPr>
          <w:p>
            <w:pPr>
              <w:spacing w:after="20"/>
            </w:pPr>
            <w:r>
              <w:rPr>
                <w:b/>
                <w:color w:val="1C3A36"/>
                <w:sz w:val="17"/>
              </w:rPr>
              <w:t>Cost of equity, normalised</w:t>
            </w:r>
          </w:p>
        </w:tc>
        <w:tc>
          <w:tcPr>
            <w:tcW w:type="dxa" w:w="3456"/>
          </w:tcPr>
          <w:p>
            <w:pPr>
              <w:spacing w:after="20"/>
              <w:jc w:val="right"/>
            </w:pPr>
            <w:r>
              <w:rPr>
                <w:color w:val="1C3A36"/>
                <w:sz w:val="17"/>
              </w:rPr>
              <w:t>17.5%</w:t>
            </w:r>
          </w:p>
        </w:tc>
      </w:tr>
      <w:tr>
        <w:tc>
          <w:tcPr>
            <w:tcW w:type="dxa" w:w="6192"/>
          </w:tcPr>
          <w:p>
            <w:pPr>
              <w:spacing w:after="20"/>
            </w:pPr>
            <w:r>
              <w:rPr>
                <w:b/>
                <w:color w:val="1C3A36"/>
                <w:sz w:val="17"/>
              </w:rPr>
              <w:t>Justified multiple of book, spot</w:t>
            </w:r>
          </w:p>
        </w:tc>
        <w:tc>
          <w:tcPr>
            <w:tcW w:type="dxa" w:w="3456"/>
          </w:tcPr>
          <w:p>
            <w:pPr>
              <w:spacing w:after="20"/>
              <w:jc w:val="right"/>
            </w:pPr>
            <w:r>
              <w:rPr>
                <w:color w:val="1C3A36"/>
                <w:sz w:val="17"/>
              </w:rPr>
              <w:t>0.65x</w:t>
            </w:r>
          </w:p>
        </w:tc>
      </w:tr>
      <w:tr>
        <w:tc>
          <w:tcPr>
            <w:tcW w:type="dxa" w:w="6192"/>
          </w:tcPr>
          <w:p>
            <w:pPr>
              <w:spacing w:after="20"/>
            </w:pPr>
            <w:r>
              <w:rPr>
                <w:b/>
                <w:color w:val="1C3A36"/>
                <w:sz w:val="17"/>
              </w:rPr>
              <w:t>Justified multiple of book, normalised</w:t>
            </w:r>
          </w:p>
        </w:tc>
        <w:tc>
          <w:tcPr>
            <w:tcW w:type="dxa" w:w="3456"/>
          </w:tcPr>
          <w:p>
            <w:pPr>
              <w:spacing w:after="20"/>
              <w:jc w:val="right"/>
            </w:pPr>
            <w:r>
              <w:rPr>
                <w:color w:val="1C3A36"/>
                <w:sz w:val="17"/>
              </w:rPr>
              <w:t>1.50x</w:t>
            </w:r>
          </w:p>
        </w:tc>
      </w:tr>
      <w:tr>
        <w:tc>
          <w:tcPr>
            <w:tcW w:type="dxa" w:w="6192"/>
            <w:shd w:val="clear" w:color="auto" w:fill="F6F1E6"/>
          </w:tcPr>
          <w:p>
            <w:pPr>
              <w:spacing w:after="20"/>
            </w:pPr>
            <w:r>
              <w:rPr>
                <w:b/>
                <w:color w:val="1C3A36"/>
                <w:sz w:val="17"/>
              </w:rPr>
              <w:t>Value per share, spot</w:t>
            </w:r>
          </w:p>
        </w:tc>
        <w:tc>
          <w:tcPr>
            <w:tcW w:type="dxa" w:w="3456"/>
            <w:shd w:val="clear" w:color="auto" w:fill="F6F1E6"/>
          </w:tcPr>
          <w:p>
            <w:pPr>
              <w:spacing w:after="20"/>
              <w:jc w:val="right"/>
            </w:pPr>
            <w:r>
              <w:rPr>
                <w:b/>
                <w:color w:val="1C3A36"/>
                <w:sz w:val="17"/>
              </w:rPr>
              <w:t>EGP 4.35</w:t>
            </w:r>
          </w:p>
        </w:tc>
      </w:tr>
      <w:tr>
        <w:tc>
          <w:tcPr>
            <w:tcW w:type="dxa" w:w="6192"/>
            <w:shd w:val="clear" w:color="auto" w:fill="F6F1E6"/>
          </w:tcPr>
          <w:p>
            <w:pPr>
              <w:spacing w:after="20"/>
            </w:pPr>
            <w:r>
              <w:rPr>
                <w:b/>
                <w:color w:val="1C3A36"/>
                <w:sz w:val="17"/>
              </w:rPr>
              <w:t>Value per share, normalised</w:t>
            </w:r>
          </w:p>
        </w:tc>
        <w:tc>
          <w:tcPr>
            <w:tcW w:type="dxa" w:w="3456"/>
            <w:shd w:val="clear" w:color="auto" w:fill="F6F1E6"/>
          </w:tcPr>
          <w:p>
            <w:pPr>
              <w:spacing w:after="20"/>
              <w:jc w:val="right"/>
            </w:pPr>
            <w:r>
              <w:rPr>
                <w:b/>
                <w:color w:val="1C3A36"/>
                <w:sz w:val="17"/>
              </w:rPr>
              <w:t>EGP 10.02</w:t>
            </w:r>
          </w:p>
        </w:tc>
      </w:tr>
    </w:tbl>
    <w:p>
      <w:pPr>
        <w:spacing w:after="40"/>
      </w:pPr>
    </w:p>
    <w:p>
      <w:pPr>
        <w:spacing w:after="200" w:before="0"/>
      </w:pPr>
      <w:r>
        <w:rPr>
          <w:b w:val="0"/>
          <w:i/>
          <w:color w:val="6E7B77"/>
          <w:sz w:val="17"/>
        </w:rPr>
        <w:t>Table 26. Expert 3's workings.</w:t>
      </w:r>
    </w:p>
    <w:p>
      <w:pPr>
        <w:spacing w:after="120" w:before="0"/>
      </w:pPr>
      <w:r>
        <w:rPr>
          <w:b w:val="0"/>
          <w:i w:val="0"/>
          <w:color w:val="1C3A36"/>
          <w:sz w:val="21"/>
        </w:rPr>
        <w:t>Named sensitivity: the answer is linear in the cost of equity and in nothing else. A hundred basis points is worth about EGP 0.95 a share at the normalised rate. Falsifier: if the return on equity falls below the normalised cost of equity of 17.5%, the justified multiple drops below one and the shares are worth less than book.</w:t>
      </w:r>
    </w:p>
    <w:p>
      <w:pPr>
        <w:spacing w:after="80" w:before="200"/>
      </w:pPr>
      <w:r>
        <w:rPr>
          <w:b/>
          <w:i w:val="0"/>
          <w:color w:val="1C3A36"/>
          <w:sz w:val="24"/>
        </w:rPr>
        <w:t>C.4  Cross-examination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888"/>
        <w:gridCol w:w="6048"/>
      </w:tblGrid>
      <w:tr>
        <w:tc>
          <w:tcPr>
            <w:tcW w:type="dxa" w:w="3888"/>
            <w:shd w:val="clear" w:color="auto" w:fill="EAF0EE"/>
          </w:tcPr>
          <w:p>
            <w:pPr>
              <w:spacing w:after="20"/>
            </w:pPr>
            <w:r>
              <w:rPr>
                <w:b/>
                <w:color w:val="1C3A36"/>
                <w:sz w:val="16"/>
              </w:rPr>
              <w:t>Challenge</w:t>
            </w:r>
          </w:p>
        </w:tc>
        <w:tc>
          <w:tcPr>
            <w:tcW w:type="dxa" w:w="6048"/>
            <w:shd w:val="clear" w:color="auto" w:fill="EAF0EE"/>
          </w:tcPr>
          <w:p>
            <w:pPr>
              <w:spacing w:after="20"/>
              <w:jc w:val="left"/>
            </w:pPr>
            <w:r>
              <w:rPr>
                <w:b/>
                <w:color w:val="1C3A36"/>
                <w:sz w:val="16"/>
              </w:rPr>
              <w:t>Answer</w:t>
            </w:r>
          </w:p>
        </w:tc>
      </w:tr>
      <w:tr>
        <w:tc>
          <w:tcPr>
            <w:tcW w:type="dxa" w:w="3888"/>
          </w:tcPr>
          <w:p>
            <w:pPr>
              <w:spacing w:after="20"/>
            </w:pPr>
            <w:r>
              <w:rPr>
                <w:b/>
                <w:color w:val="1C3A36"/>
                <w:sz w:val="16"/>
              </w:rPr>
              <w:t>Expert 3 to Expert 1: your terminal is 74% of the value. You are not valuing a business, you are valuing an assumption about 2032.</w:t>
            </w:r>
          </w:p>
        </w:tc>
        <w:tc>
          <w:tcPr>
            <w:tcW w:type="dxa" w:w="6048"/>
          </w:tcPr>
          <w:p>
            <w:pPr>
              <w:spacing w:after="20"/>
              <w:jc w:val="left"/>
            </w:pPr>
            <w:r>
              <w:rPr>
                <w:color w:val="1C3A36"/>
                <w:sz w:val="16"/>
              </w:rPr>
              <w:t>CONCEDED. The terminal share is disclosed rather than hidden, the terminal growth rate sits below the terminal cost of capital under both framings, and the terminal cash flow is charged a reinvestment rate computed from the model's own return on capital, so growth is not free. It is still the weakest part of the lens.</w:t>
            </w:r>
          </w:p>
        </w:tc>
      </w:tr>
      <w:tr>
        <w:tc>
          <w:tcPr>
            <w:tcW w:type="dxa" w:w="3888"/>
          </w:tcPr>
          <w:p>
            <w:pPr>
              <w:spacing w:after="20"/>
            </w:pPr>
            <w:r>
              <w:rPr>
                <w:b/>
                <w:color w:val="1C3A36"/>
                <w:sz w:val="16"/>
              </w:rPr>
              <w:t>Expert 1 to Expert 3: your return on equity of 22.2% is not an operating return. Strip the discount unwinding and the treasury-bill income and it collapses.</w:t>
            </w:r>
          </w:p>
        </w:tc>
        <w:tc>
          <w:tcPr>
            <w:tcW w:type="dxa" w:w="6048"/>
          </w:tcPr>
          <w:p>
            <w:pPr>
              <w:spacing w:after="20"/>
              <w:jc w:val="left"/>
            </w:pPr>
            <w:r>
              <w:rPr>
                <w:color w:val="1C3A36"/>
                <w:sz w:val="16"/>
              </w:rPr>
              <w:t>CONCEDED in part. Those two lines are EGP 979mn of the half-year, against attributable profit of EGP 2,265mn. They are real income and they recur, but they are financing income and the multiple applied to them should be lower than the multiple applied to development profit. The lens does not make that distinction and it should.</w:t>
            </w:r>
          </w:p>
        </w:tc>
      </w:tr>
      <w:tr>
        <w:tc>
          <w:tcPr>
            <w:tcW w:type="dxa" w:w="3888"/>
          </w:tcPr>
          <w:p>
            <w:pPr>
              <w:spacing w:after="20"/>
            </w:pPr>
            <w:r>
              <w:rPr>
                <w:b/>
                <w:color w:val="1C3A36"/>
                <w:sz w:val="16"/>
              </w:rPr>
              <w:t>Expert 2 to both: you are forecasting when the company has already told you what it sold. The contracted book is EGP 149.12bn of contractual value. Why guess?</w:t>
            </w:r>
          </w:p>
        </w:tc>
        <w:tc>
          <w:tcPr>
            <w:tcW w:type="dxa" w:w="6048"/>
          </w:tcPr>
          <w:p>
            <w:pPr>
              <w:spacing w:after="20"/>
              <w:jc w:val="left"/>
            </w:pPr>
            <w:r>
              <w:rPr>
                <w:color w:val="1C3A36"/>
                <w:sz w:val="16"/>
              </w:rPr>
              <w:t>REJECTED. The book covers about two years of building at the current rate. Beyond that the company either replenishes it or shrinks, and a valuation that assumes neither is a liquidation estimate, not a going-concern one. Expert 2's answer of EGP 10.01 is best read as the floor it is.</w:t>
            </w:r>
          </w:p>
        </w:tc>
      </w:tr>
      <w:tr>
        <w:tc>
          <w:tcPr>
            <w:tcW w:type="dxa" w:w="3888"/>
          </w:tcPr>
          <w:p>
            <w:pPr>
              <w:spacing w:after="20"/>
            </w:pPr>
            <w:r>
              <w:rPr>
                <w:b/>
                <w:color w:val="1C3A36"/>
                <w:sz w:val="16"/>
              </w:rPr>
              <w:t>Expert 3 to Expert 2: you deduct construction still to come at half weight. Why half?</w:t>
            </w:r>
          </w:p>
        </w:tc>
        <w:tc>
          <w:tcPr>
            <w:tcW w:type="dxa" w:w="6048"/>
          </w:tcPr>
          <w:p>
            <w:pPr>
              <w:spacing w:after="20"/>
              <w:jc w:val="left"/>
            </w:pPr>
            <w:r>
              <w:rPr>
                <w:color w:val="1C3A36"/>
                <w:sz w:val="16"/>
              </w:rPr>
              <w:t>CONCEDED as arbitrary. It is a judgement that roughly half the remaining build is already funded by the advances deducted above it. Deducting the whole of the remaining build on top of the advances takes the answer below zero, to about EGP -8.24, which is itself a useful result: the contracted book only has value because the customer has already paid for much of it. Deducting none would raise it to about EGP 28.26. The range is disclosed rather than the midpoint being dressed up as precision.</w:t>
            </w:r>
          </w:p>
        </w:tc>
      </w:tr>
    </w:tbl>
    <w:p>
      <w:pPr>
        <w:spacing w:after="40"/>
      </w:pPr>
    </w:p>
    <w:p>
      <w:pPr>
        <w:spacing w:after="200" w:before="0"/>
      </w:pPr>
      <w:r>
        <w:rPr>
          <w:b w:val="0"/>
          <w:i/>
          <w:color w:val="6E7B77"/>
          <w:sz w:val="17"/>
        </w:rPr>
        <w:t>Table 27. Each challenge conceded or rejected on the record.</w:t>
      </w:r>
    </w:p>
    <w:p>
      <w:pPr>
        <w:spacing w:after="80" w:before="200"/>
      </w:pPr>
      <w:r>
        <w:rPr>
          <w:b/>
          <w:i w:val="0"/>
          <w:color w:val="1C3A36"/>
          <w:sz w:val="24"/>
        </w:rPr>
        <w:t>C.5  The three in one room</w:t>
      </w:r>
    </w:p>
    <w:p>
      <w:pPr>
        <w:spacing w:after="120" w:before="0"/>
      </w:pPr>
      <w:r>
        <w:rPr>
          <w:b w:val="0"/>
          <w:i w:val="0"/>
          <w:color w:val="1C3A36"/>
          <w:sz w:val="21"/>
        </w:rPr>
        <w:t>Put in a room and made to agree on something, the three converge on a diagnosis rather than a number. All three accept that the balance sheet, not the income statement, is where this company is decided. All three accept that the float is the largest single item in it and that nobody outside the company knows whether it will ever transfer. Expert 1 would pay up to EGP 34.56 if the float is permanent and nothing above EGP 6.51 if it is not. Expert 3 will not pay more than EGP 10.02 under any assumption about the float, because his lens does not see it. Expert 2 will not pay more than EGP 10.01 because he refuses to value anything not yet sold. The market price of EGP 15.01 sits above two of the three.</w:t>
      </w:r>
    </w:p>
    <w:p>
      <w:pPr>
        <w:spacing w:after="80" w:before="200"/>
      </w:pPr>
      <w:r>
        <w:rPr>
          <w:b/>
          <w:i w:val="0"/>
          <w:color w:val="1C3A36"/>
          <w:sz w:val="24"/>
        </w:rPr>
        <w:t>C.6  Divergence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592"/>
        <w:gridCol w:w="1872"/>
        <w:gridCol w:w="5472"/>
      </w:tblGrid>
      <w:tr>
        <w:tc>
          <w:tcPr>
            <w:tcW w:type="dxa" w:w="2592"/>
            <w:shd w:val="clear" w:color="auto" w:fill="EAF0EE"/>
          </w:tcPr>
          <w:p>
            <w:pPr>
              <w:spacing w:after="20"/>
            </w:pPr>
            <w:r>
              <w:rPr>
                <w:b/>
                <w:color w:val="1C3A36"/>
                <w:sz w:val="16"/>
              </w:rPr>
              <w:t>Pair</w:t>
            </w:r>
          </w:p>
        </w:tc>
        <w:tc>
          <w:tcPr>
            <w:tcW w:type="dxa" w:w="1872"/>
            <w:shd w:val="clear" w:color="auto" w:fill="EAF0EE"/>
          </w:tcPr>
          <w:p>
            <w:pPr>
              <w:spacing w:after="20"/>
            </w:pPr>
            <w:r>
              <w:rPr>
                <w:b/>
                <w:color w:val="1C3A36"/>
                <w:sz w:val="16"/>
              </w:rPr>
              <w:t>Gap, EGP per share</w:t>
            </w:r>
          </w:p>
        </w:tc>
        <w:tc>
          <w:tcPr>
            <w:tcW w:type="dxa" w:w="5472"/>
            <w:shd w:val="clear" w:color="auto" w:fill="EAF0EE"/>
          </w:tcPr>
          <w:p>
            <w:pPr>
              <w:spacing w:after="20"/>
              <w:jc w:val="left"/>
            </w:pPr>
            <w:r>
              <w:rPr>
                <w:b/>
                <w:color w:val="1C3A36"/>
                <w:sz w:val="16"/>
              </w:rPr>
              <w:t>Which assumption drives it</w:t>
            </w:r>
          </w:p>
        </w:tc>
      </w:tr>
      <w:tr>
        <w:tc>
          <w:tcPr>
            <w:tcW w:type="dxa" w:w="2592"/>
          </w:tcPr>
          <w:p>
            <w:pPr>
              <w:spacing w:after="20"/>
            </w:pPr>
            <w:r>
              <w:rPr>
                <w:b/>
                <w:color w:val="1C3A36"/>
                <w:sz w:val="16"/>
              </w:rPr>
              <w:t>Expert 1 against Expert 3</w:t>
            </w:r>
          </w:p>
        </w:tc>
        <w:tc>
          <w:tcPr>
            <w:tcW w:type="dxa" w:w="1872"/>
          </w:tcPr>
          <w:p>
            <w:pPr>
              <w:spacing w:after="20"/>
              <w:jc w:val="right"/>
            </w:pPr>
            <w:r>
              <w:rPr>
                <w:color w:val="1C3A36"/>
                <w:sz w:val="16"/>
              </w:rPr>
              <w:t>24.54</w:t>
            </w:r>
          </w:p>
        </w:tc>
        <w:tc>
          <w:tcPr>
            <w:tcW w:type="dxa" w:w="5472"/>
          </w:tcPr>
          <w:p>
            <w:pPr>
              <w:spacing w:after="20"/>
              <w:jc w:val="left"/>
            </w:pPr>
            <w:r>
              <w:rPr>
                <w:color w:val="1C3A36"/>
                <w:sz w:val="16"/>
              </w:rPr>
              <w:t>The float, then the cost of capital. Expert 3's lens cannot see the float at all because it works from book equity, in which the float is a liability and its invested assets are assets.</w:t>
            </w:r>
          </w:p>
        </w:tc>
      </w:tr>
      <w:tr>
        <w:tc>
          <w:tcPr>
            <w:tcW w:type="dxa" w:w="2592"/>
          </w:tcPr>
          <w:p>
            <w:pPr>
              <w:spacing w:after="20"/>
            </w:pPr>
            <w:r>
              <w:rPr>
                <w:b/>
                <w:color w:val="1C3A36"/>
                <w:sz w:val="16"/>
              </w:rPr>
              <w:t>Expert 1 against Expert 2</w:t>
            </w:r>
          </w:p>
        </w:tc>
        <w:tc>
          <w:tcPr>
            <w:tcW w:type="dxa" w:w="1872"/>
          </w:tcPr>
          <w:p>
            <w:pPr>
              <w:spacing w:after="20"/>
              <w:jc w:val="right"/>
            </w:pPr>
            <w:r>
              <w:rPr>
                <w:color w:val="1C3A36"/>
                <w:sz w:val="16"/>
              </w:rPr>
              <w:t>24.55</w:t>
            </w:r>
          </w:p>
        </w:tc>
        <w:tc>
          <w:tcPr>
            <w:tcW w:type="dxa" w:w="5472"/>
          </w:tcPr>
          <w:p>
            <w:pPr>
              <w:spacing w:after="20"/>
              <w:jc w:val="left"/>
            </w:pPr>
            <w:r>
              <w:rPr>
                <w:color w:val="1C3A36"/>
                <w:sz w:val="16"/>
              </w:rPr>
              <w:t>Replenishment. Expert 2 values two years of book; Expert 1 values five and a half years plus a terminal.</w:t>
            </w:r>
          </w:p>
        </w:tc>
      </w:tr>
      <w:tr>
        <w:tc>
          <w:tcPr>
            <w:tcW w:type="dxa" w:w="2592"/>
          </w:tcPr>
          <w:p>
            <w:pPr>
              <w:spacing w:after="20"/>
            </w:pPr>
            <w:r>
              <w:rPr>
                <w:b/>
                <w:color w:val="1C3A36"/>
                <w:sz w:val="16"/>
              </w:rPr>
              <w:t>Expert 2 against Expert 3</w:t>
            </w:r>
          </w:p>
        </w:tc>
        <w:tc>
          <w:tcPr>
            <w:tcW w:type="dxa" w:w="1872"/>
          </w:tcPr>
          <w:p>
            <w:pPr>
              <w:spacing w:after="20"/>
              <w:jc w:val="right"/>
            </w:pPr>
            <w:r>
              <w:rPr>
                <w:color w:val="1C3A36"/>
                <w:sz w:val="16"/>
              </w:rPr>
              <w:t>0.01</w:t>
            </w:r>
          </w:p>
        </w:tc>
        <w:tc>
          <w:tcPr>
            <w:tcW w:type="dxa" w:w="5472"/>
          </w:tcPr>
          <w:p>
            <w:pPr>
              <w:spacing w:after="20"/>
              <w:jc w:val="left"/>
            </w:pPr>
            <w:r>
              <w:rPr>
                <w:color w:val="1C3A36"/>
                <w:sz w:val="16"/>
              </w:rPr>
              <w:t>Nothing that matters: EGP 0.01 a share apart, from entirely different directions. Two methods this different landing this close is coincidence rather than corroboration, but it does say the two conservative readings of this company agree on roughly where its floor is.</w:t>
            </w:r>
          </w:p>
        </w:tc>
      </w:tr>
    </w:tbl>
    <w:p>
      <w:pPr>
        <w:spacing w:after="40"/>
      </w:pPr>
    </w:p>
    <w:p>
      <w:pPr>
        <w:spacing w:after="200" w:before="0"/>
      </w:pPr>
      <w:r>
        <w:rPr>
          <w:b w:val="0"/>
          <w:i/>
          <w:color w:val="6E7B77"/>
          <w:sz w:val="17"/>
        </w:rPr>
        <w:t>Table 28. What actually separates the three.</w:t>
      </w:r>
    </w:p>
    <w:p>
      <w:pPr>
        <w:spacing w:after="40"/>
        <w:jc w:val="center"/>
      </w:pPr>
      <w:r>
        <w:drawing>
          <wp:inline xmlns:a="http://schemas.openxmlformats.org/drawingml/2006/main" xmlns:pic="http://schemas.openxmlformats.org/drawingml/2006/picture">
            <wp:extent cx="5852160" cy="3157574"/>
            <wp:docPr id="8" name="Picture 8"/>
            <wp:cNvGraphicFramePr>
              <a:graphicFrameLocks noChangeAspect="1"/>
            </wp:cNvGraphicFramePr>
            <a:graphic>
              <a:graphicData uri="http://schemas.openxmlformats.org/drawingml/2006/picture">
                <pic:pic>
                  <pic:nvPicPr>
                    <pic:cNvPr id="0" name="figD1_experts.png"/>
                    <pic:cNvPicPr/>
                  </pic:nvPicPr>
                  <pic:blipFill>
                    <a:blip r:embed="rId16"/>
                    <a:stretch>
                      <a:fillRect/>
                    </a:stretch>
                  </pic:blipFill>
                  <pic:spPr>
                    <a:xfrm>
                      <a:off x="0" y="0"/>
                      <a:ext cx="5852160" cy="3157574"/>
                    </a:xfrm>
                    <a:prstGeom prst="rect"/>
                  </pic:spPr>
                </pic:pic>
              </a:graphicData>
            </a:graphic>
          </wp:inline>
        </w:drawing>
      </w:r>
    </w:p>
    <w:p>
      <w:pPr>
        <w:spacing w:after="200" w:before="0"/>
      </w:pPr>
      <w:r>
        <w:rPr>
          <w:b w:val="0"/>
          <w:i/>
          <w:color w:val="6E7B77"/>
          <w:sz w:val="17"/>
        </w:rPr>
        <w:t>Figure 8. The three methods against the market price and the study's base case.</w:t>
      </w:r>
    </w:p>
    <w:p>
      <w:pPr>
        <w:spacing w:after="120" w:before="280"/>
      </w:pPr>
      <w:r>
        <w:rPr>
          <w:b/>
          <w:i w:val="0"/>
          <w:color w:val="1C3A36"/>
          <w:sz w:val="30"/>
        </w:rPr>
        <w:t>About this series</w:t>
      </w:r>
    </w:p>
    <w:p>
      <w:pPr>
        <w:spacing w:after="120" w:before="0"/>
      </w:pPr>
      <w:r>
        <w:rPr>
          <w:b w:val="0"/>
          <w:i w:val="0"/>
          <w:color w:val="1C3A36"/>
          <w:sz w:val="21"/>
        </w:rPr>
        <w:t>Every instrument analysed in this series follows the same standing format: a headline, a valuation summary, a company overview, a fundamental section built from the company's own issued statements, a technical section, a probability map, a comparison of the lenses, a catalyst calendar, a probability-zone reading, caveats, statement appendices, a peer and research appendix, and an expert panel. Fundamental value and the probability map run on separate clocks and each carries its own date stamp, so a reader can always see which half of a document has been refreshed. Forecasts are graded publicly when they resolve.</w:t>
      </w:r>
    </w:p>
    <w:p>
      <w:pPr>
        <w:spacing w:after="120" w:before="280"/>
      </w:pPr>
      <w:r>
        <w:rPr>
          <w:b/>
          <w:i w:val="0"/>
          <w:color w:val="1C3A36"/>
          <w:sz w:val="30"/>
        </w:rPr>
        <w:t>Disclosure and disclaimer — read in full</w:t>
      </w:r>
    </w:p>
    <w:p>
      <w:pPr>
        <w:spacing w:after="120" w:before="0"/>
      </w:pPr>
      <w:r>
        <w:rPr>
          <w:b w:val="0"/>
          <w:i w:val="0"/>
          <w:color w:val="1C3A36"/>
          <w:sz w:val="17"/>
        </w:rPr>
        <w:t>Nature of this document. This study is an educational valuation exercise and an expression of the preparer's personal analytical opinion, based exclusively on publicly available information and on assumptions stated in the text and the accompanying model. It is published free of charge, on a standing periodic schedule, to demonstrate methodology and to invite scrutiny and critique of that methodology.</w:t>
      </w:r>
    </w:p>
    <w:p>
      <w:pPr>
        <w:spacing w:after="120" w:before="0"/>
      </w:pPr>
      <w:r>
        <w:rPr>
          <w:b w:val="0"/>
          <w:i w:val="0"/>
          <w:color w:val="1C3A36"/>
          <w:sz w:val="17"/>
        </w:rPr>
        <w:t>No advice, no recommendation, no solicitation. Nothing in this document constitutes investment advice, financial consultancy, securities analysis services, a research recommendation, a rating, a price target, an offer, or a solicitation or invitation to buy, sell, hold, subscribe for or otherwise deal in any security or financial instrument. No statement herein is directed at, or calibrated to, the investment objectives, financial situation, risk tolerance or particular needs of any person.</w:t>
      </w:r>
    </w:p>
    <w:p>
      <w:pPr>
        <w:spacing w:after="120" w:before="0"/>
      </w:pPr>
      <w:r>
        <w:rPr>
          <w:b w:val="0"/>
          <w:i w:val="0"/>
          <w:color w:val="1C3A36"/>
          <w:sz w:val="17"/>
        </w:rPr>
        <w:t>No licensed activity. The preparer is not licensed or registered with the Egyptian Financial Regulatory Authority or any other securities regulator; does not carry on financial consultancy, securities evaluation or analysis services, portfolio management, brokerage, promotion or any other regulated activity; does not manage money; does not accept clients, fees, subscriptions or funds of any kind; and does not provide personalised advice to anyone.</w:t>
      </w:r>
    </w:p>
    <w:p>
      <w:pPr>
        <w:spacing w:after="120" w:before="0"/>
      </w:pPr>
      <w:r>
        <w:rPr>
          <w:b w:val="0"/>
          <w:i w:val="0"/>
          <w:color w:val="1C3A36"/>
          <w:sz w:val="17"/>
        </w:rPr>
        <w:t>Estimates and uncertainty. All valuations, scenarios, probabilities and levels are model outputs resting on explicit, subjective assumptions; they are illustrative, highly uncertain, and likely to prove wrong in material respects. They are deliberately presented as ranges and distributions because no single number should be relied on. Public and vendor-sourced data are believed reliable but are not guaranteed; vendor-derived figures are flagged as such where used.</w:t>
      </w:r>
    </w:p>
    <w:p>
      <w:pPr>
        <w:spacing w:after="120" w:before="0"/>
      </w:pPr>
      <w:r>
        <w:rPr>
          <w:b w:val="0"/>
          <w:i w:val="0"/>
          <w:color w:val="1C3A36"/>
          <w:sz w:val="17"/>
        </w:rPr>
        <w:t>No liability. To the maximum extent permitted by applicable law, the preparer accepts no liability or responsibility whatsoever for any decision made or action taken or not taken, or for any loss or damage of any kind incurred, by any person in reliance on, or in connection with, any part of this document or the accompanying model.</w:t>
      </w:r>
    </w:p>
    <w:p>
      <w:pPr>
        <w:spacing w:after="120" w:before="0"/>
      </w:pPr>
      <w:r>
        <w:rPr>
          <w:b w:val="0"/>
          <w:i w:val="0"/>
          <w:color w:val="1C3A36"/>
          <w:sz w:val="17"/>
        </w:rPr>
        <w:t>Reader's responsibility. Any person considering an investment decision should conduct their own independent assessment and consult a financial advisor licensed in their jurisdiction. If the publication of material of this kind is restricted where you are reading it, do not rely on it.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