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10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77.18, and the cross-checks around it span EGP 45.65 to EGP 65.57, against a market price of EGP 77.00 — +0.2%.</w:t>
            </w:r>
          </w:p>
        </w:tc>
      </w:tr>
    </w:tbl>
    <w:p>
      <w:pPr>
        <w:spacing w:after="40"/>
      </w:pPr>
    </w:p>
    <w:p>
      <w:pPr>
        <w:spacing w:after="120" w:before="280"/>
      </w:pPr>
      <w:r>
        <w:rPr>
          <w:b/>
          <w:i w:val="0"/>
          <w:color w:val="1C3A36"/>
          <w:sz w:val="30"/>
        </w:rPr>
        <w:t>Headline</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Arabian Cement is worth EGP 77.18 a share on the cash-flow lens this study publishes, against a market price of EGP 77.00 on 3 September 2026 — +0.2%.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29.83 and the bull corner EGP 77.79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29.83.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worth +15.3% of value and published both ways rather than averaged. The study's LARGEST contested judgement is a different one — terminal useful life, worth +22.5% — and it is set out with the rest in section 1.9.</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77.18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+0.2%</w:t>
            </w:r>
          </w:p>
        </w:tc>
        <w:tc>
          <w:tcPr>
            <w:tcW w:type="dxa" w:w="1699"/>
            <w:shd w:val="clear" w:color="auto" w:fill="F6F1E6"/>
          </w:tcPr>
          <w:p>
            <w:pPr>
              <w:spacing w:after="20"/>
              <w:jc w:val="right"/>
            </w:pPr>
            <w:r>
              <w:rPr>
                <w:b/>
                <w:color w:val="1C3A36"/>
                <w:sz w:val="18"/>
              </w:rPr>
              <w:t>59.7%</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63.89;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earlier editions of this forecast turned on, and the measure they turned on was wrong. Egypt sold 65.1 million tonnes of CEMENT — 54.0 domestic and 11.1 exported — against roughly 76 million tonnes of cement nameplate. That is 86%, with about 10.9 million tonnes of grinding capacity idle. The 72.6Mt figure earlier editions used adds 7.6Mt of exported CLINKER, which leaves at the kiln and never enters a cement mill, and printed 96%.</w:t>
      </w:r>
    </w:p>
    <w:p>
      <w:pPr>
        <w:spacing w:after="120" w:before="0"/>
      </w:pPr>
      <w:r>
        <w:rPr>
          <w:b w:val="0"/>
          <w:i w:val="0"/>
          <w:color w:val="1C3A36"/>
          <w:sz w:val="21"/>
        </w:rPr>
        <w:t>SO THE MARKET IS NEITHER OF THE TWO THINGS THIS STUDY HAS CALLED IT. It is not the structurally slack market the first editions described, and it is not the 96% market the last one described. It is running with roughly a sixth of its cement capacity unused, and the 12.6 million tonne restart programme would take that to about 23.5Mt — a third of nameplate — before a tonne of new demand appears. A production quota suspended in May 2025 rather than repealed sits on top of that.</w:t>
      </w:r>
    </w:p>
    <w:p>
      <w:pPr>
        <w:spacing w:after="120" w:before="0"/>
      </w:pPr>
      <w:r>
        <w:rPr>
          <w:b w:val="0"/>
          <w:i w:val="0"/>
          <w:color w:val="1C3A36"/>
          <w:sz w:val="21"/>
        </w:rPr>
        <w:t>WHAT THIS DOES AND DOES NOT DO TO THE FORECAST, because a corrected premise that quietly leaves its conclusion standing is the same defect one step along. The price path in this study does NOT rest on the sector being tight. Its FY2026 step is taken from a filed number — the company's own fourth-quarter 2025 realised price, which is 7.2% above its full-year average — and every year after it grows at zero real against the house inflation path. That argument is unaffected by which utilisation figure is right. What IS affected is the comfort around it: at 86% with a restart programme pending, a price path that merely holds real is a stronger assumption than it looked at 96%, and the margin sensitivity in section 7 is where a reader should go to disagree with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77.18.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63.89;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+5.4%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10.50%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10.50%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28.65%</w:t>
            </w:r>
          </w:p>
        </w:tc>
        <w:tc>
          <w:tcPr>
            <w:tcW w:type="dxa" w:w="2592"/>
          </w:tcPr>
          <w:p>
            <w:pPr>
              <w:spacing w:after="20"/>
              <w:jc w:val="right"/>
            </w:pPr>
            <w:r>
              <w:rPr>
                <w:color w:val="1C3A36"/>
                <w:sz w:val="18"/>
              </w:rPr>
              <w:t>18.02%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27.96%</w:t>
            </w:r>
          </w:p>
        </w:tc>
        <w:tc>
          <w:tcPr>
            <w:tcW w:type="dxa" w:w="2592"/>
            <w:shd w:val="clear" w:color="auto" w:fill="F6F1E6"/>
          </w:tcPr>
          <w:p>
            <w:pPr>
              <w:spacing w:after="20"/>
              <w:jc w:val="right"/>
            </w:pPr>
            <w:r>
              <w:rPr>
                <w:b/>
                <w:color w:val="1C3A36"/>
                <w:sz w:val="18"/>
              </w:rPr>
              <w:t>16.74%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27.96%</w:t>
            </w:r>
          </w:p>
        </w:tc>
        <w:tc>
          <w:tcPr>
            <w:tcW w:type="dxa" w:w="1526"/>
          </w:tcPr>
          <w:p>
            <w:pPr>
              <w:spacing w:after="20"/>
              <w:jc w:val="right"/>
            </w:pPr>
            <w:r>
              <w:rPr>
                <w:color w:val="1C3A36"/>
                <w:sz w:val="18"/>
              </w:rPr>
              <w:t>23.71%</w:t>
            </w:r>
          </w:p>
        </w:tc>
        <w:tc>
          <w:tcPr>
            <w:tcW w:type="dxa" w:w="1526"/>
          </w:tcPr>
          <w:p>
            <w:pPr>
              <w:spacing w:after="20"/>
              <w:jc w:val="right"/>
            </w:pPr>
            <w:r>
              <w:rPr>
                <w:color w:val="1C3A36"/>
                <w:sz w:val="18"/>
              </w:rPr>
              <w:t>20.31%</w:t>
            </w:r>
          </w:p>
        </w:tc>
        <w:tc>
          <w:tcPr>
            <w:tcW w:type="dxa" w:w="1526"/>
          </w:tcPr>
          <w:p>
            <w:pPr>
              <w:spacing w:after="20"/>
              <w:jc w:val="right"/>
            </w:pPr>
            <w:r>
              <w:rPr>
                <w:color w:val="1C3A36"/>
                <w:sz w:val="18"/>
              </w:rPr>
              <w:t>18.27%</w:t>
            </w:r>
          </w:p>
        </w:tc>
        <w:tc>
          <w:tcPr>
            <w:tcW w:type="dxa" w:w="1526"/>
          </w:tcPr>
          <w:p>
            <w:pPr>
              <w:spacing w:after="20"/>
              <w:jc w:val="right"/>
            </w:pPr>
            <w:r>
              <w:rPr>
                <w:color w:val="1C3A36"/>
                <w:sz w:val="18"/>
              </w:rPr>
              <w:t>16.74%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0.9402</w:t>
            </w:r>
          </w:p>
        </w:tc>
        <w:tc>
          <w:tcPr>
            <w:tcW w:type="dxa" w:w="1526"/>
          </w:tcPr>
          <w:p>
            <w:pPr>
              <w:spacing w:after="20"/>
              <w:jc w:val="right"/>
            </w:pPr>
            <w:r>
              <w:rPr>
                <w:color w:val="1C3A36"/>
                <w:sz w:val="18"/>
              </w:rPr>
              <w:t>0.7948</w:t>
            </w:r>
          </w:p>
        </w:tc>
        <w:tc>
          <w:tcPr>
            <w:tcW w:type="dxa" w:w="1526"/>
          </w:tcPr>
          <w:p>
            <w:pPr>
              <w:spacing w:after="20"/>
              <w:jc w:val="right"/>
            </w:pPr>
            <w:r>
              <w:rPr>
                <w:color w:val="1C3A36"/>
                <w:sz w:val="18"/>
              </w:rPr>
              <w:t>0.6515</w:t>
            </w:r>
          </w:p>
        </w:tc>
        <w:tc>
          <w:tcPr>
            <w:tcW w:type="dxa" w:w="1526"/>
          </w:tcPr>
          <w:p>
            <w:pPr>
              <w:spacing w:after="20"/>
              <w:jc w:val="right"/>
            </w:pPr>
            <w:r>
              <w:rPr>
                <w:color w:val="1C3A36"/>
                <w:sz w:val="18"/>
              </w:rPr>
              <w:t>0.5461</w:t>
            </w:r>
          </w:p>
        </w:tc>
        <w:tc>
          <w:tcPr>
            <w:tcW w:type="dxa" w:w="1526"/>
          </w:tcPr>
          <w:p>
            <w:pPr>
              <w:spacing w:after="20"/>
              <w:jc w:val="right"/>
            </w:pPr>
            <w:r>
              <w:rPr>
                <w:color w:val="1C3A36"/>
                <w:sz w:val="18"/>
              </w:rPr>
              <w:t>0.4648</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0.4302 at 4.50 years — it is the value at the end of the window of everything after it, so it arrives half a year later than year five's own cash flow at 0.4648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30.21% and an explicit cost of capital of 29.46% against the 27.96% adopted here — 150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29.46% wherever this study prints 27.96%,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88.96 against 77.18 on the adopted one, a difference of +15.3%.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95.83</w:t>
            </w:r>
          </w:p>
        </w:tc>
        <w:tc>
          <w:tcPr>
            <w:tcW w:type="dxa" w:w="1391"/>
          </w:tcPr>
          <w:p>
            <w:pPr>
              <w:spacing w:after="20"/>
              <w:jc w:val="right"/>
            </w:pPr>
            <w:r>
              <w:rPr>
                <w:color w:val="1C3A36"/>
                <w:sz w:val="18"/>
              </w:rPr>
              <w:t>82.86</w:t>
            </w:r>
          </w:p>
        </w:tc>
        <w:tc>
          <w:tcPr>
            <w:tcW w:type="dxa" w:w="1391"/>
          </w:tcPr>
          <w:p>
            <w:pPr>
              <w:spacing w:after="20"/>
              <w:jc w:val="right"/>
            </w:pPr>
            <w:r>
              <w:rPr>
                <w:color w:val="1C3A36"/>
                <w:sz w:val="18"/>
              </w:rPr>
              <w:t>73.20</w:t>
            </w:r>
          </w:p>
        </w:tc>
        <w:tc>
          <w:tcPr>
            <w:tcW w:type="dxa" w:w="1391"/>
          </w:tcPr>
          <w:p>
            <w:pPr>
              <w:spacing w:after="20"/>
              <w:jc w:val="right"/>
            </w:pPr>
            <w:r>
              <w:rPr>
                <w:color w:val="1C3A36"/>
                <w:sz w:val="18"/>
              </w:rPr>
              <w:t>67.44</w:t>
            </w:r>
          </w:p>
        </w:tc>
        <w:tc>
          <w:tcPr>
            <w:tcW w:type="dxa" w:w="1391"/>
          </w:tcPr>
          <w:p>
            <w:pPr>
              <w:spacing w:after="20"/>
              <w:jc w:val="right"/>
            </w:pPr>
            <w:r>
              <w:rPr>
                <w:color w:val="1C3A36"/>
                <w:sz w:val="18"/>
              </w:rPr>
              <w:t>62.60</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133.85.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0.9402</w:t>
            </w:r>
          </w:p>
        </w:tc>
        <w:tc>
          <w:tcPr>
            <w:tcW w:type="dxa" w:w="1325"/>
          </w:tcPr>
          <w:p>
            <w:pPr>
              <w:spacing w:after="20"/>
              <w:jc w:val="right"/>
            </w:pPr>
            <w:r>
              <w:rPr>
                <w:color w:val="1C3A36"/>
                <w:sz w:val="17"/>
              </w:rPr>
              <w:t>0.7948</w:t>
            </w:r>
          </w:p>
        </w:tc>
        <w:tc>
          <w:tcPr>
            <w:tcW w:type="dxa" w:w="1325"/>
          </w:tcPr>
          <w:p>
            <w:pPr>
              <w:spacing w:after="20"/>
              <w:jc w:val="right"/>
            </w:pPr>
            <w:r>
              <w:rPr>
                <w:color w:val="1C3A36"/>
                <w:sz w:val="17"/>
              </w:rPr>
              <w:t>0.6515</w:t>
            </w:r>
          </w:p>
        </w:tc>
        <w:tc>
          <w:tcPr>
            <w:tcW w:type="dxa" w:w="1325"/>
          </w:tcPr>
          <w:p>
            <w:pPr>
              <w:spacing w:after="20"/>
              <w:jc w:val="right"/>
            </w:pPr>
            <w:r>
              <w:rPr>
                <w:color w:val="1C3A36"/>
                <w:sz w:val="17"/>
              </w:rPr>
              <w:t>0.5461</w:t>
            </w:r>
          </w:p>
        </w:tc>
        <w:tc>
          <w:tcPr>
            <w:tcW w:type="dxa" w:w="1325"/>
          </w:tcPr>
          <w:p>
            <w:pPr>
              <w:spacing w:after="20"/>
              <w:jc w:val="right"/>
            </w:pPr>
            <w:r>
              <w:rPr>
                <w:color w:val="1C3A36"/>
                <w:sz w:val="17"/>
              </w:rPr>
              <w:t>0.4648</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1,452</w:t>
            </w:r>
          </w:p>
        </w:tc>
        <w:tc>
          <w:tcPr>
            <w:tcW w:type="dxa" w:w="1325"/>
            <w:shd w:val="clear" w:color="auto" w:fill="F6F1E6"/>
          </w:tcPr>
          <w:p>
            <w:pPr>
              <w:spacing w:after="20"/>
              <w:jc w:val="right"/>
            </w:pPr>
            <w:r>
              <w:rPr>
                <w:b/>
                <w:color w:val="1C3A36"/>
                <w:sz w:val="17"/>
              </w:rPr>
              <w:t>2,762</w:t>
            </w:r>
          </w:p>
        </w:tc>
        <w:tc>
          <w:tcPr>
            <w:tcW w:type="dxa" w:w="1325"/>
            <w:shd w:val="clear" w:color="auto" w:fill="F6F1E6"/>
          </w:tcPr>
          <w:p>
            <w:pPr>
              <w:spacing w:after="20"/>
              <w:jc w:val="right"/>
            </w:pPr>
            <w:r>
              <w:rPr>
                <w:b/>
                <w:color w:val="1C3A36"/>
                <w:sz w:val="17"/>
              </w:rPr>
              <w:t>2,577</w:t>
            </w:r>
          </w:p>
        </w:tc>
        <w:tc>
          <w:tcPr>
            <w:tcW w:type="dxa" w:w="1325"/>
            <w:shd w:val="clear" w:color="auto" w:fill="F6F1E6"/>
          </w:tcPr>
          <w:p>
            <w:pPr>
              <w:spacing w:after="20"/>
              <w:jc w:val="right"/>
            </w:pPr>
            <w:r>
              <w:rPr>
                <w:b/>
                <w:color w:val="1C3A36"/>
                <w:sz w:val="17"/>
              </w:rPr>
              <w:t>2,381</w:t>
            </w:r>
          </w:p>
        </w:tc>
        <w:tc>
          <w:tcPr>
            <w:tcW w:type="dxa" w:w="1325"/>
            <w:shd w:val="clear" w:color="auto" w:fill="F6F1E6"/>
          </w:tcPr>
          <w:p>
            <w:pPr>
              <w:spacing w:after="20"/>
              <w:jc w:val="right"/>
            </w:pPr>
            <w:r>
              <w:rPr>
                <w:b/>
                <w:color w:val="1C3A36"/>
                <w:sz w:val="17"/>
              </w:rPr>
              <w:t>2,205</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5.56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11,376</w:t>
            </w:r>
          </w:p>
        </w:tc>
        <w:tc>
          <w:tcPr>
            <w:tcW w:type="dxa" w:w="2160"/>
          </w:tcPr>
          <w:p>
            <w:pPr>
              <w:spacing w:after="20"/>
              <w:jc w:val="right"/>
            </w:pPr>
            <w:r>
              <w:rPr>
                <w:color w:val="1C3A36"/>
                <w:sz w:val="18"/>
              </w:rPr>
              <w:t>30.35</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16,868</w:t>
            </w:r>
          </w:p>
        </w:tc>
        <w:tc>
          <w:tcPr>
            <w:tcW w:type="dxa" w:w="2160"/>
          </w:tcPr>
          <w:p>
            <w:pPr>
              <w:spacing w:after="20"/>
              <w:jc w:val="right"/>
            </w:pPr>
            <w:r>
              <w:rPr>
                <w:color w:val="1C3A36"/>
                <w:sz w:val="18"/>
              </w:rPr>
              <w:t>45.00</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28,245</w:t>
            </w:r>
          </w:p>
        </w:tc>
        <w:tc>
          <w:tcPr>
            <w:tcW w:type="dxa" w:w="2160"/>
            <w:shd w:val="clear" w:color="auto" w:fill="F6F1E6"/>
          </w:tcPr>
          <w:p>
            <w:pPr>
              <w:spacing w:after="20"/>
              <w:jc w:val="right"/>
            </w:pPr>
            <w:r>
              <w:rPr>
                <w:b/>
                <w:color w:val="1C3A36"/>
                <w:sz w:val="18"/>
              </w:rPr>
              <w:t>75.35</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28,932</w:t>
            </w:r>
          </w:p>
        </w:tc>
        <w:tc>
          <w:tcPr>
            <w:tcW w:type="dxa" w:w="2160"/>
            <w:shd w:val="clear" w:color="auto" w:fill="F6F1E6"/>
          </w:tcPr>
          <w:p>
            <w:pPr>
              <w:spacing w:after="20"/>
              <w:jc w:val="right"/>
            </w:pPr>
            <w:r>
              <w:rPr>
                <w:b/>
                <w:color w:val="1C3A36"/>
                <w:sz w:val="18"/>
              </w:rPr>
              <w:t>77.18</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59.7%</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+0.2%</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1,252mn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0.0007% of equity value. The subsidiaries are 99% to 99.99% owned.</w:t>
      </w:r>
    </w:p>
    <w:p>
      <w:pPr>
        <w:spacing w:after="120" w:before="0"/>
      </w:pPr>
      <w:r>
        <w:rPr>
          <w:b w:val="0"/>
          <w:i w:val="0"/>
          <w:color w:val="1C3A36"/>
          <w:sz w:val="21"/>
        </w:rPr>
        <w:t>At 59.7% of enterprise value, the terminal value carries less of this valuation than the two-thirds to four-fifths a long-horizon discounted cash-flow model usually ends up with, and that is a consequence of the 28.0% explicit-window discount rate rather than a design choice — at that rate the fifth forecast year is already discounted to 46%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45,911mn,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11.73% — the last forecast year's operating profit after tax against that capital, both measured at the same date. A figure of 12.6% appears in the earlier editions of this section and is NOT used here: it divides a profit already grown by one year of terminal growth by a capital base that has not grown, which flatters the return by 82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55.8% of terminal profit. Substituting the definitions, that construction collapses to a fixed charge of growth multiplied by invested capital: EGP 3,214mn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2,296mn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11.73% against a terminal rate of 16.7% — 501 basis points BELOW it. Growth therefore DESTROYS value: the cash-flow lens is EGP 77.65 at 3% terminal growth and EGP 77.18 at 7%, so four extra points of perpetual growth take the value DOWN by 0.6%.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24.96%</w:t>
            </w:r>
          </w:p>
        </w:tc>
        <w:tc>
          <w:tcPr>
            <w:tcW w:type="dxa" w:w="1469"/>
          </w:tcPr>
          <w:p>
            <w:pPr>
              <w:spacing w:after="20"/>
              <w:jc w:val="right"/>
            </w:pPr>
            <w:r>
              <w:rPr>
                <w:color w:val="1C3A36"/>
                <w:sz w:val="18"/>
              </w:rPr>
              <w:t>80.29</w:t>
            </w:r>
          </w:p>
        </w:tc>
        <w:tc>
          <w:tcPr>
            <w:tcW w:type="dxa" w:w="1469"/>
          </w:tcPr>
          <w:p>
            <w:pPr>
              <w:spacing w:after="20"/>
              <w:jc w:val="right"/>
            </w:pPr>
            <w:r>
              <w:rPr>
                <w:color w:val="1C3A36"/>
                <w:sz w:val="18"/>
              </w:rPr>
              <w:t>80.31</w:t>
            </w:r>
          </w:p>
        </w:tc>
        <w:tc>
          <w:tcPr>
            <w:tcW w:type="dxa" w:w="1469"/>
          </w:tcPr>
          <w:p>
            <w:pPr>
              <w:spacing w:after="20"/>
              <w:jc w:val="right"/>
            </w:pPr>
            <w:r>
              <w:rPr>
                <w:color w:val="1C3A36"/>
                <w:sz w:val="18"/>
              </w:rPr>
              <w:t>80.26</w:t>
            </w:r>
          </w:p>
        </w:tc>
        <w:tc>
          <w:tcPr>
            <w:tcW w:type="dxa" w:w="1469"/>
          </w:tcPr>
          <w:p>
            <w:pPr>
              <w:spacing w:after="20"/>
              <w:jc w:val="right"/>
            </w:pPr>
            <w:r>
              <w:rPr>
                <w:color w:val="1C3A36"/>
                <w:sz w:val="18"/>
              </w:rPr>
              <w:t>80.10</w:t>
            </w:r>
          </w:p>
        </w:tc>
        <w:tc>
          <w:tcPr>
            <w:tcW w:type="dxa" w:w="1469"/>
          </w:tcPr>
          <w:p>
            <w:pPr>
              <w:spacing w:after="20"/>
              <w:jc w:val="right"/>
            </w:pPr>
            <w:r>
              <w:rPr>
                <w:color w:val="1C3A36"/>
                <w:sz w:val="18"/>
              </w:rPr>
              <w:t>79.80</w:t>
            </w:r>
          </w:p>
        </w:tc>
      </w:tr>
      <w:tr>
        <w:tc>
          <w:tcPr>
            <w:tcW w:type="dxa" w:w="2477"/>
          </w:tcPr>
          <w:p>
            <w:pPr>
              <w:spacing w:after="20"/>
            </w:pPr>
            <w:r>
              <w:rPr>
                <w:color w:val="1C3A36"/>
                <w:sz w:val="18"/>
              </w:rPr>
              <w:t>26.46%</w:t>
            </w:r>
          </w:p>
        </w:tc>
        <w:tc>
          <w:tcPr>
            <w:tcW w:type="dxa" w:w="1469"/>
          </w:tcPr>
          <w:p>
            <w:pPr>
              <w:spacing w:after="20"/>
              <w:jc w:val="right"/>
            </w:pPr>
            <w:r>
              <w:rPr>
                <w:color w:val="1C3A36"/>
                <w:sz w:val="18"/>
              </w:rPr>
              <w:t>78.95</w:t>
            </w:r>
          </w:p>
        </w:tc>
        <w:tc>
          <w:tcPr>
            <w:tcW w:type="dxa" w:w="1469"/>
          </w:tcPr>
          <w:p>
            <w:pPr>
              <w:spacing w:after="20"/>
              <w:jc w:val="right"/>
            </w:pPr>
            <w:r>
              <w:rPr>
                <w:color w:val="1C3A36"/>
                <w:sz w:val="18"/>
              </w:rPr>
              <w:t>78.98</w:t>
            </w:r>
          </w:p>
        </w:tc>
        <w:tc>
          <w:tcPr>
            <w:tcW w:type="dxa" w:w="1469"/>
          </w:tcPr>
          <w:p>
            <w:pPr>
              <w:spacing w:after="20"/>
              <w:jc w:val="right"/>
            </w:pPr>
            <w:r>
              <w:rPr>
                <w:color w:val="1C3A36"/>
                <w:sz w:val="18"/>
              </w:rPr>
              <w:t>78.92</w:t>
            </w:r>
          </w:p>
        </w:tc>
        <w:tc>
          <w:tcPr>
            <w:tcW w:type="dxa" w:w="1469"/>
          </w:tcPr>
          <w:p>
            <w:pPr>
              <w:spacing w:after="20"/>
              <w:jc w:val="right"/>
            </w:pPr>
            <w:r>
              <w:rPr>
                <w:color w:val="1C3A36"/>
                <w:sz w:val="18"/>
              </w:rPr>
              <w:t>78.76</w:t>
            </w:r>
          </w:p>
        </w:tc>
        <w:tc>
          <w:tcPr>
            <w:tcW w:type="dxa" w:w="1469"/>
          </w:tcPr>
          <w:p>
            <w:pPr>
              <w:spacing w:after="20"/>
              <w:jc w:val="right"/>
            </w:pPr>
            <w:r>
              <w:rPr>
                <w:color w:val="1C3A36"/>
                <w:sz w:val="18"/>
              </w:rPr>
              <w:t>78.47</w:t>
            </w:r>
          </w:p>
        </w:tc>
      </w:tr>
      <w:tr>
        <w:tc>
          <w:tcPr>
            <w:tcW w:type="dxa" w:w="2477"/>
          </w:tcPr>
          <w:p>
            <w:pPr>
              <w:spacing w:after="20"/>
            </w:pPr>
            <w:r>
              <w:rPr>
                <w:color w:val="1C3A36"/>
                <w:sz w:val="18"/>
              </w:rPr>
              <w:t>27.96%</w:t>
            </w:r>
          </w:p>
        </w:tc>
        <w:tc>
          <w:tcPr>
            <w:tcW w:type="dxa" w:w="1469"/>
          </w:tcPr>
          <w:p>
            <w:pPr>
              <w:spacing w:after="20"/>
              <w:jc w:val="right"/>
            </w:pPr>
            <w:r>
              <w:rPr>
                <w:color w:val="1C3A36"/>
                <w:sz w:val="18"/>
              </w:rPr>
              <w:t>77.65</w:t>
            </w:r>
          </w:p>
        </w:tc>
        <w:tc>
          <w:tcPr>
            <w:tcW w:type="dxa" w:w="1469"/>
          </w:tcPr>
          <w:p>
            <w:pPr>
              <w:spacing w:after="20"/>
              <w:jc w:val="right"/>
            </w:pPr>
            <w:r>
              <w:rPr>
                <w:color w:val="1C3A36"/>
                <w:sz w:val="18"/>
              </w:rPr>
              <w:t>77.68</w:t>
            </w:r>
          </w:p>
        </w:tc>
        <w:tc>
          <w:tcPr>
            <w:tcW w:type="dxa" w:w="1469"/>
          </w:tcPr>
          <w:p>
            <w:pPr>
              <w:spacing w:after="20"/>
              <w:jc w:val="right"/>
            </w:pPr>
            <w:r>
              <w:rPr>
                <w:color w:val="1C3A36"/>
                <w:sz w:val="18"/>
              </w:rPr>
              <w:t>77.62</w:t>
            </w:r>
          </w:p>
        </w:tc>
        <w:tc>
          <w:tcPr>
            <w:tcW w:type="dxa" w:w="1469"/>
          </w:tcPr>
          <w:p>
            <w:pPr>
              <w:spacing w:after="20"/>
              <w:jc w:val="right"/>
            </w:pPr>
            <w:r>
              <w:rPr>
                <w:color w:val="1C3A36"/>
                <w:sz w:val="18"/>
              </w:rPr>
              <w:t>77.47</w:t>
            </w:r>
          </w:p>
        </w:tc>
        <w:tc>
          <w:tcPr>
            <w:tcW w:type="dxa" w:w="1469"/>
          </w:tcPr>
          <w:p>
            <w:pPr>
              <w:spacing w:after="20"/>
              <w:jc w:val="right"/>
            </w:pPr>
            <w:r>
              <w:rPr>
                <w:color w:val="1C3A36"/>
                <w:sz w:val="18"/>
              </w:rPr>
              <w:t>77.18</w:t>
            </w:r>
          </w:p>
        </w:tc>
      </w:tr>
      <w:tr>
        <w:tc>
          <w:tcPr>
            <w:tcW w:type="dxa" w:w="2477"/>
          </w:tcPr>
          <w:p>
            <w:pPr>
              <w:spacing w:after="20"/>
            </w:pPr>
            <w:r>
              <w:rPr>
                <w:color w:val="1C3A36"/>
                <w:sz w:val="18"/>
              </w:rPr>
              <w:t>29.46%</w:t>
            </w:r>
          </w:p>
        </w:tc>
        <w:tc>
          <w:tcPr>
            <w:tcW w:type="dxa" w:w="1469"/>
          </w:tcPr>
          <w:p>
            <w:pPr>
              <w:spacing w:after="20"/>
              <w:jc w:val="right"/>
            </w:pPr>
            <w:r>
              <w:rPr>
                <w:color w:val="1C3A36"/>
                <w:sz w:val="18"/>
              </w:rPr>
              <w:t>76.38</w:t>
            </w:r>
          </w:p>
        </w:tc>
        <w:tc>
          <w:tcPr>
            <w:tcW w:type="dxa" w:w="1469"/>
          </w:tcPr>
          <w:p>
            <w:pPr>
              <w:spacing w:after="20"/>
              <w:jc w:val="right"/>
            </w:pPr>
            <w:r>
              <w:rPr>
                <w:color w:val="1C3A36"/>
                <w:sz w:val="18"/>
              </w:rPr>
              <w:t>76.41</w:t>
            </w:r>
          </w:p>
        </w:tc>
        <w:tc>
          <w:tcPr>
            <w:tcW w:type="dxa" w:w="1469"/>
          </w:tcPr>
          <w:p>
            <w:pPr>
              <w:spacing w:after="20"/>
              <w:jc w:val="right"/>
            </w:pPr>
            <w:r>
              <w:rPr>
                <w:color w:val="1C3A36"/>
                <w:sz w:val="18"/>
              </w:rPr>
              <w:t>76.35</w:t>
            </w:r>
          </w:p>
        </w:tc>
        <w:tc>
          <w:tcPr>
            <w:tcW w:type="dxa" w:w="1469"/>
          </w:tcPr>
          <w:p>
            <w:pPr>
              <w:spacing w:after="20"/>
              <w:jc w:val="right"/>
            </w:pPr>
            <w:r>
              <w:rPr>
                <w:color w:val="1C3A36"/>
                <w:sz w:val="18"/>
              </w:rPr>
              <w:t>76.20</w:t>
            </w:r>
          </w:p>
        </w:tc>
        <w:tc>
          <w:tcPr>
            <w:tcW w:type="dxa" w:w="1469"/>
          </w:tcPr>
          <w:p>
            <w:pPr>
              <w:spacing w:after="20"/>
              <w:jc w:val="right"/>
            </w:pPr>
            <w:r>
              <w:rPr>
                <w:color w:val="1C3A36"/>
                <w:sz w:val="18"/>
              </w:rPr>
              <w:t>75.92</w:t>
            </w:r>
          </w:p>
        </w:tc>
      </w:tr>
      <w:tr>
        <w:tc>
          <w:tcPr>
            <w:tcW w:type="dxa" w:w="2477"/>
          </w:tcPr>
          <w:p>
            <w:pPr>
              <w:spacing w:after="20"/>
            </w:pPr>
            <w:r>
              <w:rPr>
                <w:color w:val="1C3A36"/>
                <w:sz w:val="18"/>
              </w:rPr>
              <w:t>30.96%</w:t>
            </w:r>
          </w:p>
        </w:tc>
        <w:tc>
          <w:tcPr>
            <w:tcW w:type="dxa" w:w="1469"/>
          </w:tcPr>
          <w:p>
            <w:pPr>
              <w:spacing w:after="20"/>
              <w:jc w:val="right"/>
            </w:pPr>
            <w:r>
              <w:rPr>
                <w:color w:val="1C3A36"/>
                <w:sz w:val="18"/>
              </w:rPr>
              <w:t>75.15</w:t>
            </w:r>
          </w:p>
        </w:tc>
        <w:tc>
          <w:tcPr>
            <w:tcW w:type="dxa" w:w="1469"/>
          </w:tcPr>
          <w:p>
            <w:pPr>
              <w:spacing w:after="20"/>
              <w:jc w:val="right"/>
            </w:pPr>
            <w:r>
              <w:rPr>
                <w:color w:val="1C3A36"/>
                <w:sz w:val="18"/>
              </w:rPr>
              <w:t>75.17</w:t>
            </w:r>
          </w:p>
        </w:tc>
        <w:tc>
          <w:tcPr>
            <w:tcW w:type="dxa" w:w="1469"/>
          </w:tcPr>
          <w:p>
            <w:pPr>
              <w:spacing w:after="20"/>
              <w:jc w:val="right"/>
            </w:pPr>
            <w:r>
              <w:rPr>
                <w:color w:val="1C3A36"/>
                <w:sz w:val="18"/>
              </w:rPr>
              <w:t>75.12</w:t>
            </w:r>
          </w:p>
        </w:tc>
        <w:tc>
          <w:tcPr>
            <w:tcW w:type="dxa" w:w="1469"/>
          </w:tcPr>
          <w:p>
            <w:pPr>
              <w:spacing w:after="20"/>
              <w:jc w:val="right"/>
            </w:pPr>
            <w:r>
              <w:rPr>
                <w:color w:val="1C3A36"/>
                <w:sz w:val="18"/>
              </w:rPr>
              <w:t>74.97</w:t>
            </w:r>
          </w:p>
        </w:tc>
        <w:tc>
          <w:tcPr>
            <w:tcW w:type="dxa" w:w="1469"/>
          </w:tcPr>
          <w:p>
            <w:pPr>
              <w:spacing w:after="20"/>
              <w:jc w:val="right"/>
            </w:pPr>
            <w:r>
              <w:rPr>
                <w:color w:val="1C3A36"/>
                <w:sz w:val="18"/>
              </w:rPr>
              <w:t>74.69</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0.49, against EGP 5.14 down a column. The paragraphs above set out why the growth axis is nearly flat — on a replacement-cost denominator this plant sits within -501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14.7%</w:t>
            </w:r>
          </w:p>
        </w:tc>
        <w:tc>
          <w:tcPr>
            <w:tcW w:type="dxa" w:w="1469"/>
            <w:shd w:val="clear" w:color="auto" w:fill="EAF0EE"/>
          </w:tcPr>
          <w:p>
            <w:pPr>
              <w:spacing w:after="20"/>
            </w:pPr>
            <w:r>
              <w:rPr>
                <w:b/>
                <w:color w:val="1C3A36"/>
                <w:sz w:val="18"/>
              </w:rPr>
              <w:t>15.7%</w:t>
            </w:r>
          </w:p>
        </w:tc>
        <w:tc>
          <w:tcPr>
            <w:tcW w:type="dxa" w:w="1469"/>
            <w:shd w:val="clear" w:color="auto" w:fill="EAF0EE"/>
          </w:tcPr>
          <w:p>
            <w:pPr>
              <w:spacing w:after="20"/>
            </w:pPr>
            <w:r>
              <w:rPr>
                <w:b/>
                <w:color w:val="1C3A36"/>
                <w:sz w:val="18"/>
              </w:rPr>
              <w:t>16.7%</w:t>
            </w:r>
          </w:p>
        </w:tc>
        <w:tc>
          <w:tcPr>
            <w:tcW w:type="dxa" w:w="1469"/>
            <w:shd w:val="clear" w:color="auto" w:fill="EAF0EE"/>
          </w:tcPr>
          <w:p>
            <w:pPr>
              <w:spacing w:after="20"/>
            </w:pPr>
            <w:r>
              <w:rPr>
                <w:b/>
                <w:color w:val="1C3A36"/>
                <w:sz w:val="18"/>
              </w:rPr>
              <w:t>17.7%</w:t>
            </w:r>
          </w:p>
        </w:tc>
        <w:tc>
          <w:tcPr>
            <w:tcW w:type="dxa" w:w="1469"/>
            <w:shd w:val="clear" w:color="auto" w:fill="EAF0EE"/>
          </w:tcPr>
          <w:p>
            <w:pPr>
              <w:spacing w:after="20"/>
            </w:pPr>
            <w:r>
              <w:rPr>
                <w:b/>
                <w:color w:val="1C3A36"/>
                <w:sz w:val="18"/>
              </w:rPr>
              <w:t>18.7%</w:t>
            </w:r>
          </w:p>
        </w:tc>
      </w:tr>
      <w:tr>
        <w:tc>
          <w:tcPr>
            <w:tcW w:type="dxa" w:w="2477"/>
          </w:tcPr>
          <w:p>
            <w:pPr>
              <w:spacing w:after="20"/>
            </w:pPr>
            <w:r>
              <w:rPr>
                <w:color w:val="1C3A36"/>
                <w:sz w:val="18"/>
              </w:rPr>
              <w:t>24.96%</w:t>
            </w:r>
          </w:p>
        </w:tc>
        <w:tc>
          <w:tcPr>
            <w:tcW w:type="dxa" w:w="1469"/>
          </w:tcPr>
          <w:p>
            <w:pPr>
              <w:spacing w:after="20"/>
              <w:jc w:val="right"/>
            </w:pPr>
            <w:r>
              <w:rPr>
                <w:color w:val="1C3A36"/>
                <w:sz w:val="18"/>
              </w:rPr>
              <w:t>95.41</w:t>
            </w:r>
          </w:p>
        </w:tc>
        <w:tc>
          <w:tcPr>
            <w:tcW w:type="dxa" w:w="1469"/>
          </w:tcPr>
          <w:p>
            <w:pPr>
              <w:spacing w:after="20"/>
              <w:jc w:val="right"/>
            </w:pPr>
            <w:r>
              <w:rPr>
                <w:color w:val="1C3A36"/>
                <w:sz w:val="18"/>
              </w:rPr>
              <w:t>86.72</w:t>
            </w:r>
          </w:p>
        </w:tc>
        <w:tc>
          <w:tcPr>
            <w:tcW w:type="dxa" w:w="1469"/>
          </w:tcPr>
          <w:p>
            <w:pPr>
              <w:spacing w:after="20"/>
              <w:jc w:val="right"/>
            </w:pPr>
            <w:r>
              <w:rPr>
                <w:color w:val="1C3A36"/>
                <w:sz w:val="18"/>
              </w:rPr>
              <w:t>79.80</w:t>
            </w:r>
          </w:p>
        </w:tc>
        <w:tc>
          <w:tcPr>
            <w:tcW w:type="dxa" w:w="1469"/>
          </w:tcPr>
          <w:p>
            <w:pPr>
              <w:spacing w:after="20"/>
              <w:jc w:val="right"/>
            </w:pPr>
            <w:r>
              <w:rPr>
                <w:color w:val="1C3A36"/>
                <w:sz w:val="18"/>
              </w:rPr>
              <w:t>74.15</w:t>
            </w:r>
          </w:p>
        </w:tc>
        <w:tc>
          <w:tcPr>
            <w:tcW w:type="dxa" w:w="1469"/>
          </w:tcPr>
          <w:p>
            <w:pPr>
              <w:spacing w:after="20"/>
              <w:jc w:val="right"/>
            </w:pPr>
            <w:r>
              <w:rPr>
                <w:color w:val="1C3A36"/>
                <w:sz w:val="18"/>
              </w:rPr>
              <w:t>69.46</w:t>
            </w:r>
          </w:p>
        </w:tc>
      </w:tr>
      <w:tr>
        <w:tc>
          <w:tcPr>
            <w:tcW w:type="dxa" w:w="2477"/>
          </w:tcPr>
          <w:p>
            <w:pPr>
              <w:spacing w:after="20"/>
            </w:pPr>
            <w:r>
              <w:rPr>
                <w:color w:val="1C3A36"/>
                <w:sz w:val="18"/>
              </w:rPr>
              <w:t>26.46%</w:t>
            </w:r>
          </w:p>
        </w:tc>
        <w:tc>
          <w:tcPr>
            <w:tcW w:type="dxa" w:w="1469"/>
          </w:tcPr>
          <w:p>
            <w:pPr>
              <w:spacing w:after="20"/>
              <w:jc w:val="right"/>
            </w:pPr>
            <w:r>
              <w:rPr>
                <w:color w:val="1C3A36"/>
                <w:sz w:val="18"/>
              </w:rPr>
              <w:t>93.78</w:t>
            </w:r>
          </w:p>
        </w:tc>
        <w:tc>
          <w:tcPr>
            <w:tcW w:type="dxa" w:w="1469"/>
          </w:tcPr>
          <w:p>
            <w:pPr>
              <w:spacing w:after="20"/>
              <w:jc w:val="right"/>
            </w:pPr>
            <w:r>
              <w:rPr>
                <w:color w:val="1C3A36"/>
                <w:sz w:val="18"/>
              </w:rPr>
              <w:t>85.26</w:t>
            </w:r>
          </w:p>
        </w:tc>
        <w:tc>
          <w:tcPr>
            <w:tcW w:type="dxa" w:w="1469"/>
          </w:tcPr>
          <w:p>
            <w:pPr>
              <w:spacing w:after="20"/>
              <w:jc w:val="right"/>
            </w:pPr>
            <w:r>
              <w:rPr>
                <w:color w:val="1C3A36"/>
                <w:sz w:val="18"/>
              </w:rPr>
              <w:t>78.47</w:t>
            </w:r>
          </w:p>
        </w:tc>
        <w:tc>
          <w:tcPr>
            <w:tcW w:type="dxa" w:w="1469"/>
          </w:tcPr>
          <w:p>
            <w:pPr>
              <w:spacing w:after="20"/>
              <w:jc w:val="right"/>
            </w:pPr>
            <w:r>
              <w:rPr>
                <w:color w:val="1C3A36"/>
                <w:sz w:val="18"/>
              </w:rPr>
              <w:t>72.94</w:t>
            </w:r>
          </w:p>
        </w:tc>
        <w:tc>
          <w:tcPr>
            <w:tcW w:type="dxa" w:w="1469"/>
          </w:tcPr>
          <w:p>
            <w:pPr>
              <w:spacing w:after="20"/>
              <w:jc w:val="right"/>
            </w:pPr>
            <w:r>
              <w:rPr>
                <w:color w:val="1C3A36"/>
                <w:sz w:val="18"/>
              </w:rPr>
              <w:t>68.34</w:t>
            </w:r>
          </w:p>
        </w:tc>
      </w:tr>
      <w:tr>
        <w:tc>
          <w:tcPr>
            <w:tcW w:type="dxa" w:w="2477"/>
          </w:tcPr>
          <w:p>
            <w:pPr>
              <w:spacing w:after="20"/>
            </w:pPr>
            <w:r>
              <w:rPr>
                <w:color w:val="1C3A36"/>
                <w:sz w:val="18"/>
              </w:rPr>
              <w:t>27.96%</w:t>
            </w:r>
          </w:p>
        </w:tc>
        <w:tc>
          <w:tcPr>
            <w:tcW w:type="dxa" w:w="1469"/>
          </w:tcPr>
          <w:p>
            <w:pPr>
              <w:spacing w:after="20"/>
              <w:jc w:val="right"/>
            </w:pPr>
            <w:r>
              <w:rPr>
                <w:color w:val="1C3A36"/>
                <w:sz w:val="18"/>
              </w:rPr>
              <w:t>92.19</w:t>
            </w:r>
          </w:p>
        </w:tc>
        <w:tc>
          <w:tcPr>
            <w:tcW w:type="dxa" w:w="1469"/>
          </w:tcPr>
          <w:p>
            <w:pPr>
              <w:spacing w:after="20"/>
              <w:jc w:val="right"/>
            </w:pPr>
            <w:r>
              <w:rPr>
                <w:color w:val="1C3A36"/>
                <w:sz w:val="18"/>
              </w:rPr>
              <w:t>83.83</w:t>
            </w:r>
          </w:p>
        </w:tc>
        <w:tc>
          <w:tcPr>
            <w:tcW w:type="dxa" w:w="1469"/>
          </w:tcPr>
          <w:p>
            <w:pPr>
              <w:spacing w:after="20"/>
              <w:jc w:val="right"/>
            </w:pPr>
            <w:r>
              <w:rPr>
                <w:color w:val="1C3A36"/>
                <w:sz w:val="18"/>
              </w:rPr>
              <w:t>77.18</w:t>
            </w:r>
          </w:p>
        </w:tc>
        <w:tc>
          <w:tcPr>
            <w:tcW w:type="dxa" w:w="1469"/>
          </w:tcPr>
          <w:p>
            <w:pPr>
              <w:spacing w:after="20"/>
              <w:jc w:val="right"/>
            </w:pPr>
            <w:r>
              <w:rPr>
                <w:color w:val="1C3A36"/>
                <w:sz w:val="18"/>
              </w:rPr>
              <w:t>71.75</w:t>
            </w:r>
          </w:p>
        </w:tc>
        <w:tc>
          <w:tcPr>
            <w:tcW w:type="dxa" w:w="1469"/>
          </w:tcPr>
          <w:p>
            <w:pPr>
              <w:spacing w:after="20"/>
              <w:jc w:val="right"/>
            </w:pPr>
            <w:r>
              <w:rPr>
                <w:color w:val="1C3A36"/>
                <w:sz w:val="18"/>
              </w:rPr>
              <w:t>67.24</w:t>
            </w:r>
          </w:p>
        </w:tc>
      </w:tr>
      <w:tr>
        <w:tc>
          <w:tcPr>
            <w:tcW w:type="dxa" w:w="2477"/>
          </w:tcPr>
          <w:p>
            <w:pPr>
              <w:spacing w:after="20"/>
            </w:pPr>
            <w:r>
              <w:rPr>
                <w:color w:val="1C3A36"/>
                <w:sz w:val="18"/>
              </w:rPr>
              <w:t>29.46%</w:t>
            </w:r>
          </w:p>
        </w:tc>
        <w:tc>
          <w:tcPr>
            <w:tcW w:type="dxa" w:w="1469"/>
          </w:tcPr>
          <w:p>
            <w:pPr>
              <w:spacing w:after="20"/>
              <w:jc w:val="right"/>
            </w:pPr>
            <w:r>
              <w:rPr>
                <w:color w:val="1C3A36"/>
                <w:sz w:val="18"/>
              </w:rPr>
              <w:t>90.64</w:t>
            </w:r>
          </w:p>
        </w:tc>
        <w:tc>
          <w:tcPr>
            <w:tcW w:type="dxa" w:w="1469"/>
          </w:tcPr>
          <w:p>
            <w:pPr>
              <w:spacing w:after="20"/>
              <w:jc w:val="right"/>
            </w:pPr>
            <w:r>
              <w:rPr>
                <w:color w:val="1C3A36"/>
                <w:sz w:val="18"/>
              </w:rPr>
              <w:t>82.44</w:t>
            </w:r>
          </w:p>
        </w:tc>
        <w:tc>
          <w:tcPr>
            <w:tcW w:type="dxa" w:w="1469"/>
          </w:tcPr>
          <w:p>
            <w:pPr>
              <w:spacing w:after="20"/>
              <w:jc w:val="right"/>
            </w:pPr>
            <w:r>
              <w:rPr>
                <w:color w:val="1C3A36"/>
                <w:sz w:val="18"/>
              </w:rPr>
              <w:t>75.92</w:t>
            </w:r>
          </w:p>
        </w:tc>
        <w:tc>
          <w:tcPr>
            <w:tcW w:type="dxa" w:w="1469"/>
          </w:tcPr>
          <w:p>
            <w:pPr>
              <w:spacing w:after="20"/>
              <w:jc w:val="right"/>
            </w:pPr>
            <w:r>
              <w:rPr>
                <w:color w:val="1C3A36"/>
                <w:sz w:val="18"/>
              </w:rPr>
              <w:t>70.60</w:t>
            </w:r>
          </w:p>
        </w:tc>
        <w:tc>
          <w:tcPr>
            <w:tcW w:type="dxa" w:w="1469"/>
          </w:tcPr>
          <w:p>
            <w:pPr>
              <w:spacing w:after="20"/>
              <w:jc w:val="right"/>
            </w:pPr>
            <w:r>
              <w:rPr>
                <w:color w:val="1C3A36"/>
                <w:sz w:val="18"/>
              </w:rPr>
              <w:t>66.18</w:t>
            </w:r>
          </w:p>
        </w:tc>
      </w:tr>
      <w:tr>
        <w:tc>
          <w:tcPr>
            <w:tcW w:type="dxa" w:w="2477"/>
          </w:tcPr>
          <w:p>
            <w:pPr>
              <w:spacing w:after="20"/>
            </w:pPr>
            <w:r>
              <w:rPr>
                <w:color w:val="1C3A36"/>
                <w:sz w:val="18"/>
              </w:rPr>
              <w:t>30.96%</w:t>
            </w:r>
          </w:p>
        </w:tc>
        <w:tc>
          <w:tcPr>
            <w:tcW w:type="dxa" w:w="1469"/>
          </w:tcPr>
          <w:p>
            <w:pPr>
              <w:spacing w:after="20"/>
              <w:jc w:val="right"/>
            </w:pPr>
            <w:r>
              <w:rPr>
                <w:color w:val="1C3A36"/>
                <w:sz w:val="18"/>
              </w:rPr>
              <w:t>89.13</w:t>
            </w:r>
          </w:p>
        </w:tc>
        <w:tc>
          <w:tcPr>
            <w:tcW w:type="dxa" w:w="1469"/>
          </w:tcPr>
          <w:p>
            <w:pPr>
              <w:spacing w:after="20"/>
              <w:jc w:val="right"/>
            </w:pPr>
            <w:r>
              <w:rPr>
                <w:color w:val="1C3A36"/>
                <w:sz w:val="18"/>
              </w:rPr>
              <w:t>81.09</w:t>
            </w:r>
          </w:p>
        </w:tc>
        <w:tc>
          <w:tcPr>
            <w:tcW w:type="dxa" w:w="1469"/>
          </w:tcPr>
          <w:p>
            <w:pPr>
              <w:spacing w:after="20"/>
              <w:jc w:val="right"/>
            </w:pPr>
            <w:r>
              <w:rPr>
                <w:color w:val="1C3A36"/>
                <w:sz w:val="18"/>
              </w:rPr>
              <w:t>74.69</w:t>
            </w:r>
          </w:p>
        </w:tc>
        <w:tc>
          <w:tcPr>
            <w:tcW w:type="dxa" w:w="1469"/>
          </w:tcPr>
          <w:p>
            <w:pPr>
              <w:spacing w:after="20"/>
              <w:jc w:val="right"/>
            </w:pPr>
            <w:r>
              <w:rPr>
                <w:color w:val="1C3A36"/>
                <w:sz w:val="18"/>
              </w:rPr>
              <w:t>69.48</w:t>
            </w:r>
          </w:p>
        </w:tc>
        <w:tc>
          <w:tcPr>
            <w:tcW w:type="dxa" w:w="1469"/>
          </w:tcPr>
          <w:p>
            <w:pPr>
              <w:spacing w:after="20"/>
              <w:jc w:val="right"/>
            </w:pPr>
            <w:r>
              <w:rPr>
                <w:color w:val="1C3A36"/>
                <w:sz w:val="18"/>
              </w:rPr>
              <w:t>65.14</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77.31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88.96  (+15.3%)</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81.31  (+5.4%)</w:t>
            </w:r>
          </w:p>
        </w:tc>
      </w:tr>
      <w:tr>
        <w:tc>
          <w:tcPr>
            <w:tcW w:type="dxa" w:w="3672"/>
          </w:tcPr>
          <w:p>
            <w:pPr>
              <w:spacing w:after="20"/>
            </w:pPr>
            <w:r>
              <w:rPr>
                <w:color w:val="1C3A36"/>
                <w:sz w:val="17"/>
              </w:rPr>
              <w:t>Terminal useful life: the disclosed 20 years of machinery and equipment, the class the replacement-cost base actually represents (adopted), vs the longest life disclosed in the same accounting-policies note, 50 years</w:t>
            </w:r>
          </w:p>
        </w:tc>
        <w:tc>
          <w:tcPr>
            <w:tcW w:type="dxa" w:w="1512"/>
          </w:tcPr>
          <w:p>
            <w:pPr>
              <w:spacing w:after="20"/>
              <w:jc w:val="right"/>
            </w:pPr>
            <w:r>
              <w:rPr>
                <w:color w:val="1C3A36"/>
                <w:sz w:val="17"/>
              </w:rPr>
              <w:t>20 years</w:t>
            </w:r>
          </w:p>
        </w:tc>
        <w:tc>
          <w:tcPr>
            <w:tcW w:type="dxa" w:w="1728"/>
          </w:tcPr>
          <w:p>
            <w:pPr>
              <w:spacing w:after="20"/>
              <w:jc w:val="right"/>
            </w:pPr>
            <w:r>
              <w:rPr>
                <w:color w:val="1C3A36"/>
                <w:sz w:val="17"/>
              </w:rPr>
              <w:t>50 years</w:t>
            </w:r>
          </w:p>
        </w:tc>
        <w:tc>
          <w:tcPr>
            <w:tcW w:type="dxa" w:w="2448"/>
          </w:tcPr>
          <w:p>
            <w:pPr>
              <w:spacing w:after="20"/>
              <w:jc w:val="right"/>
            </w:pPr>
            <w:r>
              <w:rPr>
                <w:color w:val="1C3A36"/>
                <w:sz w:val="17"/>
              </w:rPr>
              <w:t>94.54  (+22.5%)</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-7.73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+21.92</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-5.72</w:t>
            </w:r>
          </w:p>
        </w:tc>
        <w:tc>
          <w:tcPr>
            <w:tcW w:type="dxa" w:w="4320"/>
          </w:tcPr>
          <w:p>
            <w:pPr>
              <w:spacing w:after="20"/>
              <w:jc w:val="right"/>
            </w:pPr>
            <w:r>
              <w:rPr>
                <w:color w:val="1C3A36"/>
                <w:sz w:val="17"/>
              </w:rPr>
              <w:t>their flat 20.06% vs our 27.60%-&gt;16.74%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-3.69</w:t>
            </w:r>
          </w:p>
        </w:tc>
        <w:tc>
          <w:tcPr>
            <w:tcW w:type="dxa" w:w="4320"/>
          </w:tcPr>
          <w:p>
            <w:pPr>
              <w:spacing w:after="20"/>
              <w:jc w:val="right"/>
            </w:pPr>
            <w:r>
              <w:rPr>
                <w:color w:val="1C3A36"/>
                <w:sz w:val="17"/>
              </w:rPr>
              <w:t>-5.06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-0.03</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77.49</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(+7.73 vs +7.73).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+3.75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+4.01. The remaining -0.03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(+21.92, EFG off mark). They grow FY2030 free cash flow at 2.5% for ever with no charge for keeping the plant standing. A perpetuity has to maintain its own capital: on replacement-cost capital of EGP 45,911 and the 20-year machinery life ARCC's own audited accounting-policies note discloses, that maintenance is EGP 2,296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(-5.72,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0.4466, so ours discounts the far end harder. The two work against each other and what is LEFT is this bar, -5.72 a share, which is the number to argue with rather than either convention.</w:t>
      </w:r>
    </w:p>
    <w:p>
      <w:pPr>
        <w:spacing w:after="120" w:before="0"/>
      </w:pPr>
      <w:r>
        <w:rPr>
          <w:b w:val="0"/>
          <w:i w:val="0"/>
          <w:color w:val="1C3A36"/>
          <w:sz w:val="19"/>
        </w:rPr>
        <w:t>Valuation date 1 Jan -&gt; 30 Jun (-3.69,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(-0.03,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77.49</w:t>
            </w:r>
          </w:p>
        </w:tc>
        <w:tc>
          <w:tcPr>
            <w:tcW w:type="dxa" w:w="1728"/>
          </w:tcPr>
          <w:p>
            <w:pPr>
              <w:spacing w:after="20"/>
              <w:jc w:val="right"/>
            </w:pPr>
            <w:r>
              <w:rPr>
                <w:color w:val="1C3A36"/>
                <w:sz w:val="17"/>
              </w:rPr>
              <w:t>+0.6%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76.62</w:t>
            </w:r>
          </w:p>
        </w:tc>
        <w:tc>
          <w:tcPr>
            <w:tcW w:type="dxa" w:w="1728"/>
          </w:tcPr>
          <w:p>
            <w:pPr>
              <w:spacing w:after="20"/>
              <w:jc w:val="right"/>
            </w:pPr>
            <w:r>
              <w:rPr>
                <w:color w:val="1C3A36"/>
                <w:sz w:val="17"/>
              </w:rPr>
              <w:t>-0.5%</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75.76</w:t>
            </w:r>
          </w:p>
        </w:tc>
        <w:tc>
          <w:tcPr>
            <w:tcW w:type="dxa" w:w="1728"/>
          </w:tcPr>
          <w:p>
            <w:pPr>
              <w:spacing w:after="20"/>
              <w:jc w:val="right"/>
            </w:pPr>
            <w:r>
              <w:rPr>
                <w:color w:val="1C3A36"/>
                <w:sz w:val="17"/>
              </w:rPr>
              <w:t>-1.6%</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52.66</w:t>
            </w:r>
          </w:p>
        </w:tc>
        <w:tc>
          <w:tcPr>
            <w:tcW w:type="dxa" w:w="1728"/>
          </w:tcPr>
          <w:p>
            <w:pPr>
              <w:spacing w:after="20"/>
              <w:jc w:val="right"/>
            </w:pPr>
            <w:r>
              <w:rPr>
                <w:color w:val="1C3A36"/>
                <w:sz w:val="17"/>
              </w:rPr>
              <w:t>-31.6%</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75.76</w:t>
            </w:r>
          </w:p>
        </w:tc>
        <w:tc>
          <w:tcPr>
            <w:tcW w:type="dxa" w:w="1728"/>
          </w:tcPr>
          <w:p>
            <w:pPr>
              <w:spacing w:after="20"/>
              <w:jc w:val="right"/>
            </w:pPr>
            <w:r>
              <w:rPr>
                <w:color w:val="1C3A36"/>
                <w:sz w:val="17"/>
              </w:rPr>
              <w:t>-1.6%</w:t>
            </w:r>
          </w:p>
        </w:tc>
      </w:tr>
    </w:tbl>
    <w:p>
      <w:pPr>
        <w:spacing w:after="40"/>
      </w:pPr>
    </w:p>
    <w:p>
      <w:pPr>
        <w:spacing w:after="200" w:before="0"/>
      </w:pPr>
      <w:r>
        <w:rPr>
          <w:b w:val="0"/>
          <w:i/>
          <w:color w:val="6E7B77"/>
          <w:sz w:val="17"/>
        </w:rPr>
        <w:t>Table 16 — What EFG’s margin view is worth, held against both volume assumptions. Their margin on OUR volumes reaches EGP 75.76, -1.6% against the latest close; their margin AND their volumes together reach EGP 52.66, -31.6%. NEITHER clears the price, and the volume assumption is worth 23.10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77.18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76.62, -0.5%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29.83</w:t>
            </w:r>
          </w:p>
        </w:tc>
        <w:tc>
          <w:tcPr>
            <w:tcW w:type="dxa" w:w="1440"/>
            <w:shd w:val="clear" w:color="auto" w:fill="F6F1E6"/>
          </w:tcPr>
          <w:p>
            <w:pPr>
              <w:spacing w:after="20"/>
              <w:jc w:val="right"/>
            </w:pPr>
            <w:r>
              <w:rPr>
                <w:b/>
                <w:color w:val="1C3A36"/>
                <w:sz w:val="18"/>
              </w:rPr>
              <w:t>77.18</w:t>
            </w:r>
          </w:p>
        </w:tc>
        <w:tc>
          <w:tcPr>
            <w:tcW w:type="dxa" w:w="1440"/>
            <w:shd w:val="clear" w:color="auto" w:fill="F6F1E6"/>
          </w:tcPr>
          <w:p>
            <w:pPr>
              <w:spacing w:after="20"/>
              <w:jc w:val="right"/>
            </w:pPr>
            <w:r>
              <w:rPr>
                <w:b/>
                <w:color w:val="1C3A36"/>
                <w:sz w:val="18"/>
              </w:rPr>
              <w:t>77.79</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+0.2%</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-61.3%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One sits ABOVE the market price — DCF (cash flow), at EGP 77.18 — and two below: Relative multiples and Asset / replacement cost, at EGP 45.65 and EGP 65.57.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63.89; but those weights were chosen rather than tested, and an average of four methods is a fifth method nobody has checked, carrying every weakness of the weakest at whatever weight somebody typed. The value published here is the cash-flow lens alone, EGP 77.18 against EGP 77.00 — +0.2%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2 of this study's 3 valuation lenses sits BELOW the market, the nearest at +0.2%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77.18, and the conclusion moves from a premium over the market of that day to a discount of +0.2%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11.73% on replacement cost. The terminal block uses replacement cost, which leaves the plant roughly breaking even on new tonnes — 11.73% against a hurdle of 16.74%, so four points of terminal growth are worth -0.6%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73.18</w:t>
            </w:r>
          </w:p>
        </w:tc>
        <w:tc>
          <w:tcPr>
            <w:tcW w:type="dxa" w:w="1325"/>
          </w:tcPr>
          <w:p>
            <w:pPr>
              <w:spacing w:after="20"/>
              <w:jc w:val="right"/>
            </w:pPr>
            <w:r>
              <w:rPr>
                <w:color w:val="1C3A36"/>
                <w:sz w:val="17"/>
              </w:rPr>
              <w:t>75.18</w:t>
            </w:r>
          </w:p>
        </w:tc>
        <w:tc>
          <w:tcPr>
            <w:tcW w:type="dxa" w:w="1325"/>
          </w:tcPr>
          <w:p>
            <w:pPr>
              <w:spacing w:after="20"/>
              <w:jc w:val="right"/>
            </w:pPr>
            <w:r>
              <w:rPr>
                <w:color w:val="1C3A36"/>
                <w:sz w:val="17"/>
              </w:rPr>
              <w:t>77.18</w:t>
            </w:r>
          </w:p>
        </w:tc>
        <w:tc>
          <w:tcPr>
            <w:tcW w:type="dxa" w:w="1325"/>
          </w:tcPr>
          <w:p>
            <w:pPr>
              <w:spacing w:after="20"/>
              <w:jc w:val="right"/>
            </w:pPr>
            <w:r>
              <w:rPr>
                <w:color w:val="1C3A36"/>
                <w:sz w:val="17"/>
              </w:rPr>
              <w:t>79.18</w:t>
            </w:r>
          </w:p>
        </w:tc>
        <w:tc>
          <w:tcPr>
            <w:tcW w:type="dxa" w:w="1325"/>
          </w:tcPr>
          <w:p>
            <w:pPr>
              <w:spacing w:after="20"/>
              <w:jc w:val="right"/>
            </w:pPr>
            <w:r>
              <w:rPr>
                <w:color w:val="1C3A36"/>
                <w:sz w:val="17"/>
              </w:rPr>
              <w:t>81.18</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71.62</w:t>
            </w:r>
          </w:p>
        </w:tc>
        <w:tc>
          <w:tcPr>
            <w:tcW w:type="dxa" w:w="1325"/>
          </w:tcPr>
          <w:p>
            <w:pPr>
              <w:spacing w:after="20"/>
              <w:jc w:val="right"/>
            </w:pPr>
            <w:r>
              <w:rPr>
                <w:color w:val="1C3A36"/>
                <w:sz w:val="17"/>
              </w:rPr>
              <w:t>77.18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88.30</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358</w:t>
            </w:r>
          </w:p>
        </w:tc>
        <w:tc>
          <w:tcPr>
            <w:tcW w:type="dxa" w:w="997"/>
          </w:tcPr>
          <w:p>
            <w:pPr>
              <w:spacing w:after="20"/>
              <w:jc w:val="right"/>
            </w:pPr>
            <w:r>
              <w:rPr>
                <w:color w:val="1C3A36"/>
                <w:sz w:val="16"/>
              </w:rPr>
              <w:t>495</w:t>
            </w:r>
          </w:p>
        </w:tc>
        <w:tc>
          <w:tcPr>
            <w:tcW w:type="dxa" w:w="997"/>
          </w:tcPr>
          <w:p>
            <w:pPr>
              <w:spacing w:after="20"/>
              <w:jc w:val="right"/>
            </w:pPr>
            <w:r>
              <w:rPr>
                <w:color w:val="1C3A36"/>
                <w:sz w:val="16"/>
              </w:rPr>
              <w:t>662</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6,498</w:t>
            </w:r>
          </w:p>
        </w:tc>
        <w:tc>
          <w:tcPr>
            <w:tcW w:type="dxa" w:w="997"/>
          </w:tcPr>
          <w:p>
            <w:pPr>
              <w:spacing w:after="20"/>
              <w:jc w:val="right"/>
            </w:pPr>
            <w:r>
              <w:rPr>
                <w:color w:val="1C3A36"/>
                <w:sz w:val="16"/>
              </w:rPr>
              <w:t>7,101</w:t>
            </w:r>
          </w:p>
        </w:tc>
        <w:tc>
          <w:tcPr>
            <w:tcW w:type="dxa" w:w="997"/>
          </w:tcPr>
          <w:p>
            <w:pPr>
              <w:spacing w:after="20"/>
              <w:jc w:val="right"/>
            </w:pPr>
            <w:r>
              <w:rPr>
                <w:color w:val="1C3A36"/>
                <w:sz w:val="16"/>
              </w:rPr>
              <w:t>7,731</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(1,691)</w:t>
            </w:r>
          </w:p>
        </w:tc>
        <w:tc>
          <w:tcPr>
            <w:tcW w:type="dxa" w:w="997"/>
          </w:tcPr>
          <w:p>
            <w:pPr>
              <w:spacing w:after="20"/>
              <w:jc w:val="right"/>
            </w:pPr>
            <w:r>
              <w:rPr>
                <w:color w:val="1C3A36"/>
                <w:sz w:val="16"/>
              </w:rPr>
              <w:t>(1,841)</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4,950</w:t>
            </w:r>
          </w:p>
        </w:tc>
        <w:tc>
          <w:tcPr>
            <w:tcW w:type="dxa" w:w="997"/>
            <w:shd w:val="clear" w:color="auto" w:fill="F6F1E6"/>
          </w:tcPr>
          <w:p>
            <w:pPr>
              <w:spacing w:after="20"/>
              <w:jc w:val="right"/>
            </w:pPr>
            <w:r>
              <w:rPr>
                <w:b/>
                <w:color w:val="1C3A36"/>
                <w:sz w:val="16"/>
              </w:rPr>
              <w:t>5,409</w:t>
            </w:r>
          </w:p>
        </w:tc>
        <w:tc>
          <w:tcPr>
            <w:tcW w:type="dxa" w:w="997"/>
            <w:shd w:val="clear" w:color="auto" w:fill="F6F1E6"/>
          </w:tcPr>
          <w:p>
            <w:pPr>
              <w:spacing w:after="20"/>
              <w:jc w:val="right"/>
            </w:pPr>
            <w:r>
              <w:rPr>
                <w:b/>
                <w:color w:val="1C3A36"/>
                <w:sz w:val="16"/>
              </w:rPr>
              <w:t>5,889</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12,644</w:t>
            </w:r>
          </w:p>
        </w:tc>
        <w:tc>
          <w:tcPr>
            <w:tcW w:type="dxa" w:w="997"/>
            <w:shd w:val="clear" w:color="auto" w:fill="F6F1E6"/>
          </w:tcPr>
          <w:p>
            <w:pPr>
              <w:spacing w:after="20"/>
              <w:jc w:val="right"/>
            </w:pPr>
            <w:r>
              <w:rPr>
                <w:b/>
                <w:color w:val="1C3A36"/>
                <w:sz w:val="16"/>
              </w:rPr>
              <w:t>15,046</w:t>
            </w:r>
          </w:p>
        </w:tc>
        <w:tc>
          <w:tcPr>
            <w:tcW w:type="dxa" w:w="997"/>
            <w:shd w:val="clear" w:color="auto" w:fill="F6F1E6"/>
          </w:tcPr>
          <w:p>
            <w:pPr>
              <w:spacing w:after="20"/>
              <w:jc w:val="right"/>
            </w:pPr>
            <w:r>
              <w:rPr>
                <w:b/>
                <w:color w:val="1C3A36"/>
                <w:sz w:val="16"/>
              </w:rPr>
              <w:t>17,661</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2,506</w:t>
            </w:r>
          </w:p>
        </w:tc>
        <w:tc>
          <w:tcPr>
            <w:tcW w:type="dxa" w:w="997"/>
          </w:tcPr>
          <w:p>
            <w:pPr>
              <w:spacing w:after="20"/>
              <w:jc w:val="right"/>
            </w:pPr>
            <w:r>
              <w:rPr>
                <w:color w:val="1C3A36"/>
                <w:sz w:val="16"/>
              </w:rPr>
              <w:t>3,709</w:t>
            </w:r>
          </w:p>
        </w:tc>
        <w:tc>
          <w:tcPr>
            <w:tcW w:type="dxa" w:w="997"/>
          </w:tcPr>
          <w:p>
            <w:pPr>
              <w:spacing w:after="20"/>
              <w:jc w:val="right"/>
            </w:pPr>
            <w:r>
              <w:rPr>
                <w:color w:val="1C3A36"/>
                <w:sz w:val="16"/>
              </w:rPr>
              <w:t>5,185</w:t>
            </w:r>
          </w:p>
        </w:tc>
        <w:tc>
          <w:tcPr>
            <w:tcW w:type="dxa" w:w="997"/>
          </w:tcPr>
          <w:p>
            <w:pPr>
              <w:spacing w:after="20"/>
              <w:jc w:val="right"/>
            </w:pPr>
            <w:r>
              <w:rPr>
                <w:color w:val="1C3A36"/>
                <w:sz w:val="16"/>
              </w:rPr>
              <w:t>6,913</w:t>
            </w:r>
          </w:p>
        </w:tc>
        <w:tc>
          <w:tcPr>
            <w:tcW w:type="dxa" w:w="997"/>
          </w:tcPr>
          <w:p>
            <w:pPr>
              <w:spacing w:after="20"/>
              <w:jc w:val="right"/>
            </w:pPr>
            <w:r>
              <w:rPr>
                <w:color w:val="1C3A36"/>
                <w:sz w:val="16"/>
              </w:rPr>
              <w:t>8,886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-1,371</w:t>
            </w:r>
          </w:p>
        </w:tc>
        <w:tc>
          <w:tcPr>
            <w:tcW w:type="dxa" w:w="997"/>
          </w:tcPr>
          <w:p>
            <w:pPr>
              <w:spacing w:after="20"/>
              <w:jc w:val="right"/>
            </w:pPr>
            <w:r>
              <w:rPr>
                <w:color w:val="1C3A36"/>
                <w:sz w:val="16"/>
              </w:rPr>
              <w:t>-2,574</w:t>
            </w:r>
          </w:p>
        </w:tc>
        <w:tc>
          <w:tcPr>
            <w:tcW w:type="dxa" w:w="997"/>
          </w:tcPr>
          <w:p>
            <w:pPr>
              <w:spacing w:after="20"/>
              <w:jc w:val="right"/>
            </w:pPr>
            <w:r>
              <w:rPr>
                <w:color w:val="1C3A36"/>
                <w:sz w:val="16"/>
              </w:rPr>
              <w:t>-4,050</w:t>
            </w:r>
          </w:p>
        </w:tc>
        <w:tc>
          <w:tcPr>
            <w:tcW w:type="dxa" w:w="997"/>
          </w:tcPr>
          <w:p>
            <w:pPr>
              <w:spacing w:after="20"/>
              <w:jc w:val="right"/>
            </w:pPr>
            <w:r>
              <w:rPr>
                <w:color w:val="1C3A36"/>
                <w:sz w:val="16"/>
              </w:rPr>
              <w:t>-5,778</w:t>
            </w:r>
          </w:p>
        </w:tc>
        <w:tc>
          <w:tcPr>
            <w:tcW w:type="dxa" w:w="997"/>
          </w:tcPr>
          <w:p>
            <w:pPr>
              <w:spacing w:after="20"/>
              <w:jc w:val="right"/>
            </w:pPr>
            <w:r>
              <w:rPr>
                <w:color w:val="1C3A36"/>
                <w:sz w:val="16"/>
              </w:rPr>
              <w:t>-7,751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13,520</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22.68</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4,950</w:t>
            </w:r>
          </w:p>
        </w:tc>
        <w:tc>
          <w:tcPr>
            <w:tcW w:type="dxa" w:w="1325"/>
          </w:tcPr>
          <w:p>
            <w:pPr>
              <w:spacing w:after="20"/>
              <w:jc w:val="right"/>
            </w:pPr>
            <w:r>
              <w:rPr>
                <w:color w:val="1C3A36"/>
                <w:sz w:val="17"/>
              </w:rPr>
              <w:t>5,409</w:t>
            </w:r>
          </w:p>
        </w:tc>
        <w:tc>
          <w:tcPr>
            <w:tcW w:type="dxa" w:w="1325"/>
          </w:tcPr>
          <w:p>
            <w:pPr>
              <w:spacing w:after="20"/>
              <w:jc w:val="right"/>
            </w:pPr>
            <w:r>
              <w:rPr>
                <w:color w:val="1C3A36"/>
                <w:sz w:val="17"/>
              </w:rPr>
              <w:t>5,889</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-2,752</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-3,274</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2,506</w:t>
            </w:r>
          </w:p>
        </w:tc>
        <w:tc>
          <w:tcPr>
            <w:tcW w:type="dxa" w:w="1325"/>
            <w:shd w:val="clear" w:color="auto" w:fill="F6F1E6"/>
          </w:tcPr>
          <w:p>
            <w:pPr>
              <w:spacing w:after="20"/>
              <w:jc w:val="right"/>
            </w:pPr>
            <w:r>
              <w:rPr>
                <w:b/>
                <w:color w:val="1C3A36"/>
                <w:sz w:val="17"/>
              </w:rPr>
              <w:t>3,709</w:t>
            </w:r>
          </w:p>
        </w:tc>
        <w:tc>
          <w:tcPr>
            <w:tcW w:type="dxa" w:w="1325"/>
            <w:shd w:val="clear" w:color="auto" w:fill="F6F1E6"/>
          </w:tcPr>
          <w:p>
            <w:pPr>
              <w:spacing w:after="20"/>
              <w:jc w:val="right"/>
            </w:pPr>
            <w:r>
              <w:rPr>
                <w:b/>
                <w:color w:val="1C3A36"/>
                <w:sz w:val="17"/>
              </w:rPr>
              <w:t>5,185</w:t>
            </w:r>
          </w:p>
        </w:tc>
        <w:tc>
          <w:tcPr>
            <w:tcW w:type="dxa" w:w="1325"/>
            <w:shd w:val="clear" w:color="auto" w:fill="F6F1E6"/>
          </w:tcPr>
          <w:p>
            <w:pPr>
              <w:spacing w:after="20"/>
              <w:jc w:val="right"/>
            </w:pPr>
            <w:r>
              <w:rPr>
                <w:b/>
                <w:color w:val="1C3A36"/>
                <w:sz w:val="17"/>
              </w:rPr>
              <w:t>6,913</w:t>
            </w:r>
          </w:p>
        </w:tc>
        <w:tc>
          <w:tcPr>
            <w:tcW w:type="dxa" w:w="1325"/>
            <w:shd w:val="clear" w:color="auto" w:fill="F6F1E6"/>
          </w:tcPr>
          <w:p>
            <w:pPr>
              <w:spacing w:after="20"/>
              <w:jc w:val="right"/>
            </w:pPr>
            <w:r>
              <w:rPr>
                <w:b/>
                <w:color w:val="1C3A36"/>
                <w:sz w:val="17"/>
              </w:rPr>
              <w:t>8,886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pPr>
        <w:spacing w:after="80" w:before="200"/>
      </w:pPr>
      <w:r>
        <w:rPr>
          <w:b/>
          <w:i w:val="0"/>
          <w:color w:val="1C3A36"/>
          <w:sz w:val="24"/>
        </w:rPr>
        <w:t>A.4  Years three to five as ranges — this company's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656"/>
        <w:gridCol w:w="1656"/>
        <w:gridCol w:w="1656"/>
      </w:tblGrid>
      <w:tr>
        <w:tc>
          <w:tcPr>
            <w:tcW w:type="dxa" w:w="3528"/>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FY2028E</w:t>
            </w:r>
          </w:p>
        </w:tc>
        <w:tc>
          <w:tcPr>
            <w:tcW w:type="dxa" w:w="1656"/>
            <w:shd w:val="clear" w:color="auto" w:fill="EAF0EE"/>
          </w:tcPr>
          <w:p>
            <w:pPr>
              <w:spacing w:after="20"/>
            </w:pPr>
            <w:r>
              <w:rPr>
                <w:b/>
                <w:color w:val="1C3A36"/>
                <w:sz w:val="16"/>
              </w:rPr>
              <w:t>FY2029E</w:t>
            </w:r>
          </w:p>
        </w:tc>
        <w:tc>
          <w:tcPr>
            <w:tcW w:type="dxa" w:w="1656"/>
            <w:shd w:val="clear" w:color="auto" w:fill="EAF0EE"/>
          </w:tcPr>
          <w:p>
            <w:pPr>
              <w:spacing w:after="20"/>
            </w:pPr>
            <w:r>
              <w:rPr>
                <w:b/>
                <w:color w:val="1C3A36"/>
                <w:sz w:val="16"/>
              </w:rPr>
              <w:t>FY2030E</w:t>
            </w:r>
          </w:p>
        </w:tc>
      </w:tr>
      <w:tr>
        <w:tc>
          <w:tcPr>
            <w:tcW w:type="dxa" w:w="3528"/>
          </w:tcPr>
          <w:p>
            <w:pPr>
              <w:spacing w:after="20"/>
            </w:pPr>
            <w:r>
              <w:rPr>
                <w:color w:val="1C3A36"/>
                <w:sz w:val="16"/>
              </w:rPr>
              <w:t>Revenue — point (EGP mn)</w:t>
            </w:r>
          </w:p>
        </w:tc>
        <w:tc>
          <w:tcPr>
            <w:tcW w:type="dxa" w:w="1656"/>
          </w:tcPr>
          <w:p>
            <w:pPr>
              <w:spacing w:after="20"/>
              <w:jc w:val="right"/>
            </w:pPr>
            <w:r>
              <w:rPr>
                <w:color w:val="1C3A36"/>
                <w:sz w:val="16"/>
              </w:rPr>
              <w:t>16,440</w:t>
            </w:r>
          </w:p>
        </w:tc>
        <w:tc>
          <w:tcPr>
            <w:tcW w:type="dxa" w:w="1656"/>
          </w:tcPr>
          <w:p>
            <w:pPr>
              <w:spacing w:after="20"/>
              <w:jc w:val="right"/>
            </w:pPr>
            <w:r>
              <w:rPr>
                <w:color w:val="1C3A36"/>
                <w:sz w:val="16"/>
              </w:rPr>
              <w:t>17,688</w:t>
            </w:r>
          </w:p>
        </w:tc>
        <w:tc>
          <w:tcPr>
            <w:tcW w:type="dxa" w:w="1656"/>
          </w:tcPr>
          <w:p>
            <w:pPr>
              <w:spacing w:after="20"/>
              <w:jc w:val="right"/>
            </w:pPr>
            <w:r>
              <w:rPr>
                <w:color w:val="1C3A36"/>
                <w:sz w:val="16"/>
              </w:rPr>
              <w:t>18,934</w:t>
            </w:r>
          </w:p>
        </w:tc>
      </w:tr>
      <w:tr>
        <w:tc>
          <w:tcPr>
            <w:tcW w:type="dxa" w:w="3528"/>
          </w:tcPr>
          <w:p>
            <w:pPr>
              <w:spacing w:after="20"/>
            </w:pPr>
            <w:r>
              <w:rPr>
                <w:color w:val="1C3A36"/>
                <w:sz w:val="16"/>
              </w:rPr>
              <w:t>Revenue — low of the range</w:t>
            </w:r>
          </w:p>
        </w:tc>
        <w:tc>
          <w:tcPr>
            <w:tcW w:type="dxa" w:w="1656"/>
          </w:tcPr>
          <w:p>
            <w:pPr>
              <w:spacing w:after="20"/>
              <w:jc w:val="right"/>
            </w:pPr>
            <w:r>
              <w:rPr>
                <w:color w:val="1C3A36"/>
                <w:sz w:val="16"/>
              </w:rPr>
              <w:t>8,062</w:t>
            </w:r>
          </w:p>
        </w:tc>
        <w:tc>
          <w:tcPr>
            <w:tcW w:type="dxa" w:w="1656"/>
          </w:tcPr>
          <w:p>
            <w:pPr>
              <w:spacing w:after="20"/>
              <w:jc w:val="right"/>
            </w:pPr>
            <w:r>
              <w:rPr>
                <w:color w:val="1C3A36"/>
                <w:sz w:val="16"/>
              </w:rPr>
              <w:t>14,344</w:t>
            </w:r>
          </w:p>
        </w:tc>
        <w:tc>
          <w:tcPr>
            <w:tcW w:type="dxa" w:w="1656"/>
          </w:tcPr>
          <w:p>
            <w:pPr>
              <w:spacing w:after="20"/>
              <w:jc w:val="right"/>
            </w:pPr>
            <w:r>
              <w:rPr>
                <w:color w:val="1C3A36"/>
                <w:sz w:val="16"/>
              </w:rPr>
              <w:t>17,168</w:t>
            </w:r>
          </w:p>
        </w:tc>
      </w:tr>
      <w:tr>
        <w:tc>
          <w:tcPr>
            <w:tcW w:type="dxa" w:w="3528"/>
          </w:tcPr>
          <w:p>
            <w:pPr>
              <w:spacing w:after="20"/>
            </w:pPr>
            <w:r>
              <w:rPr>
                <w:color w:val="1C3A36"/>
                <w:sz w:val="16"/>
              </w:rPr>
              <w:t>Revenue — high of the range</w:t>
            </w:r>
          </w:p>
        </w:tc>
        <w:tc>
          <w:tcPr>
            <w:tcW w:type="dxa" w:w="1656"/>
          </w:tcPr>
          <w:p>
            <w:pPr>
              <w:spacing w:after="20"/>
              <w:jc w:val="right"/>
            </w:pPr>
            <w:r>
              <w:rPr>
                <w:color w:val="1C3A36"/>
                <w:sz w:val="16"/>
              </w:rPr>
              <w:t>49,203</w:t>
            </w:r>
          </w:p>
        </w:tc>
        <w:tc>
          <w:tcPr>
            <w:tcW w:type="dxa" w:w="1656"/>
          </w:tcPr>
          <w:p>
            <w:pPr>
              <w:spacing w:after="20"/>
              <w:jc w:val="right"/>
            </w:pPr>
            <w:r>
              <w:rPr>
                <w:color w:val="1C3A36"/>
                <w:sz w:val="16"/>
              </w:rPr>
              <w:t>71,149</w:t>
            </w:r>
          </w:p>
        </w:tc>
        <w:tc>
          <w:tcPr>
            <w:tcW w:type="dxa" w:w="1656"/>
          </w:tcPr>
          <w:p>
            <w:pPr>
              <w:spacing w:after="20"/>
              <w:jc w:val="right"/>
            </w:pPr>
            <w:r>
              <w:rPr>
                <w:color w:val="1C3A36"/>
                <w:sz w:val="16"/>
              </w:rPr>
              <w:t>71,453</w:t>
            </w:r>
          </w:p>
        </w:tc>
      </w:tr>
      <w:tr>
        <w:tc>
          <w:tcPr>
            <w:tcW w:type="dxa" w:w="3528"/>
            <w:shd w:val="clear" w:color="auto" w:fill="F6F1E6"/>
          </w:tcPr>
          <w:p>
            <w:pPr>
              <w:spacing w:after="20"/>
            </w:pPr>
            <w:r>
              <w:rPr>
                <w:b/>
                <w:color w:val="1C3A36"/>
                <w:sz w:val="16"/>
              </w:rPr>
              <w:t>Cement and clinker sold — point (mn t)</w:t>
            </w:r>
          </w:p>
        </w:tc>
        <w:tc>
          <w:tcPr>
            <w:tcW w:type="dxa" w:w="1656"/>
            <w:shd w:val="clear" w:color="auto" w:fill="F6F1E6"/>
          </w:tcPr>
          <w:p>
            <w:pPr>
              <w:spacing w:after="20"/>
              <w:jc w:val="right"/>
            </w:pPr>
            <w:r>
              <w:rPr>
                <w:b/>
                <w:color w:val="1C3A36"/>
                <w:sz w:val="16"/>
              </w:rPr>
              <w:t>4.89</w:t>
            </w:r>
          </w:p>
        </w:tc>
        <w:tc>
          <w:tcPr>
            <w:tcW w:type="dxa" w:w="1656"/>
            <w:shd w:val="clear" w:color="auto" w:fill="F6F1E6"/>
          </w:tcPr>
          <w:p>
            <w:pPr>
              <w:spacing w:after="20"/>
              <w:jc w:val="right"/>
            </w:pPr>
            <w:r>
              <w:rPr>
                <w:b/>
                <w:color w:val="1C3A36"/>
                <w:sz w:val="16"/>
              </w:rPr>
              <w:t>4.91</w:t>
            </w:r>
          </w:p>
        </w:tc>
        <w:tc>
          <w:tcPr>
            <w:tcW w:type="dxa" w:w="1656"/>
            <w:shd w:val="clear" w:color="auto" w:fill="F6F1E6"/>
          </w:tcPr>
          <w:p>
            <w:pPr>
              <w:spacing w:after="20"/>
              <w:jc w:val="right"/>
            </w:pPr>
            <w:r>
              <w:rPr>
                <w:b/>
                <w:color w:val="1C3A36"/>
                <w:sz w:val="16"/>
              </w:rPr>
              <w:t>4.93</w:t>
            </w:r>
          </w:p>
        </w:tc>
      </w:tr>
      <w:tr>
        <w:tc>
          <w:tcPr>
            <w:tcW w:type="dxa" w:w="3528"/>
          </w:tcPr>
          <w:p>
            <w:pPr>
              <w:spacing w:after="20"/>
            </w:pPr>
            <w:r>
              <w:rPr>
                <w:color w:val="1C3A36"/>
                <w:sz w:val="16"/>
              </w:rPr>
              <w:t>Volume — low of the range</w:t>
            </w:r>
          </w:p>
        </w:tc>
        <w:tc>
          <w:tcPr>
            <w:tcW w:type="dxa" w:w="1656"/>
          </w:tcPr>
          <w:p>
            <w:pPr>
              <w:spacing w:after="20"/>
              <w:jc w:val="right"/>
            </w:pPr>
            <w:r>
              <w:rPr>
                <w:color w:val="1C3A36"/>
                <w:sz w:val="16"/>
              </w:rPr>
              <w:t>3.35</w:t>
            </w:r>
          </w:p>
        </w:tc>
        <w:tc>
          <w:tcPr>
            <w:tcW w:type="dxa" w:w="1656"/>
          </w:tcPr>
          <w:p>
            <w:pPr>
              <w:spacing w:after="20"/>
              <w:jc w:val="right"/>
            </w:pPr>
            <w:r>
              <w:rPr>
                <w:color w:val="1C3A36"/>
                <w:sz w:val="16"/>
              </w:rPr>
              <w:t>4.44</w:t>
            </w:r>
          </w:p>
        </w:tc>
        <w:tc>
          <w:tcPr>
            <w:tcW w:type="dxa" w:w="1656"/>
          </w:tcPr>
          <w:p>
            <w:pPr>
              <w:spacing w:after="20"/>
              <w:jc w:val="right"/>
            </w:pPr>
            <w:r>
              <w:rPr>
                <w:color w:val="1C3A36"/>
                <w:sz w:val="16"/>
              </w:rPr>
              <w:t>4.45</w:t>
            </w:r>
          </w:p>
        </w:tc>
      </w:tr>
      <w:tr>
        <w:tc>
          <w:tcPr>
            <w:tcW w:type="dxa" w:w="3528"/>
          </w:tcPr>
          <w:p>
            <w:pPr>
              <w:spacing w:after="20"/>
            </w:pPr>
            <w:r>
              <w:rPr>
                <w:color w:val="1C3A36"/>
                <w:sz w:val="16"/>
              </w:rPr>
              <w:t>Volume — high of the range</w:t>
            </w:r>
          </w:p>
        </w:tc>
        <w:tc>
          <w:tcPr>
            <w:tcW w:type="dxa" w:w="1656"/>
          </w:tcPr>
          <w:p>
            <w:pPr>
              <w:spacing w:after="20"/>
              <w:jc w:val="right"/>
            </w:pPr>
            <w:r>
              <w:rPr>
                <w:color w:val="1C3A36"/>
                <w:sz w:val="16"/>
              </w:rPr>
              <w:t>7.41</w:t>
            </w:r>
          </w:p>
        </w:tc>
        <w:tc>
          <w:tcPr>
            <w:tcW w:type="dxa" w:w="1656"/>
          </w:tcPr>
          <w:p>
            <w:pPr>
              <w:spacing w:after="20"/>
              <w:jc w:val="right"/>
            </w:pPr>
            <w:r>
              <w:rPr>
                <w:color w:val="1C3A36"/>
                <w:sz w:val="16"/>
              </w:rPr>
              <w:t>7.06</w:t>
            </w:r>
          </w:p>
        </w:tc>
        <w:tc>
          <w:tcPr>
            <w:tcW w:type="dxa" w:w="1656"/>
          </w:tcPr>
          <w:p>
            <w:pPr>
              <w:spacing w:after="20"/>
              <w:jc w:val="right"/>
            </w:pPr>
            <w:r>
              <w:rPr>
                <w:color w:val="1C3A36"/>
                <w:sz w:val="16"/>
              </w:rPr>
              <w:t>5.45</w:t>
            </w:r>
          </w:p>
        </w:tc>
      </w:tr>
      <w:tr>
        <w:tc>
          <w:tcPr>
            <w:tcW w:type="dxa" w:w="3528"/>
            <w:shd w:val="clear" w:color="auto" w:fill="F6F1E6"/>
          </w:tcPr>
          <w:p>
            <w:pPr>
              <w:spacing w:after="20"/>
            </w:pPr>
            <w:r>
              <w:rPr>
                <w:b/>
                <w:color w:val="1C3A36"/>
                <w:sz w:val="16"/>
              </w:rPr>
              <w:t>Profit before tax — point (EGP mn)</w:t>
            </w:r>
          </w:p>
        </w:tc>
        <w:tc>
          <w:tcPr>
            <w:tcW w:type="dxa" w:w="1656"/>
            <w:shd w:val="clear" w:color="auto" w:fill="F6F1E6"/>
          </w:tcPr>
          <w:p>
            <w:pPr>
              <w:spacing w:after="20"/>
              <w:jc w:val="right"/>
            </w:pPr>
            <w:r>
              <w:rPr>
                <w:b/>
                <w:color w:val="1C3A36"/>
                <w:sz w:val="16"/>
              </w:rPr>
              <w:t>6,498</w:t>
            </w:r>
          </w:p>
        </w:tc>
        <w:tc>
          <w:tcPr>
            <w:tcW w:type="dxa" w:w="1656"/>
            <w:shd w:val="clear" w:color="auto" w:fill="F6F1E6"/>
          </w:tcPr>
          <w:p>
            <w:pPr>
              <w:spacing w:after="20"/>
              <w:jc w:val="right"/>
            </w:pPr>
            <w:r>
              <w:rPr>
                <w:b/>
                <w:color w:val="1C3A36"/>
                <w:sz w:val="16"/>
              </w:rPr>
              <w:t>7,101</w:t>
            </w:r>
          </w:p>
        </w:tc>
        <w:tc>
          <w:tcPr>
            <w:tcW w:type="dxa" w:w="1656"/>
            <w:shd w:val="clear" w:color="auto" w:fill="F6F1E6"/>
          </w:tcPr>
          <w:p>
            <w:pPr>
              <w:spacing w:after="20"/>
              <w:jc w:val="right"/>
            </w:pPr>
            <w:r>
              <w:rPr>
                <w:b/>
                <w:color w:val="1C3A36"/>
                <w:sz w:val="16"/>
              </w:rPr>
              <w:t>7,731</w:t>
            </w:r>
          </w:p>
        </w:tc>
      </w:tr>
      <w:tr>
        <w:tc>
          <w:tcPr>
            <w:tcW w:type="dxa" w:w="3528"/>
          </w:tcPr>
          <w:p>
            <w:pPr>
              <w:spacing w:after="20"/>
            </w:pPr>
            <w:r>
              <w:rPr>
                <w:color w:val="1C3A36"/>
                <w:sz w:val="16"/>
              </w:rPr>
              <w:t>Profit before tax — low of the range</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2,641</w:t>
            </w:r>
          </w:p>
        </w:tc>
        <w:tc>
          <w:tcPr>
            <w:tcW w:type="dxa" w:w="1656"/>
          </w:tcPr>
          <w:p>
            <w:pPr>
              <w:spacing w:after="20"/>
              <w:jc w:val="right"/>
            </w:pPr>
            <w:r>
              <w:rPr>
                <w:color w:val="1C3A36"/>
                <w:sz w:val="16"/>
              </w:rPr>
              <w:t>3,925</w:t>
            </w:r>
          </w:p>
        </w:tc>
      </w:tr>
      <w:tr>
        <w:tc>
          <w:tcPr>
            <w:tcW w:type="dxa" w:w="3528"/>
          </w:tcPr>
          <w:p>
            <w:pPr>
              <w:spacing w:after="20"/>
            </w:pPr>
            <w:r>
              <w:rPr>
                <w:color w:val="1C3A36"/>
                <w:sz w:val="16"/>
              </w:rPr>
              <w:t>Profit before tax — high of the range</w:t>
            </w:r>
          </w:p>
        </w:tc>
        <w:tc>
          <w:tcPr>
            <w:tcW w:type="dxa" w:w="1656"/>
          </w:tcPr>
          <w:p>
            <w:pPr>
              <w:spacing w:after="20"/>
              <w:jc w:val="right"/>
            </w:pPr>
            <w:r>
              <w:rPr>
                <w:color w:val="1C3A36"/>
                <w:sz w:val="16"/>
              </w:rPr>
              <w:t>42,128</w:t>
            </w:r>
          </w:p>
        </w:tc>
        <w:tc>
          <w:tcPr>
            <w:tcW w:type="dxa" w:w="1656"/>
          </w:tcPr>
          <w:p>
            <w:pPr>
              <w:spacing w:after="20"/>
              <w:jc w:val="right"/>
            </w:pPr>
            <w:r>
              <w:rPr>
                <w:color w:val="1C3A36"/>
                <w:sz w:val="16"/>
              </w:rPr>
              <w:t>268,271</w:t>
            </w:r>
          </w:p>
        </w:tc>
        <w:tc>
          <w:tcPr>
            <w:tcW w:type="dxa" w:w="1656"/>
          </w:tcPr>
          <w:p>
            <w:pPr>
              <w:spacing w:after="20"/>
              <w:jc w:val="right"/>
            </w:pPr>
            <w:r>
              <w:rPr>
                <w:color w:val="1C3A36"/>
                <w:sz w:val="16"/>
              </w:rPr>
              <w:t>360,783</w:t>
            </w:r>
          </w:p>
        </w:tc>
      </w:tr>
      <w:tr>
        <w:tc>
          <w:tcPr>
            <w:tcW w:type="dxa" w:w="3528"/>
          </w:tcPr>
          <w:p>
            <w:pPr>
              <w:spacing w:after="20"/>
            </w:pPr>
            <w:r>
              <w:rPr>
                <w:color w:val="1C3A36"/>
                <w:sz w:val="16"/>
              </w:rPr>
              <w:t>Tested cases behind each band</w:t>
            </w:r>
          </w:p>
        </w:tc>
        <w:tc>
          <w:tcPr>
            <w:tcW w:type="dxa" w:w="1656"/>
          </w:tcPr>
          <w:p>
            <w:pPr>
              <w:spacing w:after="20"/>
              <w:jc w:val="right"/>
            </w:pPr>
            <w:r>
              <w:rPr>
                <w:color w:val="1C3A36"/>
                <w:sz w:val="16"/>
              </w:rPr>
              <w:t>5</w:t>
            </w:r>
          </w:p>
        </w:tc>
        <w:tc>
          <w:tcPr>
            <w:tcW w:type="dxa" w:w="1656"/>
          </w:tcPr>
          <w:p>
            <w:pPr>
              <w:spacing w:after="20"/>
              <w:jc w:val="right"/>
            </w:pPr>
            <w:r>
              <w:rPr>
                <w:color w:val="1C3A36"/>
                <w:sz w:val="16"/>
              </w:rPr>
              <w:t>4</w:t>
            </w:r>
          </w:p>
        </w:tc>
        <w:tc>
          <w:tcPr>
            <w:tcW w:type="dxa" w:w="1656"/>
          </w:tcPr>
          <w:p>
            <w:pPr>
              <w:spacing w:after="20"/>
              <w:jc w:val="right"/>
            </w:pPr>
            <w:r>
              <w:rPr>
                <w:color w:val="1C3A36"/>
                <w:sz w:val="16"/>
              </w:rPr>
              <w:t>3</w:t>
            </w:r>
          </w:p>
        </w:tc>
      </w:tr>
    </w:tbl>
    <w:p>
      <w:pPr>
        <w:spacing w:after="40"/>
      </w:pPr>
    </w:p>
    <w:p>
      <w:pPr>
        <w:spacing w:after="200" w:before="0"/>
      </w:pPr>
      <w:r>
        <w:rPr>
          <w:b w:val="0"/>
          <w:i/>
          <w:color w:val="6E7B77"/>
          <w:sz w:val="17"/>
        </w:rPr>
        <w:t>Table A4 — the multipliers come from rebuilding this company's forecast as it would have stood at each of 8 past year-ends, projecting one to five years ahead under the same rules, and scoring every projection against what was later reported: 25 tested cases over FY2014-FY2025. The bands are the spread of those misses at three, four and five years out, applied to this forecast's own path.</w:t>
      </w:r>
    </w:p>
    <w:p>
      <w:pPr>
        <w:spacing w:after="120" w:before="0"/>
      </w:pPr>
      <w:r>
        <w:rPr>
          <w:b w:val="0"/>
          <w:i w:val="0"/>
          <w:color w:val="1C3A36"/>
          <w:sz w:val="21"/>
        </w:rPr>
        <w:t>THE TONNES WERE FORECAST FAR BETTER THAN THE MONEY, and that is the most useful thing this test says about the forecast above. Three years out, the volume band runs 0.68 to 1.52 times the point, while revenue runs 0.49 to 2.99 times and profit before tax 0.05 to 6.48 times. The physical business — kilns, mills, tonnes sold — was largely knowable in advance. What was not knowable was the price those tonnes fetched and the cost of making them, in a currency that was devalued twice inside the tested window. The width on profit is a measurement of Egyptian inflation and the exchange rate, not of this plant.</w:t>
      </w:r>
    </w:p>
    <w:p>
      <w:pPr>
        <w:spacing w:after="120" w:before="0"/>
      </w:pPr>
      <w:r>
        <w:rPr>
          <w:b w:val="0"/>
          <w:i w:val="0"/>
          <w:color w:val="1C3A36"/>
          <w:sz w:val="21"/>
        </w:rPr>
        <w:t>The band is wide because the record is short and the period was violent, and it narrows on volume for the same reason it widens on profit. It is published rather than smoothed: a far year of any projection of this company supports a range and never a point, and the reader is entitled to the width the method actually earned rather than to a single figure carried to the decimal. The counts in the last row fall from 5 to 3 across the three years, because a five-year-ahead test needs five more years of history than a one-year-ahead test, and those are the cases the record actually holds.</w:t>
      </w:r>
    </w:p>
    <w:p>
      <w:pPr>
        <w:spacing w:after="120" w:before="0"/>
      </w:pPr>
      <w:r>
        <w:rPr>
          <w:b w:val="0"/>
          <w:i w:val="0"/>
          <w:color w:val="1C3A36"/>
          <w:sz w:val="21"/>
        </w:rPr>
        <w:t>One correction was adopted out of 12 candidates — manufacturing depreciation, at a factor of 1.0298 — and 11 others were recorded as watch flags and acted on by nobody. A correction is adopted only where the bias holds its sign across the record and the model is otherwise right; where the model itself is wrong, a multiplier would hide it rather than fix 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cement nameplate capacity. The company's own market page splits FY2025 sales three ways, and the split is what this balance turns on: domestic cement 54.0Mt, exported cement 11.1Mt, exported clinker 7.6Mt, total 72.6Mt. The three add to the disclosed total exactly, and the export line adds to the disclosed export total exactly, which is what makes either ratio below safe to publish.</w:t>
      </w:r>
    </w:p>
    <w:p>
      <w:pPr>
        <w:spacing w:after="120" w:before="0"/>
      </w:pPr>
      <w:r>
        <w:rPr>
          <w:b w:val="0"/>
          <w:i w:val="0"/>
          <w:color w:val="1C3A36"/>
          <w:sz w:val="21"/>
        </w:rPr>
        <w:t>TWO RATIOS COME OUT OF THAT PAGE AND ONLY ONE OF THEM MEANS ANYTHING. Cement sold — domestic plus export, 65.1Mt — against cement nameplate is 85.6%. All product sold, 72.6Mt, against the same cement nameplate is 95.6%. The second is the one earlier editions of this study printed, and it is not a measure of anything: clinker leaves at the kiln and never enters a cement mill, so a tonne exported as clinker consumes no grinding capacity and does not belong in the numerator. That is the SAME mismatch this study identified in the editions before it — a cement-plus-clinker figure against a cement-only one — committed again in the other direction, and the 65.1Mt discarded then as a failed balance was the correct cement-basis number all along.</w:t>
      </w:r>
    </w:p>
    <w:p>
      <w:pPr>
        <w:spacing w:after="120" w:before="0"/>
      </w:pPr>
      <w:r>
        <w:rPr>
          <w:b w:val="0"/>
          <w:i w:val="0"/>
          <w:color w:val="1C3A36"/>
          <w:sz w:val="21"/>
        </w:rPr>
        <w:t>ON THE MEASURE THAT MEANS SOMETHING, the market is running with about 10.9Mt of cement capacity idle — roughly a sixth of nameplate. That is neither the structurally slack market the first editions of this study described nor the tight one the last edition described. The 12.6Mt restart programme would take idle capacity to about 23.5Mt before any new demand appears, and the production quota abolished in May 2025 removed the mechanism that had been supporting price into a surplus. The forecast price path does not depend on which of these two numbers is right — its first-year step is a filed quarterly realisation and every later year holds flat in real terms — but the comfort around it does, and this is where a reader who wants to press on the price path should press.</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it is LARGER than the edition before this one said, because that edition measured the market wrongly. On matched denominators Egypt sold 65.1Mt of cement against roughly 76Mt of cement nameplate — 86%, about 10.9Mt idle — where the previous edition printed 96% by counting exported clinker against grinding capacity it never touched. So the surplus is CURRENT as well as prospective. On top of it sit two further legs: the 12.6Mt restart programme, and a production quota SUSPENDED rather than repealed, which could return without legislation. Against that, this company realised a 60.7% rise in its local price in FY2025 and exited the year 7.2% above its own annual average, which is the evidence the first forecast year rests on — a filed number rather than a view about how tight the market is. Every year after it holds flat in real terms.</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56.96 to EGP 75.34, central EGP 64.84 (-15.8%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4133mn; required at a 17.5% cash return that is a business worth EGP 23619mn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56.96.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56.96</w:t>
            </w:r>
          </w:p>
        </w:tc>
        <w:tc>
          <w:tcPr>
            <w:tcW w:type="dxa" w:w="1656"/>
          </w:tcPr>
          <w:p>
            <w:pPr>
              <w:spacing w:after="20"/>
              <w:jc w:val="right"/>
            </w:pPr>
            <w:r>
              <w:rPr>
                <w:color w:val="1C3A36"/>
                <w:sz w:val="18"/>
              </w:rPr>
              <w:t>64.84</w:t>
            </w:r>
          </w:p>
        </w:tc>
        <w:tc>
          <w:tcPr>
            <w:tcW w:type="dxa" w:w="1469"/>
          </w:tcPr>
          <w:p>
            <w:pPr>
              <w:spacing w:after="20"/>
              <w:jc w:val="right"/>
            </w:pPr>
            <w:r>
              <w:rPr>
                <w:color w:val="1C3A36"/>
                <w:sz w:val="18"/>
              </w:rPr>
              <w:t>75.34</w:t>
            </w:r>
          </w:p>
        </w:tc>
        <w:tc>
          <w:tcPr>
            <w:tcW w:type="dxa" w:w="1354"/>
          </w:tcPr>
          <w:p>
            <w:pPr>
              <w:spacing w:after="20"/>
              <w:jc w:val="right"/>
            </w:pPr>
            <w:r>
              <w:rPr>
                <w:color w:val="1C3A36"/>
                <w:sz w:val="18"/>
              </w:rPr>
              <w:t>-15.8%</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64.84</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-15.8%</w:t>
            </w:r>
          </w:p>
        </w:tc>
      </w:tr>
    </w:tbl>
    <w:p>
      <w:pPr>
        <w:spacing w:after="40"/>
      </w:pPr>
    </w:p>
    <w:p>
      <w:pPr>
        <w:spacing w:after="200" w:before="0"/>
      </w:pPr>
      <w:r>
        <w:rPr>
          <w:b w:val="0"/>
          <w:i/>
          <w:color w:val="6E7B77"/>
          <w:sz w:val="17"/>
        </w:rPr>
        <w:t>Table C1 — The panel. The median of the three, EGP 64.84, sits -16.0% from this study's own central of EGP 77.18 and -15.8%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77.18,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88.96 against EGP 77.18 — +15.3%. The study's largest is terminal useful life at +22.5%.</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11.73% against a terminal cost of capital of 16.74% — short of it by 501 basis points — so moving terminal growth from 3% to 7% takes the value from EGP 77.65 DOWN to EGP 77.18, -0.6%, about 0.12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64.84 against a market price of EGP 77.00 — -15.8%. All three sit below the price, and so does the study's own central of EGP 77.18.</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0.73</w:t>
            </w:r>
          </w:p>
        </w:tc>
        <w:tc>
          <w:tcPr>
            <w:tcW w:type="dxa" w:w="936"/>
          </w:tcPr>
          <w:p>
            <w:pPr>
              <w:spacing w:after="20"/>
              <w:jc w:val="right"/>
            </w:pPr>
            <w:r>
              <w:rPr>
                <w:color w:val="1C3A36"/>
                <w:sz w:val="16"/>
              </w:rPr>
              <w:t>1.1%</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15.20</w:t>
            </w:r>
          </w:p>
        </w:tc>
        <w:tc>
          <w:tcPr>
            <w:tcW w:type="dxa" w:w="936"/>
          </w:tcPr>
          <w:p>
            <w:pPr>
              <w:spacing w:after="20"/>
              <w:jc w:val="right"/>
            </w:pPr>
            <w:r>
              <w:rPr>
                <w:color w:val="1C3A36"/>
                <w:sz w:val="16"/>
              </w:rPr>
              <w:t>30.6%</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-12.34</w:t>
            </w:r>
          </w:p>
        </w:tc>
        <w:tc>
          <w:tcPr>
            <w:tcW w:type="dxa" w:w="936"/>
          </w:tcPr>
          <w:p>
            <w:pPr>
              <w:spacing w:after="20"/>
              <w:jc w:val="right"/>
            </w:pPr>
            <w:r>
              <w:rPr>
                <w:color w:val="1C3A36"/>
                <w:sz w:val="16"/>
              </w:rPr>
              <w:t>16.0%</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