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10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262</w:t>
            </w:r>
          </w:p>
        </w:tc>
      </w:tr>
      <w:tr>
        <w:tc>
          <w:tcPr>
            <w:tcW w:type="dxa" w:w="6236"/>
          </w:tcPr>
          <w:p>
            <w:r/>
            <w:r>
              <w:rPr>
                <w:color w:val="1A1D21"/>
                <w:sz w:val="18"/>
              </w:rPr>
              <w:t>Bind on a class of company (CLASS)</w:t>
            </w:r>
          </w:p>
        </w:tc>
        <w:tc>
          <w:tcPr>
            <w:tcW w:type="dxa" w:w="2721"/>
          </w:tcPr>
          <w:p>
            <w:r/>
            <w:r>
              <w:rPr>
                <w:color w:val="1A1D21"/>
                <w:sz w:val="18"/>
              </w:rPr>
              <w:t>33</w:t>
            </w:r>
          </w:p>
        </w:tc>
      </w:tr>
      <w:tr>
        <w:tc>
          <w:tcPr>
            <w:tcW w:type="dxa" w:w="6236"/>
          </w:tcPr>
          <w:p>
            <w:r/>
            <w:r>
              <w:rPr>
                <w:color w:val="1A1D21"/>
                <w:sz w:val="18"/>
              </w:rPr>
              <w:t>Bind on a single company (STOCK)</w:t>
            </w:r>
          </w:p>
        </w:tc>
        <w:tc>
          <w:tcPr>
            <w:tcW w:type="dxa" w:w="2721"/>
          </w:tcPr>
          <w:p>
            <w:r/>
            <w:r>
              <w:rPr>
                <w:color w:val="1A1D21"/>
                <w:sz w:val="18"/>
              </w:rPr>
              <w:t>10</w:t>
            </w:r>
          </w:p>
        </w:tc>
      </w:tr>
      <w:tr>
        <w:tc>
          <w:tcPr>
            <w:tcW w:type="dxa" w:w="6236"/>
          </w:tcPr>
          <w:p>
            <w:r/>
            <w:r>
              <w:rPr>
                <w:color w:val="1A1D21"/>
                <w:sz w:val="18"/>
              </w:rPr>
              <w:t>Total</w:t>
            </w:r>
          </w:p>
        </w:tc>
        <w:tc>
          <w:tcPr>
            <w:tcW w:type="dxa" w:w="2721"/>
          </w:tcPr>
          <w:p>
            <w:r/>
            <w:r>
              <w:rPr>
                <w:color w:val="1A1D21"/>
                <w:sz w:val="18"/>
              </w:rPr>
              <w:t>305</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69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194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12 (ABUK, ADIB,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ABUK and ADIB and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(71):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L-370 — D11 depreciation forecasts run about 2.5 times too low for SWDY; L-371 — D15 finance costs forecasts run about 2.4 times too low for SWDY; L-372 — D1 cable volume t forecasts run about 28% too high for SWDY; L-373 — D5 contracting revenue forecasts run about 39% too low for SWDY; L-374 — The A gross profit error is the company, not the currency; L-375 — The A cost of revenue bias changes direction between regimes; L-379 — The method under-forecasts nominal revenue wherever a currency steps; L-381 — Test whether the macro path explains an error before assuming it does; L-382 — A driver defined as another driver's denominator is not independent evidence about either; L-383 — Fin customers forecasts run about 37% too low for ADIB; L-384 — The ecl bias changes direction between regimes; L-385 — For a bank, the cost of funds is divided by the deposits — the industrial rule says exclude them and it inverts; L-386 — Apply every rate to the AVERAGE balance, never the closing one. On anything growing fast the closing base inflates every projected profit.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L-370  D11 depreciation forecasts run about 2.5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-0.931 log (about 2.5 times too low), average miss 0.931, wrong in the same direction in 100% of cases, and the sign holds across every bootstrap block tested (n=30).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L-371  D15 finance costs forecasts run about 2.4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-0.880 log (about 2.4 times too low), average miss 0.919, wrong in the same direction in 91%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L-374  The A gross profit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0.556 as known, 0.497 with perfect foresight of inflation — an 11% improvement — while the BIAS moves the other way, macro share -61.7%. CORRECTED 08-09-2026: this clause read '0.563 as known, 0.563 with perfect foresight' beside that same -61.7%, which is self-contradictory on its face and was one number printed twice — that run's harvest view filled both fields from the as-known error, so every draft it produced asserted the strongest possible form of this claim by a copy rather than by a measurement. The finding survives the correction and the evidence for it is weaker than it looked.</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L-375  The A cost of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pre-float +0.026; first float -0.024; second float -0.460.</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L-379  The method under-forecasts nominal revenue wherever a currency steps.</w:t>
      </w:r>
    </w:p>
    <w:p>
      <w:pPr>
        <w:keepNext/>
        <w:spacing w:after="100"/>
      </w:pPr>
      <w:r>
        <w:rPr>
          <w:b/>
          <w:color w:val="1D6FA3"/>
          <w:sz w:val="16"/>
        </w:rPr>
        <w:t>EVERY STUDY</w:t>
      </w:r>
      <w:r>
        <w:rPr>
          <w:color w:val="5B6570"/>
          <w:sz w:val="16"/>
        </w:rPr>
        <w:t xml:space="preserve">   applies to every study   ·   learned from a fundamental walk-forward test, ABUK walk-forward, date not recorded</w:t>
      </w:r>
      <w:r>
        <w:rPr>
          <w:b/>
          <w:color w:val="B03A2E"/>
          <w:sz w:val="16"/>
        </w:rPr>
        <w:t xml:space="preserve">   ·   STATUS: PROVISIONAL</w:t>
      </w:r>
    </w:p>
    <w:p>
      <w:pPr>
        <w:spacing w:after="100"/>
      </w:pPr>
      <w:r>
        <w:rPr>
          <w:b w:val="0"/>
          <w:i w:val="0"/>
          <w:color w:val="1A1D21"/>
          <w:sz w:val="21"/>
        </w:rPr>
        <w:t>Every origin holds the exchange rate flat because that is all that is knowable then. In a stepping currency that is a systematic downward lean on every nominal line, and it compounds with the horizon. Read any nominal forecast in such a market as a floor rather than a central until the currency leg is carried explicitly.</w:t>
      </w:r>
    </w:p>
    <w:p>
      <w:pPr>
        <w:spacing w:after="60"/>
        <w:ind w:left="283"/>
      </w:pPr>
      <w:r>
        <w:rPr>
          <w:b w:val="0"/>
          <w:i w:val="0"/>
          <w:color w:val="5B6570"/>
          <w:sz w:val="19"/>
        </w:rPr>
        <w:t>How we know.  Bias -0.469 log (about 60% too low), average miss 0.497, wrong in the same direction in 85% of cases, and the sign holds across every bootstrap block tested (n=20).</w:t>
      </w:r>
    </w:p>
    <w:p>
      <w:pPr>
        <w:spacing w:after="160"/>
        <w:ind w:left="283"/>
      </w:pPr>
      <w:r>
        <w:rPr>
          <w:b w:val="0"/>
          <w:i w:val="0"/>
          <w:color w:val="5B6570"/>
          <w:sz w:val="19"/>
        </w:rPr>
        <w:t>What would overturn it.  A market whose currency did not step showing the same lean — the UAE leg is the test, and the mechanism predicts a macro share near zero there. A peg that shows -0.30 log of revenue bias refutes this.</w:t>
      </w:r>
    </w:p>
    <w:p>
      <w:pPr>
        <w:keepNext/>
        <w:spacing w:before="240" w:after="60"/>
      </w:pPr>
      <w:r>
        <w:rPr>
          <w:b/>
          <w:color w:val="1A1D21"/>
          <w:sz w:val="22"/>
        </w:rPr>
        <w:t>L-381  Test whether the macro path explains an error before assuming it does.</w:t>
      </w:r>
    </w:p>
    <w:p>
      <w:pPr>
        <w:keepNext/>
        <w:spacing w:after="100"/>
      </w:pPr>
      <w:r>
        <w:rPr>
          <w:b/>
          <w:color w:val="1D6FA3"/>
          <w:sz w:val="16"/>
        </w:rPr>
        <w:t>EVERY STUDY</w:t>
      </w:r>
      <w:r>
        <w:rPr>
          <w:color w:val="5B6570"/>
          <w:sz w:val="16"/>
        </w:rPr>
        <w:t xml:space="preserve">   applies to every study   ·   learned from a fundamental walk-forward test, ABUK walk-forward, date not recorded</w:t>
      </w:r>
      <w:r>
        <w:rPr>
          <w:b/>
          <w:color w:val="B03A2E"/>
          <w:sz w:val="16"/>
        </w:rPr>
        <w:t xml:space="preserve">   ·   STATUS: PROVISIONAL</w:t>
      </w:r>
    </w:p>
    <w:p>
      <w:pPr>
        <w:spacing w:after="100"/>
      </w:pPr>
      <w:r>
        <w:rPr>
          <w:b w:val="0"/>
          <w:i w:val="0"/>
          <w:color w:val="1A1D21"/>
          <w:sz w:val="21"/>
        </w:rPr>
        <w:t>Substitute the actual macro path and re-measure. If the error falls, it is macro; if it does not move, it is the company; if it RISES, the macro path is wired into that line the wrong way round and no correction factor will fix it.</w:t>
      </w:r>
    </w:p>
    <w:p>
      <w:pPr>
        <w:spacing w:after="60"/>
        <w:ind w:left="283"/>
      </w:pPr>
      <w:r>
        <w:rPr>
          <w:b w:val="0"/>
          <w:i w:val="0"/>
          <w:color w:val="5B6570"/>
          <w:sz w:val="19"/>
        </w:rPr>
        <w:t>How we know.  Average miss 0.646 as known, 0.585 with perfect foresight of inflation — the macro share is only 9.4%.</w:t>
      </w:r>
    </w:p>
    <w:p>
      <w:pPr>
        <w:spacing w:after="160"/>
        <w:ind w:left="283"/>
      </w:pPr>
      <w:r>
        <w:rPr>
          <w:b w:val="0"/>
          <w:i w:val="0"/>
          <w:color w:val="5B6570"/>
          <w:sz w:val="19"/>
        </w:rPr>
        <w:t>What would overturn it.  A line where substituting the actual macro path never changes the error in either direction, making the test uninformative rather than diagnostic.</w:t>
      </w:r>
    </w:p>
    <w:p>
      <w:pPr>
        <w:keepNext/>
        <w:spacing w:before="240" w:after="60"/>
      </w:pPr>
      <w:r>
        <w:rPr>
          <w:b/>
          <w:color w:val="1A1D21"/>
          <w:sz w:val="22"/>
        </w:rPr>
        <w:t>L-382  A driver defined as another driver's denominator is not independent evidence about either.</w:t>
      </w:r>
    </w:p>
    <w:p>
      <w:pPr>
        <w:keepNext/>
        <w:spacing w:after="100"/>
      </w:pPr>
      <w:r>
        <w:rPr>
          <w:b/>
          <w:color w:val="1D6FA3"/>
          <w:sz w:val="16"/>
        </w:rPr>
        <w:t>EVERY STUDY</w:t>
      </w:r>
      <w:r>
        <w:rPr>
          <w:color w:val="5B6570"/>
          <w:sz w:val="16"/>
        </w:rPr>
        <w:t xml:space="preserve">   applies to every study   ·   learned from a fundamental walk-forward test, ABUK walk-forward, date not recorded</w:t>
      </w:r>
      <w:r>
        <w:rPr>
          <w:b/>
          <w:color w:val="B03A2E"/>
          <w:sz w:val="16"/>
        </w:rPr>
        <w:t xml:space="preserve">   ·   STATUS: PROVISIONAL</w:t>
      </w:r>
    </w:p>
    <w:p>
      <w:pPr>
        <w:spacing w:after="100"/>
      </w:pPr>
      <w:r>
        <w:rPr>
          <w:b w:val="0"/>
          <w:i w:val="0"/>
          <w:color w:val="1A1D21"/>
          <w:sz w:val="21"/>
        </w:rPr>
        <w:t>Check the definitions before scoring two drivers as two findings. If one is computed from the other, their errors will mirror and cancel, and a correction factor applied to either hides the wiring instead of fixing it.</w:t>
      </w:r>
    </w:p>
    <w:p>
      <w:pPr>
        <w:spacing w:after="60"/>
        <w:ind w:left="283"/>
      </w:pPr>
      <w:r>
        <w:rPr>
          <w:b w:val="0"/>
          <w:i w:val="0"/>
          <w:color w:val="5B6570"/>
          <w:sz w:val="19"/>
        </w:rPr>
        <w:t>How we know.  ABUK's volume proxy is defined as revenue divided by the urea price and the exchange rate. Across 20 cells the volume leg and the commodity-price leg correlate at -0.578 with a slope of -1.28 against an exact-cancellation -1.00, and the two legs SUM to -0.0013 log — they cancel to within a tenth of a percent. Two of this run's drafts were two readings of that one defect.</w:t>
      </w:r>
    </w:p>
    <w:p>
      <w:pPr>
        <w:spacing w:after="160"/>
        <w:ind w:left="283"/>
      </w:pPr>
      <w:r>
        <w:rPr>
          <w:b w:val="0"/>
          <w:i w:val="0"/>
          <w:color w:val="5B6570"/>
          <w:sz w:val="19"/>
        </w:rPr>
        <w:t>What would overturn it.  A run where two drivers are definitionally linked and their error legs do NOT cancel — which would mean the linkage is not load-bearing and the two can be scored apart after all.</w:t>
      </w:r>
    </w:p>
    <w:p>
      <w:pPr>
        <w:keepNext/>
        <w:spacing w:before="240" w:after="60"/>
      </w:pPr>
      <w:r>
        <w:rPr>
          <w:b/>
          <w:color w:val="1A1D21"/>
          <w:sz w:val="22"/>
        </w:rPr>
        <w:t>L-383  Fin customers forecasts run about 37% too low for ADIB.</w:t>
      </w:r>
    </w:p>
    <w:p>
      <w:pPr>
        <w:keepNext/>
        <w:spacing w:after="100"/>
      </w:pPr>
      <w:r>
        <w:rPr>
          <w:b/>
          <w:color w:val="1D6FA3"/>
          <w:sz w:val="16"/>
        </w:rPr>
        <w:t>EVERY STUDY</w:t>
      </w:r>
      <w:r>
        <w:rPr>
          <w:color w:val="5B6570"/>
          <w:sz w:val="16"/>
        </w:rPr>
        <w:t xml:space="preserve">   applies to every study   ·   learned from a fundamental walk-forward test, ADIB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-0.311 log (about 37% too low), average miss 0.326, wrong in the same direction in 84%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L-386  Apply every rate to the AVERAGE balance, never the closing one. On anything growing fast the closing base inflates every projected profit.</w:t>
      </w:r>
    </w:p>
    <w:p>
      <w:pPr>
        <w:keepNext/>
        <w:spacing w:after="100"/>
      </w:pPr>
      <w:r>
        <w:rPr>
          <w:b/>
          <w:color w:val="1D6FA3"/>
          <w:sz w:val="16"/>
        </w:rPr>
        <w:t>EVERY STUDY</w:t>
      </w:r>
      <w:r>
        <w:rPr>
          <w:color w:val="5B6570"/>
          <w:sz w:val="16"/>
        </w:rPr>
        <w:t xml:space="preserve">   applies to every study   ·   learned from a fundamental walk-forward test, ADIB walk-forward, date not recorded</w:t>
      </w:r>
      <w:r>
        <w:rPr>
          <w:b/>
          <w:color w:val="B03A2E"/>
          <w:sz w:val="16"/>
        </w:rPr>
        <w:t xml:space="preserve">   ·   STATUS: PROVISIONAL</w:t>
      </w:r>
    </w:p>
    <w:p>
      <w:pPr>
        <w:spacing w:after="100"/>
      </w:pPr>
      <w:r>
        <w:rPr>
          <w:b w:val="0"/>
          <w:i w:val="0"/>
          <w:color w:val="1A1D21"/>
          <w:sz w:val="21"/>
        </w:rPr>
        <w:t>A bank earns its yield on the assets it held through the year, not on the ones it finished with. Put a full year of yield on a closing balance sheet that grew a third and you have credited twelve months of income to assets the bank owned for six. The error is large, it looks like evidence, and it survives every check that does not go looking for it. WIDENED FROM THE BANK CLASS TO EVERY COMPANY by the principal, 10-09-2026: "For non banks when they borrow apply the average debt as well." That is right and it is the same arithmetic. A cost of debt is interest paid over the debt that bore it, and an industrial that drew down a facility in November did not pay a full year on it either. The bank case is where the error is biggest, not where it is unique.</w:t>
      </w:r>
    </w:p>
    <w:p>
      <w:pPr>
        <w:spacing w:after="60"/>
        <w:ind w:left="283"/>
      </w:pPr>
      <w:r>
        <w:rPr>
          <w:b w:val="0"/>
          <w:i w:val="0"/>
          <w:color w:val="5B6570"/>
          <w:sz w:val="19"/>
        </w:rPr>
        <w:t>How we know.  ADIB-Egypt grew customer financing 54% in FY2025 and total assets 33%, and 19.5% again in the first half of 2026. This is the bank-shaped form of the recognition-clock trap that produced a net-profit forecast several times too high on the first name in this campaign. In this run every rate reaches its base through _avg() and by no other route, which is why the rate drivers came out close to unbiased (net fees 0.984x actual, other income 1.106x, admin 0.897x at the FY2024 origin) while the volume anchor carried the whole miss.</w:t>
      </w:r>
    </w:p>
    <w:p>
      <w:pPr>
        <w:spacing w:after="160"/>
        <w:ind w:left="283"/>
      </w:pPr>
      <w:r>
        <w:rPr>
          <w:b w:val="0"/>
          <w:i w:val="0"/>
          <w:color w:val="5B6570"/>
          <w:sz w:val="19"/>
        </w:rPr>
        <w:t>What would overturn it.  A company whose balance sheet grows slowly enough that the average and the closing base give the same answer, in which case the distinction is real and immaterial.</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keepNext/>
        <w:spacing w:before="240" w:after="60"/>
      </w:pPr>
      <w:r>
        <w:rPr>
          <w:b/>
          <w:color w:val="1A1D21"/>
          <w:sz w:val="22"/>
        </w:rPr>
        <w:t>L-384  The ecl bias changes direction between regimes.</w:t>
      </w:r>
    </w:p>
    <w:p>
      <w:pPr>
        <w:keepNext/>
        <w:spacing w:after="100"/>
      </w:pPr>
      <w:r>
        <w:rPr>
          <w:b/>
          <w:color w:val="7E4A94"/>
          <w:sz w:val="16"/>
        </w:rPr>
        <w:t>A CLASS OF COMPANY</w:t>
      </w:r>
      <w:r>
        <w:rPr>
          <w:color w:val="5B6570"/>
          <w:sz w:val="16"/>
        </w:rPr>
        <w:t xml:space="preserve">   applies to every bank   ·   learned from a fundamental walk-forward test, ADIB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E1 recapitalisation and the 2016 float (origins FY2014-FY2017) +0.089; E2 the 2022-24 devaluation sequence (origins FY2018-FY2024) -0.351.</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L-385  For a bank, the cost of funds is divided by the deposits — the industrial rule says exclude them and it inverts.</w:t>
      </w:r>
    </w:p>
    <w:p>
      <w:pPr>
        <w:keepNext/>
        <w:spacing w:after="100"/>
      </w:pPr>
      <w:r>
        <w:rPr>
          <w:b/>
          <w:color w:val="7E4A94"/>
          <w:sz w:val="16"/>
        </w:rPr>
        <w:t>A CLASS OF COMPANY</w:t>
      </w:r>
      <w:r>
        <w:rPr>
          <w:color w:val="5B6570"/>
          <w:sz w:val="16"/>
        </w:rPr>
        <w:t xml:space="preserve">   applies to every bank   ·   learned from a fundamental walk-forward test, ADIB walk-forward, date not recorded</w:t>
      </w:r>
      <w:r>
        <w:rPr>
          <w:b/>
          <w:color w:val="B03A2E"/>
          <w:sz w:val="16"/>
        </w:rPr>
        <w:t xml:space="preserve">   ·   STATUS: PROVISIONAL</w:t>
      </w:r>
    </w:p>
    <w:p>
      <w:pPr>
        <w:spacing w:after="100"/>
      </w:pPr>
      <w:r>
        <w:rPr>
          <w:b w:val="0"/>
          <w:i w:val="0"/>
          <w:color w:val="1A1D21"/>
          <w:sz w:val="21"/>
        </w:rPr>
        <w:t>The house rule says a borrowing cost is divided by the borrowings that actually bear it, and it names customer deposits as the thing to LEAVE OUT. For a bank that is backwards: depositors are who the bank is paying. Divide the cost of deposits by customers' deposits plus money owed to banks plus subordinated financing, and by nothing wider. The principle travels; the example does not.</w:t>
      </w:r>
    </w:p>
    <w:p>
      <w:pPr>
        <w:spacing w:after="60"/>
        <w:ind w:left="283"/>
      </w:pPr>
      <w:r>
        <w:rPr>
          <w:b w:val="0"/>
          <w:i w:val="0"/>
          <w:color w:val="5B6570"/>
          <w:sz w:val="19"/>
        </w:rPr>
        <w:t>How we know.  At ADIB-Egypt's FY2025 the balances that bear the charge are EGP 293.7 billion against total liabilities of EGP 312.1 billion. Reading the industrial rule literally would have excluded customers' deposits — 94% of the correct denominator — and dividing by total liabilities instead understates the funding rate by about a sixth of itself. The build obeys it structurally: bottom_up.interest_bearing() is the only route to that denominator and total liabilities appears nowhere.</w:t>
      </w:r>
    </w:p>
    <w:p>
      <w:pPr>
        <w:spacing w:after="160"/>
        <w:ind w:left="283"/>
      </w:pPr>
      <w:r>
        <w:rPr>
          <w:b w:val="0"/>
          <w:i w:val="0"/>
          <w:color w:val="5B6570"/>
          <w:sz w:val="19"/>
        </w:rPr>
        <w:t>What would overturn it.  A deposit-taking institution whose disclosed funding charge is levied on something other than its deposits, bank borrowings and subordinated debt.</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pPr>
        <w:keepNext/>
        <w:spacing w:before="240" w:after="60"/>
      </w:pPr>
      <w:r>
        <w:rPr>
          <w:b/>
          <w:color w:val="1A1D21"/>
          <w:sz w:val="22"/>
        </w:rPr>
        <w:t>L-372  D1 cable volume t forecasts run about 28% too high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+0.250 log (about 28% too high), average miss 0.256, wrong in the same direction in 95% of cases, and the sign holds across every bootstrap block tested (n=20).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L-373  D5 contracting revenue forecasts run about 39% too low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-0.326 log (about 39% too low), average miss 0.390, wrong in the same direction in 76%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pStyle w:val="Heading2"/>
      </w:pPr>
      <w:r>
        <w:t>Automotive assembler and distributor with a captive lender</w:t>
      </w:r>
    </w:p>
    <w:p>
      <w:pPr>
        <w:keepNext/>
        <w:spacing w:before="240" w:after="60"/>
      </w:pPr>
      <w:r>
        <w:rPr>
          <w:b/>
          <w:color w:val="1A1D21"/>
          <w:sz w:val="22"/>
        </w:rPr>
        <w:t>L-376  A captive lender's own equity is not a valuation base until what that equity holds has been taken out of it.</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financing arm inside an operating group usually holds the group's investments as well as its loan book, so its reported equity funds two different things. Value the leg on that whole figure and you have paid for the investments twice — once inside the lender and once when the sum of the parts adds them back at their own mark. Take the investments out of the equity first, and take their income out of the return you measure on it.</w:t>
      </w:r>
    </w:p>
    <w:p>
      <w:pPr>
        <w:spacing w:after="60"/>
        <w:ind w:left="283"/>
      </w:pPr>
      <w:r>
        <w:rPr>
          <w:b w:val="0"/>
          <w:i w:val="0"/>
          <w:color w:val="5B6570"/>
          <w:sz w:val="19"/>
        </w:rPr>
        <w:t>How we know.  GB Capital's segment shareholders' equity before non- controlling interests was EGP 22,497.8mn at 30 June 2026 and the associates carried inside it were EGP 16,230.5mn, so the equity actually funding the lending business was 6,267.3mn — 28% of the reported figure. The company's own adjusted return on average equity implies a base near 9,046mn whose NUMERATOR carries EGP 986.4mn of associate income, and the delivered study used a typed 9,500 taken from that basis.</w:t>
      </w:r>
    </w:p>
    <w:p>
      <w:pPr>
        <w:spacing w:after="160"/>
        <w:ind w:left="283"/>
      </w:pPr>
      <w:r>
        <w:rPr>
          <w:b w:val="0"/>
          <w:i w:val="0"/>
          <w:color w:val="5B6570"/>
          <w:sz w:val="19"/>
        </w:rPr>
        <w:t>What would overturn it.  A group of this class whose financing segment carries no investments inside its own equity, so the identity returns the same base the company's own return measure implies and there is nothing to remove.</w:t>
      </w:r>
    </w:p>
    <w:p>
      <w:pPr>
        <w:keepNext/>
        <w:spacing w:before="240" w:after="60"/>
      </w:pPr>
      <w:r>
        <w:rPr>
          <w:b/>
          <w:color w:val="1A1D21"/>
          <w:sz w:val="22"/>
        </w:rPr>
        <w:t>L-377  Group earnings in this class cannot be normalised, because the associate marks move them more than the operating business does.</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normalised-earnings lens asks what the company earns in an ordinary year. Where a large minority holding is equity- accounted, the reported line swings on that holding's results and on revaluations, so an average of it is an average of something the operating business does not control. Publish the operating legs and the holding separately instead.</w:t>
      </w:r>
    </w:p>
    <w:p>
      <w:pPr>
        <w:spacing w:after="60"/>
        <w:ind w:left="283"/>
      </w:pPr>
      <w:r>
        <w:rPr>
          <w:b w:val="0"/>
          <w:i w:val="0"/>
          <w:color w:val="5B6570"/>
          <w:sz w:val="19"/>
        </w:rPr>
        <w:t>How we know.  Investment gains from associates ran EGP 451.6mn, 294.6mn and 131.6mn across three consecutive quarters to 2Q26 while GB Capital's own operating profit over the same quarters ran 156.5mn, 187.0mn and 387.4mn — the associate line was larger than the operating line in two of the three and moved in the opposite direction. The delivered study gave a normalised lens a quarter of its weight on six typed figures.</w:t>
      </w:r>
    </w:p>
    <w:p>
      <w:pPr>
        <w:spacing w:after="160"/>
        <w:ind w:left="283"/>
      </w:pPr>
      <w:r>
        <w:rPr>
          <w:b w:val="0"/>
          <w:i w:val="0"/>
          <w:color w:val="5B6570"/>
          <w:sz w:val="19"/>
        </w:rPr>
        <w:t>What would overturn it.  A company of this class whose equity-accounted holdings are small enough that the reported earnings track the operating legs, which would make a normalised read of the group meaningful again.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