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p>
          <w:p>
            <w:r>
              <w:rPr>
                <w:color w:val="FFFFFF"/>
                <w:sz w:val="19"/>
              </w:rPr>
              <w:t>Edition of 9 August 2026   ·   re-struck 7 September 2026, on the reviewed six months to 30 June 2026</w:t>
            </w:r>
            <w:r>
              <w:rPr>
                <w:color w:val="9FB0AC"/>
                <w:sz w:val="19"/>
              </w:rPr>
              <w:t xml:space="preserve">   ·   Not investment advice</w:t>
            </w:r>
          </w:p>
        </w:tc>
      </w:tr>
    </w:tbl>
    <w:p>
      <w:pPr>
        <w:spacing w:after="0"/>
      </w:pPr>
    </w:p>
    <w:p>
      <w:pPr>
        <w:keepNext/>
        <w:spacing w:after="80" w:before="200"/>
      </w:pPr>
      <w:r>
        <w:rPr>
          <w:b/>
          <w:i w:val="0"/>
          <w:color w:val="1C3A36"/>
          <w:sz w:val="24"/>
        </w:rPr>
        <w:t>Independent Valuation Study — Educational Analysis</w:t>
      </w:r>
    </w:p>
    <w:p>
      <w:pPr>
        <w:keepNext/>
        <w:spacing w:after="120" w:before="280"/>
      </w:pPr>
      <w:r>
        <w:rPr>
          <w:b/>
          <w:i w:val="0"/>
          <w:color w:val="1C3A36"/>
          <w:sz w:val="30"/>
        </w:rPr>
        <w:t>ADNOC Logistics &amp; Services plc (ADX: ADNOCLS)</w:t>
      </w:r>
    </w:p>
    <w:p>
      <w:pPr>
        <w:spacing w:after="120" w:before="0"/>
      </w:pPr>
      <w:r>
        <w:rPr>
          <w:b w:val="0"/>
          <w:i w:val="0"/>
          <w:color w:val="6E7B77"/>
          <w:sz w:val="20"/>
        </w:rPr>
        <w:t>Marine logistics and shipping group — integrated logistics, shipping and services · Abu Dhabi Securities Exchange · reports in US dollars, trades in UAE dirhams · analysis anchored on the closing price of AED 6.80 on 2026-09-07 and compared against the latest price held for it, AED 6.80 on 2026-09-07, with the cash-flow model built at 2026-06-30.</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credit opinion on the shares and no forecast of where the price will go. What it contains is a fair-value range built from the company's own audited and reviewed financial statements, a sourced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Two currencies, one company. </w:t>
            </w:r>
            <w:r>
              <w:rPr>
                <w:color w:val="1C3A36"/>
                <w:sz w:val="19"/>
              </w:rPr>
              <w:t>The company reports in US dollars and its shares trade in UAE dirhams. Every number in this study is built in dollars, and converted to dirhams only at the final per-share line, at the fixed parity of 3.6725 dirhams to the dollar that the Central Bank of the UAE has maintained since 1997. Amounts are in US dollars unless a dirham sign says otherwise; per-share figures are in dirhams so that they can be compared with the screen.</w:t>
            </w:r>
          </w:p>
          <w:p>
            <w:pPr>
              <w:spacing w:after="100"/>
            </w:pPr>
            <w:r>
              <w:rPr>
                <w:b/>
                <w:color w:val="1C3A36"/>
                <w:sz w:val="19"/>
              </w:rPr>
              <w:t xml:space="preserve">How the market is measured, and it is published both ways. </w:t>
            </w:r>
            <w:r>
              <w:rPr>
                <w:color w:val="1C3A36"/>
                <w:sz w:val="19"/>
              </w:rPr>
              <w:t>The cost of equity here rests on a beta of 1.103, measured by regressing the share's own weekly returns on the published index of its own exchange — the FTSE ADX General Index. That is the index the share is listed against, and it is the right yardstick. An earlier construction of this study measured the market instead as an equal-weight composite of the same exchange's names and obtained 0.690. The difference is a property of index construction rather than of the company: the published index is weighted by size and is dominated by the same large-capitalisation group this share belongs to, while an equal-weight composite gives the exchange's smallest names the same say as its largest. On the published index the cash-flow model gives AED 5.39 a share; on the composite, AED 7.12. The first is adopted. Both are computed in full, both appear side by side in every table that matters, and they are never averaged into a single number.</w:t>
            </w:r>
          </w:p>
          <w:p>
            <w:pPr>
              <w:spacing w:after="100"/>
            </w:pPr>
            <w:r>
              <w:rPr>
                <w:b/>
                <w:color w:val="1C3A36"/>
                <w:sz w:val="19"/>
              </w:rPr>
              <w:t xml:space="preserve">This is a twice-corrected edition, and both rounds of correction are listed. </w:t>
            </w:r>
            <w:r>
              <w:rPr>
                <w:color w:val="1C3A36"/>
                <w:sz w:val="19"/>
              </w:rPr>
              <w:t>This study has been through two rounds of external review. 4 independent readers raised 166 findings between them; every one was priced and adjudicated, and the ones that survived scrutiny have been acted on. The first round rebuilt the tanker fleet vessel by vessel, made the cost of capital charge for every kind of capital the company actually uses, stopped the joint ventures being counted twice, replaced the asset lens with a method this company's distribution policy does not break, and struck earnings per share after the coupon on securities that rank ahead of the ordinary shares. The second round put a USD 1.3 billion vessel purchase into the model that the first edition had omitted altogether, stopped the smallest tankers being carried at a rate that moved the opposite way from theirs, re-based receivable days onto the revenue the forecast is actually built at, and corrected two descriptions that did not match what the model does. The section headed “What changed in these editions, and why”, immediately after the caveats, sets both rounds out row by row with the direction and the size of each. A study that has been corrected and does not say so is worse than one that was right the first time.</w:t>
            </w:r>
          </w:p>
        </w:tc>
      </w:tr>
    </w:tbl>
    <w:p>
      <w:pPr>
        <w:spacing w:after="40"/>
      </w:pPr>
    </w:p>
    <w:p>
      <w:pPr>
        <w:keepNext/>
        <w:spacing w:after="80" w:before="200"/>
      </w:pPr>
      <w:r>
        <w:rPr>
          <w:b/>
          <w:i w:val="0"/>
          <w:color w:val="1C3A36"/>
          <w:sz w:val="24"/>
        </w:rPr>
        <w:t>Headline</w:t>
      </w:r>
    </w:p>
    <w:p>
      <w:pPr>
        <w:spacing w:after="120" w:before="0"/>
      </w:pPr>
      <w:r>
        <w:rPr>
          <w:b w:val="0"/>
          <w:i w:val="0"/>
          <w:color w:val="1C3A36"/>
          <w:sz w:val="21"/>
        </w:rPr>
        <w:t>ADNOC Logistics &amp; Services is the marine logistics and shipping arm of the Abu Dhabi National Oil Company, listed on the Abu Dhabi Securities Exchange since June 2023. It runs three disclosed business units. Integrated Logistics — offshore contracting, offshore services and offshore projects — owns 33 jack-up barges and 40 offshore support vessels and works almost entirely for the parent group. Shipping owns 52 tankers, 20 gas carriers and a dry-bulk and container fleet. Services runs petroleum ports, bunkering and onshore logistics. Revenue was USD 5,016 million in FY2025, compounding +35% a year over the two years from FY2023, and the group earned USD 1,469 million before interest, tax, depreciation and amortisation.</w:t>
      </w:r>
    </w:p>
    <w:p>
      <w:pPr>
        <w:spacing w:after="120" w:before="0"/>
      </w:pPr>
      <w:r>
        <w:rPr>
          <w:b w:val="0"/>
          <w:i w:val="0"/>
          <w:color w:val="1C3A36"/>
          <w:sz w:val="21"/>
        </w:rPr>
        <w:t>On 7 Aug 2026 — the day the closing price this study is anchored on was set — the company announced the purchase of 11 more vessels for about USD 1.3 billion: 6 very large crude carriers and 5 gas carriers. The crude carriers and most of the gas carriers were bought secondhand for delivery in the third quarter of 2026; the rest are gas carrier newbuildings resold from a Chinese yard, arriving in the fourth. It takes the owned crude fleet from 8 vessels to 14 and the gas fleet to twelve very large gas carriers. The first edition of this study omitted it entirely, which meant a fair value that excluded the vessels was being compared with a market price that already included them. They are now in the model: each class joins the fleet on its own announced delivery date and earns from that date, and the USD 1.3 billion is added both to net debt in the bridge and to the asset base that depreciates. The announcement also corroborates a correction the first round of review produced. That round cut the crude fleet from the 53 tankers on the books at the FY2025 year end to the 52 owned at the valuation date, because a very large crude carrier had been sold in January — taking that class to 8. The company now says the purchase takes it to 14, and 8 plus 6 is 14. The corrected count is the one the company itself is counting from.</w:t>
      </w:r>
    </w:p>
    <w:p>
      <w:pPr>
        <w:spacing w:after="120" w:before="0"/>
      </w:pPr>
      <w:r>
        <w:rPr>
          <w:b w:val="0"/>
          <w:i w:val="0"/>
          <w:color w:val="1C3A36"/>
          <w:sz w:val="21"/>
        </w:rPr>
        <w:t>The two halves of the business behave completely differently, and averaging them is the main way this company gets mis-valued. About 53% of 2026E revenue is already contracted with the parent group, against a long-term contracted revenue backlog of roughly USD 25.0 billion. The other half is a merchant fleet: 56 vessels across the group trade at spot rates, and the company discloses that a change of USD 1,000 a day in what they earn moves group earnings by about USD 20 million a year. On the company's own disclosure 31% of 2026E earnings sits on spot rates, falling to 23% by 2029E as contracted gas and logistics capacity comes in.</w:t>
      </w:r>
    </w:p>
    <w:p>
      <w:pPr>
        <w:spacing w:after="120" w:before="0"/>
      </w:pPr>
      <w:r>
        <w:rPr>
          <w:b w:val="0"/>
          <w:i w:val="0"/>
          <w:color w:val="1C3A36"/>
          <w:sz w:val="21"/>
        </w:rPr>
        <w:t>That merchant half is having an extraordinary year, and reading how extraordinary takes one step of care. The company publishes a single rate per vessel class per quarter, and that rate is a blend: it averages the vessels trading in the open market together with the vessels already fixed on charters out at rates agreed months or years earlier. Asked about the figure for the largest class on the first-quarter call, the chief financial officer said it “was related to our full fleet of 8, and it includes all the vessels on long-term charter as well … it's a blended rate that we give there, which is obviously less than the spot rate.” So the published figure understates what an uncommitted vessel earns, by exactly the drag of the vessels inside it that are not free to earn it. Very large crude carriers earned a published average of USD 52,466 a day across FY2025; the published figure was USD 145,000 for the first quarter of 2026, USD 291,145 for the second, and USD 159,518 for the third to 11 August on 78% of available vessel days. THE PEAK IS ALREADY BEHIND THE COMPANY on its own disclosure: the third quarter is 45% below the second. Strip out the 4 of 8 vessels in that class already on charter out, each at its own disclosed rate, and the rate the remaining vessels must have earned in the first quarter is USD 151,440 a day. The long-range classes moved the same way. THE REVIEWED SIX MONTHS TO 30 JUNE 2026 showed revenue of USD 3,667 million against USD 2,439 million, earnings before interest, tax, depreciation and amortisation of USD 1,475 million against USD 744 million, and attributable profit of USD 1,120 million against USD 409 million — every figure on the reviewed statements' own basis, and every one a fact rather than a forecast. The second quarter alone carried revenue of USD 2,584 million and earnings of USD 1,106 million. The company's own management commentary carries a DIFFERENT prior-year revenue comparative — tanker revenue and direct costs for the first three quarters of 2025 were re-presented, with no effect on gross profit, net profit or earnings — so its half-year revenue growth reads 46 per cent where the statements give +50%. The statements are what every historical and forecast line in this study is built from, and the difference is stated rather than left to be discovered. Whether those rates hold is the whole valuation.</w:t>
      </w:r>
    </w:p>
    <w:p>
      <w:pPr>
        <w:spacing w:after="120" w:before="0"/>
      </w:pPr>
      <w:r>
        <w:rPr>
          <w:b w:val="0"/>
          <w:i w:val="0"/>
          <w:color w:val="1C3A36"/>
          <w:sz w:val="21"/>
        </w:rPr>
        <w:t>This study says they do not hold, and prices the fleet reverting over five years to the average of what it earned in FY2024 and FY2025. That is a judgement, and section 1.7 sets out the outside evidence for it. On that base the lenses centre at AED 5.39 against a market price of 6.80 — 21% below the market price. The cash-flow lens on its own lands at AED 5.39, 21% below the market price, and the three notional experts in Appendix C, who price mid-cycle earnings rather than a terminal value, centre at AED 8.01, 18% above the market price. The honest conclusion is that the evidence brackets the screen price rather than pointing away from it: the widest reads sit meaningfully above, the asset lens sits well below, and the two constructions that stay closest to the company's own reported cash — the cash-flow lens and the expert panel — sit within a few per cent of the market. This is not a study that finds a mispricing.</w:t>
      </w:r>
    </w:p>
    <w:p>
      <w:pPr>
        <w:spacing w:after="200" w:before="0"/>
      </w:pPr>
      <w:r>
        <w:rPr>
          <w:b w:val="0"/>
          <w:i w:val="0"/>
          <w:color w:val="1C3A36"/>
          <w:sz w:val="21"/>
        </w:rPr>
        <w:t>The reason that conclusion is stronger than it looks rests on the discount rate. Measured against the published index of its own exchange, this share's beta is 1.103 — it moves with the market, near enough one for one, on 159 weekly observations. The economic prior for an asset-heavy fleet owner is that it carries the risk of the market its ships trade in whoever signs the charter, and that prior is now confirmed by the regression rather than contradicted by it. The two views have converged, which they had not done when the market was measured a different way: an equal-weight composite of the same exchange's names gives 0.690 and lifts the cash-flow lens to AED 7.12. That construction is published beside the adopted one throughout, because a gap of AED 1.73 a share that turns on how an index is weighted is something a reader is entitled to see rather than a detail to bury. The point estimate is not precise, and this edition says so more plainly than the last: the standard error on it is 0.315, which puts the 90% interval at [0.586, 1.621] and carries the cash-flow lens from AED 2.90 to AED 9.49 once the rate anchor and the capital programme move with it. The largest open question is still not the discount rate but where tanker rates settle after 2026, which is section 1.7.</w:t>
      </w:r>
    </w:p>
    <w:p>
      <w:pPr>
        <w:keepNext/>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4118"/>
        <w:gridCol w:w="1526"/>
        <w:gridCol w:w="1181"/>
        <w:gridCol w:w="1210"/>
      </w:tblGrid>
      <w:tr>
        <w:trPr>
          <w:cantSplit/>
          <w:tblHeader/>
        </w:trPr>
        <w:tc>
          <w:tcPr>
            <w:tcW w:type="dxa" w:w="2045"/>
            <w:shd w:val="clear" w:color="auto" w:fill="EAF0EE"/>
          </w:tcPr>
          <w:p>
            <w:pPr>
              <w:spacing w:after="20"/>
            </w:pPr>
            <w:r>
              <w:rPr>
                <w:b/>
                <w:color w:val="1C3A36"/>
                <w:sz w:val="16"/>
              </w:rPr>
              <w:t>Read</w:t>
            </w:r>
          </w:p>
        </w:tc>
        <w:tc>
          <w:tcPr>
            <w:tcW w:type="dxa" w:w="4118"/>
            <w:shd w:val="clear" w:color="auto" w:fill="EAF0EE"/>
          </w:tcPr>
          <w:p>
            <w:pPr>
              <w:spacing w:after="20"/>
              <w:jc w:val="left"/>
            </w:pPr>
            <w:r>
              <w:rPr>
                <w:b/>
                <w:color w:val="1C3A36"/>
                <w:sz w:val="16"/>
              </w:rPr>
              <w:t>Basis</w:t>
            </w:r>
          </w:p>
        </w:tc>
        <w:tc>
          <w:tcPr>
            <w:tcW w:type="dxa" w:w="1526"/>
            <w:shd w:val="clear" w:color="auto" w:fill="EAF0EE"/>
          </w:tcPr>
          <w:p>
            <w:pPr>
              <w:spacing w:after="20"/>
            </w:pPr>
            <w:r>
              <w:rPr>
                <w:b/>
                <w:color w:val="1C3A36"/>
                <w:sz w:val="16"/>
              </w:rPr>
              <w:t>Range (AED/sh)</w:t>
            </w:r>
          </w:p>
        </w:tc>
        <w:tc>
          <w:tcPr>
            <w:tcW w:type="dxa" w:w="1181"/>
            <w:shd w:val="clear" w:color="auto" w:fill="EAF0EE"/>
          </w:tcPr>
          <w:p>
            <w:pPr>
              <w:spacing w:after="20"/>
            </w:pPr>
            <w:r>
              <w:rPr>
                <w:b/>
                <w:color w:val="1C3A36"/>
                <w:sz w:val="16"/>
              </w:rPr>
              <w:t>Central</w:t>
            </w:r>
          </w:p>
        </w:tc>
        <w:tc>
          <w:tcPr>
            <w:tcW w:type="dxa" w:w="1210"/>
            <w:shd w:val="clear" w:color="auto" w:fill="EAF0EE"/>
          </w:tcPr>
          <w:p>
            <w:pPr>
              <w:spacing w:after="20"/>
            </w:pPr>
            <w:r>
              <w:rPr>
                <w:b/>
                <w:color w:val="1C3A36"/>
                <w:sz w:val="16"/>
              </w:rPr>
              <w:t>vs price</w:t>
            </w:r>
          </w:p>
        </w:tc>
      </w:tr>
      <w:tr>
        <w:trPr>
          <w:cantSplit/>
        </w:trPr>
        <w:tc>
          <w:tcPr>
            <w:tcW w:type="dxa" w:w="2045"/>
          </w:tcPr>
          <w:p>
            <w:pPr>
              <w:spacing w:after="20"/>
            </w:pPr>
            <w:r>
              <w:rPr>
                <w:color w:val="1C3A36"/>
                <w:sz w:val="16"/>
              </w:rPr>
              <w:t>Discounted cash flow</w:t>
            </w:r>
          </w:p>
        </w:tc>
        <w:tc>
          <w:tcPr>
            <w:tcW w:type="dxa" w:w="4118"/>
          </w:tcPr>
          <w:p>
            <w:pPr>
              <w:spacing w:after="20"/>
              <w:jc w:val="left"/>
            </w:pPr>
            <w:r>
              <w:rPr>
                <w:color w:val="1C3A36"/>
                <w:sz w:val="16"/>
              </w:rPr>
              <w:t>five-year free cash flow to the firm, cost of capital gliding 8.7% to 8.6% on the share's own beta of 1.103 against the published index of its own exchange and on all three kinds of capital the company uses — ordinary equity 83.1%, debt 4.9%, perpetual capital securities 12.0% at their own coupon; terminal growth 2%; 63% of enterprise value comes from the terminal value</w:t>
            </w:r>
          </w:p>
        </w:tc>
        <w:tc>
          <w:tcPr>
            <w:tcW w:type="dxa" w:w="1526"/>
          </w:tcPr>
          <w:p>
            <w:pPr>
              <w:spacing w:after="20"/>
              <w:jc w:val="right"/>
            </w:pPr>
            <w:r>
              <w:rPr>
                <w:color w:val="1C3A36"/>
                <w:sz w:val="16"/>
              </w:rPr>
              <w:t>2.90 – 9.49</w:t>
            </w:r>
          </w:p>
        </w:tc>
        <w:tc>
          <w:tcPr>
            <w:tcW w:type="dxa" w:w="1181"/>
          </w:tcPr>
          <w:p>
            <w:pPr>
              <w:spacing w:after="20"/>
              <w:jc w:val="right"/>
            </w:pPr>
            <w:r>
              <w:rPr>
                <w:color w:val="1C3A36"/>
                <w:sz w:val="16"/>
              </w:rPr>
              <w:t>5.39</w:t>
            </w:r>
          </w:p>
        </w:tc>
        <w:tc>
          <w:tcPr>
            <w:tcW w:type="dxa" w:w="1210"/>
          </w:tcPr>
          <w:p>
            <w:pPr>
              <w:spacing w:after="20"/>
              <w:jc w:val="right"/>
            </w:pPr>
            <w:r>
              <w:rPr>
                <w:color w:val="1C3A36"/>
                <w:sz w:val="16"/>
              </w:rPr>
              <w:t>-21%</w:t>
            </w:r>
          </w:p>
        </w:tc>
      </w:tr>
      <w:tr>
        <w:trPr>
          <w:cantSplit/>
        </w:trPr>
        <w:tc>
          <w:tcPr>
            <w:tcW w:type="dxa" w:w="2045"/>
          </w:tcPr>
          <w:p>
            <w:pPr>
              <w:spacing w:after="20"/>
            </w:pPr>
            <w:r>
              <w:rPr>
                <w:color w:val="1C3A36"/>
                <w:sz w:val="16"/>
              </w:rPr>
              <w:t>Relative multiples</w:t>
            </w:r>
          </w:p>
        </w:tc>
        <w:tc>
          <w:tcPr>
            <w:tcW w:type="dxa" w:w="4118"/>
          </w:tcPr>
          <w:p>
            <w:pPr>
              <w:spacing w:after="20"/>
              <w:jc w:val="left"/>
            </w:pPr>
            <w:r>
              <w:rPr>
                <w:color w:val="1C3A36"/>
                <w:sz w:val="16"/>
              </w:rPr>
              <w:t>a blended 11.10× enterprise value to earnings and 11.64× price to earnings on 2026E, weighted 70% to the enterprise measure. The earnings multiple is the peers' FORWARD multiple applied to forward earnings; on their trailing multiples the same blend is 12.86×</w:t>
            </w:r>
          </w:p>
        </w:tc>
        <w:tc>
          <w:tcPr>
            <w:tcW w:type="dxa" w:w="1526"/>
          </w:tcPr>
          <w:p>
            <w:pPr>
              <w:spacing w:after="20"/>
              <w:jc w:val="right"/>
            </w:pPr>
            <w:r>
              <w:rPr>
                <w:color w:val="1C3A36"/>
                <w:sz w:val="16"/>
              </w:rPr>
              <w:t>9.63 – 14.63</w:t>
            </w:r>
          </w:p>
        </w:tc>
        <w:tc>
          <w:tcPr>
            <w:tcW w:type="dxa" w:w="1181"/>
          </w:tcPr>
          <w:p>
            <w:pPr>
              <w:spacing w:after="20"/>
              <w:jc w:val="right"/>
            </w:pPr>
            <w:r>
              <w:rPr>
                <w:color w:val="1C3A36"/>
                <w:sz w:val="16"/>
              </w:rPr>
              <w:t>12.21</w:t>
            </w:r>
          </w:p>
        </w:tc>
        <w:tc>
          <w:tcPr>
            <w:tcW w:type="dxa" w:w="1210"/>
          </w:tcPr>
          <w:p>
            <w:pPr>
              <w:spacing w:after="20"/>
              <w:jc w:val="right"/>
            </w:pPr>
            <w:r>
              <w:rPr>
                <w:color w:val="1C3A36"/>
                <w:sz w:val="16"/>
              </w:rPr>
              <w:t>+80%</w:t>
            </w:r>
          </w:p>
        </w:tc>
      </w:tr>
      <w:tr>
        <w:trPr>
          <w:cantSplit/>
        </w:trPr>
        <w:tc>
          <w:tcPr>
            <w:tcW w:type="dxa" w:w="2045"/>
          </w:tcPr>
          <w:p>
            <w:pPr>
              <w:spacing w:after="20"/>
            </w:pPr>
            <w:r>
              <w:rPr>
                <w:color w:val="1C3A36"/>
                <w:sz w:val="16"/>
              </w:rPr>
              <w:t>Normalised earnings power</w:t>
            </w:r>
          </w:p>
        </w:tc>
        <w:tc>
          <w:tcPr>
            <w:tcW w:type="dxa" w:w="4118"/>
          </w:tcPr>
          <w:p>
            <w:pPr>
              <w:spacing w:after="20"/>
              <w:jc w:val="left"/>
            </w:pPr>
            <w:r>
              <w:rPr>
                <w:color w:val="1C3A36"/>
                <w:sz w:val="16"/>
              </w:rPr>
              <w:t>the five-year average of the build's own earnings — USD 2,617 million before interest, tax, depreciation and amortisation — at the same blended multiples</w:t>
            </w:r>
          </w:p>
        </w:tc>
        <w:tc>
          <w:tcPr>
            <w:tcW w:type="dxa" w:w="1526"/>
          </w:tcPr>
          <w:p>
            <w:pPr>
              <w:spacing w:after="20"/>
              <w:jc w:val="right"/>
            </w:pPr>
            <w:r>
              <w:rPr>
                <w:color w:val="1C3A36"/>
                <w:sz w:val="16"/>
              </w:rPr>
              <w:t>9.21 – 14.03</w:t>
            </w:r>
          </w:p>
        </w:tc>
        <w:tc>
          <w:tcPr>
            <w:tcW w:type="dxa" w:w="1181"/>
          </w:tcPr>
          <w:p>
            <w:pPr>
              <w:spacing w:after="20"/>
              <w:jc w:val="right"/>
            </w:pPr>
            <w:r>
              <w:rPr>
                <w:color w:val="1C3A36"/>
                <w:sz w:val="16"/>
              </w:rPr>
              <w:t>11.07</w:t>
            </w:r>
          </w:p>
        </w:tc>
        <w:tc>
          <w:tcPr>
            <w:tcW w:type="dxa" w:w="1210"/>
          </w:tcPr>
          <w:p>
            <w:pPr>
              <w:spacing w:after="20"/>
              <w:jc w:val="right"/>
            </w:pPr>
            <w:r>
              <w:rPr>
                <w:color w:val="1C3A36"/>
                <w:sz w:val="16"/>
              </w:rPr>
              <w:t>+63%</w:t>
            </w:r>
          </w:p>
        </w:tc>
      </w:tr>
      <w:tr>
        <w:trPr>
          <w:cantSplit/>
        </w:trPr>
        <w:tc>
          <w:tcPr>
            <w:tcW w:type="dxa" w:w="2045"/>
          </w:tcPr>
          <w:p>
            <w:pPr>
              <w:spacing w:after="20"/>
            </w:pPr>
            <w:r>
              <w:rPr>
                <w:color w:val="1C3A36"/>
                <w:sz w:val="16"/>
              </w:rPr>
              <w:t>Book value and sustainable return</w:t>
            </w:r>
          </w:p>
        </w:tc>
        <w:tc>
          <w:tcPr>
            <w:tcW w:type="dxa" w:w="4118"/>
          </w:tcPr>
          <w:p>
            <w:pPr>
              <w:spacing w:after="20"/>
              <w:jc w:val="left"/>
            </w:pPr>
            <w:r>
              <w:rPr>
                <w:color w:val="1C3A36"/>
                <w:sz w:val="16"/>
              </w:rPr>
              <w:t>the ordinary book of AED 2.92 a share, plus five years of returns earned above the cost of equity of 9.37% on that book, discounted, plus a remainder that fades at 10% a year — worth 1.35× the book it starts from</w:t>
            </w:r>
          </w:p>
        </w:tc>
        <w:tc>
          <w:tcPr>
            <w:tcW w:type="dxa" w:w="1526"/>
          </w:tcPr>
          <w:p>
            <w:pPr>
              <w:spacing w:after="20"/>
              <w:jc w:val="right"/>
            </w:pPr>
            <w:r>
              <w:rPr>
                <w:color w:val="1C3A36"/>
                <w:sz w:val="16"/>
              </w:rPr>
              <w:t>2.56 – 5.74</w:t>
            </w:r>
          </w:p>
        </w:tc>
        <w:tc>
          <w:tcPr>
            <w:tcW w:type="dxa" w:w="1181"/>
          </w:tcPr>
          <w:p>
            <w:pPr>
              <w:spacing w:after="20"/>
              <w:jc w:val="right"/>
            </w:pPr>
            <w:r>
              <w:rPr>
                <w:color w:val="1C3A36"/>
                <w:sz w:val="16"/>
              </w:rPr>
              <w:t>3.93</w:t>
            </w:r>
          </w:p>
        </w:tc>
        <w:tc>
          <w:tcPr>
            <w:tcW w:type="dxa" w:w="1210"/>
          </w:tcPr>
          <w:p>
            <w:pPr>
              <w:spacing w:after="20"/>
              <w:jc w:val="right"/>
            </w:pPr>
            <w:r>
              <w:rPr>
                <w:color w:val="1C3A36"/>
                <w:sz w:val="16"/>
              </w:rPr>
              <w:t>-42%</w:t>
            </w:r>
          </w:p>
        </w:tc>
      </w:tr>
      <w:tr>
        <w:trPr>
          <w:cantSplit/>
        </w:trPr>
        <w:tc>
          <w:tcPr>
            <w:tcW w:type="dxa" w:w="2045"/>
            <w:shd w:val="clear" w:color="auto" w:fill="F6F1E6"/>
          </w:tcPr>
          <w:p>
            <w:pPr>
              <w:spacing w:after="20"/>
            </w:pPr>
            <w:r>
              <w:rPr>
                <w:b/>
                <w:color w:val="1C3A36"/>
                <w:sz w:val="16"/>
              </w:rPr>
              <w:t>Central</w:t>
            </w:r>
          </w:p>
        </w:tc>
        <w:tc>
          <w:tcPr>
            <w:tcW w:type="dxa" w:w="4118"/>
            <w:shd w:val="clear" w:color="auto" w:fill="F6F1E6"/>
          </w:tcPr>
          <w:p>
            <w:pPr>
              <w:spacing w:after="20"/>
              <w:jc w:val="left"/>
            </w:pPr>
            <w:r>
              <w:rPr>
                <w:b/>
                <w:color w:val="1C3A36"/>
                <w:sz w:val="16"/>
              </w:rPr>
              <w:t>THE CASH-FLOW LENS, on the beta measured against the published index of its own exchange. It is the answer rather than a share of one: the reads below are cross-checks published beside it and are not averaged into it</w:t>
            </w:r>
          </w:p>
        </w:tc>
        <w:tc>
          <w:tcPr>
            <w:tcW w:type="dxa" w:w="1526"/>
            <w:shd w:val="clear" w:color="auto" w:fill="F6F1E6"/>
          </w:tcPr>
          <w:p>
            <w:pPr>
              <w:spacing w:after="20"/>
              <w:jc w:val="right"/>
            </w:pPr>
            <w:r>
              <w:rPr>
                <w:b/>
                <w:color w:val="1C3A36"/>
                <w:sz w:val="16"/>
              </w:rPr>
              <w:t>2.90 – 9.49</w:t>
            </w:r>
          </w:p>
        </w:tc>
        <w:tc>
          <w:tcPr>
            <w:tcW w:type="dxa" w:w="1181"/>
            <w:shd w:val="clear" w:color="auto" w:fill="F6F1E6"/>
          </w:tcPr>
          <w:p>
            <w:pPr>
              <w:spacing w:after="20"/>
              <w:jc w:val="right"/>
            </w:pPr>
            <w:r>
              <w:rPr>
                <w:b/>
                <w:color w:val="1C3A36"/>
                <w:sz w:val="16"/>
              </w:rPr>
              <w:t>5.39</w:t>
            </w:r>
          </w:p>
        </w:tc>
        <w:tc>
          <w:tcPr>
            <w:tcW w:type="dxa" w:w="1210"/>
            <w:shd w:val="clear" w:color="auto" w:fill="F6F1E6"/>
          </w:tcPr>
          <w:p>
            <w:pPr>
              <w:spacing w:after="20"/>
              <w:jc w:val="right"/>
            </w:pPr>
            <w:r>
              <w:rPr>
                <w:b/>
                <w:color w:val="1C3A36"/>
                <w:sz w:val="16"/>
              </w:rPr>
              <w:t>-21%</w:t>
            </w:r>
          </w:p>
        </w:tc>
      </w:tr>
      <w:tr>
        <w:trPr>
          <w:cantSplit/>
        </w:trPr>
        <w:tc>
          <w:tcPr>
            <w:tcW w:type="dxa" w:w="2045"/>
          </w:tcPr>
          <w:p>
            <w:pPr>
              <w:spacing w:after="20"/>
            </w:pPr>
            <w:r>
              <w:rPr>
                <w:color w:val="1C3A36"/>
                <w:sz w:val="16"/>
              </w:rPr>
              <w:t>Market price</w:t>
            </w:r>
          </w:p>
        </w:tc>
        <w:tc>
          <w:tcPr>
            <w:tcW w:type="dxa" w:w="4118"/>
          </w:tcPr>
          <w:p>
            <w:pPr>
              <w:spacing w:after="20"/>
              <w:jc w:val="left"/>
            </w:pPr>
            <w:r>
              <w:rPr>
                <w:color w:val="1C3A36"/>
                <w:sz w:val="16"/>
              </w:rPr>
              <w:t>closing price on 2026-09-07</w:t>
            </w:r>
          </w:p>
        </w:tc>
        <w:tc>
          <w:tcPr>
            <w:tcW w:type="dxa" w:w="1526"/>
          </w:tcPr>
          <w:p>
            <w:pPr>
              <w:spacing w:after="20"/>
              <w:jc w:val="right"/>
            </w:pPr>
            <w:r>
              <w:rPr>
                <w:color w:val="1C3A36"/>
                <w:sz w:val="16"/>
              </w:rPr>
              <w:t>—</w:t>
            </w:r>
          </w:p>
        </w:tc>
        <w:tc>
          <w:tcPr>
            <w:tcW w:type="dxa" w:w="1181"/>
          </w:tcPr>
          <w:p>
            <w:pPr>
              <w:spacing w:after="20"/>
              <w:jc w:val="right"/>
            </w:pPr>
            <w:r>
              <w:rPr>
                <w:color w:val="1C3A36"/>
                <w:sz w:val="16"/>
              </w:rPr>
              <w:t>6.80</w:t>
            </w:r>
          </w:p>
        </w:tc>
        <w:tc>
          <w:tcPr>
            <w:tcW w:type="dxa" w:w="1210"/>
          </w:tcPr>
          <w:p>
            <w:pPr>
              <w:spacing w:after="20"/>
              <w:jc w:val="right"/>
            </w:pPr>
            <w:r>
              <w:rPr>
                <w:color w:val="1C3A36"/>
                <w:sz w:val="16"/>
              </w:rPr>
              <w:t>—</w:t>
            </w:r>
          </w:p>
        </w:tc>
      </w:tr>
      <w:tr>
        <w:trPr>
          <w:cantSplit/>
        </w:trPr>
        <w:tc>
          <w:tcPr>
            <w:tcW w:type="dxa" w:w="2045"/>
            <w:shd w:val="clear" w:color="auto" w:fill="F6F1E6"/>
          </w:tcPr>
          <w:p>
            <w:pPr>
              <w:spacing w:after="20"/>
            </w:pPr>
            <w:r>
              <w:rPr>
                <w:b/>
                <w:color w:val="1C3A36"/>
                <w:sz w:val="16"/>
              </w:rPr>
              <w:t>ALTERNATIVE READINGS — not included in the central above</w:t>
            </w:r>
          </w:p>
        </w:tc>
        <w:tc>
          <w:tcPr>
            <w:tcW w:type="dxa" w:w="4118"/>
            <w:shd w:val="clear" w:color="auto" w:fill="F6F1E6"/>
          </w:tcPr>
          <w:p>
            <w:pPr>
              <w:spacing w:after="20"/>
              <w:jc w:val="left"/>
            </w:pPr>
            <w:r>
              <w:rPr>
                <w:b/>
                <w:color w:val="1C3A36"/>
                <w:sz w:val="16"/>
              </w:rPr>
            </w:r>
          </w:p>
        </w:tc>
        <w:tc>
          <w:tcPr>
            <w:tcW w:type="dxa" w:w="1526"/>
            <w:shd w:val="clear" w:color="auto" w:fill="F6F1E6"/>
          </w:tcPr>
          <w:p>
            <w:pPr>
              <w:spacing w:after="20"/>
              <w:jc w:val="right"/>
            </w:pPr>
            <w:r>
              <w:rPr>
                <w:b/>
                <w:color w:val="1C3A36"/>
                <w:sz w:val="16"/>
              </w:rPr>
            </w:r>
          </w:p>
        </w:tc>
        <w:tc>
          <w:tcPr>
            <w:tcW w:type="dxa" w:w="1181"/>
            <w:shd w:val="clear" w:color="auto" w:fill="F6F1E6"/>
          </w:tcPr>
          <w:p>
            <w:pPr>
              <w:spacing w:after="20"/>
              <w:jc w:val="right"/>
            </w:pPr>
            <w:r>
              <w:rPr>
                <w:b/>
                <w:color w:val="1C3A36"/>
                <w:sz w:val="16"/>
              </w:rPr>
            </w:r>
          </w:p>
        </w:tc>
        <w:tc>
          <w:tcPr>
            <w:tcW w:type="dxa" w:w="1210"/>
            <w:shd w:val="clear" w:color="auto" w:fill="F6F1E6"/>
          </w:tcPr>
          <w:p>
            <w:pPr>
              <w:spacing w:after="20"/>
              <w:jc w:val="right"/>
            </w:pPr>
            <w:r>
              <w:rPr>
                <w:b/>
                <w:color w:val="1C3A36"/>
                <w:sz w:val="16"/>
              </w:rPr>
            </w:r>
          </w:p>
        </w:tc>
      </w:tr>
      <w:tr>
        <w:trPr>
          <w:cantSplit/>
        </w:trPr>
        <w:tc>
          <w:tcPr>
            <w:tcW w:type="dxa" w:w="2045"/>
          </w:tcPr>
          <w:p>
            <w:pPr>
              <w:spacing w:after="20"/>
            </w:pPr>
            <w:r>
              <w:rPr>
                <w:color w:val="1C3A36"/>
                <w:sz w:val="16"/>
              </w:rPr>
              <w:t>The market measured as an equal-weight composite</w:t>
            </w:r>
          </w:p>
        </w:tc>
        <w:tc>
          <w:tcPr>
            <w:tcW w:type="dxa" w:w="4118"/>
          </w:tcPr>
          <w:p>
            <w:pPr>
              <w:spacing w:after="20"/>
              <w:jc w:val="left"/>
            </w:pPr>
            <w:r>
              <w:rPr>
                <w:color w:val="1C3A36"/>
                <w:sz w:val="16"/>
              </w:rPr>
              <w:t>the identical model and identical cash flows with the beta regressed against an equal-weight composite of the same exchange's names instead of the published index of its own exchange — 0.690 instead of 1.103, cost of capital gliding 7.2% to 7.2%, and 69% of enterprise value from the terminal value. The published index is the yardstick this study adopts; the composite is shown because the gap turns on index weighting rather than on the company (section 1.8). The central on this construction is AED 7.12</w:t>
            </w:r>
          </w:p>
        </w:tc>
        <w:tc>
          <w:tcPr>
            <w:tcW w:type="dxa" w:w="1526"/>
          </w:tcPr>
          <w:p>
            <w:pPr>
              <w:spacing w:after="20"/>
              <w:jc w:val="right"/>
            </w:pPr>
            <w:r>
              <w:rPr>
                <w:color w:val="1C3A36"/>
                <w:sz w:val="16"/>
              </w:rPr>
              <w:t>—</w:t>
            </w:r>
          </w:p>
        </w:tc>
        <w:tc>
          <w:tcPr>
            <w:tcW w:type="dxa" w:w="1181"/>
          </w:tcPr>
          <w:p>
            <w:pPr>
              <w:spacing w:after="20"/>
              <w:jc w:val="right"/>
            </w:pPr>
            <w:r>
              <w:rPr>
                <w:color w:val="1C3A36"/>
                <w:sz w:val="16"/>
              </w:rPr>
              <w:t>7.12</w:t>
            </w:r>
          </w:p>
        </w:tc>
        <w:tc>
          <w:tcPr>
            <w:tcW w:type="dxa" w:w="1210"/>
          </w:tcPr>
          <w:p>
            <w:pPr>
              <w:spacing w:after="20"/>
              <w:jc w:val="right"/>
            </w:pPr>
            <w:r>
              <w:rPr>
                <w:color w:val="1C3A36"/>
                <w:sz w:val="16"/>
              </w:rPr>
              <w:t>+5%</w:t>
            </w:r>
          </w:p>
        </w:tc>
      </w:tr>
      <w:tr>
        <w:trPr>
          <w:cantSplit/>
        </w:trPr>
        <w:tc>
          <w:tcPr>
            <w:tcW w:type="dxa" w:w="2045"/>
          </w:tcPr>
          <w:p>
            <w:pPr>
              <w:spacing w:after="20"/>
            </w:pPr>
            <w:r>
              <w:rPr>
                <w:color w:val="1C3A36"/>
                <w:sz w:val="16"/>
              </w:rPr>
              <w:t>Rates hold near current levels</w:t>
            </w:r>
          </w:p>
        </w:tc>
        <w:tc>
          <w:tcPr>
            <w:tcW w:type="dxa" w:w="4118"/>
          </w:tcPr>
          <w:p>
            <w:pPr>
              <w:spacing w:after="20"/>
              <w:jc w:val="left"/>
            </w:pPr>
            <w:r>
              <w:rPr>
                <w:color w:val="1C3A36"/>
                <w:sz w:val="16"/>
              </w:rPr>
              <w:t>the same model with the fleet reverting to a rate anchor 30% above the 2024-2025 average rather than to it — the direction the company's own guidance points, and not this study's base (section 1.7)</w:t>
            </w:r>
          </w:p>
        </w:tc>
        <w:tc>
          <w:tcPr>
            <w:tcW w:type="dxa" w:w="1526"/>
          </w:tcPr>
          <w:p>
            <w:pPr>
              <w:spacing w:after="20"/>
              <w:jc w:val="right"/>
            </w:pPr>
            <w:r>
              <w:rPr>
                <w:color w:val="1C3A36"/>
                <w:sz w:val="16"/>
              </w:rPr>
              <w:t>—</w:t>
            </w:r>
          </w:p>
        </w:tc>
        <w:tc>
          <w:tcPr>
            <w:tcW w:type="dxa" w:w="1181"/>
          </w:tcPr>
          <w:p>
            <w:pPr>
              <w:spacing w:after="20"/>
              <w:jc w:val="right"/>
            </w:pPr>
            <w:r>
              <w:rPr>
                <w:color w:val="1C3A36"/>
                <w:sz w:val="16"/>
              </w:rPr>
              <w:t>7.53</w:t>
            </w:r>
          </w:p>
        </w:tc>
        <w:tc>
          <w:tcPr>
            <w:tcW w:type="dxa" w:w="1210"/>
          </w:tcPr>
          <w:p>
            <w:pPr>
              <w:spacing w:after="20"/>
              <w:jc w:val="right"/>
            </w:pPr>
            <w:r>
              <w:rPr>
                <w:color w:val="1C3A36"/>
                <w:sz w:val="16"/>
              </w:rPr>
              <w:t>+11%</w:t>
            </w:r>
          </w:p>
        </w:tc>
      </w:tr>
      <w:tr>
        <w:trPr>
          <w:cantSplit/>
        </w:trPr>
        <w:tc>
          <w:tcPr>
            <w:tcW w:type="dxa" w:w="2045"/>
          </w:tcPr>
          <w:p>
            <w:pPr>
              <w:spacing w:after="20"/>
            </w:pPr>
            <w:r>
              <w:rPr>
                <w:color w:val="1C3A36"/>
                <w:sz w:val="16"/>
              </w:rPr>
              <w:t>Perpetual securities at coupon value</w:t>
            </w:r>
          </w:p>
        </w:tc>
        <w:tc>
          <w:tcPr>
            <w:tcW w:type="dxa" w:w="4118"/>
          </w:tcPr>
          <w:p>
            <w:pPr>
              <w:spacing w:after="20"/>
              <w:jc w:val="left"/>
            </w:pPr>
            <w:r>
              <w:rPr>
                <w:color w:val="1C3A36"/>
                <w:sz w:val="16"/>
              </w:rPr>
              <w:t>the same model deducting the perpetual capital securities at the present value of their coupon, USD 1,125 million, instead of their carrying value of USD 1,979 million (section 1.1). Read what makes the two differ: capitalising the same coupon at the securities' OWN rate of 4.90% returns USD 1,979 million, the carrying value to the dollar. This alternative is therefore a statement about the rate the claim should be discounted at, not a second valuation of it</w:t>
            </w:r>
          </w:p>
        </w:tc>
        <w:tc>
          <w:tcPr>
            <w:tcW w:type="dxa" w:w="1526"/>
          </w:tcPr>
          <w:p>
            <w:pPr>
              <w:spacing w:after="20"/>
              <w:jc w:val="right"/>
            </w:pPr>
            <w:r>
              <w:rPr>
                <w:color w:val="1C3A36"/>
                <w:sz w:val="16"/>
              </w:rPr>
              <w:t>—</w:t>
            </w:r>
          </w:p>
        </w:tc>
        <w:tc>
          <w:tcPr>
            <w:tcW w:type="dxa" w:w="1181"/>
          </w:tcPr>
          <w:p>
            <w:pPr>
              <w:spacing w:after="20"/>
              <w:jc w:val="right"/>
            </w:pPr>
            <w:r>
              <w:rPr>
                <w:color w:val="1C3A36"/>
                <w:sz w:val="16"/>
              </w:rPr>
              <w:t>5.81</w:t>
            </w:r>
          </w:p>
        </w:tc>
        <w:tc>
          <w:tcPr>
            <w:tcW w:type="dxa" w:w="1210"/>
          </w:tcPr>
          <w:p>
            <w:pPr>
              <w:spacing w:after="20"/>
              <w:jc w:val="right"/>
            </w:pPr>
            <w:r>
              <w:rPr>
                <w:color w:val="1C3A36"/>
                <w:sz w:val="16"/>
              </w:rPr>
              <w:t>-15%</w:t>
            </w:r>
          </w:p>
        </w:tc>
      </w:tr>
    </w:tbl>
    <w:p>
      <w:pPr>
        <w:spacing w:after="40"/>
      </w:pPr>
    </w:p>
    <w:p>
      <w:pPr>
        <w:spacing w:after="200" w:before="0"/>
      </w:pPr>
      <w:r>
        <w:rPr>
          <w:b w:val="0"/>
          <w:i/>
          <w:color w:val="6E7B77"/>
          <w:sz w:val="17"/>
        </w:rPr>
        <w:t>The alternative readings are shown so that each genuinely contested or consequential choice carries a number the reader can see, rather than being averaged silently into the headline. They are deliberately excluded from the central because each answers a different question — how the market against which this share's risk is measured should itself be measured, where shipping rates settle, and whether a perpetual security is a liability at face or at coupon — and blending them would hide the difference instead of showing it. Ranges are bear-to-bull within each lens, and within the cash-flow lens the bear and bull cases are a COMPOSITE of three stresses moved together, not the beta alone. Each end takes one end of the beta's own 90% confidence interval — 1.621 at the bear end and 0.586 at the bull end — and moves the mid-cycle rate anchor and the capital programme against the value at the same time. Reading the beta off by itself, the published grid in section 1.9 puts the 1.621 case at AED 4.05 against a published bear of 2.90, so roughly AED 1.14 of that bound is the other two stresses rather than the statistics. The bounds are still drawn from the estimate's own interval rather than from round numbers chosen by hand — but they are not the span the estimate alone supports, and an earlier edition described them as though they were. Those bounds are WIDER in this edition than in the last one, and the reason is worth stating rather than burying: the beta has been re-measured on the exchange's own trading week, and its 90% interval widened from [0.758, 1.412] to [0.586, 1.621]. The bear and bull cases take those bounds directly, so they widened with it. A published range that grows is not a defect in the study; it is the honest width of what 159 weekly observations on a 3.1-year history can support, and the previous edition's tighter range was claiming more precision than the data holds. The index reading is the largest of the three alternatives: AED 1.73 a share separates the two constructions on the cash-flow lens and AED 1.73 on the central, and both are carried at full size through section 1.1, section 1.8, the comparison in section 4 and the expert panel. Terminal value is 63% of the cash-flow model's enterprise value — a high share, disclosed here, again in the bridge, and stressed in section 1.9.</w:t>
      </w:r>
    </w:p>
    <w:p>
      <w:pPr>
        <w:keepNext/>
        <w:spacing w:after="80" w:before="200"/>
      </w:pPr>
      <w:r>
        <w:rPr>
          <w:b/>
          <w:i w:val="0"/>
          <w:color w:val="1C3A36"/>
          <w:sz w:val="24"/>
        </w:rPr>
        <w:t>Company overview — ADNOC Logistics &amp; Services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rPr>
          <w:cantSplit/>
          <w:tblHeader/>
        </w:trP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rPr>
          <w:cantSplit/>
        </w:trPr>
        <w:tc>
          <w:tcPr>
            <w:tcW w:type="dxa" w:w="2232"/>
          </w:tcPr>
          <w:p>
            <w:pPr>
              <w:spacing w:after="20"/>
            </w:pPr>
            <w:r>
              <w:rPr>
                <w:color w:val="1C3A36"/>
                <w:sz w:val="17"/>
              </w:rPr>
              <w:t>Listed / parent</w:t>
            </w:r>
          </w:p>
        </w:tc>
        <w:tc>
          <w:tcPr>
            <w:tcW w:type="dxa" w:w="7848"/>
          </w:tcPr>
          <w:p>
            <w:pPr>
              <w:spacing w:after="20"/>
            </w:pPr>
            <w:r>
              <w:rPr>
                <w:color w:val="1C3A36"/>
                <w:sz w:val="17"/>
              </w:rPr>
              <w:t>Listed on the Abu Dhabi Securities Exchange in June 2023 under the code ADNOCLS (ISIN AEE01268A239). The Abu Dhabi National Oil Company remains the controlling shareholder, and is also the principal customer</w:t>
            </w:r>
          </w:p>
        </w:tc>
      </w:tr>
      <w:tr>
        <w:trPr>
          <w:cantSplit/>
        </w:trPr>
        <w:tc>
          <w:tcPr>
            <w:tcW w:type="dxa" w:w="2232"/>
          </w:tcPr>
          <w:p>
            <w:pPr>
              <w:spacing w:after="20"/>
            </w:pPr>
            <w:r>
              <w:rPr>
                <w:color w:val="1C3A36"/>
                <w:sz w:val="17"/>
              </w:rPr>
              <w:t>What it does</w:t>
            </w:r>
          </w:p>
        </w:tc>
        <w:tc>
          <w:tcPr>
            <w:tcW w:type="dxa" w:w="7848"/>
          </w:tcPr>
          <w:p>
            <w:pPr>
              <w:spacing w:after="20"/>
            </w:pPr>
            <w:r>
              <w:rPr>
                <w:color w:val="1C3A36"/>
                <w:sz w:val="17"/>
              </w:rPr>
              <w:t>Three disclosed business units. Integrated Logistics covers offshore contracting (jack-up barges and accommodation on the parent’s offshore fields), offshore services (support and supply vessels) and offshore projects (engineering, procurement and construction contracts). Shipping covers crude and product tankers, gas carriers, and dry-bulk and container vessels. Services covers petroleum port operations, bunkering fuel and water, onshore logistics and ship management</w:t>
            </w:r>
          </w:p>
        </w:tc>
      </w:tr>
      <w:tr>
        <w:trPr>
          <w:cantSplit/>
        </w:trPr>
        <w:tc>
          <w:tcPr>
            <w:tcW w:type="dxa" w:w="2232"/>
          </w:tcPr>
          <w:p>
            <w:pPr>
              <w:spacing w:after="20"/>
            </w:pPr>
            <w:r>
              <w:rPr>
                <w:color w:val="1C3A36"/>
                <w:sz w:val="17"/>
              </w:rPr>
              <w:t>Fleet</w:t>
            </w:r>
          </w:p>
        </w:tc>
        <w:tc>
          <w:tcPr>
            <w:tcW w:type="dxa" w:w="7848"/>
          </w:tcPr>
          <w:p>
            <w:pPr>
              <w:spacing w:after="20"/>
            </w:pPr>
            <w:r>
              <w:rPr>
                <w:color w:val="1C3A36"/>
                <w:sz w:val="17"/>
              </w:rPr>
              <w:t>52 owned tankers across five size classes, of which 41 trade at spot rates and 11 are on charters out at rates already fixed; 20 owned gas carriers, 15 of them on long-term contracts; 33 owned jack-up barges plus 12 chartered in; 40 owned offshore support vessels</w:t>
            </w:r>
          </w:p>
        </w:tc>
      </w:tr>
      <w:tr>
        <w:trPr>
          <w:cantSplit/>
        </w:trPr>
        <w:tc>
          <w:tcPr>
            <w:tcW w:type="dxa" w:w="2232"/>
          </w:tcPr>
          <w:p>
            <w:pPr>
              <w:spacing w:after="20"/>
            </w:pPr>
            <w:r>
              <w:rPr>
                <w:color w:val="1C3A36"/>
                <w:sz w:val="17"/>
              </w:rPr>
              <w:t>The purchase announced on the anchor date</w:t>
            </w:r>
          </w:p>
        </w:tc>
        <w:tc>
          <w:tcPr>
            <w:tcW w:type="dxa" w:w="7848"/>
          </w:tcPr>
          <w:p>
            <w:pPr>
              <w:spacing w:after="20"/>
            </w:pPr>
            <w:r>
              <w:rPr>
                <w:color w:val="1C3A36"/>
                <w:sz w:val="17"/>
              </w:rPr>
              <w:t>11 more vessels for about USD 1.3 billion, announced 7 Aug 2026: 6 very large crude carriers, taking that class from 8 to 14, and 5 gas carriers, taking the gas fleet to twelve very large gas carriers. The crude carriers and most of the gas carriers deliver in the third quarter of 2026; the remaining gas carrier newbuildings, resold from a Chinese yard, in the fourth. Each vessel enters the model on its own delivery date and earns from it, and the purchase price is added to net debt in the bridge and to the depreciating asset base</w:t>
            </w:r>
          </w:p>
        </w:tc>
      </w:tr>
      <w:tr>
        <w:trPr>
          <w:cantSplit/>
        </w:trPr>
        <w:tc>
          <w:tcPr>
            <w:tcW w:type="dxa" w:w="2232"/>
          </w:tcPr>
          <w:p>
            <w:pPr>
              <w:spacing w:after="20"/>
            </w:pPr>
            <w:r>
              <w:rPr>
                <w:color w:val="1C3A36"/>
                <w:sz w:val="17"/>
              </w:rPr>
              <w:t>Scale</w:t>
            </w:r>
          </w:p>
        </w:tc>
        <w:tc>
          <w:tcPr>
            <w:tcW w:type="dxa" w:w="7848"/>
          </w:tcPr>
          <w:p>
            <w:pPr>
              <w:spacing w:after="20"/>
            </w:pPr>
            <w:r>
              <w:rPr>
                <w:color w:val="1C3A36"/>
                <w:sz w:val="17"/>
              </w:rPr>
              <w:t>FY2025 revenue USD 5,016 million; earnings before interest, tax, depreciation and amortisation of USD 1,469 million on the operating definition used throughout this study, or USD 1,515 million on the company's own reported definition, which adds the share of joint ventures and one-off items; attributable profit USD 839 million</w:t>
            </w:r>
          </w:p>
        </w:tc>
      </w:tr>
      <w:tr>
        <w:trPr>
          <w:cantSplit/>
        </w:trPr>
        <w:tc>
          <w:tcPr>
            <w:tcW w:type="dxa" w:w="2232"/>
          </w:tcPr>
          <w:p>
            <w:pPr>
              <w:spacing w:after="20"/>
            </w:pPr>
            <w:r>
              <w:rPr>
                <w:color w:val="1C3A36"/>
                <w:sz w:val="17"/>
              </w:rPr>
              <w:t>How much is contracted</w:t>
            </w:r>
          </w:p>
        </w:tc>
        <w:tc>
          <w:tcPr>
            <w:tcW w:type="dxa" w:w="7848"/>
          </w:tcPr>
          <w:p>
            <w:pPr>
              <w:spacing w:after="20"/>
            </w:pPr>
            <w:r>
              <w:rPr>
                <w:color w:val="1C3A36"/>
                <w:sz w:val="17"/>
              </w:rPr>
              <w:t>About 53% of 2026E revenue is already contracted with the parent group, against long-term contracted revenue of roughly USD 25.0 billion</w:t>
            </w:r>
          </w:p>
        </w:tc>
      </w:tr>
      <w:tr>
        <w:trPr>
          <w:cantSplit/>
        </w:trPr>
        <w:tc>
          <w:tcPr>
            <w:tcW w:type="dxa" w:w="2232"/>
          </w:tcPr>
          <w:p>
            <w:pPr>
              <w:spacing w:after="20"/>
            </w:pPr>
            <w:r>
              <w:rPr>
                <w:color w:val="1C3A36"/>
                <w:sz w:val="17"/>
              </w:rPr>
              <w:t>How much is exposed to the market</w:t>
            </w:r>
          </w:p>
        </w:tc>
        <w:tc>
          <w:tcPr>
            <w:tcW w:type="dxa" w:w="7848"/>
          </w:tcPr>
          <w:p>
            <w:pPr>
              <w:spacing w:after="20"/>
            </w:pPr>
            <w:r>
              <w:rPr>
                <w:color w:val="1C3A36"/>
                <w:sz w:val="17"/>
              </w:rPr>
              <w:t>56 vessels trade at spot rates on the company's own group-wide count at the FY2025 year end — wider than the 41 owned tankers free to earn the market at the valuation date in the row above, because it also covers the dry-bulk and container fleet. The company discloses that group earnings move about USD 20 million for every USD 1,000 a day change in the rate they earn, and that 31% of 2026E earnings and 23% of 2029E earnings sit on that exposure</w:t>
            </w:r>
          </w:p>
        </w:tc>
      </w:tr>
      <w:tr>
        <w:trPr>
          <w:cantSplit/>
        </w:trPr>
        <w:tc>
          <w:tcPr>
            <w:tcW w:type="dxa" w:w="2232"/>
          </w:tcPr>
          <w:p>
            <w:pPr>
              <w:spacing w:after="20"/>
            </w:pPr>
            <w:r>
              <w:rPr>
                <w:color w:val="1C3A36"/>
                <w:sz w:val="17"/>
              </w:rPr>
              <w:t>Reporting and trading currency</w:t>
            </w:r>
          </w:p>
        </w:tc>
        <w:tc>
          <w:tcPr>
            <w:tcW w:type="dxa" w:w="7848"/>
          </w:tcPr>
          <w:p>
            <w:pPr>
              <w:spacing w:after="20"/>
            </w:pPr>
            <w:r>
              <w:rPr>
                <w:color w:val="1C3A36"/>
                <w:sz w:val="17"/>
              </w:rPr>
              <w:t>Reports in US dollars; the shares trade in UAE dirhams at the fixed parity of 3.6725. The valuation runs in dollars and converts at the peg only at the per-share line, so no exchange-rate view is embedded anywhere in it</w:t>
            </w:r>
          </w:p>
        </w:tc>
      </w:tr>
      <w:tr>
        <w:trPr>
          <w:cantSplit/>
        </w:trPr>
        <w:tc>
          <w:tcPr>
            <w:tcW w:type="dxa" w:w="2232"/>
          </w:tcPr>
          <w:p>
            <w:pPr>
              <w:spacing w:after="20"/>
            </w:pPr>
            <w:r>
              <w:rPr>
                <w:color w:val="1C3A36"/>
                <w:sz w:val="17"/>
              </w:rPr>
              <w:t>Shares outstanding</w:t>
            </w:r>
          </w:p>
        </w:tc>
        <w:tc>
          <w:tcPr>
            <w:tcW w:type="dxa" w:w="7848"/>
          </w:tcPr>
          <w:p>
            <w:pPr>
              <w:spacing w:after="20"/>
            </w:pPr>
            <w:r>
              <w:rPr>
                <w:color w:val="1C3A36"/>
                <w:sz w:val="17"/>
              </w:rPr>
              <w:t>7,398 million ordinary shares</w:t>
            </w:r>
          </w:p>
        </w:tc>
      </w:tr>
      <w:tr>
        <w:trPr>
          <w:cantSplit/>
        </w:trPr>
        <w:tc>
          <w:tcPr>
            <w:tcW w:type="dxa" w:w="2232"/>
          </w:tcPr>
          <w:p>
            <w:pPr>
              <w:spacing w:after="20"/>
            </w:pPr>
            <w:r>
              <w:rPr>
                <w:color w:val="1C3A36"/>
                <w:sz w:val="17"/>
              </w:rPr>
              <w:t>Market capitalisation</w:t>
            </w:r>
          </w:p>
        </w:tc>
        <w:tc>
          <w:tcPr>
            <w:tcW w:type="dxa" w:w="7848"/>
          </w:tcPr>
          <w:p>
            <w:pPr>
              <w:spacing w:after="20"/>
            </w:pPr>
            <w:r>
              <w:rPr>
                <w:color w:val="1C3A36"/>
                <w:sz w:val="17"/>
              </w:rPr>
              <w:t>USD 13,699 million at the anchor price, or AED 50,310 million</w:t>
            </w:r>
          </w:p>
        </w:tc>
      </w:tr>
      <w:tr>
        <w:trPr>
          <w:cantSplit/>
        </w:trPr>
        <w:tc>
          <w:tcPr>
            <w:tcW w:type="dxa" w:w="2232"/>
          </w:tcPr>
          <w:p>
            <w:pPr>
              <w:spacing w:after="20"/>
            </w:pPr>
            <w:r>
              <w:rPr>
                <w:color w:val="1C3A36"/>
                <w:sz w:val="17"/>
              </w:rPr>
              <w:t>Net debt</w:t>
            </w:r>
          </w:p>
        </w:tc>
        <w:tc>
          <w:tcPr>
            <w:tcW w:type="dxa" w:w="7848"/>
          </w:tcPr>
          <w:p>
            <w:pPr>
              <w:spacing w:after="20"/>
            </w:pPr>
            <w:r>
              <w:rPr>
                <w:color w:val="1C3A36"/>
                <w:sz w:val="17"/>
              </w:rPr>
              <w:t>USD 257 million at 30 June 2026 — 0.09× the 2026E earnings this study forecasts, against the company's own stated medium-term target range of 2.0× to 2.5×. The bridge in section 1.1 deducts USD 1,862 million, which is that figure plus the deferred consideration of USD 304 million and the USD 1.3 billion committed to the August purchase</w:t>
            </w:r>
          </w:p>
        </w:tc>
      </w:tr>
      <w:tr>
        <w:trPr>
          <w:cantSplit/>
        </w:trPr>
        <w:tc>
          <w:tcPr>
            <w:tcW w:type="dxa" w:w="2232"/>
          </w:tcPr>
          <w:p>
            <w:pPr>
              <w:spacing w:after="20"/>
            </w:pPr>
            <w:r>
              <w:rPr>
                <w:color w:val="1C3A36"/>
                <w:sz w:val="17"/>
              </w:rPr>
              <w:t>Perpetual capital securities</w:t>
            </w:r>
          </w:p>
        </w:tc>
        <w:tc>
          <w:tcPr>
            <w:tcW w:type="dxa" w:w="7848"/>
          </w:tcPr>
          <w:p>
            <w:pPr>
              <w:spacing w:after="20"/>
            </w:pPr>
            <w:r>
              <w:rPr>
                <w:color w:val="1C3A36"/>
                <w:sz w:val="17"/>
              </w:rPr>
              <w:t>USD 2.0 billion of perpetual capital securities were issued in FY2025, carried at USD 1,979 million and priced at the secured overnight financing rate plus 125 basis points. They sit inside total equity in the accounts but rank ahead of the ordinary shares, so this study deducts them in the bridge — both at carrying value and at the present value of their coupon — and, because they are a third kind of capital and not a rounding on the other two, also weights them in the cost of capital at 12.0% of the total, at their own coupon of 4.90%</w:t>
            </w:r>
          </w:p>
        </w:tc>
      </w:tr>
      <w:tr>
        <w:trPr>
          <w:cantSplit/>
        </w:trPr>
        <w:tc>
          <w:tcPr>
            <w:tcW w:type="dxa" w:w="2232"/>
          </w:tcPr>
          <w:p>
            <w:pPr>
              <w:spacing w:after="20"/>
            </w:pPr>
            <w:r>
              <w:rPr>
                <w:color w:val="1C3A36"/>
                <w:sz w:val="17"/>
              </w:rPr>
              <w:t>Distribution policy</w:t>
            </w:r>
          </w:p>
        </w:tc>
        <w:tc>
          <w:tcPr>
            <w:tcW w:type="dxa" w:w="7848"/>
          </w:tcPr>
          <w:p>
            <w:pPr>
              <w:spacing w:after="20"/>
            </w:pPr>
            <w:r>
              <w:rPr>
                <w:color w:val="1C3A36"/>
                <w:sz w:val="17"/>
              </w:rPr>
              <w:t>USD 341 million for 2026, paid quarterly, rising 5% a year to 2030 on the company's own stated policy — about 2.5% on the anchor price</w:t>
            </w:r>
          </w:p>
        </w:tc>
      </w:tr>
      <w:tr>
        <w:trPr>
          <w:cantSplit/>
        </w:trPr>
        <w:tc>
          <w:tcPr>
            <w:tcW w:type="dxa" w:w="2232"/>
          </w:tcPr>
          <w:p>
            <w:pPr>
              <w:spacing w:after="20"/>
            </w:pPr>
            <w:r>
              <w:rPr>
                <w:color w:val="1C3A36"/>
                <w:sz w:val="17"/>
              </w:rPr>
              <w:t>Tax</w:t>
            </w:r>
          </w:p>
        </w:tc>
        <w:tc>
          <w:tcPr>
            <w:tcW w:type="dxa" w:w="7848"/>
          </w:tcPr>
          <w:p>
            <w:pPr>
              <w:spacing w:after="20"/>
            </w:pPr>
            <w:r>
              <w:rPr>
                <w:color w:val="1C3A36"/>
                <w:sz w:val="17"/>
              </w:rPr>
              <w:t>The UAE standard corporate rate is 9%. International shipping income is relieved, so the shipping units bore about 1% of their own pre-tax profit in FY2025 against 9% in Integrated Logistics and 4% in Services. The model taxes each unit at its own disclosed rate, and prices the top-up-tax risk separately in section 1.9</w:t>
            </w:r>
          </w:p>
        </w:tc>
      </w:tr>
    </w:tbl>
    <w:p>
      <w:pPr>
        <w:spacing w:after="40"/>
      </w:pPr>
    </w:p>
    <w:p>
      <w:pPr>
        <w:spacing w:after="200" w:before="0"/>
      </w:pPr>
      <w:r>
        <w:rPr>
          <w:b w:val="0"/>
          <w:i w:val="0"/>
          <w:color w:val="1C3A36"/>
          <w:sz w:val="21"/>
        </w:rPr>
        <w:t>Two structural facts govern everything that follows. First, this is two businesses in one listing: a contracted, fee-like logistics operation that earns steady margins from a single creditworthy customer, and a merchant fleet whose earnings are set by a world market the company does not control. In FY2025 Integrated Logistics turned USD 2,529 million of revenue into USD 829 million of earnings, a margin of 32.8%; Shipping turned USD 2,125 million into USD 619 million, a margin of 29.1%. Second, the balance sheet is unusually light for an asset-heavy fleet owner: property, plant and equipment of USD 6,884 million is funded with net debt of only USD 257 million, because USD 2.0 billion of perpetual capital securities and a parent revolving facility drawn to USD 125 million sit between the fleet and the ordinary shares. How those securities are treated is the second contested judgement in this study, and it too is published both ways.</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built at 2026-06-30, the date of the most recent reviewed balance sheet. Revenue is not a growth rate applied to a revenue line. Each of the seven units the company discloses is forecast on its own physical driver: the tankers literally vessel by vessel — each of the 12 vessels chartered out earns its own disclosed rate for exactly the days its own contract runs, and every other vessel earns the open-market rate solved out of the company's published class averages — the gas carriers on contracted vessel-years at the day rate implied by their own revenue, and the remaining units on what they actually earned in the first quarter of 2026, annualised and grown. Sections 1.6 and 1.7 set the build out unit by unit and vessel by vessel.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Revenue</w:t>
            </w:r>
          </w:p>
        </w:tc>
        <w:tc>
          <w:tcPr>
            <w:tcW w:type="dxa" w:w="1382"/>
          </w:tcPr>
          <w:p>
            <w:pPr>
              <w:spacing w:after="20"/>
              <w:jc w:val="right"/>
            </w:pPr>
            <w:r>
              <w:rPr>
                <w:color w:val="1C3A36"/>
                <w:sz w:val="16"/>
              </w:rPr>
              <w:t>6,982</w:t>
            </w:r>
          </w:p>
        </w:tc>
        <w:tc>
          <w:tcPr>
            <w:tcW w:type="dxa" w:w="1382"/>
          </w:tcPr>
          <w:p>
            <w:pPr>
              <w:spacing w:after="20"/>
              <w:jc w:val="right"/>
            </w:pPr>
            <w:r>
              <w:rPr>
                <w:color w:val="1C3A36"/>
                <w:sz w:val="16"/>
              </w:rPr>
              <w:t>7,690</w:t>
            </w:r>
          </w:p>
        </w:tc>
        <w:tc>
          <w:tcPr>
            <w:tcW w:type="dxa" w:w="1382"/>
          </w:tcPr>
          <w:p>
            <w:pPr>
              <w:spacing w:after="20"/>
              <w:jc w:val="right"/>
            </w:pPr>
            <w:r>
              <w:rPr>
                <w:color w:val="1C3A36"/>
                <w:sz w:val="16"/>
              </w:rPr>
              <w:t>7,447</w:t>
            </w:r>
          </w:p>
        </w:tc>
        <w:tc>
          <w:tcPr>
            <w:tcW w:type="dxa" w:w="1382"/>
          </w:tcPr>
          <w:p>
            <w:pPr>
              <w:spacing w:after="20"/>
              <w:jc w:val="right"/>
            </w:pPr>
            <w:r>
              <w:rPr>
                <w:color w:val="1C3A36"/>
                <w:sz w:val="16"/>
              </w:rPr>
              <w:t>6,716</w:t>
            </w:r>
          </w:p>
        </w:tc>
        <w:tc>
          <w:tcPr>
            <w:tcW w:type="dxa" w:w="1382"/>
          </w:tcPr>
          <w:p>
            <w:pPr>
              <w:spacing w:after="20"/>
              <w:jc w:val="right"/>
            </w:pPr>
            <w:r>
              <w:rPr>
                <w:color w:val="1C3A36"/>
                <w:sz w:val="16"/>
              </w:rPr>
              <w:t>5,890</w:t>
            </w:r>
          </w:p>
        </w:tc>
      </w:tr>
      <w:tr>
        <w:trPr>
          <w:cantSplit/>
        </w:trPr>
        <w:tc>
          <w:tcPr>
            <w:tcW w:type="dxa" w:w="3168"/>
          </w:tcPr>
          <w:p>
            <w:pPr>
              <w:spacing w:after="20"/>
            </w:pPr>
            <w:r>
              <w:rPr>
                <w:color w:val="1C3A36"/>
                <w:sz w:val="16"/>
              </w:rPr>
              <w:t>Less operating costs</w:t>
            </w:r>
          </w:p>
        </w:tc>
        <w:tc>
          <w:tcPr>
            <w:tcW w:type="dxa" w:w="1382"/>
          </w:tcPr>
          <w:p>
            <w:pPr>
              <w:spacing w:after="20"/>
              <w:jc w:val="right"/>
            </w:pPr>
            <w:r>
              <w:rPr>
                <w:color w:val="1C3A36"/>
                <w:sz w:val="16"/>
              </w:rPr>
              <w:t>(4,266)</w:t>
            </w:r>
          </w:p>
        </w:tc>
        <w:tc>
          <w:tcPr>
            <w:tcW w:type="dxa" w:w="1382"/>
          </w:tcPr>
          <w:p>
            <w:pPr>
              <w:spacing w:after="20"/>
              <w:jc w:val="right"/>
            </w:pPr>
            <w:r>
              <w:rPr>
                <w:color w:val="1C3A36"/>
                <w:sz w:val="16"/>
              </w:rPr>
              <w:t>(4,550)</w:t>
            </w:r>
          </w:p>
        </w:tc>
        <w:tc>
          <w:tcPr>
            <w:tcW w:type="dxa" w:w="1382"/>
          </w:tcPr>
          <w:p>
            <w:pPr>
              <w:spacing w:after="20"/>
              <w:jc w:val="right"/>
            </w:pPr>
            <w:r>
              <w:rPr>
                <w:color w:val="1C3A36"/>
                <w:sz w:val="16"/>
              </w:rPr>
              <w:t>(4,523)</w:t>
            </w:r>
          </w:p>
        </w:tc>
        <w:tc>
          <w:tcPr>
            <w:tcW w:type="dxa" w:w="1382"/>
          </w:tcPr>
          <w:p>
            <w:pPr>
              <w:spacing w:after="20"/>
              <w:jc w:val="right"/>
            </w:pPr>
            <w:r>
              <w:rPr>
                <w:color w:val="1C3A36"/>
                <w:sz w:val="16"/>
              </w:rPr>
              <w:t>(4,290)</w:t>
            </w:r>
          </w:p>
        </w:tc>
        <w:tc>
          <w:tcPr>
            <w:tcW w:type="dxa" w:w="1382"/>
          </w:tcPr>
          <w:p>
            <w:pPr>
              <w:spacing w:after="20"/>
              <w:jc w:val="right"/>
            </w:pPr>
            <w:r>
              <w:rPr>
                <w:color w:val="1C3A36"/>
                <w:sz w:val="16"/>
              </w:rPr>
              <w:t>(4,010)</w:t>
            </w:r>
          </w:p>
        </w:tc>
      </w:tr>
      <w:tr>
        <w:trPr>
          <w:cantSplit/>
        </w:trPr>
        <w:tc>
          <w:tcPr>
            <w:tcW w:type="dxa" w:w="3168"/>
          </w:tcPr>
          <w:p>
            <w:pPr>
              <w:spacing w:after="20"/>
            </w:pPr>
            <w:r>
              <w:rPr>
                <w:color w:val="1C3A36"/>
                <w:sz w:val="16"/>
              </w:rPr>
              <w:t>Earnings before interest, tax, depreciation and amortisation</w:t>
            </w:r>
          </w:p>
        </w:tc>
        <w:tc>
          <w:tcPr>
            <w:tcW w:type="dxa" w:w="1382"/>
          </w:tcPr>
          <w:p>
            <w:pPr>
              <w:spacing w:after="20"/>
              <w:jc w:val="right"/>
            </w:pPr>
            <w:r>
              <w:rPr>
                <w:color w:val="1C3A36"/>
                <w:sz w:val="16"/>
              </w:rPr>
              <w:t>2,716</w:t>
            </w:r>
          </w:p>
        </w:tc>
        <w:tc>
          <w:tcPr>
            <w:tcW w:type="dxa" w:w="1382"/>
          </w:tcPr>
          <w:p>
            <w:pPr>
              <w:spacing w:after="20"/>
              <w:jc w:val="right"/>
            </w:pPr>
            <w:r>
              <w:rPr>
                <w:color w:val="1C3A36"/>
                <w:sz w:val="16"/>
              </w:rPr>
              <w:t>3,140</w:t>
            </w:r>
          </w:p>
        </w:tc>
        <w:tc>
          <w:tcPr>
            <w:tcW w:type="dxa" w:w="1382"/>
          </w:tcPr>
          <w:p>
            <w:pPr>
              <w:spacing w:after="20"/>
              <w:jc w:val="right"/>
            </w:pPr>
            <w:r>
              <w:rPr>
                <w:color w:val="1C3A36"/>
                <w:sz w:val="16"/>
              </w:rPr>
              <w:t>2,924</w:t>
            </w:r>
          </w:p>
        </w:tc>
        <w:tc>
          <w:tcPr>
            <w:tcW w:type="dxa" w:w="1382"/>
          </w:tcPr>
          <w:p>
            <w:pPr>
              <w:spacing w:after="20"/>
              <w:jc w:val="right"/>
            </w:pPr>
            <w:r>
              <w:rPr>
                <w:color w:val="1C3A36"/>
                <w:sz w:val="16"/>
              </w:rPr>
              <w:t>2,426</w:t>
            </w:r>
          </w:p>
        </w:tc>
        <w:tc>
          <w:tcPr>
            <w:tcW w:type="dxa" w:w="1382"/>
          </w:tcPr>
          <w:p>
            <w:pPr>
              <w:spacing w:after="20"/>
              <w:jc w:val="right"/>
            </w:pPr>
            <w:r>
              <w:rPr>
                <w:color w:val="1C3A36"/>
                <w:sz w:val="16"/>
              </w:rPr>
              <w:t>1,880</w:t>
            </w:r>
          </w:p>
        </w:tc>
      </w:tr>
      <w:tr>
        <w:trPr>
          <w:cantSplit/>
        </w:trPr>
        <w:tc>
          <w:tcPr>
            <w:tcW w:type="dxa" w:w="3168"/>
          </w:tcPr>
          <w:p>
            <w:pPr>
              <w:spacing w:after="20"/>
            </w:pPr>
            <w:r>
              <w:rPr>
                <w:color w:val="1C3A36"/>
                <w:sz w:val="16"/>
              </w:rPr>
              <w:t xml:space="preserve">  margin on revenue</w:t>
            </w:r>
          </w:p>
        </w:tc>
        <w:tc>
          <w:tcPr>
            <w:tcW w:type="dxa" w:w="1382"/>
          </w:tcPr>
          <w:p>
            <w:pPr>
              <w:spacing w:after="20"/>
              <w:jc w:val="right"/>
            </w:pPr>
            <w:r>
              <w:rPr>
                <w:color w:val="1C3A36"/>
                <w:sz w:val="16"/>
              </w:rPr>
              <w:t>38.9%</w:t>
            </w:r>
          </w:p>
        </w:tc>
        <w:tc>
          <w:tcPr>
            <w:tcW w:type="dxa" w:w="1382"/>
          </w:tcPr>
          <w:p>
            <w:pPr>
              <w:spacing w:after="20"/>
              <w:jc w:val="right"/>
            </w:pPr>
            <w:r>
              <w:rPr>
                <w:color w:val="1C3A36"/>
                <w:sz w:val="16"/>
              </w:rPr>
              <w:t>40.8%</w:t>
            </w:r>
          </w:p>
        </w:tc>
        <w:tc>
          <w:tcPr>
            <w:tcW w:type="dxa" w:w="1382"/>
          </w:tcPr>
          <w:p>
            <w:pPr>
              <w:spacing w:after="20"/>
              <w:jc w:val="right"/>
            </w:pPr>
            <w:r>
              <w:rPr>
                <w:color w:val="1C3A36"/>
                <w:sz w:val="16"/>
              </w:rPr>
              <w:t>39.3%</w:t>
            </w:r>
          </w:p>
        </w:tc>
        <w:tc>
          <w:tcPr>
            <w:tcW w:type="dxa" w:w="1382"/>
          </w:tcPr>
          <w:p>
            <w:pPr>
              <w:spacing w:after="20"/>
              <w:jc w:val="right"/>
            </w:pPr>
            <w:r>
              <w:rPr>
                <w:color w:val="1C3A36"/>
                <w:sz w:val="16"/>
              </w:rPr>
              <w:t>36.1%</w:t>
            </w:r>
          </w:p>
        </w:tc>
        <w:tc>
          <w:tcPr>
            <w:tcW w:type="dxa" w:w="1382"/>
          </w:tcPr>
          <w:p>
            <w:pPr>
              <w:spacing w:after="20"/>
              <w:jc w:val="right"/>
            </w:pPr>
            <w:r>
              <w:rPr>
                <w:color w:val="1C3A36"/>
                <w:sz w:val="16"/>
              </w:rPr>
              <w:t>31.9%</w:t>
            </w:r>
          </w:p>
        </w:tc>
      </w:tr>
      <w:tr>
        <w:trPr>
          <w:cantSplit/>
        </w:trPr>
        <w:tc>
          <w:tcPr>
            <w:tcW w:type="dxa" w:w="3168"/>
          </w:tcPr>
          <w:p>
            <w:pPr>
              <w:spacing w:after="20"/>
            </w:pPr>
            <w:r>
              <w:rPr>
                <w:color w:val="1C3A36"/>
                <w:sz w:val="16"/>
              </w:rPr>
              <w:t>Less depreciation and amortisation</w:t>
            </w:r>
          </w:p>
        </w:tc>
        <w:tc>
          <w:tcPr>
            <w:tcW w:type="dxa" w:w="1382"/>
          </w:tcPr>
          <w:p>
            <w:pPr>
              <w:spacing w:after="20"/>
              <w:jc w:val="right"/>
            </w:pPr>
            <w:r>
              <w:rPr>
                <w:color w:val="1C3A36"/>
                <w:sz w:val="16"/>
              </w:rPr>
              <w:t>(587)</w:t>
            </w:r>
          </w:p>
        </w:tc>
        <w:tc>
          <w:tcPr>
            <w:tcW w:type="dxa" w:w="1382"/>
          </w:tcPr>
          <w:p>
            <w:pPr>
              <w:spacing w:after="20"/>
              <w:jc w:val="right"/>
            </w:pPr>
            <w:r>
              <w:rPr>
                <w:color w:val="1C3A36"/>
                <w:sz w:val="16"/>
              </w:rPr>
              <w:t>(675)</w:t>
            </w:r>
          </w:p>
        </w:tc>
        <w:tc>
          <w:tcPr>
            <w:tcW w:type="dxa" w:w="1382"/>
          </w:tcPr>
          <w:p>
            <w:pPr>
              <w:spacing w:after="20"/>
              <w:jc w:val="right"/>
            </w:pPr>
            <w:r>
              <w:rPr>
                <w:color w:val="1C3A36"/>
                <w:sz w:val="16"/>
              </w:rPr>
              <w:t>(717)</w:t>
            </w:r>
          </w:p>
        </w:tc>
        <w:tc>
          <w:tcPr>
            <w:tcW w:type="dxa" w:w="1382"/>
          </w:tcPr>
          <w:p>
            <w:pPr>
              <w:spacing w:after="20"/>
              <w:jc w:val="right"/>
            </w:pPr>
            <w:r>
              <w:rPr>
                <w:color w:val="1C3A36"/>
                <w:sz w:val="16"/>
              </w:rPr>
              <w:t>(741)</w:t>
            </w:r>
          </w:p>
        </w:tc>
        <w:tc>
          <w:tcPr>
            <w:tcW w:type="dxa" w:w="1382"/>
          </w:tcPr>
          <w:p>
            <w:pPr>
              <w:spacing w:after="20"/>
              <w:jc w:val="right"/>
            </w:pPr>
            <w:r>
              <w:rPr>
                <w:color w:val="1C3A36"/>
                <w:sz w:val="16"/>
              </w:rPr>
              <w:t>(747)</w:t>
            </w:r>
          </w:p>
        </w:tc>
      </w:tr>
      <w:tr>
        <w:trPr>
          <w:cantSplit/>
        </w:trPr>
        <w:tc>
          <w:tcPr>
            <w:tcW w:type="dxa" w:w="3168"/>
          </w:tcPr>
          <w:p>
            <w:pPr>
              <w:spacing w:after="20"/>
            </w:pPr>
            <w:r>
              <w:rPr>
                <w:color w:val="1C3A36"/>
                <w:sz w:val="16"/>
              </w:rPr>
              <w:t>Earnings before interest and tax</w:t>
            </w:r>
          </w:p>
        </w:tc>
        <w:tc>
          <w:tcPr>
            <w:tcW w:type="dxa" w:w="1382"/>
          </w:tcPr>
          <w:p>
            <w:pPr>
              <w:spacing w:after="20"/>
              <w:jc w:val="right"/>
            </w:pPr>
            <w:r>
              <w:rPr>
                <w:color w:val="1C3A36"/>
                <w:sz w:val="16"/>
              </w:rPr>
              <w:t>2,129</w:t>
            </w:r>
          </w:p>
        </w:tc>
        <w:tc>
          <w:tcPr>
            <w:tcW w:type="dxa" w:w="1382"/>
          </w:tcPr>
          <w:p>
            <w:pPr>
              <w:spacing w:after="20"/>
              <w:jc w:val="right"/>
            </w:pPr>
            <w:r>
              <w:rPr>
                <w:color w:val="1C3A36"/>
                <w:sz w:val="16"/>
              </w:rPr>
              <w:t>2,465</w:t>
            </w:r>
          </w:p>
        </w:tc>
        <w:tc>
          <w:tcPr>
            <w:tcW w:type="dxa" w:w="1382"/>
          </w:tcPr>
          <w:p>
            <w:pPr>
              <w:spacing w:after="20"/>
              <w:jc w:val="right"/>
            </w:pPr>
            <w:r>
              <w:rPr>
                <w:color w:val="1C3A36"/>
                <w:sz w:val="16"/>
              </w:rPr>
              <w:t>2,207</w:t>
            </w:r>
          </w:p>
        </w:tc>
        <w:tc>
          <w:tcPr>
            <w:tcW w:type="dxa" w:w="1382"/>
          </w:tcPr>
          <w:p>
            <w:pPr>
              <w:spacing w:after="20"/>
              <w:jc w:val="right"/>
            </w:pPr>
            <w:r>
              <w:rPr>
                <w:color w:val="1C3A36"/>
                <w:sz w:val="16"/>
              </w:rPr>
              <w:t>1,685</w:t>
            </w:r>
          </w:p>
        </w:tc>
        <w:tc>
          <w:tcPr>
            <w:tcW w:type="dxa" w:w="1382"/>
          </w:tcPr>
          <w:p>
            <w:pPr>
              <w:spacing w:after="20"/>
              <w:jc w:val="right"/>
            </w:pPr>
            <w:r>
              <w:rPr>
                <w:color w:val="1C3A36"/>
                <w:sz w:val="16"/>
              </w:rPr>
              <w:t>1,134</w:t>
            </w:r>
          </w:p>
        </w:tc>
      </w:tr>
      <w:tr>
        <w:trPr>
          <w:cantSplit/>
        </w:trPr>
        <w:tc>
          <w:tcPr>
            <w:tcW w:type="dxa" w:w="3168"/>
          </w:tcPr>
          <w:p>
            <w:pPr>
              <w:spacing w:after="20"/>
            </w:pPr>
            <w:r>
              <w:rPr>
                <w:color w:val="1C3A36"/>
                <w:sz w:val="16"/>
              </w:rPr>
              <w:t xml:space="preserve">  effective tax rate on the units</w:t>
            </w:r>
          </w:p>
        </w:tc>
        <w:tc>
          <w:tcPr>
            <w:tcW w:type="dxa" w:w="1382"/>
          </w:tcPr>
          <w:p>
            <w:pPr>
              <w:spacing w:after="20"/>
              <w:jc w:val="right"/>
            </w:pPr>
            <w:r>
              <w:rPr>
                <w:color w:val="1C3A36"/>
                <w:sz w:val="16"/>
              </w:rPr>
              <w:t>2.5%</w:t>
            </w:r>
          </w:p>
        </w:tc>
        <w:tc>
          <w:tcPr>
            <w:tcW w:type="dxa" w:w="1382"/>
          </w:tcPr>
          <w:p>
            <w:pPr>
              <w:spacing w:after="20"/>
              <w:jc w:val="right"/>
            </w:pPr>
            <w:r>
              <w:rPr>
                <w:color w:val="1C3A36"/>
                <w:sz w:val="16"/>
              </w:rPr>
              <w:t>2.4%</w:t>
            </w:r>
          </w:p>
        </w:tc>
        <w:tc>
          <w:tcPr>
            <w:tcW w:type="dxa" w:w="1382"/>
          </w:tcPr>
          <w:p>
            <w:pPr>
              <w:spacing w:after="20"/>
              <w:jc w:val="right"/>
            </w:pPr>
            <w:r>
              <w:rPr>
                <w:color w:val="1C3A36"/>
                <w:sz w:val="16"/>
              </w:rPr>
              <w:t>2.7%</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4.6%</w:t>
            </w:r>
          </w:p>
        </w:tc>
      </w:tr>
      <w:tr>
        <w:trPr>
          <w:cantSplit/>
        </w:trPr>
        <w:tc>
          <w:tcPr>
            <w:tcW w:type="dxa" w:w="3168"/>
          </w:tcPr>
          <w:p>
            <w:pPr>
              <w:spacing w:after="20"/>
            </w:pPr>
            <w:r>
              <w:rPr>
                <w:color w:val="1C3A36"/>
                <w:sz w:val="16"/>
              </w:rPr>
              <w:t>Net operating profit after tax — earnings before interest and tax × (1 − t)</w:t>
            </w:r>
          </w:p>
        </w:tc>
        <w:tc>
          <w:tcPr>
            <w:tcW w:type="dxa" w:w="1382"/>
          </w:tcPr>
          <w:p>
            <w:pPr>
              <w:spacing w:after="20"/>
              <w:jc w:val="right"/>
            </w:pPr>
            <w:r>
              <w:rPr>
                <w:color w:val="1C3A36"/>
                <w:sz w:val="16"/>
              </w:rPr>
              <w:t>2,077</w:t>
            </w:r>
          </w:p>
        </w:tc>
        <w:tc>
          <w:tcPr>
            <w:tcW w:type="dxa" w:w="1382"/>
          </w:tcPr>
          <w:p>
            <w:pPr>
              <w:spacing w:after="20"/>
              <w:jc w:val="right"/>
            </w:pPr>
            <w:r>
              <w:rPr>
                <w:color w:val="1C3A36"/>
                <w:sz w:val="16"/>
              </w:rPr>
              <w:t>2,405</w:t>
            </w:r>
          </w:p>
        </w:tc>
        <w:tc>
          <w:tcPr>
            <w:tcW w:type="dxa" w:w="1382"/>
          </w:tcPr>
          <w:p>
            <w:pPr>
              <w:spacing w:after="20"/>
              <w:jc w:val="right"/>
            </w:pPr>
            <w:r>
              <w:rPr>
                <w:color w:val="1C3A36"/>
                <w:sz w:val="16"/>
              </w:rPr>
              <w:t>2,148</w:t>
            </w:r>
          </w:p>
        </w:tc>
        <w:tc>
          <w:tcPr>
            <w:tcW w:type="dxa" w:w="1382"/>
          </w:tcPr>
          <w:p>
            <w:pPr>
              <w:spacing w:after="20"/>
              <w:jc w:val="right"/>
            </w:pPr>
            <w:r>
              <w:rPr>
                <w:color w:val="1C3A36"/>
                <w:sz w:val="16"/>
              </w:rPr>
              <w:t>1,630</w:t>
            </w:r>
          </w:p>
        </w:tc>
        <w:tc>
          <w:tcPr>
            <w:tcW w:type="dxa" w:w="1382"/>
          </w:tcPr>
          <w:p>
            <w:pPr>
              <w:spacing w:after="20"/>
              <w:jc w:val="right"/>
            </w:pPr>
            <w:r>
              <w:rPr>
                <w:color w:val="1C3A36"/>
                <w:sz w:val="16"/>
              </w:rPr>
              <w:t>1,081</w:t>
            </w:r>
          </w:p>
        </w:tc>
      </w:tr>
      <w:tr>
        <w:trPr>
          <w:cantSplit/>
        </w:trPr>
        <w:tc>
          <w:tcPr>
            <w:tcW w:type="dxa" w:w="3168"/>
          </w:tcPr>
          <w:p>
            <w:pPr>
              <w:spacing w:after="20"/>
            </w:pPr>
            <w:r>
              <w:rPr>
                <w:color w:val="1C3A36"/>
                <w:sz w:val="16"/>
              </w:rPr>
              <w:t>Add back depreciation and amortisation</w:t>
            </w:r>
          </w:p>
        </w:tc>
        <w:tc>
          <w:tcPr>
            <w:tcW w:type="dxa" w:w="1382"/>
          </w:tcPr>
          <w:p>
            <w:pPr>
              <w:spacing w:after="20"/>
              <w:jc w:val="right"/>
            </w:pPr>
            <w:r>
              <w:rPr>
                <w:color w:val="1C3A36"/>
                <w:sz w:val="16"/>
              </w:rPr>
              <w:t>587</w:t>
            </w:r>
          </w:p>
        </w:tc>
        <w:tc>
          <w:tcPr>
            <w:tcW w:type="dxa" w:w="1382"/>
          </w:tcPr>
          <w:p>
            <w:pPr>
              <w:spacing w:after="20"/>
              <w:jc w:val="right"/>
            </w:pPr>
            <w:r>
              <w:rPr>
                <w:color w:val="1C3A36"/>
                <w:sz w:val="16"/>
              </w:rPr>
              <w:t>675</w:t>
            </w:r>
          </w:p>
        </w:tc>
        <w:tc>
          <w:tcPr>
            <w:tcW w:type="dxa" w:w="1382"/>
          </w:tcPr>
          <w:p>
            <w:pPr>
              <w:spacing w:after="20"/>
              <w:jc w:val="right"/>
            </w:pPr>
            <w:r>
              <w:rPr>
                <w:color w:val="1C3A36"/>
                <w:sz w:val="16"/>
              </w:rPr>
              <w:t>717</w:t>
            </w:r>
          </w:p>
        </w:tc>
        <w:tc>
          <w:tcPr>
            <w:tcW w:type="dxa" w:w="1382"/>
          </w:tcPr>
          <w:p>
            <w:pPr>
              <w:spacing w:after="20"/>
              <w:jc w:val="right"/>
            </w:pPr>
            <w:r>
              <w:rPr>
                <w:color w:val="1C3A36"/>
                <w:sz w:val="16"/>
              </w:rPr>
              <w:t>741</w:t>
            </w:r>
          </w:p>
        </w:tc>
        <w:tc>
          <w:tcPr>
            <w:tcW w:type="dxa" w:w="1382"/>
          </w:tcPr>
          <w:p>
            <w:pPr>
              <w:spacing w:after="20"/>
              <w:jc w:val="right"/>
            </w:pPr>
            <w:r>
              <w:rPr>
                <w:color w:val="1C3A36"/>
                <w:sz w:val="16"/>
              </w:rPr>
              <w:t>747</w:t>
            </w:r>
          </w:p>
        </w:tc>
      </w:tr>
      <w:tr>
        <w:trPr>
          <w:cantSplit/>
        </w:trPr>
        <w:tc>
          <w:tcPr>
            <w:tcW w:type="dxa" w:w="3168"/>
          </w:tcPr>
          <w:p>
            <w:pPr>
              <w:spacing w:after="20"/>
            </w:pPr>
            <w:r>
              <w:rPr>
                <w:color w:val="1C3A36"/>
                <w:sz w:val="16"/>
              </w:rPr>
              <w:t>Less capital expenditure</w:t>
            </w:r>
          </w:p>
        </w:tc>
        <w:tc>
          <w:tcPr>
            <w:tcW w:type="dxa" w:w="1382"/>
          </w:tcPr>
          <w:p>
            <w:pPr>
              <w:spacing w:after="20"/>
              <w:jc w:val="right"/>
            </w:pPr>
            <w:r>
              <w:rPr>
                <w:color w:val="1C3A36"/>
                <w:sz w:val="16"/>
              </w:rPr>
              <w:t>(1,375)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(700)</w:t>
            </w:r>
          </w:p>
        </w:tc>
        <w:tc>
          <w:tcPr>
            <w:tcW w:type="dxa" w:w="1382"/>
          </w:tcPr>
          <w:p>
            <w:pPr>
              <w:spacing w:after="20"/>
              <w:jc w:val="right"/>
            </w:pPr>
            <w:r>
              <w:rPr>
                <w:color w:val="1C3A36"/>
                <w:sz w:val="16"/>
              </w:rPr>
              <w:t>(650)</w:t>
            </w:r>
          </w:p>
        </w:tc>
      </w:tr>
      <w:tr>
        <w:trPr>
          <w:cantSplit/>
        </w:trPr>
        <w:tc>
          <w:tcPr>
            <w:tcW w:type="dxa" w:w="3168"/>
          </w:tcPr>
          <w:p>
            <w:pPr>
              <w:spacing w:after="20"/>
            </w:pPr>
            <w:r>
              <w:rPr>
                <w:color w:val="1C3A36"/>
                <w:sz w:val="16"/>
              </w:rPr>
              <w:t>Movement in working capital — a release adds, a build subtracts</w:t>
            </w:r>
          </w:p>
        </w:tc>
        <w:tc>
          <w:tcPr>
            <w:tcW w:type="dxa" w:w="1382"/>
          </w:tcPr>
          <w:p>
            <w:pPr>
              <w:spacing w:after="20"/>
              <w:jc w:val="right"/>
            </w:pPr>
            <w:r>
              <w:rPr>
                <w:color w:val="1C3A36"/>
                <w:sz w:val="16"/>
              </w:rPr>
              <w:t>(385)</w:t>
            </w:r>
          </w:p>
        </w:tc>
        <w:tc>
          <w:tcPr>
            <w:tcW w:type="dxa" w:w="1382"/>
          </w:tcPr>
          <w:p>
            <w:pPr>
              <w:spacing w:after="20"/>
              <w:jc w:val="right"/>
            </w:pPr>
            <w:r>
              <w:rPr>
                <w:color w:val="1C3A36"/>
                <w:sz w:val="16"/>
              </w:rPr>
              <w:t>(122)</w:t>
            </w:r>
          </w:p>
        </w:tc>
        <w:tc>
          <w:tcPr>
            <w:tcW w:type="dxa" w:w="1382"/>
          </w:tcPr>
          <w:p>
            <w:pPr>
              <w:spacing w:after="20"/>
              <w:jc w:val="right"/>
            </w:pPr>
            <w:r>
              <w:rPr>
                <w:color w:val="1C3A36"/>
                <w:sz w:val="16"/>
              </w:rPr>
              <w:t>65</w:t>
            </w:r>
          </w:p>
        </w:tc>
        <w:tc>
          <w:tcPr>
            <w:tcW w:type="dxa" w:w="1382"/>
          </w:tcPr>
          <w:p>
            <w:pPr>
              <w:spacing w:after="20"/>
              <w:jc w:val="right"/>
            </w:pPr>
            <w:r>
              <w:rPr>
                <w:color w:val="1C3A36"/>
                <w:sz w:val="16"/>
              </w:rPr>
              <w:t>145</w:t>
            </w:r>
          </w:p>
        </w:tc>
        <w:tc>
          <w:tcPr>
            <w:tcW w:type="dxa" w:w="1382"/>
          </w:tcPr>
          <w:p>
            <w:pPr>
              <w:spacing w:after="20"/>
              <w:jc w:val="right"/>
            </w:pPr>
            <w:r>
              <w:rPr>
                <w:color w:val="1C3A36"/>
                <w:sz w:val="16"/>
              </w:rPr>
              <w:t>159</w:t>
            </w:r>
          </w:p>
        </w:tc>
      </w:tr>
      <w:tr>
        <w:trPr>
          <w:cantSplit/>
        </w:trPr>
        <w:tc>
          <w:tcPr>
            <w:tcW w:type="dxa" w:w="3168"/>
            <w:shd w:val="clear" w:color="auto" w:fill="F6F1E6"/>
          </w:tcPr>
          <w:p>
            <w:pPr>
              <w:spacing w:after="20"/>
            </w:pPr>
            <w:r>
              <w:rPr>
                <w:b/>
                <w:color w:val="1C3A36"/>
                <w:sz w:val="16"/>
              </w:rPr>
              <w:t>Free cash flow to the firm</w:t>
            </w:r>
          </w:p>
        </w:tc>
        <w:tc>
          <w:tcPr>
            <w:tcW w:type="dxa" w:w="1382"/>
            <w:shd w:val="clear" w:color="auto" w:fill="F6F1E6"/>
          </w:tcPr>
          <w:p>
            <w:pPr>
              <w:spacing w:after="20"/>
              <w:jc w:val="right"/>
            </w:pPr>
            <w:r>
              <w:rPr>
                <w:b/>
                <w:color w:val="1C3A36"/>
                <w:sz w:val="16"/>
              </w:rPr>
              <w:t>903</w:t>
            </w:r>
          </w:p>
        </w:tc>
        <w:tc>
          <w:tcPr>
            <w:tcW w:type="dxa" w:w="1382"/>
            <w:shd w:val="clear" w:color="auto" w:fill="F6F1E6"/>
          </w:tcPr>
          <w:p>
            <w:pPr>
              <w:spacing w:after="20"/>
              <w:jc w:val="right"/>
            </w:pPr>
            <w:r>
              <w:rPr>
                <w:b/>
                <w:color w:val="1C3A36"/>
                <w:sz w:val="16"/>
              </w:rPr>
              <w:t>1,713</w:t>
            </w:r>
          </w:p>
        </w:tc>
        <w:tc>
          <w:tcPr>
            <w:tcW w:type="dxa" w:w="1382"/>
            <w:shd w:val="clear" w:color="auto" w:fill="F6F1E6"/>
          </w:tcPr>
          <w:p>
            <w:pPr>
              <w:spacing w:after="20"/>
              <w:jc w:val="right"/>
            </w:pPr>
            <w:r>
              <w:rPr>
                <w:b/>
                <w:color w:val="1C3A36"/>
                <w:sz w:val="16"/>
              </w:rPr>
              <w:t>1,685</w:t>
            </w:r>
          </w:p>
        </w:tc>
        <w:tc>
          <w:tcPr>
            <w:tcW w:type="dxa" w:w="1382"/>
            <w:shd w:val="clear" w:color="auto" w:fill="F6F1E6"/>
          </w:tcPr>
          <w:p>
            <w:pPr>
              <w:spacing w:after="20"/>
              <w:jc w:val="right"/>
            </w:pPr>
            <w:r>
              <w:rPr>
                <w:b/>
                <w:color w:val="1C3A36"/>
                <w:sz w:val="16"/>
              </w:rPr>
              <w:t>1,816</w:t>
            </w:r>
          </w:p>
        </w:tc>
        <w:tc>
          <w:tcPr>
            <w:tcW w:type="dxa" w:w="1382"/>
            <w:shd w:val="clear" w:color="auto" w:fill="F6F1E6"/>
          </w:tcPr>
          <w:p>
            <w:pPr>
              <w:spacing w:after="20"/>
              <w:jc w:val="right"/>
            </w:pPr>
            <w:r>
              <w:rPr>
                <w:b/>
                <w:color w:val="1C3A36"/>
                <w:sz w:val="16"/>
              </w:rPr>
              <w:t>1,337</w:t>
            </w:r>
          </w:p>
        </w:tc>
      </w:tr>
      <w:tr>
        <w:trPr>
          <w:cantSplit/>
        </w:trPr>
        <w:tc>
          <w:tcPr>
            <w:tcW w:type="dxa" w:w="3168"/>
          </w:tcPr>
          <w:p>
            <w:pPr>
              <w:spacing w:after="20"/>
            </w:pPr>
            <w:r>
              <w:rPr>
                <w:color w:val="1C3A36"/>
                <w:sz w:val="16"/>
              </w:rPr>
              <w:t>Less the first quarter already inside the balance sheet</w:t>
            </w:r>
          </w:p>
        </w:tc>
        <w:tc>
          <w:tcPr>
            <w:tcW w:type="dxa" w:w="1382"/>
          </w:tcPr>
          <w:p>
            <w:pPr>
              <w:spacing w:after="20"/>
              <w:jc w:val="right"/>
            </w:pPr>
            <w:r>
              <w:rPr>
                <w:color w:val="1C3A36"/>
                <w:sz w:val="16"/>
              </w:rPr>
              <w:t>(598)</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r>
      <w:tr>
        <w:trPr>
          <w:cantSplit/>
        </w:trPr>
        <w:tc>
          <w:tcPr>
            <w:tcW w:type="dxa" w:w="3168"/>
          </w:tcPr>
          <w:p>
            <w:pPr>
              <w:spacing w:after="20"/>
            </w:pPr>
            <w:r>
              <w:rPr>
                <w:color w:val="1C3A36"/>
                <w:sz w:val="16"/>
              </w:rPr>
              <w:t>Free cash flow from the valuation date</w:t>
            </w:r>
          </w:p>
        </w:tc>
        <w:tc>
          <w:tcPr>
            <w:tcW w:type="dxa" w:w="1382"/>
          </w:tcPr>
          <w:p>
            <w:pPr>
              <w:spacing w:after="20"/>
              <w:jc w:val="right"/>
            </w:pPr>
            <w:r>
              <w:rPr>
                <w:color w:val="1C3A36"/>
                <w:sz w:val="16"/>
              </w:rPr>
              <w:t>305</w:t>
            </w:r>
          </w:p>
        </w:tc>
        <w:tc>
          <w:tcPr>
            <w:tcW w:type="dxa" w:w="1382"/>
          </w:tcPr>
          <w:p>
            <w:pPr>
              <w:spacing w:after="20"/>
              <w:jc w:val="right"/>
            </w:pPr>
            <w:r>
              <w:rPr>
                <w:color w:val="1C3A36"/>
                <w:sz w:val="16"/>
              </w:rPr>
              <w:t>1,713</w:t>
            </w:r>
          </w:p>
        </w:tc>
        <w:tc>
          <w:tcPr>
            <w:tcW w:type="dxa" w:w="1382"/>
          </w:tcPr>
          <w:p>
            <w:pPr>
              <w:spacing w:after="20"/>
              <w:jc w:val="right"/>
            </w:pPr>
            <w:r>
              <w:rPr>
                <w:color w:val="1C3A36"/>
                <w:sz w:val="16"/>
              </w:rPr>
              <w:t>1,685</w:t>
            </w:r>
          </w:p>
        </w:tc>
        <w:tc>
          <w:tcPr>
            <w:tcW w:type="dxa" w:w="1382"/>
          </w:tcPr>
          <w:p>
            <w:pPr>
              <w:spacing w:after="20"/>
              <w:jc w:val="right"/>
            </w:pPr>
            <w:r>
              <w:rPr>
                <w:color w:val="1C3A36"/>
                <w:sz w:val="16"/>
              </w:rPr>
              <w:t>1,816</w:t>
            </w:r>
          </w:p>
        </w:tc>
        <w:tc>
          <w:tcPr>
            <w:tcW w:type="dxa" w:w="1382"/>
          </w:tcPr>
          <w:p>
            <w:pPr>
              <w:spacing w:after="20"/>
              <w:jc w:val="right"/>
            </w:pPr>
            <w:r>
              <w:rPr>
                <w:color w:val="1C3A36"/>
                <w:sz w:val="16"/>
              </w:rPr>
              <w:t>1,337</w:t>
            </w:r>
          </w:p>
        </w:tc>
      </w:tr>
      <w:tr>
        <w:trPr>
          <w:cantSplit/>
        </w:trPr>
        <w:tc>
          <w:tcPr>
            <w:tcW w:type="dxa" w:w="3168"/>
          </w:tcPr>
          <w:p>
            <w:pPr>
              <w:spacing w:after="20"/>
            </w:pPr>
            <w:r>
              <w:rPr>
                <w:color w:val="1C3A36"/>
                <w:sz w:val="16"/>
              </w:rPr>
              <w:t>Cost of capital that year</w:t>
            </w:r>
          </w:p>
        </w:tc>
        <w:tc>
          <w:tcPr>
            <w:tcW w:type="dxa" w:w="1382"/>
          </w:tcPr>
          <w:p>
            <w:pPr>
              <w:spacing w:after="20"/>
              <w:jc w:val="right"/>
            </w:pPr>
            <w:r>
              <w:rPr>
                <w:color w:val="1C3A36"/>
                <w:sz w:val="16"/>
              </w:rPr>
              <w:t>8.65%</w:t>
            </w:r>
          </w:p>
        </w:tc>
        <w:tc>
          <w:tcPr>
            <w:tcW w:type="dxa" w:w="1382"/>
          </w:tcPr>
          <w:p>
            <w:pPr>
              <w:spacing w:after="20"/>
              <w:jc w:val="right"/>
            </w:pPr>
            <w:r>
              <w:rPr>
                <w:color w:val="1C3A36"/>
                <w:sz w:val="16"/>
              </w:rPr>
              <w:t>8.64%</w:t>
            </w:r>
          </w:p>
        </w:tc>
        <w:tc>
          <w:tcPr>
            <w:tcW w:type="dxa" w:w="1382"/>
          </w:tcPr>
          <w:p>
            <w:pPr>
              <w:spacing w:after="20"/>
              <w:jc w:val="right"/>
            </w:pPr>
            <w:r>
              <w:rPr>
                <w:color w:val="1C3A36"/>
                <w:sz w:val="16"/>
              </w:rPr>
              <w:t>8.63%</w:t>
            </w:r>
          </w:p>
        </w:tc>
        <w:tc>
          <w:tcPr>
            <w:tcW w:type="dxa" w:w="1382"/>
          </w:tcPr>
          <w:p>
            <w:pPr>
              <w:spacing w:after="20"/>
              <w:jc w:val="right"/>
            </w:pPr>
            <w:r>
              <w:rPr>
                <w:color w:val="1C3A36"/>
                <w:sz w:val="16"/>
              </w:rPr>
              <w:t>8.63%</w:t>
            </w:r>
          </w:p>
        </w:tc>
        <w:tc>
          <w:tcPr>
            <w:tcW w:type="dxa" w:w="1382"/>
          </w:tcPr>
          <w:p>
            <w:pPr>
              <w:spacing w:after="20"/>
              <w:jc w:val="right"/>
            </w:pPr>
            <w:r>
              <w:rPr>
                <w:color w:val="1C3A36"/>
                <w:sz w:val="16"/>
              </w:rPr>
              <w:t>8.62%</w:t>
            </w:r>
          </w:p>
        </w:tc>
      </w:tr>
      <w:tr>
        <w:trPr>
          <w:cantSplit/>
        </w:trPr>
        <w:tc>
          <w:tcPr>
            <w:tcW w:type="dxa" w:w="3168"/>
          </w:tcPr>
          <w:p>
            <w:pPr>
              <w:spacing w:after="20"/>
            </w:pPr>
            <w:r>
              <w:rPr>
                <w:color w:val="1C3A36"/>
                <w:sz w:val="16"/>
              </w:rPr>
              <w:t>Discount factor</w:t>
            </w:r>
          </w:p>
        </w:tc>
        <w:tc>
          <w:tcPr>
            <w:tcW w:type="dxa" w:w="1382"/>
          </w:tcPr>
          <w:p>
            <w:pPr>
              <w:spacing w:after="20"/>
              <w:jc w:val="right"/>
            </w:pPr>
            <w:r>
              <w:rPr>
                <w:color w:val="1C3A36"/>
                <w:sz w:val="16"/>
              </w:rPr>
              <w:t>0.9594</w:t>
            </w:r>
          </w:p>
        </w:tc>
        <w:tc>
          <w:tcPr>
            <w:tcW w:type="dxa" w:w="1382"/>
          </w:tcPr>
          <w:p>
            <w:pPr>
              <w:spacing w:after="20"/>
              <w:jc w:val="right"/>
            </w:pPr>
            <w:r>
              <w:rPr>
                <w:color w:val="1C3A36"/>
                <w:sz w:val="16"/>
              </w:rPr>
              <w:t>0.8831</w:t>
            </w:r>
          </w:p>
        </w:tc>
        <w:tc>
          <w:tcPr>
            <w:tcW w:type="dxa" w:w="1382"/>
          </w:tcPr>
          <w:p>
            <w:pPr>
              <w:spacing w:after="20"/>
              <w:jc w:val="right"/>
            </w:pPr>
            <w:r>
              <w:rPr>
                <w:color w:val="1C3A36"/>
                <w:sz w:val="16"/>
              </w:rPr>
              <w:t>0.8129</w:t>
            </w:r>
          </w:p>
        </w:tc>
        <w:tc>
          <w:tcPr>
            <w:tcW w:type="dxa" w:w="1382"/>
          </w:tcPr>
          <w:p>
            <w:pPr>
              <w:spacing w:after="20"/>
              <w:jc w:val="right"/>
            </w:pPr>
            <w:r>
              <w:rPr>
                <w:color w:val="1C3A36"/>
                <w:sz w:val="16"/>
              </w:rPr>
              <w:t>0.7483</w:t>
            </w:r>
          </w:p>
        </w:tc>
        <w:tc>
          <w:tcPr>
            <w:tcW w:type="dxa" w:w="1382"/>
          </w:tcPr>
          <w:p>
            <w:pPr>
              <w:spacing w:after="20"/>
              <w:jc w:val="right"/>
            </w:pPr>
            <w:r>
              <w:rPr>
                <w:color w:val="1C3A36"/>
                <w:sz w:val="16"/>
              </w:rPr>
              <w:t>0.6889</w:t>
            </w:r>
          </w:p>
        </w:tc>
      </w:tr>
      <w:tr>
        <w:trPr>
          <w:cantSplit/>
        </w:trPr>
        <w:tc>
          <w:tcPr>
            <w:tcW w:type="dxa" w:w="3168"/>
            <w:shd w:val="clear" w:color="auto" w:fill="F6F1E6"/>
          </w:tcPr>
          <w:p>
            <w:pPr>
              <w:spacing w:after="20"/>
            </w:pPr>
            <w:r>
              <w:rPr>
                <w:b/>
                <w:color w:val="1C3A36"/>
                <w:sz w:val="16"/>
              </w:rPr>
              <w:t>Present value of free cash flow</w:t>
            </w:r>
          </w:p>
        </w:tc>
        <w:tc>
          <w:tcPr>
            <w:tcW w:type="dxa" w:w="1382"/>
            <w:shd w:val="clear" w:color="auto" w:fill="F6F1E6"/>
          </w:tcPr>
          <w:p>
            <w:pPr>
              <w:spacing w:after="20"/>
              <w:jc w:val="right"/>
            </w:pPr>
            <w:r>
              <w:rPr>
                <w:b/>
                <w:color w:val="1C3A36"/>
                <w:sz w:val="16"/>
              </w:rPr>
              <w:t>293</w:t>
            </w:r>
          </w:p>
        </w:tc>
        <w:tc>
          <w:tcPr>
            <w:tcW w:type="dxa" w:w="1382"/>
            <w:shd w:val="clear" w:color="auto" w:fill="F6F1E6"/>
          </w:tcPr>
          <w:p>
            <w:pPr>
              <w:spacing w:after="20"/>
              <w:jc w:val="right"/>
            </w:pPr>
            <w:r>
              <w:rPr>
                <w:b/>
                <w:color w:val="1C3A36"/>
                <w:sz w:val="16"/>
              </w:rPr>
              <w:t>1,513</w:t>
            </w:r>
          </w:p>
        </w:tc>
        <w:tc>
          <w:tcPr>
            <w:tcW w:type="dxa" w:w="1382"/>
            <w:shd w:val="clear" w:color="auto" w:fill="F6F1E6"/>
          </w:tcPr>
          <w:p>
            <w:pPr>
              <w:spacing w:after="20"/>
              <w:jc w:val="right"/>
            </w:pPr>
            <w:r>
              <w:rPr>
                <w:b/>
                <w:color w:val="1C3A36"/>
                <w:sz w:val="16"/>
              </w:rPr>
              <w:t>1,370</w:t>
            </w:r>
          </w:p>
        </w:tc>
        <w:tc>
          <w:tcPr>
            <w:tcW w:type="dxa" w:w="1382"/>
            <w:shd w:val="clear" w:color="auto" w:fill="F6F1E6"/>
          </w:tcPr>
          <w:p>
            <w:pPr>
              <w:spacing w:after="20"/>
              <w:jc w:val="right"/>
            </w:pPr>
            <w:r>
              <w:rPr>
                <w:b/>
                <w:color w:val="1C3A36"/>
                <w:sz w:val="16"/>
              </w:rPr>
              <w:t>1,359</w:t>
            </w:r>
          </w:p>
        </w:tc>
        <w:tc>
          <w:tcPr>
            <w:tcW w:type="dxa" w:w="1382"/>
            <w:shd w:val="clear" w:color="auto" w:fill="F6F1E6"/>
          </w:tcPr>
          <w:p>
            <w:pPr>
              <w:spacing w:after="20"/>
              <w:jc w:val="right"/>
            </w:pPr>
            <w:r>
              <w:rPr>
                <w:b/>
                <w:color w:val="1C3A36"/>
                <w:sz w:val="16"/>
              </w:rPr>
              <w:t>921</w:t>
            </w:r>
          </w:p>
        </w:tc>
      </w:tr>
    </w:tbl>
    <w:p>
      <w:pPr>
        <w:spacing w:after="40"/>
      </w:pPr>
    </w:p>
    <w:p>
      <w:pPr>
        <w:spacing w:after="200" w:before="0"/>
      </w:pPr>
      <w:r>
        <w:rPr>
          <w:b w:val="0"/>
          <w:i/>
          <w:color w:val="6E7B77"/>
          <w:sz w:val="17"/>
        </w:rPr>
        <w:t>Every line is computed, not typed. The waterfall runs earnings before interest, tax, depreciation and amortisation → depreciation and amortisation → earnings before interest and tax → net operating profit after tax → add back depreciation → less capital expenditure → less the change in working capital → free cash flow to the firm → discount factor → present value. Two conventions are visible in the first column and both are deliberate. The valuation date is 2026-06-30, so only the second half of 2026 is discounted and the reviewed first half's own free cash flow of USD 598 million is removed rather than counted twice — it is already inside the net debt the bridge subtracts. And tax is charged unit by unit at each unit's own disclosed effective rate, which is why the group rate runs near 2.5% rather than the 9% statutory rate: international shipping income is relieved under UAE law and the shipping units bore about 1% in FY2025. Working capital is carried at the collection, inventory and payment cycle the FY2025 statements actually show, re-based onto the revenue this forecast is built at — the table below sets out why that re-basing was needed and what it cost.</w:t>
      </w:r>
    </w:p>
    <w:p>
      <w:pPr>
        <w:keepNext/>
        <w:spacing w:after="80" w:before="200"/>
      </w:pPr>
      <w:r>
        <w:rPr>
          <w:b/>
          <w:i w:val="0"/>
          <w:color w:val="1C3A36"/>
          <w:sz w:val="24"/>
        </w:rPr>
        <w:t>Two lines that price a fleet, and how each is set</w:t>
      </w:r>
    </w:p>
    <w:p>
      <w:pPr>
        <w:spacing w:after="120" w:before="0"/>
      </w:pPr>
      <w:r>
        <w:rPr>
          <w:b w:val="0"/>
          <w:i w:val="0"/>
          <w:color w:val="1C3A36"/>
          <w:sz w:val="21"/>
        </w:rPr>
        <w:t>The capital-intensive lines in that waterfall are depreciation and working capital, and both were challenged in review. Neither is an assumption dropped in from outside, and both are worth showing rather than asserting.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656"/>
        <w:gridCol w:w="6192"/>
      </w:tblGrid>
      <w:tr>
        <w:trPr>
          <w:cantSplit/>
          <w:tblHeader/>
        </w:trPr>
        <w:tc>
          <w:tcPr>
            <w:tcW w:type="dxa" w:w="2232"/>
            <w:shd w:val="clear" w:color="auto" w:fill="EAF0EE"/>
          </w:tcPr>
          <w:p>
            <w:pPr>
              <w:spacing w:after="20"/>
            </w:pPr>
            <w:r>
              <w:rPr>
                <w:b/>
                <w:color w:val="1C3A36"/>
                <w:sz w:val="16"/>
              </w:rPr>
              <w:t>Line</w:t>
            </w:r>
          </w:p>
        </w:tc>
        <w:tc>
          <w:tcPr>
            <w:tcW w:type="dxa" w:w="1656"/>
            <w:shd w:val="clear" w:color="auto" w:fill="EAF0EE"/>
          </w:tcPr>
          <w:p>
            <w:pPr>
              <w:spacing w:after="20"/>
              <w:jc w:val="left"/>
            </w:pPr>
            <w:r>
              <w:rPr>
                <w:b/>
                <w:color w:val="1C3A36"/>
                <w:sz w:val="16"/>
              </w:rPr>
              <w:t>What the model uses</w:t>
            </w:r>
          </w:p>
        </w:tc>
        <w:tc>
          <w:tcPr>
            <w:tcW w:type="dxa" w:w="6192"/>
            <w:shd w:val="clear" w:color="auto" w:fill="EAF0EE"/>
          </w:tcPr>
          <w:p>
            <w:pPr>
              <w:spacing w:after="20"/>
              <w:jc w:val="left"/>
            </w:pPr>
            <w:r>
              <w:rPr>
                <w:b/>
                <w:color w:val="1C3A36"/>
                <w:sz w:val="16"/>
              </w:rPr>
              <w:t>The evidence, and what a reviewer proposed instead</w:t>
            </w:r>
          </w:p>
        </w:tc>
      </w:tr>
      <w:tr>
        <w:trPr>
          <w:cantSplit/>
        </w:trPr>
        <w:tc>
          <w:tcPr>
            <w:tcW w:type="dxa" w:w="2232"/>
          </w:tcPr>
          <w:p>
            <w:pPr>
              <w:spacing w:after="20"/>
            </w:pPr>
            <w:r>
              <w:rPr>
                <w:color w:val="1C3A36"/>
                <w:sz w:val="16"/>
              </w:rPr>
              <w:t>Depreciation on property, plant and equipment</w:t>
            </w:r>
          </w:p>
        </w:tc>
        <w:tc>
          <w:tcPr>
            <w:tcW w:type="dxa" w:w="1656"/>
          </w:tcPr>
          <w:p>
            <w:pPr>
              <w:spacing w:after="20"/>
              <w:jc w:val="left"/>
            </w:pPr>
            <w:r>
              <w:rPr>
                <w:color w:val="1C3A36"/>
                <w:sz w:val="16"/>
              </w:rPr>
              <w:t>5.91% of the average balance</w:t>
            </w:r>
          </w:p>
        </w:tc>
        <w:tc>
          <w:tcPr>
            <w:tcW w:type="dxa" w:w="6192"/>
          </w:tcPr>
          <w:p>
            <w:pPr>
              <w:spacing w:after="20"/>
              <w:jc w:val="left"/>
            </w:pPr>
            <w:r>
              <w:rPr>
                <w:color w:val="1C3A36"/>
                <w:sz w:val="16"/>
              </w:rPr>
              <w:t>The company's own accounting policy note reads: “tankers are depreciated straight line over 25 years, dry-bulk and containers 25, gas carriers 25 to 40, offshore vessels 20 to 25 and jack-up barges 40, with dry-docking components over 2 to 5”. Written off straight line over the tanker life it discloses, the fleet's stated lives imply about 4.0% a year before the short-lived dry-docking components are added. The rate used is the first quarter of 2026 annualised over that quarter's average balance. A reviewer proposed the FY2025 realised rate of 6.75% instead. Both candidates sit ABOVE what the disclosed lives imply, which is what the dry-docking components do to the blend; between the two, the rate used is the LOWER — the more conservative of the two available forward bases, because a lower charge means a higher taxable base rather than a flattered one, and the FY2025 average balance is distorted by a fleet acquired at the start of that year. It is kept, and it is sensitised</w:t>
            </w:r>
          </w:p>
        </w:tc>
      </w:tr>
      <w:tr>
        <w:trPr>
          <w:cantSplit/>
        </w:trPr>
        <w:tc>
          <w:tcPr>
            <w:tcW w:type="dxa" w:w="2232"/>
          </w:tcPr>
          <w:p>
            <w:pPr>
              <w:spacing w:after="20"/>
            </w:pPr>
            <w:r>
              <w:rPr>
                <w:color w:val="1C3A36"/>
                <w:sz w:val="16"/>
              </w:rPr>
              <w:t>Receivable days in working capital</w:t>
            </w:r>
          </w:p>
        </w:tc>
        <w:tc>
          <w:tcPr>
            <w:tcW w:type="dxa" w:w="1656"/>
          </w:tcPr>
          <w:p>
            <w:pPr>
              <w:spacing w:after="20"/>
              <w:jc w:val="left"/>
            </w:pPr>
            <w:r>
              <w:rPr>
                <w:color w:val="1C3A36"/>
                <w:sz w:val="16"/>
              </w:rPr>
              <w:t>110.1 days</w:t>
            </w:r>
          </w:p>
        </w:tc>
        <w:tc>
          <w:tcPr>
            <w:tcW w:type="dxa" w:w="6192"/>
          </w:tcPr>
          <w:p>
            <w:pPr>
              <w:spacing w:after="20"/>
              <w:jc w:val="left"/>
            </w:pPr>
            <w:r>
              <w:rPr>
                <w:color w:val="1C3A36"/>
                <w:sz w:val="16"/>
              </w:rPr>
              <w:t>Receivables over revenue in the FY2025 statements is 108.4 days. But FY2025 revenue carries a gross-up of 2.73× over the owned tanker fleet's own charter-equivalent revenue, from chartered-in and relet trading, while the forecast is built at 2.61×. A day count calibrated on the first and applied to the second understates the receivable balance by the whole difference between the two conventions. Re-based onto the revenue the forecast actually produces, 108.4 days becomes 110.1. This is the correction that falsified a caveat the previous edition printed — see the caveats in section 7</w:t>
            </w:r>
          </w:p>
        </w:tc>
      </w:tr>
    </w:tbl>
    <w:p>
      <w:pPr>
        <w:spacing w:after="40"/>
      </w:pPr>
    </w:p>
    <w:p>
      <w:pPr>
        <w:keepNext/>
        <w:spacing w:after="80" w:before="200"/>
      </w:pPr>
      <w:r>
        <w:rPr>
          <w:b/>
          <w:i w:val="0"/>
          <w:color w:val="1C3A36"/>
          <w:sz w:val="24"/>
        </w:rPr>
        <w:t>The bridge from enterprise value to the equity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368"/>
        <w:gridCol w:w="5040"/>
      </w:tblGrid>
      <w:tr>
        <w:trPr>
          <w:cantSplit/>
          <w:tblHeader/>
        </w:trPr>
        <w:tc>
          <w:tcPr>
            <w:tcW w:type="dxa" w:w="3672"/>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USD mn</w:t>
            </w:r>
          </w:p>
        </w:tc>
        <w:tc>
          <w:tcPr>
            <w:tcW w:type="dxa" w:w="5040"/>
            <w:shd w:val="clear" w:color="auto" w:fill="EAF0EE"/>
          </w:tcPr>
          <w:p>
            <w:pPr>
              <w:spacing w:after="20"/>
              <w:jc w:val="left"/>
            </w:pPr>
            <w:r>
              <w:rPr>
                <w:b/>
                <w:color w:val="1C3A36"/>
                <w:sz w:val="16"/>
              </w:rPr>
              <w:t>Note</w:t>
            </w:r>
          </w:p>
        </w:tc>
      </w:tr>
      <w:tr>
        <w:trPr>
          <w:cantSplit/>
        </w:trPr>
        <w:tc>
          <w:tcPr>
            <w:tcW w:type="dxa" w:w="3672"/>
          </w:tcPr>
          <w:p>
            <w:pPr>
              <w:spacing w:after="20"/>
            </w:pPr>
            <w:r>
              <w:rPr>
                <w:color w:val="1C3A36"/>
                <w:sz w:val="16"/>
              </w:rPr>
              <w:t>Present value of the five forecast years</w:t>
            </w:r>
          </w:p>
        </w:tc>
        <w:tc>
          <w:tcPr>
            <w:tcW w:type="dxa" w:w="1368"/>
          </w:tcPr>
          <w:p>
            <w:pPr>
              <w:spacing w:after="20"/>
              <w:jc w:val="right"/>
            </w:pPr>
            <w:r>
              <w:rPr>
                <w:color w:val="1C3A36"/>
                <w:sz w:val="16"/>
              </w:rPr>
              <w:t>5,455</w:t>
            </w:r>
          </w:p>
        </w:tc>
        <w:tc>
          <w:tcPr>
            <w:tcW w:type="dxa" w:w="5040"/>
          </w:tcPr>
          <w:p>
            <w:pPr>
              <w:spacing w:after="20"/>
              <w:jc w:val="left"/>
            </w:pPr>
            <w:r>
              <w:rPr>
                <w:color w:val="1C3A36"/>
                <w:sz w:val="16"/>
              </w:rPr>
              <w:t>the sum of the present-value row above</w:t>
            </w:r>
          </w:p>
        </w:tc>
      </w:tr>
      <w:tr>
        <w:trPr>
          <w:cantSplit/>
        </w:trPr>
        <w:tc>
          <w:tcPr>
            <w:tcW w:type="dxa" w:w="3672"/>
          </w:tcPr>
          <w:p>
            <w:pPr>
              <w:spacing w:after="20"/>
            </w:pPr>
            <w:r>
              <w:rPr>
                <w:color w:val="1C3A36"/>
                <w:sz w:val="16"/>
              </w:rPr>
              <w:t>Terminal-year free cash flow</w:t>
            </w:r>
          </w:p>
        </w:tc>
        <w:tc>
          <w:tcPr>
            <w:tcW w:type="dxa" w:w="1368"/>
          </w:tcPr>
          <w:p>
            <w:pPr>
              <w:spacing w:after="20"/>
              <w:jc w:val="right"/>
            </w:pPr>
            <w:r>
              <w:rPr>
                <w:color w:val="1C3A36"/>
                <w:sz w:val="16"/>
              </w:rPr>
              <w:t>877</w:t>
            </w:r>
          </w:p>
        </w:tc>
        <w:tc>
          <w:tcPr>
            <w:tcW w:type="dxa" w:w="5040"/>
          </w:tcPr>
          <w:p>
            <w:pPr>
              <w:spacing w:after="20"/>
              <w:jc w:val="left"/>
            </w:pPr>
            <w:r>
              <w:rPr>
                <w:color w:val="1C3A36"/>
                <w:sz w:val="16"/>
              </w:rPr>
              <w:t>2030E net operating profit after tax grown 2% and multiplied by one less the reinvestment rate of 20.5%; that reinvestment rate is forced to equal growth divided by the terminal return on invested capital of 9.8%, so the growth in the perpetuity is paid for rather than assumed free</w:t>
            </w:r>
          </w:p>
        </w:tc>
      </w:tr>
      <w:tr>
        <w:trPr>
          <w:cantSplit/>
        </w:trPr>
        <w:tc>
          <w:tcPr>
            <w:tcW w:type="dxa" w:w="3672"/>
          </w:tcPr>
          <w:p>
            <w:pPr>
              <w:spacing w:after="20"/>
            </w:pPr>
            <w:r>
              <w:rPr>
                <w:color w:val="1C3A36"/>
                <w:sz w:val="16"/>
              </w:rPr>
              <w:t>Present value of the terminal value</w:t>
            </w:r>
          </w:p>
        </w:tc>
        <w:tc>
          <w:tcPr>
            <w:tcW w:type="dxa" w:w="1368"/>
          </w:tcPr>
          <w:p>
            <w:pPr>
              <w:spacing w:after="20"/>
              <w:jc w:val="right"/>
            </w:pPr>
            <w:r>
              <w:rPr>
                <w:color w:val="1C3A36"/>
                <w:sz w:val="16"/>
              </w:rPr>
              <w:t>9,122</w:t>
            </w:r>
          </w:p>
        </w:tc>
        <w:tc>
          <w:tcPr>
            <w:tcW w:type="dxa" w:w="5040"/>
          </w:tcPr>
          <w:p>
            <w:pPr>
              <w:spacing w:after="20"/>
              <w:jc w:val="left"/>
            </w:pPr>
            <w:r>
              <w:rPr>
                <w:color w:val="1C3A36"/>
                <w:sz w:val="16"/>
              </w:rPr>
              <w:t>the terminal cash flow capitalised at 8.6% less 2% = USD 13,241 million, discounted at the same year-five factor of 0.6889 that the year-five cash flow uses</w:t>
            </w:r>
          </w:p>
        </w:tc>
      </w:tr>
      <w:tr>
        <w:trPr>
          <w:cantSplit/>
        </w:trPr>
        <w:tc>
          <w:tcPr>
            <w:tcW w:type="dxa" w:w="3672"/>
          </w:tcPr>
          <w:p>
            <w:pPr>
              <w:spacing w:after="20"/>
            </w:pPr>
            <w:r>
              <w:rPr>
                <w:color w:val="1C3A36"/>
                <w:sz w:val="16"/>
              </w:rPr>
              <w:t>Enterprise value of the operations</w:t>
            </w:r>
          </w:p>
        </w:tc>
        <w:tc>
          <w:tcPr>
            <w:tcW w:type="dxa" w:w="1368"/>
          </w:tcPr>
          <w:p>
            <w:pPr>
              <w:spacing w:after="20"/>
              <w:jc w:val="right"/>
            </w:pPr>
            <w:r>
              <w:rPr>
                <w:color w:val="1C3A36"/>
                <w:sz w:val="16"/>
              </w:rPr>
              <w:t>14,577</w:t>
            </w:r>
          </w:p>
        </w:tc>
        <w:tc>
          <w:tcPr>
            <w:tcW w:type="dxa" w:w="5040"/>
          </w:tcPr>
          <w:p>
            <w:pPr>
              <w:spacing w:after="20"/>
              <w:jc w:val="left"/>
            </w:pPr>
            <w:r>
              <w:rPr>
                <w:color w:val="1C3A36"/>
                <w:sz w:val="16"/>
              </w:rPr>
              <w:t>the two lines above</w:t>
            </w:r>
          </w:p>
        </w:tc>
      </w:tr>
      <w:tr>
        <w:trPr>
          <w:cantSplit/>
        </w:trPr>
        <w:tc>
          <w:tcPr>
            <w:tcW w:type="dxa" w:w="3672"/>
            <w:shd w:val="clear" w:color="auto" w:fill="F6F1E6"/>
          </w:tcPr>
          <w:p>
            <w:pPr>
              <w:spacing w:after="20"/>
            </w:pPr>
            <w:r>
              <w:rPr>
                <w:b/>
                <w:color w:val="1C3A36"/>
                <w:sz w:val="16"/>
              </w:rPr>
              <w:t>Terminal value as a share of enterprise value</w:t>
            </w:r>
          </w:p>
        </w:tc>
        <w:tc>
          <w:tcPr>
            <w:tcW w:type="dxa" w:w="1368"/>
            <w:shd w:val="clear" w:color="auto" w:fill="F6F1E6"/>
          </w:tcPr>
          <w:p>
            <w:pPr>
              <w:spacing w:after="20"/>
              <w:jc w:val="right"/>
            </w:pPr>
            <w:r>
              <w:rPr>
                <w:b/>
                <w:color w:val="1C3A36"/>
                <w:sz w:val="16"/>
              </w:rPr>
              <w:t>62.6%</w:t>
            </w:r>
          </w:p>
        </w:tc>
        <w:tc>
          <w:tcPr>
            <w:tcW w:type="dxa" w:w="5040"/>
            <w:shd w:val="clear" w:color="auto" w:fill="F6F1E6"/>
          </w:tcPr>
          <w:p>
            <w:pPr>
              <w:spacing w:after="20"/>
              <w:jc w:val="left"/>
            </w:pPr>
            <w:r>
              <w:rPr>
                <w:b/>
                <w:color w:val="1C3A36"/>
                <w:sz w:val="16"/>
              </w:rPr>
              <w:t>disclosed here, in the summary table and in section 7; stressed in section 1.9</w:t>
            </w:r>
          </w:p>
        </w:tc>
      </w:tr>
      <w:tr>
        <w:trPr>
          <w:cantSplit/>
        </w:trPr>
        <w:tc>
          <w:tcPr>
            <w:tcW w:type="dxa" w:w="3672"/>
          </w:tcPr>
          <w:p>
            <w:pPr>
              <w:spacing w:after="20"/>
            </w:pPr>
            <w:r>
              <w:rPr>
                <w:color w:val="1C3A36"/>
                <w:sz w:val="16"/>
              </w:rPr>
              <w:t>Plus joint ventures and associates</w:t>
            </w:r>
          </w:p>
        </w:tc>
        <w:tc>
          <w:tcPr>
            <w:tcW w:type="dxa" w:w="1368"/>
          </w:tcPr>
          <w:p>
            <w:pPr>
              <w:spacing w:after="20"/>
              <w:jc w:val="right"/>
            </w:pPr>
            <w:r>
              <w:rPr>
                <w:color w:val="1C3A36"/>
                <w:sz w:val="16"/>
              </w:rPr>
              <w:t>523</w:t>
            </w:r>
          </w:p>
        </w:tc>
        <w:tc>
          <w:tcPr>
            <w:tcW w:type="dxa" w:w="5040"/>
          </w:tcPr>
          <w:p>
            <w:pPr>
              <w:spacing w:after="20"/>
              <w:jc w:val="left"/>
            </w:pPr>
            <w:r>
              <w:rPr>
                <w:color w:val="1C3A36"/>
                <w:sz w:val="16"/>
              </w:rPr>
              <w:t>carried at the reviewed 31 March 2026 book value with no uplift; these earn outside the consolidated cash flow, principally the six gas carriers held fifty-fifty and the bunkering associate. Their earnings are taken OUT of the forecast before it starts — the disclosed unit earnings include the group's share of them, USD 21 million inside Gas Carriers and USD 16 million inside Services in FY2025 — so that adding the stakes here counts them once and not twice</w:t>
            </w:r>
          </w:p>
        </w:tc>
      </w:tr>
      <w:tr>
        <w:trPr>
          <w:cantSplit/>
        </w:trPr>
        <w:tc>
          <w:tcPr>
            <w:tcW w:type="dxa" w:w="3672"/>
          </w:tcPr>
          <w:p>
            <w:pPr>
              <w:spacing w:after="20"/>
            </w:pPr>
            <w:r>
              <w:rPr>
                <w:color w:val="1C3A36"/>
                <w:sz w:val="16"/>
              </w:rPr>
              <w:t>Enterprise value</w:t>
            </w:r>
          </w:p>
        </w:tc>
        <w:tc>
          <w:tcPr>
            <w:tcW w:type="dxa" w:w="1368"/>
          </w:tcPr>
          <w:p>
            <w:pPr>
              <w:spacing w:after="20"/>
              <w:jc w:val="right"/>
            </w:pPr>
            <w:r>
              <w:rPr>
                <w:color w:val="1C3A36"/>
                <w:sz w:val="16"/>
              </w:rPr>
              <w:t>15,100</w:t>
            </w:r>
          </w:p>
        </w:tc>
        <w:tc>
          <w:tcPr>
            <w:tcW w:type="dxa" w:w="5040"/>
          </w:tcPr>
          <w:p>
            <w:pPr>
              <w:spacing w:after="20"/>
              <w:jc w:val="left"/>
            </w:pPr>
            <w:r>
              <w:rPr>
                <w:color w:val="1C3A36"/>
                <w:sz w:val="16"/>
              </w:rPr>
            </w:r>
          </w:p>
        </w:tc>
      </w:tr>
      <w:tr>
        <w:trPr>
          <w:cantSplit/>
        </w:trPr>
        <w:tc>
          <w:tcPr>
            <w:tcW w:type="dxa" w:w="3672"/>
          </w:tcPr>
          <w:p>
            <w:pPr>
              <w:spacing w:after="20"/>
            </w:pPr>
            <w:r>
              <w:rPr>
                <w:color w:val="1C3A36"/>
                <w:sz w:val="16"/>
              </w:rPr>
              <w:t>Less net debt</w:t>
            </w:r>
          </w:p>
        </w:tc>
        <w:tc>
          <w:tcPr>
            <w:tcW w:type="dxa" w:w="1368"/>
          </w:tcPr>
          <w:p>
            <w:pPr>
              <w:spacing w:after="20"/>
              <w:jc w:val="right"/>
            </w:pPr>
            <w:r>
              <w:rPr>
                <w:color w:val="1C3A36"/>
                <w:sz w:val="16"/>
              </w:rPr>
              <w:t>(257)</w:t>
            </w:r>
          </w:p>
        </w:tc>
        <w:tc>
          <w:tcPr>
            <w:tcW w:type="dxa" w:w="5040"/>
          </w:tcPr>
          <w:p>
            <w:pPr>
              <w:spacing w:after="20"/>
              <w:jc w:val="left"/>
            </w:pPr>
            <w:r>
              <w:rPr>
                <w:color w:val="1C3A36"/>
                <w:sz w:val="16"/>
              </w:rPr>
              <w:t>the reviewed 30 June 2026 figure: the parent facility, third-party borrowings and lease liabilities less cash. It is USD 163 million lower than the 31 March figure the previous edition stood on, the company having generated USD 598 million of free cash flow in the half and repaid the parent term facility</w:t>
            </w:r>
          </w:p>
        </w:tc>
      </w:tr>
      <w:tr>
        <w:trPr>
          <w:cantSplit/>
        </w:trPr>
        <w:tc>
          <w:tcPr>
            <w:tcW w:type="dxa" w:w="3672"/>
          </w:tcPr>
          <w:p>
            <w:pPr>
              <w:spacing w:after="20"/>
            </w:pPr>
            <w:r>
              <w:rPr>
                <w:color w:val="1C3A36"/>
                <w:sz w:val="16"/>
              </w:rPr>
              <w:t>Less deferred consideration</w:t>
            </w:r>
          </w:p>
        </w:tc>
        <w:tc>
          <w:tcPr>
            <w:tcW w:type="dxa" w:w="1368"/>
          </w:tcPr>
          <w:p>
            <w:pPr>
              <w:spacing w:after="20"/>
              <w:jc w:val="right"/>
            </w:pPr>
            <w:r>
              <w:rPr>
                <w:color w:val="1C3A36"/>
                <w:sz w:val="16"/>
              </w:rPr>
              <w:t>(304)</w:t>
            </w:r>
          </w:p>
        </w:tc>
        <w:tc>
          <w:tcPr>
            <w:tcW w:type="dxa" w:w="5040"/>
          </w:tcPr>
          <w:p>
            <w:pPr>
              <w:spacing w:after="20"/>
              <w:jc w:val="left"/>
            </w:pPr>
            <w:r>
              <w:rPr>
                <w:color w:val="1C3A36"/>
                <w:sz w:val="16"/>
              </w:rPr>
              <w:t>the contracted price of the remaining 20% of the acquired tanker business, payable in mid-2027 and carried against the investment reserve — a real claim on the enterprise and treated as one. It is also the reason the minority line below is not simply the book figure</w:t>
            </w:r>
          </w:p>
        </w:tc>
      </w:tr>
      <w:tr>
        <w:trPr>
          <w:cantSplit/>
        </w:trPr>
        <w:tc>
          <w:tcPr>
            <w:tcW w:type="dxa" w:w="3672"/>
          </w:tcPr>
          <w:p>
            <w:pPr>
              <w:spacing w:after="20"/>
            </w:pPr>
            <w:r>
              <w:rPr>
                <w:color w:val="1C3A36"/>
                <w:sz w:val="16"/>
              </w:rPr>
              <w:t>Less the vessels bought in August 2026</w:t>
            </w:r>
          </w:p>
        </w:tc>
        <w:tc>
          <w:tcPr>
            <w:tcW w:type="dxa" w:w="1368"/>
          </w:tcPr>
          <w:p>
            <w:pPr>
              <w:spacing w:after="20"/>
              <w:jc w:val="right"/>
            </w:pPr>
            <w:r>
              <w:rPr>
                <w:color w:val="1C3A36"/>
                <w:sz w:val="16"/>
              </w:rPr>
              <w:t>(1,300)</w:t>
            </w:r>
          </w:p>
        </w:tc>
        <w:tc>
          <w:tcPr>
            <w:tcW w:type="dxa" w:w="5040"/>
          </w:tcPr>
          <w:p>
            <w:pPr>
              <w:spacing w:after="20"/>
              <w:jc w:val="left"/>
            </w:pPr>
            <w:r>
              <w:rPr>
                <w:color w:val="1C3A36"/>
                <w:sz w:val="16"/>
              </w:rPr>
              <w:t>the 11 vessels announced on 7 Aug 2026 — 6 very large crude carriers and 5 gas carriers — at the announced price. The purchase is committed and unpaid at the valuation date, so it is debt-like and comes out here; the vessels themselves are on the other side of the ledger, earning inside the forecast from their own delivery dates and depreciating in the asset base from the same dates. Taking the cost without the earnings, or the earnings without the cost, would be the error in either direction; the first edition of this study did neither and simply left the whole transaction out</w:t>
            </w:r>
          </w:p>
        </w:tc>
      </w:tr>
      <w:tr>
        <w:trPr>
          <w:cantSplit/>
        </w:trPr>
        <w:tc>
          <w:tcPr>
            <w:tcW w:type="dxa" w:w="3672"/>
          </w:tcPr>
          <w:p>
            <w:pPr>
              <w:spacing w:after="20"/>
            </w:pPr>
            <w:r>
              <w:rPr>
                <w:color w:val="1C3A36"/>
                <w:sz w:val="16"/>
              </w:rPr>
              <w:t>Less perpetual capital securities</w:t>
            </w:r>
          </w:p>
        </w:tc>
        <w:tc>
          <w:tcPr>
            <w:tcW w:type="dxa" w:w="1368"/>
          </w:tcPr>
          <w:p>
            <w:pPr>
              <w:spacing w:after="20"/>
              <w:jc w:val="right"/>
            </w:pPr>
            <w:r>
              <w:rPr>
                <w:color w:val="1C3A36"/>
                <w:sz w:val="16"/>
              </w:rPr>
              <w:t>(1,979)</w:t>
            </w:r>
          </w:p>
        </w:tc>
        <w:tc>
          <w:tcPr>
            <w:tcW w:type="dxa" w:w="5040"/>
          </w:tcPr>
          <w:p>
            <w:pPr>
              <w:spacing w:after="20"/>
              <w:jc w:val="left"/>
            </w:pPr>
            <w:r>
              <w:rPr>
                <w:color w:val="1C3A36"/>
                <w:sz w:val="16"/>
              </w:rPr>
              <w:t>at carrying value. They sit inside total equity in the accounts but rank ahead of the ordinary shares and carry a coupon of USD 97 million a year, so the ordinary shareholder does not own them. Because they are deducted here they are also WEIGHTED in the cost of capital above, at 12.0% of the capital and at their own coupon of 4.90% — the two halves of one treatment. The alternative treatment is two lines below</w:t>
            </w:r>
          </w:p>
        </w:tc>
      </w:tr>
      <w:tr>
        <w:trPr>
          <w:cantSplit/>
        </w:trPr>
        <w:tc>
          <w:tcPr>
            <w:tcW w:type="dxa" w:w="3672"/>
          </w:tcPr>
          <w:p>
            <w:pPr>
              <w:spacing w:after="20"/>
            </w:pPr>
            <w:r>
              <w:rPr>
                <w:color w:val="1C3A36"/>
                <w:sz w:val="16"/>
              </w:rPr>
              <w:t>Less non-controlling interests</w:t>
            </w:r>
          </w:p>
        </w:tc>
        <w:tc>
          <w:tcPr>
            <w:tcW w:type="dxa" w:w="1368"/>
          </w:tcPr>
          <w:p>
            <w:pPr>
              <w:spacing w:after="20"/>
              <w:jc w:val="right"/>
            </w:pPr>
            <w:r>
              <w:rPr>
                <w:color w:val="1C3A36"/>
                <w:sz w:val="16"/>
              </w:rPr>
              <w:t>(317)</w:t>
            </w:r>
          </w:p>
        </w:tc>
        <w:tc>
          <w:tcPr>
            <w:tcW w:type="dxa" w:w="5040"/>
          </w:tcPr>
          <w:p>
            <w:pPr>
              <w:spacing w:after="20"/>
              <w:jc w:val="left"/>
            </w:pPr>
            <w:r>
              <w:rPr>
                <w:color w:val="1C3A36"/>
                <w:sz w:val="16"/>
              </w:rPr>
              <w:t>NOT the book value of USD 289 million. USD 252 million of that book arose on the tanker combination, and that 20% is contracted for purchase in mid-2027 at a price already deducted two lines above as deferred consideration, so deducting it again at a share of equity value would count it twice. Only the remaining USD 37 million of book is lifted to its share of value. That lift costs AED 0.01 a share, against the AED 0.11 it would cost to apply the 4.5% profit share to the whole equity value and net nothing off</w:t>
            </w:r>
          </w:p>
        </w:tc>
      </w:tr>
      <w:tr>
        <w:trPr>
          <w:cantSplit/>
        </w:trPr>
        <w:tc>
          <w:tcPr>
            <w:tcW w:type="dxa" w:w="3672"/>
            <w:shd w:val="clear" w:color="auto" w:fill="F6F1E6"/>
          </w:tcPr>
          <w:p>
            <w:pPr>
              <w:spacing w:after="20"/>
            </w:pPr>
            <w:r>
              <w:rPr>
                <w:b/>
                <w:color w:val="1C3A36"/>
                <w:sz w:val="16"/>
              </w:rPr>
              <w:t>Less the interim dividend declared after the balance-sheet date</w:t>
            </w:r>
          </w:p>
        </w:tc>
        <w:tc>
          <w:tcPr>
            <w:tcW w:type="dxa" w:w="1368"/>
            <w:shd w:val="clear" w:color="auto" w:fill="F6F1E6"/>
          </w:tcPr>
          <w:p>
            <w:pPr>
              <w:spacing w:after="20"/>
              <w:jc w:val="right"/>
            </w:pPr>
            <w:r>
              <w:rPr>
                <w:b/>
                <w:color w:val="1C3A36"/>
                <w:sz w:val="16"/>
              </w:rPr>
              <w:t>(85)</w:t>
            </w:r>
          </w:p>
        </w:tc>
        <w:tc>
          <w:tcPr>
            <w:tcW w:type="dxa" w:w="5040"/>
            <w:shd w:val="clear" w:color="auto" w:fill="F6F1E6"/>
          </w:tcPr>
          <w:p>
            <w:pPr>
              <w:spacing w:after="20"/>
              <w:jc w:val="left"/>
            </w:pPr>
            <w:r>
              <w:rPr>
                <w:b/>
                <w:color w:val="1C3A36"/>
                <w:sz w:val="16"/>
              </w:rPr>
              <w:t>the board approved an interim cash dividend of USD 85 million for the second quarter on a record date of 20 August 2026 — after the sheet this bridge stands on and before the price this study is delivered against, so a buyer at that price does not receive it and it is not in the equity being bought</w:t>
            </w:r>
          </w:p>
        </w:tc>
      </w:tr>
      <w:tr>
        <w:trPr>
          <w:cantSplit/>
        </w:trPr>
        <w:tc>
          <w:tcPr>
            <w:tcW w:type="dxa" w:w="3672"/>
          </w:tcPr>
          <w:p>
            <w:pPr>
              <w:spacing w:after="20"/>
            </w:pPr>
            <w:r>
              <w:rPr>
                <w:color w:val="1C3A36"/>
                <w:sz w:val="16"/>
              </w:rPr>
              <w:t>Equity value attributable to ordinary shareholders</w:t>
            </w:r>
          </w:p>
        </w:tc>
        <w:tc>
          <w:tcPr>
            <w:tcW w:type="dxa" w:w="1368"/>
          </w:tcPr>
          <w:p>
            <w:pPr>
              <w:spacing w:after="20"/>
              <w:jc w:val="right"/>
            </w:pPr>
            <w:r>
              <w:rPr>
                <w:color w:val="1C3A36"/>
                <w:sz w:val="16"/>
              </w:rPr>
              <w:t>10,857</w:t>
            </w:r>
          </w:p>
        </w:tc>
        <w:tc>
          <w:tcPr>
            <w:tcW w:type="dxa" w:w="5040"/>
          </w:tcPr>
          <w:p>
            <w:pPr>
              <w:spacing w:after="20"/>
              <w:jc w:val="left"/>
            </w:pPr>
            <w:r>
              <w:rPr>
                <w:color w:val="1C3A36"/>
                <w:sz w:val="16"/>
              </w:rPr>
            </w:r>
          </w:p>
        </w:tc>
      </w:tr>
      <w:tr>
        <w:trPr>
          <w:cantSplit/>
        </w:trPr>
        <w:tc>
          <w:tcPr>
            <w:tcW w:type="dxa" w:w="3672"/>
            <w:shd w:val="clear" w:color="auto" w:fill="F6F1E6"/>
          </w:tcPr>
          <w:p>
            <w:pPr>
              <w:spacing w:after="20"/>
            </w:pPr>
            <w:r>
              <w:rPr>
                <w:b/>
                <w:color w:val="1C3A36"/>
                <w:sz w:val="16"/>
              </w:rPr>
              <w:t>Fair value per share (USD)</w:t>
            </w:r>
          </w:p>
        </w:tc>
        <w:tc>
          <w:tcPr>
            <w:tcW w:type="dxa" w:w="1368"/>
            <w:shd w:val="clear" w:color="auto" w:fill="F6F1E6"/>
          </w:tcPr>
          <w:p>
            <w:pPr>
              <w:spacing w:after="20"/>
              <w:jc w:val="right"/>
            </w:pPr>
            <w:r>
              <w:rPr>
                <w:b/>
                <w:color w:val="1C3A36"/>
                <w:sz w:val="16"/>
              </w:rPr>
              <w:t>1.47</w:t>
            </w:r>
          </w:p>
        </w:tc>
        <w:tc>
          <w:tcPr>
            <w:tcW w:type="dxa" w:w="5040"/>
            <w:shd w:val="clear" w:color="auto" w:fill="F6F1E6"/>
          </w:tcPr>
          <w:p>
            <w:pPr>
              <w:spacing w:after="20"/>
              <w:jc w:val="left"/>
            </w:pPr>
            <w:r>
              <w:rPr>
                <w:b/>
                <w:color w:val="1C3A36"/>
                <w:sz w:val="16"/>
              </w:rPr>
              <w:t>against a market price of USD 1.85</w:t>
            </w:r>
          </w:p>
        </w:tc>
      </w:tr>
      <w:tr>
        <w:trPr>
          <w:cantSplit/>
        </w:trPr>
        <w:tc>
          <w:tcPr>
            <w:tcW w:type="dxa" w:w="3672"/>
            <w:shd w:val="clear" w:color="auto" w:fill="F6F1E6"/>
          </w:tcPr>
          <w:p>
            <w:pPr>
              <w:spacing w:after="20"/>
            </w:pPr>
            <w:r>
              <w:rPr>
                <w:b/>
                <w:color w:val="1C3A36"/>
                <w:sz w:val="16"/>
              </w:rPr>
              <w:t>Fair value per share (AED, at the peg)</w:t>
            </w:r>
          </w:p>
        </w:tc>
        <w:tc>
          <w:tcPr>
            <w:tcW w:type="dxa" w:w="1368"/>
            <w:shd w:val="clear" w:color="auto" w:fill="F6F1E6"/>
          </w:tcPr>
          <w:p>
            <w:pPr>
              <w:spacing w:after="20"/>
              <w:jc w:val="right"/>
            </w:pPr>
            <w:r>
              <w:rPr>
                <w:b/>
                <w:color w:val="1C3A36"/>
                <w:sz w:val="16"/>
              </w:rPr>
              <w:t>5.39</w:t>
            </w:r>
          </w:p>
        </w:tc>
        <w:tc>
          <w:tcPr>
            <w:tcW w:type="dxa" w:w="5040"/>
            <w:shd w:val="clear" w:color="auto" w:fill="F6F1E6"/>
          </w:tcPr>
          <w:p>
            <w:pPr>
              <w:spacing w:after="20"/>
              <w:jc w:val="left"/>
            </w:pPr>
            <w:r>
              <w:rPr>
                <w:b/>
                <w:color w:val="1C3A36"/>
                <w:sz w:val="16"/>
              </w:rPr>
              <w:t>against a market price of AED 6.80 (-21%)</w:t>
            </w:r>
          </w:p>
        </w:tc>
      </w:tr>
      <w:tr>
        <w:trPr>
          <w:cantSplit/>
        </w:trPr>
        <w:tc>
          <w:tcPr>
            <w:tcW w:type="dxa" w:w="3672"/>
          </w:tcPr>
          <w:p>
            <w:pPr>
              <w:spacing w:after="20"/>
            </w:pPr>
            <w:r>
              <w:rPr>
                <w:color w:val="1C3A36"/>
                <w:sz w:val="16"/>
              </w:rPr>
              <w:t>ALTERNATIVE — perpetual securities at the present value of their coupon</w:t>
            </w:r>
          </w:p>
        </w:tc>
        <w:tc>
          <w:tcPr>
            <w:tcW w:type="dxa" w:w="1368"/>
          </w:tcPr>
          <w:p>
            <w:pPr>
              <w:spacing w:after="20"/>
              <w:jc w:val="right"/>
            </w:pPr>
            <w:r>
              <w:rPr>
                <w:color w:val="1C3A36"/>
                <w:sz w:val="16"/>
              </w:rPr>
              <w:t>5.81</w:t>
            </w:r>
          </w:p>
        </w:tc>
        <w:tc>
          <w:tcPr>
            <w:tcW w:type="dxa" w:w="5040"/>
          </w:tcPr>
          <w:p>
            <w:pPr>
              <w:spacing w:after="20"/>
              <w:jc w:val="left"/>
            </w:pPr>
            <w:r>
              <w:rPr>
                <w:color w:val="1C3A36"/>
                <w:sz w:val="16"/>
              </w:rPr>
              <w:t>deducting USD 1,125 million, the coupon capitalised at the terminal cost of capital, instead of the USD 1,979 million carrying value. Worth AED 0.42 a share. The securities are perpetual and non-amortising, so which of the two is right depends on whether the company ever calls them; both are shown. Note what makes them differ, because it is not a second valuation of the claim: the same coupon capitalised at the securities' OWN rate of 4.90% gives USD 1,979 million, the carrying value to the dollar. The whole of the difference is the choice of discount rate, and the rate used here is 372 basis points above the one the security itself pays</w:t>
            </w:r>
          </w:p>
        </w:tc>
      </w:tr>
    </w:tbl>
    <w:p>
      <w:pPr>
        <w:spacing w:after="40"/>
      </w:pPr>
    </w:p>
    <w:p>
      <w:pPr>
        <w:keepNext/>
        <w:spacing w:after="80" w:before="200"/>
      </w:pPr>
      <w:r>
        <w:rPr>
          <w:b/>
          <w:i w:val="0"/>
          <w:color w:val="1C3A36"/>
          <w:sz w:val="24"/>
        </w:rPr>
        <w:t>How the market is measured, computed both ways</w:t>
      </w:r>
    </w:p>
    <w:p>
      <w:pPr>
        <w:spacing w:after="120" w:before="0"/>
      </w:pPr>
      <w:r>
        <w:rPr>
          <w:b w:val="0"/>
          <w:i w:val="0"/>
          <w:color w:val="1C3A36"/>
          <w:sz w:val="21"/>
        </w:rPr>
        <w:t>One input in the construction above moves the answer further than any operating assumption in the study, and it is not a judgement about the company — it is a choice about what “the market” means. Regressed against the published index of its own exchange, the FTSE ADX General Index, the share's own weekly returns from 2023-06-16 to 2026-07-17 give a beta of 1.103 — 159 observations, an R-squared of 0.181, a standard error of 0.315 and a 90% interval of [0.586, 1.621]. That is the index the share is listed against, it is the yardstick this study adopts, and the estimate is close enough to one that this share is best described as moving with its market. It also settles an argument. The economic prior for a fleet owner is that it bears the risk of the market its ships trade in whoever signs the charter — a listed crude and product tanker owner would normally sit at 0.9-1.4 and a contracted marine services provider at 0.5-0.9 — and the regression now agrees with that prior rather than contradicting it.</w:t>
      </w:r>
    </w:p>
    <w:p>
      <w:pPr>
        <w:spacing w:after="120" w:before="0"/>
      </w:pPr>
      <w:r>
        <w:rPr>
          <w:b w:val="0"/>
          <w:i w:val="0"/>
          <w:color w:val="1C3A36"/>
          <w:sz w:val="21"/>
        </w:rPr>
        <w:t>Run the same returns against an equal-weight composite of the same exchange's names and the slope is 0.690 instead. Two qualifications before the explanation. The first is that the runs are not quite the identical regression: the published-index run pairs 159 weekly observations and the composite run pairs 165, because the index series obtained stops earlier than the exchange's own price history does and because the two series are screened and aligned to the exchange's trading week before they are paired. The samples differ by 6 weeks out of 159, so a small part of the gap between the two slopes is sample rather than market definition, and an earlier edition called them the same regression without saying so. The second is that only the published-index figure is a measurement the study is entitled to discount at: the composite is a basket assembled here, and a basket assembled by the same hand that uses it can be assembled until it agrees. It is published for comparison and it prices nothing. The rest of the difference is large and it has nothing to do with this company: a published index is weighted by size and is therefore dominated by the same large-capitalisation group the subject belongs to, while an equal-weight composite gives the exchange's smallest and least liquid names the same say as its largest. Measuring a share's co-movement against the second is measuring it against a different market. The published index is adopted; the composite construction was what an earlier version of this study used, and it is set out in full beside the adopted one below because a reader is entitled to see how much of a valuation turns on a weighting convention.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808"/>
        <w:gridCol w:w="2808"/>
      </w:tblGrid>
      <w:tr>
        <w:trPr>
          <w:cantSplit/>
          <w:tblHeader/>
        </w:trPr>
        <w:tc>
          <w:tcPr>
            <w:tcW w:type="dxa" w:w="4464"/>
            <w:shd w:val="clear" w:color="auto" w:fill="EAF0EE"/>
          </w:tcPr>
          <w:p>
            <w:pPr>
              <w:spacing w:after="20"/>
            </w:pPr>
            <w:r>
              <w:rPr>
                <w:b/>
                <w:color w:val="1C3A36"/>
                <w:sz w:val="17"/>
              </w:rPr>
              <w:t>Line</w:t>
            </w:r>
          </w:p>
        </w:tc>
        <w:tc>
          <w:tcPr>
            <w:tcW w:type="dxa" w:w="2808"/>
            <w:shd w:val="clear" w:color="auto" w:fill="EAF0EE"/>
          </w:tcPr>
          <w:p>
            <w:pPr>
              <w:spacing w:after="20"/>
            </w:pPr>
            <w:r>
              <w:rPr>
                <w:b/>
                <w:color w:val="1C3A36"/>
                <w:sz w:val="17"/>
              </w:rPr>
              <w:t>Against the published index of its own exchange</w:t>
            </w:r>
          </w:p>
        </w:tc>
        <w:tc>
          <w:tcPr>
            <w:tcW w:type="dxa" w:w="2808"/>
            <w:shd w:val="clear" w:color="auto" w:fill="EAF0EE"/>
          </w:tcPr>
          <w:p>
            <w:pPr>
              <w:spacing w:after="20"/>
            </w:pPr>
            <w:r>
              <w:rPr>
                <w:b/>
                <w:color w:val="1C3A36"/>
                <w:sz w:val="17"/>
              </w:rPr>
              <w:t>Against an equal-weight composite of the same exchange's names</w:t>
            </w:r>
          </w:p>
        </w:tc>
      </w:tr>
      <w:tr>
        <w:trPr>
          <w:cantSplit/>
        </w:trPr>
        <w:tc>
          <w:tcPr>
            <w:tcW w:type="dxa" w:w="4464"/>
          </w:tcPr>
          <w:p>
            <w:pPr>
              <w:spacing w:after="20"/>
            </w:pPr>
            <w:r>
              <w:rPr>
                <w:color w:val="1C3A36"/>
                <w:sz w:val="17"/>
              </w:rPr>
              <w:t>Beta used</w:t>
            </w:r>
          </w:p>
        </w:tc>
        <w:tc>
          <w:tcPr>
            <w:tcW w:type="dxa" w:w="2808"/>
          </w:tcPr>
          <w:p>
            <w:pPr>
              <w:spacing w:after="20"/>
              <w:jc w:val="right"/>
            </w:pPr>
            <w:r>
              <w:rPr>
                <w:color w:val="1C3A36"/>
                <w:sz w:val="17"/>
              </w:rPr>
              <w:t>1.103</w:t>
            </w:r>
          </w:p>
        </w:tc>
        <w:tc>
          <w:tcPr>
            <w:tcW w:type="dxa" w:w="2808"/>
          </w:tcPr>
          <w:p>
            <w:pPr>
              <w:spacing w:after="20"/>
              <w:jc w:val="right"/>
            </w:pPr>
            <w:r>
              <w:rPr>
                <w:color w:val="1C3A36"/>
                <w:sz w:val="17"/>
              </w:rPr>
              <w:t>0.690</w:t>
            </w:r>
          </w:p>
        </w:tc>
      </w:tr>
      <w:tr>
        <w:trPr>
          <w:cantSplit/>
        </w:trPr>
        <w:tc>
          <w:tcPr>
            <w:tcW w:type="dxa" w:w="4464"/>
          </w:tcPr>
          <w:p>
            <w:pPr>
              <w:spacing w:after="20"/>
            </w:pPr>
            <w:r>
              <w:rPr>
                <w:color w:val="1C3A36"/>
                <w:sz w:val="17"/>
              </w:rPr>
              <w:t>Cost of equity</w:t>
            </w:r>
          </w:p>
        </w:tc>
        <w:tc>
          <w:tcPr>
            <w:tcW w:type="dxa" w:w="2808"/>
          </w:tcPr>
          <w:p>
            <w:pPr>
              <w:spacing w:after="20"/>
              <w:jc w:val="right"/>
            </w:pPr>
            <w:r>
              <w:rPr>
                <w:color w:val="1C3A36"/>
                <w:sz w:val="17"/>
              </w:rPr>
              <w:t>9.37%</w:t>
            </w:r>
          </w:p>
        </w:tc>
        <w:tc>
          <w:tcPr>
            <w:tcW w:type="dxa" w:w="2808"/>
          </w:tcPr>
          <w:p>
            <w:pPr>
              <w:spacing w:after="20"/>
              <w:jc w:val="right"/>
            </w:pPr>
            <w:r>
              <w:rPr>
                <w:color w:val="1C3A36"/>
                <w:sz w:val="17"/>
              </w:rPr>
              <w:t>7.62%</w:t>
            </w:r>
          </w:p>
        </w:tc>
      </w:tr>
      <w:tr>
        <w:trPr>
          <w:cantSplit/>
        </w:trPr>
        <w:tc>
          <w:tcPr>
            <w:tcW w:type="dxa" w:w="4464"/>
          </w:tcPr>
          <w:p>
            <w:pPr>
              <w:spacing w:after="20"/>
            </w:pPr>
            <w:r>
              <w:rPr>
                <w:color w:val="1C3A36"/>
                <w:sz w:val="17"/>
              </w:rPr>
              <w:t>Cost of capital, explicit window</w:t>
            </w:r>
          </w:p>
        </w:tc>
        <w:tc>
          <w:tcPr>
            <w:tcW w:type="dxa" w:w="2808"/>
          </w:tcPr>
          <w:p>
            <w:pPr>
              <w:spacing w:after="20"/>
              <w:jc w:val="right"/>
            </w:pPr>
            <w:r>
              <w:rPr>
                <w:color w:val="1C3A36"/>
                <w:sz w:val="17"/>
              </w:rPr>
              <w:t>8.66%</w:t>
            </w:r>
          </w:p>
        </w:tc>
        <w:tc>
          <w:tcPr>
            <w:tcW w:type="dxa" w:w="2808"/>
          </w:tcPr>
          <w:p>
            <w:pPr>
              <w:spacing w:after="20"/>
              <w:jc w:val="right"/>
            </w:pPr>
            <w:r>
              <w:rPr>
                <w:color w:val="1C3A36"/>
                <w:sz w:val="17"/>
              </w:rPr>
              <w:t>7.20%</w:t>
            </w:r>
          </w:p>
        </w:tc>
      </w:tr>
      <w:tr>
        <w:trPr>
          <w:cantSplit/>
        </w:trPr>
        <w:tc>
          <w:tcPr>
            <w:tcW w:type="dxa" w:w="4464"/>
          </w:tcPr>
          <w:p>
            <w:pPr>
              <w:spacing w:after="20"/>
            </w:pPr>
            <w:r>
              <w:rPr>
                <w:color w:val="1C3A36"/>
                <w:sz w:val="17"/>
              </w:rPr>
              <w:t>Cost of capital, terminal</w:t>
            </w:r>
          </w:p>
        </w:tc>
        <w:tc>
          <w:tcPr>
            <w:tcW w:type="dxa" w:w="2808"/>
          </w:tcPr>
          <w:p>
            <w:pPr>
              <w:spacing w:after="20"/>
              <w:jc w:val="right"/>
            </w:pPr>
            <w:r>
              <w:rPr>
                <w:color w:val="1C3A36"/>
                <w:sz w:val="17"/>
              </w:rPr>
              <w:t>8.62%</w:t>
            </w:r>
          </w:p>
        </w:tc>
        <w:tc>
          <w:tcPr>
            <w:tcW w:type="dxa" w:w="2808"/>
          </w:tcPr>
          <w:p>
            <w:pPr>
              <w:spacing w:after="20"/>
              <w:jc w:val="right"/>
            </w:pPr>
            <w:r>
              <w:rPr>
                <w:color w:val="1C3A36"/>
                <w:sz w:val="17"/>
              </w:rPr>
              <w:t>7.17%</w:t>
            </w:r>
          </w:p>
        </w:tc>
      </w:tr>
      <w:tr>
        <w:trPr>
          <w:cantSplit/>
        </w:trPr>
        <w:tc>
          <w:tcPr>
            <w:tcW w:type="dxa" w:w="4464"/>
          </w:tcPr>
          <w:p>
            <w:pPr>
              <w:spacing w:after="20"/>
            </w:pPr>
            <w:r>
              <w:rPr>
                <w:color w:val="1C3A36"/>
                <w:sz w:val="17"/>
              </w:rPr>
              <w:t>Present value of the five forecast years (USD mn)</w:t>
            </w:r>
          </w:p>
        </w:tc>
        <w:tc>
          <w:tcPr>
            <w:tcW w:type="dxa" w:w="2808"/>
          </w:tcPr>
          <w:p>
            <w:pPr>
              <w:spacing w:after="20"/>
              <w:jc w:val="right"/>
            </w:pPr>
            <w:r>
              <w:rPr>
                <w:color w:val="1C3A36"/>
                <w:sz w:val="17"/>
              </w:rPr>
              <w:t>5,455</w:t>
            </w:r>
          </w:p>
        </w:tc>
        <w:tc>
          <w:tcPr>
            <w:tcW w:type="dxa" w:w="2808"/>
          </w:tcPr>
          <w:p>
            <w:pPr>
              <w:spacing w:after="20"/>
              <w:jc w:val="right"/>
            </w:pPr>
            <w:r>
              <w:rPr>
                <w:color w:val="1C3A36"/>
                <w:sz w:val="17"/>
              </w:rPr>
              <w:t>5,658</w:t>
            </w:r>
          </w:p>
        </w:tc>
      </w:tr>
      <w:tr>
        <w:trPr>
          <w:cantSplit/>
        </w:trPr>
        <w:tc>
          <w:tcPr>
            <w:tcW w:type="dxa" w:w="4464"/>
          </w:tcPr>
          <w:p>
            <w:pPr>
              <w:spacing w:after="20"/>
            </w:pPr>
            <w:r>
              <w:rPr>
                <w:color w:val="1C3A36"/>
                <w:sz w:val="17"/>
              </w:rPr>
              <w:t>Present value of the terminal value (USD mn)</w:t>
            </w:r>
          </w:p>
        </w:tc>
        <w:tc>
          <w:tcPr>
            <w:tcW w:type="dxa" w:w="2808"/>
          </w:tcPr>
          <w:p>
            <w:pPr>
              <w:spacing w:after="20"/>
              <w:jc w:val="right"/>
            </w:pPr>
            <w:r>
              <w:rPr>
                <w:color w:val="1C3A36"/>
                <w:sz w:val="17"/>
              </w:rPr>
              <w:t>9,122</w:t>
            </w:r>
          </w:p>
        </w:tc>
        <w:tc>
          <w:tcPr>
            <w:tcW w:type="dxa" w:w="2808"/>
          </w:tcPr>
          <w:p>
            <w:pPr>
              <w:spacing w:after="20"/>
              <w:jc w:val="right"/>
            </w:pPr>
            <w:r>
              <w:rPr>
                <w:color w:val="1C3A36"/>
                <w:sz w:val="17"/>
              </w:rPr>
              <w:t>12,419</w:t>
            </w:r>
          </w:p>
        </w:tc>
      </w:tr>
      <w:tr>
        <w:trPr>
          <w:cantSplit/>
        </w:trPr>
        <w:tc>
          <w:tcPr>
            <w:tcW w:type="dxa" w:w="4464"/>
          </w:tcPr>
          <w:p>
            <w:pPr>
              <w:spacing w:after="20"/>
            </w:pPr>
            <w:r>
              <w:rPr>
                <w:color w:val="1C3A36"/>
                <w:sz w:val="17"/>
              </w:rPr>
              <w:t>Terminal value as a share of enterprise value</w:t>
            </w:r>
          </w:p>
        </w:tc>
        <w:tc>
          <w:tcPr>
            <w:tcW w:type="dxa" w:w="2808"/>
          </w:tcPr>
          <w:p>
            <w:pPr>
              <w:spacing w:after="20"/>
              <w:jc w:val="right"/>
            </w:pPr>
            <w:r>
              <w:rPr>
                <w:color w:val="1C3A36"/>
                <w:sz w:val="17"/>
              </w:rPr>
              <w:t>62.6%</w:t>
            </w:r>
          </w:p>
        </w:tc>
        <w:tc>
          <w:tcPr>
            <w:tcW w:type="dxa" w:w="2808"/>
          </w:tcPr>
          <w:p>
            <w:pPr>
              <w:spacing w:after="20"/>
              <w:jc w:val="right"/>
            </w:pPr>
            <w:r>
              <w:rPr>
                <w:color w:val="1C3A36"/>
                <w:sz w:val="17"/>
              </w:rPr>
              <w:t>68.7%</w:t>
            </w:r>
          </w:p>
        </w:tc>
      </w:tr>
      <w:tr>
        <w:trPr>
          <w:cantSplit/>
        </w:trPr>
        <w:tc>
          <w:tcPr>
            <w:tcW w:type="dxa" w:w="4464"/>
          </w:tcPr>
          <w:p>
            <w:pPr>
              <w:spacing w:after="20"/>
            </w:pPr>
            <w:r>
              <w:rPr>
                <w:color w:val="1C3A36"/>
                <w:sz w:val="17"/>
              </w:rPr>
              <w:t>Enterprise value (USD mn)</w:t>
            </w:r>
          </w:p>
        </w:tc>
        <w:tc>
          <w:tcPr>
            <w:tcW w:type="dxa" w:w="2808"/>
          </w:tcPr>
          <w:p>
            <w:pPr>
              <w:spacing w:after="20"/>
              <w:jc w:val="right"/>
            </w:pPr>
            <w:r>
              <w:rPr>
                <w:color w:val="1C3A36"/>
                <w:sz w:val="17"/>
              </w:rPr>
              <w:t>15,100</w:t>
            </w:r>
          </w:p>
        </w:tc>
        <w:tc>
          <w:tcPr>
            <w:tcW w:type="dxa" w:w="2808"/>
          </w:tcPr>
          <w:p>
            <w:pPr>
              <w:spacing w:after="20"/>
              <w:jc w:val="right"/>
            </w:pPr>
            <w:r>
              <w:rPr>
                <w:color w:val="1C3A36"/>
                <w:sz w:val="17"/>
              </w:rPr>
              <w:t>18,599</w:t>
            </w:r>
          </w:p>
        </w:tc>
      </w:tr>
      <w:tr>
        <w:trPr>
          <w:cantSplit/>
        </w:trPr>
        <w:tc>
          <w:tcPr>
            <w:tcW w:type="dxa" w:w="4464"/>
          </w:tcPr>
          <w:p>
            <w:pPr>
              <w:spacing w:after="20"/>
            </w:pPr>
            <w:r>
              <w:rPr>
                <w:color w:val="1C3A36"/>
                <w:sz w:val="17"/>
              </w:rPr>
              <w:t>Equity value (USD mn)</w:t>
            </w:r>
          </w:p>
        </w:tc>
        <w:tc>
          <w:tcPr>
            <w:tcW w:type="dxa" w:w="2808"/>
          </w:tcPr>
          <w:p>
            <w:pPr>
              <w:spacing w:after="20"/>
              <w:jc w:val="right"/>
            </w:pPr>
            <w:r>
              <w:rPr>
                <w:color w:val="1C3A36"/>
                <w:sz w:val="17"/>
              </w:rPr>
              <w:t>10,857</w:t>
            </w:r>
          </w:p>
        </w:tc>
        <w:tc>
          <w:tcPr>
            <w:tcW w:type="dxa" w:w="2808"/>
          </w:tcPr>
          <w:p>
            <w:pPr>
              <w:spacing w:after="20"/>
              <w:jc w:val="right"/>
            </w:pPr>
            <w:r>
              <w:rPr>
                <w:color w:val="1C3A36"/>
                <w:sz w:val="17"/>
              </w:rPr>
              <w:t>14,336</w:t>
            </w:r>
          </w:p>
        </w:tc>
      </w:tr>
      <w:tr>
        <w:trPr>
          <w:cantSplit/>
        </w:trPr>
        <w:tc>
          <w:tcPr>
            <w:tcW w:type="dxa" w:w="4464"/>
            <w:shd w:val="clear" w:color="auto" w:fill="F6F1E6"/>
          </w:tcPr>
          <w:p>
            <w:pPr>
              <w:spacing w:after="20"/>
            </w:pPr>
            <w:r>
              <w:rPr>
                <w:b/>
                <w:color w:val="1C3A36"/>
                <w:sz w:val="17"/>
              </w:rPr>
              <w:t>Fair value per share (AED)</w:t>
            </w:r>
          </w:p>
        </w:tc>
        <w:tc>
          <w:tcPr>
            <w:tcW w:type="dxa" w:w="2808"/>
            <w:shd w:val="clear" w:color="auto" w:fill="F6F1E6"/>
          </w:tcPr>
          <w:p>
            <w:pPr>
              <w:spacing w:after="20"/>
              <w:jc w:val="right"/>
            </w:pPr>
            <w:r>
              <w:rPr>
                <w:b/>
                <w:color w:val="1C3A36"/>
                <w:sz w:val="17"/>
              </w:rPr>
              <w:t>5.39</w:t>
            </w:r>
          </w:p>
        </w:tc>
        <w:tc>
          <w:tcPr>
            <w:tcW w:type="dxa" w:w="2808"/>
            <w:shd w:val="clear" w:color="auto" w:fill="F6F1E6"/>
          </w:tcPr>
          <w:p>
            <w:pPr>
              <w:spacing w:after="20"/>
              <w:jc w:val="right"/>
            </w:pPr>
            <w:r>
              <w:rPr>
                <w:b/>
                <w:color w:val="1C3A36"/>
                <w:sz w:val="17"/>
              </w:rPr>
              <w:t>7.12</w:t>
            </w:r>
          </w:p>
        </w:tc>
      </w:tr>
      <w:tr>
        <w:trPr>
          <w:cantSplit/>
        </w:trPr>
        <w:tc>
          <w:tcPr>
            <w:tcW w:type="dxa" w:w="4464"/>
            <w:shd w:val="clear" w:color="auto" w:fill="F6F1E6"/>
          </w:tcPr>
          <w:p>
            <w:pPr>
              <w:spacing w:after="20"/>
            </w:pPr>
            <w:r>
              <w:rPr>
                <w:b/>
                <w:color w:val="1C3A36"/>
                <w:sz w:val="17"/>
              </w:rPr>
              <w:t>Against the market price</w:t>
            </w:r>
          </w:p>
        </w:tc>
        <w:tc>
          <w:tcPr>
            <w:tcW w:type="dxa" w:w="2808"/>
            <w:shd w:val="clear" w:color="auto" w:fill="F6F1E6"/>
          </w:tcPr>
          <w:p>
            <w:pPr>
              <w:spacing w:after="20"/>
              <w:jc w:val="right"/>
            </w:pPr>
            <w:r>
              <w:rPr>
                <w:b/>
                <w:color w:val="1C3A36"/>
                <w:sz w:val="17"/>
              </w:rPr>
              <w:t>-21%</w:t>
            </w:r>
          </w:p>
        </w:tc>
        <w:tc>
          <w:tcPr>
            <w:tcW w:type="dxa" w:w="2808"/>
            <w:shd w:val="clear" w:color="auto" w:fill="F6F1E6"/>
          </w:tcPr>
          <w:p>
            <w:pPr>
              <w:spacing w:after="20"/>
              <w:jc w:val="right"/>
            </w:pPr>
            <w:r>
              <w:rPr>
                <w:b/>
                <w:color w:val="1C3A36"/>
                <w:sz w:val="17"/>
              </w:rPr>
              <w:t>+5%</w:t>
            </w:r>
          </w:p>
        </w:tc>
      </w:tr>
    </w:tbl>
    <w:p>
      <w:pPr>
        <w:spacing w:after="40"/>
      </w:pPr>
    </w:p>
    <w:p>
      <w:pPr>
        <w:spacing w:after="200" w:before="0"/>
      </w:pPr>
      <w:r>
        <w:rPr>
          <w:b w:val="0"/>
          <w:i/>
          <w:color w:val="6E7B77"/>
          <w:sz w:val="17"/>
        </w:rPr>
        <w:t>Identical cash flows, identical bridge, one input different — and that input is the series the returns are regressed on, not anything about the business. The whole of the AED 1.73 between the two columns is the beta, and most of it lands in the terminal value: a 145 basis point difference in the terminal cost of capital changes the capitalisation factor on a perpetuity by roughly a quarter, which is also why the terminal value falls from 69% of enterprise value to 63% of it when the published index is used. The two columns are never averaged. The left column is the adopted construction because the published index of the exchange the share is listed on is the market this share is measured against; the right column is published so that the size of the convention is visible. Note which way the adoption cuts: it lowers the fair value and moves the cash-flow lens from 5% above the market price to 21% below the market price.</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Equity attributable to ordinary shareholders was USD 5,883 million at 30 June 2026, or AED 2.92 a share — the figure excludes the perpetual capital securities, which the accounts include inside total equity but which do not belong to the ordinary shareholder. The return earned on that equity, struck after the coupon those securities take ahead of it, runs 24.1% in 2026E and falls to 8.5% by 2030E as the rate cycle normalises and the capital base grows; across the five years it averages 17.3%. That path is struck on OPENING book, which is the convention this lens is built on and the one it uses throughout.</w:t>
      </w:r>
    </w:p>
    <w:p>
      <w:pPr>
        <w:spacing w:after="120" w:before="0"/>
      </w:pPr>
      <w:r>
        <w:rPr>
          <w:b w:val="0"/>
          <w:i w:val="0"/>
          <w:color w:val="1C3A36"/>
          <w:sz w:val="21"/>
        </w:rPr>
        <w:t>A separate return figure runs through the appendix and it is on a different convention, so the two are set out together rather than spliced. On CLOSING equity attributable to ordinary shareholders — the measure the reported history is naturally computed on — the return ran 14.1% in FY2023, 15.4% in FY2024 and 16.8% in FY2025, and the five forecast years run 25.4% · 24.3% · 19.0% · 13.6% · 9.3%, averaging 18.3%. Appendix A.2 now carries that row on closing equity end to end. An earlier edition put the reported years on closing equity and the forecast years on AVERAGE equity in the same row and the same sentence, which made the series read as a rise into a sustainable level; on the average-equity convention the forecast years are 28.2% · 26.8% · 20.5% · 14.3% · 9.5% instead. The direction of the series depends on which of the two is used, so mixing them was manufacturing a trend rather than reporting one. Neither convention is wrong and this study uses closing equity in the appendix, opening book in the lens below, and says which is which at each place.</w:t>
      </w:r>
    </w:p>
    <w:p>
      <w:pPr>
        <w:spacing w:after="120" w:before="0"/>
      </w:pPr>
      <w:r>
        <w:rPr>
          <w:b w:val="0"/>
          <w:i w:val="0"/>
          <w:color w:val="1C3A36"/>
          <w:sz w:val="21"/>
        </w:rPr>
        <w:t>The textbook form of this lens is a justified price-to-book multiple: the sustainable return less growth, divided by the cost of equity less growth. It is not used here, and the reason is arithmetic rather than taste. That formula describes a steady state in which the company distributes everything it does not need in order to fund its growth. At a sustainable return of 19.9% and growth of 2%, the payout that steady state requires is 90% of earnings. This company pays out 16% to 36% and retains the rest, which compounds its book at about 15.3% a year — above the cost of equity of 9.37%, where the formula does not merely mislead but is undefined, because the denominator it divides by has gone through zero. A lens whose central expression is undefined on the company in front of it is the wrong lens.</w:t>
      </w:r>
    </w:p>
    <w:p>
      <w:pPr>
        <w:spacing w:after="120" w:before="0"/>
      </w:pPr>
      <w:r>
        <w:rPr>
          <w:b w:val="0"/>
          <w:i w:val="0"/>
          <w:color w:val="1C3A36"/>
          <w:sz w:val="21"/>
        </w:rPr>
        <w:t>What is used instead is residual income, which asks the same question without the steady-state assumption: what is the book the company already has, plus the value of earning more than the cost of equity on it for as long as that lasts. The construction is the opening ordinary book; plus, for each of the five forecast years, the return on that year's opening book less the cost of equity, multiplied by that opening book and discounted; plus a remainder beyond the forecast in which the excess return decays at 10% a year. The fade is a judgement and it is the one place this lens is soft: a fleet has to be replaced at market prices rather than at the value it is carried at, so an excess return over the cost of equity cannot persist unchanged, but nothing observable fixes the speed. A slower fade would raise this lens and a faster one would lower it; at the rate used, the remainder beyond the forecast is USD -390 million of the USD 7,924 million total, and the book the company already owns is most of the rest.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893"/>
        <w:gridCol w:w="1670"/>
        <w:gridCol w:w="1152"/>
        <w:gridCol w:w="1354"/>
        <w:gridCol w:w="1584"/>
        <w:gridCol w:w="1267"/>
        <w:gridCol w:w="1584"/>
      </w:tblGrid>
      <w:tr>
        <w:trPr>
          <w:cantSplit/>
          <w:tblHeader/>
        </w:trPr>
        <w:tc>
          <w:tcPr>
            <w:tcW w:type="dxa" w:w="893"/>
            <w:shd w:val="clear" w:color="auto" w:fill="EAF0EE"/>
          </w:tcPr>
          <w:p>
            <w:pPr>
              <w:spacing w:after="20"/>
            </w:pPr>
            <w:r>
              <w:rPr>
                <w:b/>
                <w:color w:val="1C3A36"/>
                <w:sz w:val="16"/>
              </w:rPr>
              <w:t>Year</w:t>
            </w:r>
          </w:p>
        </w:tc>
        <w:tc>
          <w:tcPr>
            <w:tcW w:type="dxa" w:w="1670"/>
            <w:shd w:val="clear" w:color="auto" w:fill="EAF0EE"/>
          </w:tcPr>
          <w:p>
            <w:pPr>
              <w:spacing w:after="20"/>
            </w:pPr>
            <w:r>
              <w:rPr>
                <w:b/>
                <w:color w:val="1C3A36"/>
                <w:sz w:val="16"/>
              </w:rPr>
              <w:t>Opening ordinary book (USD mn)</w:t>
            </w:r>
          </w:p>
        </w:tc>
        <w:tc>
          <w:tcPr>
            <w:tcW w:type="dxa" w:w="1152"/>
            <w:shd w:val="clear" w:color="auto" w:fill="EAF0EE"/>
          </w:tcPr>
          <w:p>
            <w:pPr>
              <w:spacing w:after="20"/>
            </w:pPr>
            <w:r>
              <w:rPr>
                <w:b/>
                <w:color w:val="1C3A36"/>
                <w:sz w:val="16"/>
              </w:rPr>
              <w:t>Return on it</w:t>
            </w:r>
          </w:p>
        </w:tc>
        <w:tc>
          <w:tcPr>
            <w:tcW w:type="dxa" w:w="1354"/>
            <w:shd w:val="clear" w:color="auto" w:fill="EAF0EE"/>
          </w:tcPr>
          <w:p>
            <w:pPr>
              <w:spacing w:after="20"/>
            </w:pPr>
            <w:r>
              <w:rPr>
                <w:b/>
                <w:color w:val="1C3A36"/>
                <w:sz w:val="16"/>
              </w:rPr>
              <w:t>Less the cost of equity</w:t>
            </w:r>
          </w:p>
        </w:tc>
        <w:tc>
          <w:tcPr>
            <w:tcW w:type="dxa" w:w="1584"/>
            <w:shd w:val="clear" w:color="auto" w:fill="EAF0EE"/>
          </w:tcPr>
          <w:p>
            <w:pPr>
              <w:spacing w:after="20"/>
            </w:pPr>
            <w:r>
              <w:rPr>
                <w:b/>
                <w:color w:val="1C3A36"/>
                <w:sz w:val="16"/>
              </w:rPr>
              <w:t>Residual income (USD mn)</w:t>
            </w:r>
          </w:p>
        </w:tc>
        <w:tc>
          <w:tcPr>
            <w:tcW w:type="dxa" w:w="1267"/>
            <w:shd w:val="clear" w:color="auto" w:fill="EAF0EE"/>
          </w:tcPr>
          <w:p>
            <w:pPr>
              <w:spacing w:after="20"/>
            </w:pPr>
            <w:r>
              <w:rPr>
                <w:b/>
                <w:color w:val="1C3A36"/>
                <w:sz w:val="16"/>
              </w:rPr>
              <w:t>Discount factor</w:t>
            </w:r>
          </w:p>
        </w:tc>
        <w:tc>
          <w:tcPr>
            <w:tcW w:type="dxa" w:w="1584"/>
            <w:shd w:val="clear" w:color="auto" w:fill="EAF0EE"/>
          </w:tcPr>
          <w:p>
            <w:pPr>
              <w:spacing w:after="20"/>
            </w:pPr>
            <w:r>
              <w:rPr>
                <w:b/>
                <w:color w:val="1C3A36"/>
                <w:sz w:val="16"/>
              </w:rPr>
              <w:t>Present value (USD mn)</w:t>
            </w:r>
          </w:p>
        </w:tc>
      </w:tr>
      <w:tr>
        <w:trPr>
          <w:cantSplit/>
        </w:trPr>
        <w:tc>
          <w:tcPr>
            <w:tcW w:type="dxa" w:w="893"/>
          </w:tcPr>
          <w:p>
            <w:pPr>
              <w:spacing w:after="20"/>
            </w:pPr>
            <w:r>
              <w:rPr>
                <w:color w:val="1C3A36"/>
                <w:sz w:val="16"/>
              </w:rPr>
              <w:t>2026E</w:t>
            </w:r>
          </w:p>
        </w:tc>
        <w:tc>
          <w:tcPr>
            <w:tcW w:type="dxa" w:w="1670"/>
          </w:tcPr>
          <w:p>
            <w:pPr>
              <w:spacing w:after="20"/>
              <w:jc w:val="right"/>
            </w:pPr>
            <w:r>
              <w:rPr>
                <w:color w:val="1C3A36"/>
                <w:sz w:val="16"/>
              </w:rPr>
              <w:t>5,883</w:t>
            </w:r>
          </w:p>
        </w:tc>
        <w:tc>
          <w:tcPr>
            <w:tcW w:type="dxa" w:w="1152"/>
          </w:tcPr>
          <w:p>
            <w:pPr>
              <w:spacing w:after="20"/>
              <w:jc w:val="right"/>
            </w:pPr>
            <w:r>
              <w:rPr>
                <w:color w:val="1C3A36"/>
                <w:sz w:val="16"/>
              </w:rPr>
              <w:t>24.1%</w:t>
            </w:r>
          </w:p>
        </w:tc>
        <w:tc>
          <w:tcPr>
            <w:tcW w:type="dxa" w:w="1354"/>
          </w:tcPr>
          <w:p>
            <w:pPr>
              <w:spacing w:after="20"/>
              <w:jc w:val="right"/>
            </w:pPr>
            <w:r>
              <w:rPr>
                <w:color w:val="1C3A36"/>
                <w:sz w:val="16"/>
              </w:rPr>
              <w:t>+14.75pp</w:t>
            </w:r>
          </w:p>
        </w:tc>
        <w:tc>
          <w:tcPr>
            <w:tcW w:type="dxa" w:w="1584"/>
          </w:tcPr>
          <w:p>
            <w:pPr>
              <w:spacing w:after="20"/>
              <w:jc w:val="right"/>
            </w:pPr>
            <w:r>
              <w:rPr>
                <w:color w:val="1C3A36"/>
                <w:sz w:val="16"/>
              </w:rPr>
              <w:t>868</w:t>
            </w:r>
          </w:p>
        </w:tc>
        <w:tc>
          <w:tcPr>
            <w:tcW w:type="dxa" w:w="1267"/>
          </w:tcPr>
          <w:p>
            <w:pPr>
              <w:spacing w:after="20"/>
              <w:jc w:val="right"/>
            </w:pPr>
            <w:r>
              <w:rPr>
                <w:color w:val="1C3A36"/>
                <w:sz w:val="16"/>
              </w:rPr>
              <w:t>0.9144</w:t>
            </w:r>
          </w:p>
        </w:tc>
        <w:tc>
          <w:tcPr>
            <w:tcW w:type="dxa" w:w="1584"/>
          </w:tcPr>
          <w:p>
            <w:pPr>
              <w:spacing w:after="20"/>
              <w:jc w:val="right"/>
            </w:pPr>
            <w:r>
              <w:rPr>
                <w:color w:val="1C3A36"/>
                <w:sz w:val="16"/>
              </w:rPr>
              <w:t>794</w:t>
            </w:r>
          </w:p>
        </w:tc>
      </w:tr>
      <w:tr>
        <w:trPr>
          <w:cantSplit/>
        </w:trPr>
        <w:tc>
          <w:tcPr>
            <w:tcW w:type="dxa" w:w="893"/>
          </w:tcPr>
          <w:p>
            <w:pPr>
              <w:spacing w:after="20"/>
            </w:pPr>
            <w:r>
              <w:rPr>
                <w:color w:val="1C3A36"/>
                <w:sz w:val="16"/>
              </w:rPr>
              <w:t>2027E</w:t>
            </w:r>
          </w:p>
        </w:tc>
        <w:tc>
          <w:tcPr>
            <w:tcW w:type="dxa" w:w="1670"/>
          </w:tcPr>
          <w:p>
            <w:pPr>
              <w:spacing w:after="20"/>
              <w:jc w:val="right"/>
            </w:pPr>
            <w:r>
              <w:rPr>
                <w:color w:val="1C3A36"/>
                <w:sz w:val="16"/>
              </w:rPr>
              <w:t>7,304</w:t>
            </w:r>
          </w:p>
        </w:tc>
        <w:tc>
          <w:tcPr>
            <w:tcW w:type="dxa" w:w="1152"/>
          </w:tcPr>
          <w:p>
            <w:pPr>
              <w:spacing w:after="20"/>
              <w:jc w:val="right"/>
            </w:pPr>
            <w:r>
              <w:rPr>
                <w:color w:val="1C3A36"/>
                <w:sz w:val="16"/>
              </w:rPr>
              <w:t>23.2%</w:t>
            </w:r>
          </w:p>
        </w:tc>
        <w:tc>
          <w:tcPr>
            <w:tcW w:type="dxa" w:w="1354"/>
          </w:tcPr>
          <w:p>
            <w:pPr>
              <w:spacing w:after="20"/>
              <w:jc w:val="right"/>
            </w:pPr>
            <w:r>
              <w:rPr>
                <w:color w:val="1C3A36"/>
                <w:sz w:val="16"/>
              </w:rPr>
              <w:t>+13.81pp</w:t>
            </w:r>
          </w:p>
        </w:tc>
        <w:tc>
          <w:tcPr>
            <w:tcW w:type="dxa" w:w="1584"/>
          </w:tcPr>
          <w:p>
            <w:pPr>
              <w:spacing w:after="20"/>
              <w:jc w:val="right"/>
            </w:pPr>
            <w:r>
              <w:rPr>
                <w:color w:val="1C3A36"/>
                <w:sz w:val="16"/>
              </w:rPr>
              <w:t>1,009</w:t>
            </w:r>
          </w:p>
        </w:tc>
        <w:tc>
          <w:tcPr>
            <w:tcW w:type="dxa" w:w="1267"/>
          </w:tcPr>
          <w:p>
            <w:pPr>
              <w:spacing w:after="20"/>
              <w:jc w:val="right"/>
            </w:pPr>
            <w:r>
              <w:rPr>
                <w:color w:val="1C3A36"/>
                <w:sz w:val="16"/>
              </w:rPr>
              <w:t>0.8360</w:t>
            </w:r>
          </w:p>
        </w:tc>
        <w:tc>
          <w:tcPr>
            <w:tcW w:type="dxa" w:w="1584"/>
          </w:tcPr>
          <w:p>
            <w:pPr>
              <w:spacing w:after="20"/>
              <w:jc w:val="right"/>
            </w:pPr>
            <w:r>
              <w:rPr>
                <w:color w:val="1C3A36"/>
                <w:sz w:val="16"/>
              </w:rPr>
              <w:t>843</w:t>
            </w:r>
          </w:p>
        </w:tc>
      </w:tr>
      <w:tr>
        <w:trPr>
          <w:cantSplit/>
        </w:trPr>
        <w:tc>
          <w:tcPr>
            <w:tcW w:type="dxa" w:w="893"/>
          </w:tcPr>
          <w:p>
            <w:pPr>
              <w:spacing w:after="20"/>
            </w:pPr>
            <w:r>
              <w:rPr>
                <w:color w:val="1C3A36"/>
                <w:sz w:val="16"/>
              </w:rPr>
              <w:t>2028E</w:t>
            </w:r>
          </w:p>
        </w:tc>
        <w:tc>
          <w:tcPr>
            <w:tcW w:type="dxa" w:w="1670"/>
          </w:tcPr>
          <w:p>
            <w:pPr>
              <w:spacing w:after="20"/>
              <w:jc w:val="right"/>
            </w:pPr>
            <w:r>
              <w:rPr>
                <w:color w:val="1C3A36"/>
                <w:sz w:val="16"/>
              </w:rPr>
              <w:t>9,041</w:t>
            </w:r>
          </w:p>
        </w:tc>
        <w:tc>
          <w:tcPr>
            <w:tcW w:type="dxa" w:w="1152"/>
          </w:tcPr>
          <w:p>
            <w:pPr>
              <w:spacing w:after="20"/>
              <w:jc w:val="right"/>
            </w:pPr>
            <w:r>
              <w:rPr>
                <w:color w:val="1C3A36"/>
                <w:sz w:val="16"/>
              </w:rPr>
              <w:t>18.1%</w:t>
            </w:r>
          </w:p>
        </w:tc>
        <w:tc>
          <w:tcPr>
            <w:tcW w:type="dxa" w:w="1354"/>
          </w:tcPr>
          <w:p>
            <w:pPr>
              <w:spacing w:after="20"/>
              <w:jc w:val="right"/>
            </w:pPr>
            <w:r>
              <w:rPr>
                <w:color w:val="1C3A36"/>
                <w:sz w:val="16"/>
              </w:rPr>
              <w:t>+8.76pp</w:t>
            </w:r>
          </w:p>
        </w:tc>
        <w:tc>
          <w:tcPr>
            <w:tcW w:type="dxa" w:w="1584"/>
          </w:tcPr>
          <w:p>
            <w:pPr>
              <w:spacing w:after="20"/>
              <w:jc w:val="right"/>
            </w:pPr>
            <w:r>
              <w:rPr>
                <w:color w:val="1C3A36"/>
                <w:sz w:val="16"/>
              </w:rPr>
              <w:t>792</w:t>
            </w:r>
          </w:p>
        </w:tc>
        <w:tc>
          <w:tcPr>
            <w:tcW w:type="dxa" w:w="1267"/>
          </w:tcPr>
          <w:p>
            <w:pPr>
              <w:spacing w:after="20"/>
              <w:jc w:val="right"/>
            </w:pPr>
            <w:r>
              <w:rPr>
                <w:color w:val="1C3A36"/>
                <w:sz w:val="16"/>
              </w:rPr>
              <w:t>0.7644</w:t>
            </w:r>
          </w:p>
        </w:tc>
        <w:tc>
          <w:tcPr>
            <w:tcW w:type="dxa" w:w="1584"/>
          </w:tcPr>
          <w:p>
            <w:pPr>
              <w:spacing w:after="20"/>
              <w:jc w:val="right"/>
            </w:pPr>
            <w:r>
              <w:rPr>
                <w:color w:val="1C3A36"/>
                <w:sz w:val="16"/>
              </w:rPr>
              <w:t>606</w:t>
            </w:r>
          </w:p>
        </w:tc>
      </w:tr>
      <w:tr>
        <w:trPr>
          <w:cantSplit/>
        </w:trPr>
        <w:tc>
          <w:tcPr>
            <w:tcW w:type="dxa" w:w="893"/>
          </w:tcPr>
          <w:p>
            <w:pPr>
              <w:spacing w:after="20"/>
            </w:pPr>
            <w:r>
              <w:rPr>
                <w:color w:val="1C3A36"/>
                <w:sz w:val="16"/>
              </w:rPr>
              <w:t>2029E</w:t>
            </w:r>
          </w:p>
        </w:tc>
        <w:tc>
          <w:tcPr>
            <w:tcW w:type="dxa" w:w="1670"/>
          </w:tcPr>
          <w:p>
            <w:pPr>
              <w:spacing w:after="20"/>
              <w:jc w:val="right"/>
            </w:pPr>
            <w:r>
              <w:rPr>
                <w:color w:val="1C3A36"/>
                <w:sz w:val="16"/>
              </w:rPr>
              <w:t>10,584</w:t>
            </w:r>
          </w:p>
        </w:tc>
        <w:tc>
          <w:tcPr>
            <w:tcW w:type="dxa" w:w="1152"/>
          </w:tcPr>
          <w:p>
            <w:pPr>
              <w:spacing w:after="20"/>
              <w:jc w:val="right"/>
            </w:pPr>
            <w:r>
              <w:rPr>
                <w:color w:val="1C3A36"/>
                <w:sz w:val="16"/>
              </w:rPr>
              <w:t>12.8%</w:t>
            </w:r>
          </w:p>
        </w:tc>
        <w:tc>
          <w:tcPr>
            <w:tcW w:type="dxa" w:w="1354"/>
          </w:tcPr>
          <w:p>
            <w:pPr>
              <w:spacing w:after="20"/>
              <w:jc w:val="right"/>
            </w:pPr>
            <w:r>
              <w:rPr>
                <w:color w:val="1C3A36"/>
                <w:sz w:val="16"/>
              </w:rPr>
              <w:t>+3.41pp</w:t>
            </w:r>
          </w:p>
        </w:tc>
        <w:tc>
          <w:tcPr>
            <w:tcW w:type="dxa" w:w="1584"/>
          </w:tcPr>
          <w:p>
            <w:pPr>
              <w:spacing w:after="20"/>
              <w:jc w:val="right"/>
            </w:pPr>
            <w:r>
              <w:rPr>
                <w:color w:val="1C3A36"/>
                <w:sz w:val="16"/>
              </w:rPr>
              <w:t>361</w:t>
            </w:r>
          </w:p>
        </w:tc>
        <w:tc>
          <w:tcPr>
            <w:tcW w:type="dxa" w:w="1267"/>
          </w:tcPr>
          <w:p>
            <w:pPr>
              <w:spacing w:after="20"/>
              <w:jc w:val="right"/>
            </w:pPr>
            <w:r>
              <w:rPr>
                <w:color w:val="1C3A36"/>
                <w:sz w:val="16"/>
              </w:rPr>
              <w:t>0.6990</w:t>
            </w:r>
          </w:p>
        </w:tc>
        <w:tc>
          <w:tcPr>
            <w:tcW w:type="dxa" w:w="1584"/>
          </w:tcPr>
          <w:p>
            <w:pPr>
              <w:spacing w:after="20"/>
              <w:jc w:val="right"/>
            </w:pPr>
            <w:r>
              <w:rPr>
                <w:color w:val="1C3A36"/>
                <w:sz w:val="16"/>
              </w:rPr>
              <w:t>253</w:t>
            </w:r>
          </w:p>
        </w:tc>
      </w:tr>
      <w:tr>
        <w:trPr>
          <w:cantSplit/>
        </w:trPr>
        <w:tc>
          <w:tcPr>
            <w:tcW w:type="dxa" w:w="893"/>
          </w:tcPr>
          <w:p>
            <w:pPr>
              <w:spacing w:after="20"/>
            </w:pPr>
            <w:r>
              <w:rPr>
                <w:color w:val="1C3A36"/>
                <w:sz w:val="16"/>
              </w:rPr>
              <w:t>2030E</w:t>
            </w:r>
          </w:p>
        </w:tc>
        <w:tc>
          <w:tcPr>
            <w:tcW w:type="dxa" w:w="1670"/>
          </w:tcPr>
          <w:p>
            <w:pPr>
              <w:spacing w:after="20"/>
              <w:jc w:val="right"/>
            </w:pPr>
            <w:r>
              <w:rPr>
                <w:color w:val="1C3A36"/>
                <w:sz w:val="16"/>
              </w:rPr>
              <w:t>11,683</w:t>
            </w:r>
          </w:p>
        </w:tc>
        <w:tc>
          <w:tcPr>
            <w:tcW w:type="dxa" w:w="1152"/>
          </w:tcPr>
          <w:p>
            <w:pPr>
              <w:spacing w:after="20"/>
              <w:jc w:val="right"/>
            </w:pPr>
            <w:r>
              <w:rPr>
                <w:color w:val="1C3A36"/>
                <w:sz w:val="16"/>
              </w:rPr>
              <w:t>8.5%</w:t>
            </w:r>
          </w:p>
        </w:tc>
        <w:tc>
          <w:tcPr>
            <w:tcW w:type="dxa" w:w="1354"/>
          </w:tcPr>
          <w:p>
            <w:pPr>
              <w:spacing w:after="20"/>
              <w:jc w:val="right"/>
            </w:pPr>
            <w:r>
              <w:rPr>
                <w:color w:val="1C3A36"/>
                <w:sz w:val="16"/>
              </w:rPr>
              <w:t>-0.86pp</w:t>
            </w:r>
          </w:p>
        </w:tc>
        <w:tc>
          <w:tcPr>
            <w:tcW w:type="dxa" w:w="1584"/>
          </w:tcPr>
          <w:p>
            <w:pPr>
              <w:spacing w:after="20"/>
              <w:jc w:val="right"/>
            </w:pPr>
            <w:r>
              <w:rPr>
                <w:color w:val="1C3A36"/>
                <w:sz w:val="16"/>
              </w:rPr>
              <w:t>-100</w:t>
            </w:r>
          </w:p>
        </w:tc>
        <w:tc>
          <w:tcPr>
            <w:tcW w:type="dxa" w:w="1267"/>
          </w:tcPr>
          <w:p>
            <w:pPr>
              <w:spacing w:after="20"/>
              <w:jc w:val="right"/>
            </w:pPr>
            <w:r>
              <w:rPr>
                <w:color w:val="1C3A36"/>
                <w:sz w:val="16"/>
              </w:rPr>
              <w:t>0.6391</w:t>
            </w:r>
          </w:p>
        </w:tc>
        <w:tc>
          <w:tcPr>
            <w:tcW w:type="dxa" w:w="1584"/>
          </w:tcPr>
          <w:p>
            <w:pPr>
              <w:spacing w:after="20"/>
              <w:jc w:val="right"/>
            </w:pPr>
            <w:r>
              <w:rPr>
                <w:color w:val="1C3A36"/>
                <w:sz w:val="16"/>
              </w:rPr>
              <w:t>-64</w:t>
            </w:r>
          </w:p>
        </w:tc>
      </w:tr>
      <w:tr>
        <w:trPr>
          <w:cantSplit/>
        </w:trPr>
        <w:tc>
          <w:tcPr>
            <w:tcW w:type="dxa" w:w="893"/>
            <w:shd w:val="clear" w:color="auto" w:fill="F6F1E6"/>
          </w:tcPr>
          <w:p>
            <w:pPr>
              <w:spacing w:after="20"/>
            </w:pPr>
            <w:r>
              <w:rPr>
                <w:b/>
                <w:color w:val="1C3A36"/>
                <w:sz w:val="16"/>
              </w:rPr>
              <w:t>Total</w:t>
            </w:r>
          </w:p>
        </w:tc>
        <w:tc>
          <w:tcPr>
            <w:tcW w:type="dxa" w:w="1670"/>
            <w:shd w:val="clear" w:color="auto" w:fill="F6F1E6"/>
          </w:tcPr>
          <w:p>
            <w:pPr>
              <w:spacing w:after="20"/>
              <w:jc w:val="right"/>
            </w:pPr>
            <w:r>
              <w:rPr>
                <w:b/>
                <w:color w:val="1C3A36"/>
                <w:sz w:val="16"/>
              </w:rPr>
            </w:r>
          </w:p>
        </w:tc>
        <w:tc>
          <w:tcPr>
            <w:tcW w:type="dxa" w:w="1152"/>
            <w:shd w:val="clear" w:color="auto" w:fill="F6F1E6"/>
          </w:tcPr>
          <w:p>
            <w:pPr>
              <w:spacing w:after="20"/>
              <w:jc w:val="right"/>
            </w:pPr>
            <w:r>
              <w:rPr>
                <w:b/>
                <w:color w:val="1C3A36"/>
                <w:sz w:val="16"/>
              </w:rPr>
            </w:r>
          </w:p>
        </w:tc>
        <w:tc>
          <w:tcPr>
            <w:tcW w:type="dxa" w:w="1354"/>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1267"/>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t>2,431</w:t>
            </w:r>
          </w:p>
        </w:tc>
      </w:tr>
    </w:tbl>
    <w:p>
      <w:pPr>
        <w:spacing w:after="40"/>
      </w:pPr>
    </w:p>
    <w:p>
      <w:pPr>
        <w:spacing w:after="200" w:before="0"/>
      </w:pPr>
      <w:r>
        <w:rPr>
          <w:b w:val="0"/>
          <w:i/>
          <w:color w:val="6E7B77"/>
          <w:sz w:val="17"/>
        </w:rPr>
        <w:t>Residual income is what the ordinary shareholder earns above the 9.37% it costs to hold the equity — the return in the third column less that cost, applied to the book in the second. It is positive in every forecast year and shrinking in every one of them, which is the same picture the cash-flow model gives from the other end. The opening book of each year is the model's own rolled-forward balance sheet, so this lens and Appendix A.2 cannot disagree.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3024"/>
      </w:tblGrid>
      <w:tr>
        <w:trPr>
          <w:cantSplit/>
          <w:tblHeader/>
        </w:trPr>
        <w:tc>
          <w:tcPr>
            <w:tcW w:type="dxa" w:w="7056"/>
            <w:shd w:val="clear" w:color="auto" w:fill="EAF0EE"/>
          </w:tcPr>
          <w:p>
            <w:pPr>
              <w:spacing w:after="20"/>
            </w:pPr>
            <w:r>
              <w:rPr>
                <w:b/>
                <w:color w:val="1C3A36"/>
                <w:sz w:val="17"/>
              </w:rPr>
              <w:t>Line</w:t>
            </w:r>
          </w:p>
        </w:tc>
        <w:tc>
          <w:tcPr>
            <w:tcW w:type="dxa" w:w="3024"/>
            <w:shd w:val="clear" w:color="auto" w:fill="EAF0EE"/>
          </w:tcPr>
          <w:p>
            <w:pPr>
              <w:spacing w:after="20"/>
            </w:pPr>
            <w:r>
              <w:rPr>
                <w:b/>
                <w:color w:val="1C3A36"/>
                <w:sz w:val="17"/>
              </w:rPr>
              <w:t>Value</w:t>
            </w:r>
          </w:p>
        </w:tc>
      </w:tr>
      <w:tr>
        <w:trPr>
          <w:cantSplit/>
        </w:trPr>
        <w:tc>
          <w:tcPr>
            <w:tcW w:type="dxa" w:w="7056"/>
          </w:tcPr>
          <w:p>
            <w:pPr>
              <w:spacing w:after="20"/>
            </w:pPr>
            <w:r>
              <w:rPr>
                <w:color w:val="1C3A36"/>
                <w:sz w:val="17"/>
              </w:rPr>
              <w:t>Equity attributable to ordinary shareholders at 30 June 2026 (USD mn)</w:t>
            </w:r>
          </w:p>
        </w:tc>
        <w:tc>
          <w:tcPr>
            <w:tcW w:type="dxa" w:w="3024"/>
          </w:tcPr>
          <w:p>
            <w:pPr>
              <w:spacing w:after="20"/>
              <w:jc w:val="right"/>
            </w:pPr>
            <w:r>
              <w:rPr>
                <w:color w:val="1C3A36"/>
                <w:sz w:val="17"/>
              </w:rPr>
              <w:t>5,883</w:t>
            </w:r>
          </w:p>
        </w:tc>
      </w:tr>
      <w:tr>
        <w:trPr>
          <w:cantSplit/>
        </w:trPr>
        <w:tc>
          <w:tcPr>
            <w:tcW w:type="dxa" w:w="7056"/>
          </w:tcPr>
          <w:p>
            <w:pPr>
              <w:spacing w:after="20"/>
            </w:pPr>
            <w:r>
              <w:rPr>
                <w:color w:val="1C3A36"/>
                <w:sz w:val="17"/>
              </w:rPr>
              <w:t>Book value per share (USD)</w:t>
            </w:r>
          </w:p>
        </w:tc>
        <w:tc>
          <w:tcPr>
            <w:tcW w:type="dxa" w:w="3024"/>
          </w:tcPr>
          <w:p>
            <w:pPr>
              <w:spacing w:after="20"/>
              <w:jc w:val="right"/>
            </w:pPr>
            <w:r>
              <w:rPr>
                <w:color w:val="1C3A36"/>
                <w:sz w:val="17"/>
              </w:rPr>
              <w:t>0.7952</w:t>
            </w:r>
          </w:p>
        </w:tc>
      </w:tr>
      <w:tr>
        <w:trPr>
          <w:cantSplit/>
        </w:trPr>
        <w:tc>
          <w:tcPr>
            <w:tcW w:type="dxa" w:w="7056"/>
          </w:tcPr>
          <w:p>
            <w:pPr>
              <w:spacing w:after="20"/>
            </w:pPr>
            <w:r>
              <w:rPr>
                <w:color w:val="1C3A36"/>
                <w:sz w:val="17"/>
              </w:rPr>
              <w:t>Book value per share (AED, at the peg)</w:t>
            </w:r>
          </w:p>
        </w:tc>
        <w:tc>
          <w:tcPr>
            <w:tcW w:type="dxa" w:w="3024"/>
          </w:tcPr>
          <w:p>
            <w:pPr>
              <w:spacing w:after="20"/>
              <w:jc w:val="right"/>
            </w:pPr>
            <w:r>
              <w:rPr>
                <w:color w:val="1C3A36"/>
                <w:sz w:val="17"/>
              </w:rPr>
              <w:t>2.92</w:t>
            </w:r>
          </w:p>
        </w:tc>
      </w:tr>
      <w:tr>
        <w:trPr>
          <w:cantSplit/>
        </w:trPr>
        <w:tc>
          <w:tcPr>
            <w:tcW w:type="dxa" w:w="7056"/>
          </w:tcPr>
          <w:p>
            <w:pPr>
              <w:spacing w:after="20"/>
            </w:pPr>
            <w:r>
              <w:rPr>
                <w:color w:val="1C3A36"/>
                <w:sz w:val="17"/>
              </w:rPr>
              <w:t>Plus the present value of five years of residual income (USD mn)</w:t>
            </w:r>
          </w:p>
        </w:tc>
        <w:tc>
          <w:tcPr>
            <w:tcW w:type="dxa" w:w="3024"/>
          </w:tcPr>
          <w:p>
            <w:pPr>
              <w:spacing w:after="20"/>
              <w:jc w:val="right"/>
            </w:pPr>
            <w:r>
              <w:rPr>
                <w:color w:val="1C3A36"/>
                <w:sz w:val="17"/>
              </w:rPr>
              <w:t>2,431</w:t>
            </w:r>
          </w:p>
        </w:tc>
      </w:tr>
      <w:tr>
        <w:trPr>
          <w:cantSplit/>
        </w:trPr>
        <w:tc>
          <w:tcPr>
            <w:tcW w:type="dxa" w:w="7056"/>
          </w:tcPr>
          <w:p>
            <w:pPr>
              <w:spacing w:after="20"/>
            </w:pPr>
            <w:r>
              <w:rPr>
                <w:color w:val="1C3A36"/>
                <w:sz w:val="17"/>
              </w:rPr>
              <w:t>Plus the present value of the remainder, fading at 10% a year (USD mn)</w:t>
            </w:r>
          </w:p>
        </w:tc>
        <w:tc>
          <w:tcPr>
            <w:tcW w:type="dxa" w:w="3024"/>
          </w:tcPr>
          <w:p>
            <w:pPr>
              <w:spacing w:after="20"/>
              <w:jc w:val="right"/>
            </w:pPr>
            <w:r>
              <w:rPr>
                <w:color w:val="1C3A36"/>
                <w:sz w:val="17"/>
              </w:rPr>
              <w:t>-390</w:t>
            </w:r>
          </w:p>
        </w:tc>
      </w:tr>
      <w:tr>
        <w:trPr>
          <w:cantSplit/>
        </w:trPr>
        <w:tc>
          <w:tcPr>
            <w:tcW w:type="dxa" w:w="7056"/>
          </w:tcPr>
          <w:p>
            <w:pPr>
              <w:spacing w:after="20"/>
            </w:pPr>
            <w:r>
              <w:rPr>
                <w:color w:val="1C3A36"/>
                <w:sz w:val="17"/>
              </w:rPr>
              <w:t>Equity value on this lens (USD mn)</w:t>
            </w:r>
          </w:p>
        </w:tc>
        <w:tc>
          <w:tcPr>
            <w:tcW w:type="dxa" w:w="3024"/>
          </w:tcPr>
          <w:p>
            <w:pPr>
              <w:spacing w:after="20"/>
              <w:jc w:val="right"/>
            </w:pPr>
            <w:r>
              <w:rPr>
                <w:color w:val="1C3A36"/>
                <w:sz w:val="17"/>
              </w:rPr>
              <w:t>7,924</w:t>
            </w:r>
          </w:p>
        </w:tc>
      </w:tr>
      <w:tr>
        <w:trPr>
          <w:cantSplit/>
        </w:trPr>
        <w:tc>
          <w:tcPr>
            <w:tcW w:type="dxa" w:w="7056"/>
          </w:tcPr>
          <w:p>
            <w:pPr>
              <w:spacing w:after="20"/>
            </w:pPr>
            <w:r>
              <w:rPr>
                <w:color w:val="1C3A36"/>
                <w:sz w:val="17"/>
              </w:rPr>
              <w:t>Implied price to book</w:t>
            </w:r>
          </w:p>
        </w:tc>
        <w:tc>
          <w:tcPr>
            <w:tcW w:type="dxa" w:w="3024"/>
          </w:tcPr>
          <w:p>
            <w:pPr>
              <w:spacing w:after="20"/>
              <w:jc w:val="right"/>
            </w:pPr>
            <w:r>
              <w:rPr>
                <w:color w:val="1C3A36"/>
                <w:sz w:val="17"/>
              </w:rPr>
              <w:t>1.35×</w:t>
            </w:r>
          </w:p>
        </w:tc>
      </w:tr>
      <w:tr>
        <w:trPr>
          <w:cantSplit/>
        </w:trPr>
        <w:tc>
          <w:tcPr>
            <w:tcW w:type="dxa" w:w="7056"/>
            <w:shd w:val="clear" w:color="auto" w:fill="F6F1E6"/>
          </w:tcPr>
          <w:p>
            <w:pPr>
              <w:spacing w:after="20"/>
            </w:pPr>
            <w:r>
              <w:rPr>
                <w:b/>
                <w:color w:val="1C3A36"/>
                <w:sz w:val="17"/>
              </w:rPr>
              <w:t>Fair value per share (AED)</w:t>
            </w:r>
          </w:p>
        </w:tc>
        <w:tc>
          <w:tcPr>
            <w:tcW w:type="dxa" w:w="3024"/>
            <w:shd w:val="clear" w:color="auto" w:fill="F6F1E6"/>
          </w:tcPr>
          <w:p>
            <w:pPr>
              <w:spacing w:after="20"/>
              <w:jc w:val="right"/>
            </w:pPr>
            <w:r>
              <w:rPr>
                <w:b/>
                <w:color w:val="1C3A36"/>
                <w:sz w:val="17"/>
              </w:rPr>
              <w:t>3.93</w:t>
            </w:r>
          </w:p>
        </w:tc>
      </w:tr>
      <w:tr>
        <w:trPr>
          <w:cantSplit/>
        </w:trPr>
        <w:tc>
          <w:tcPr>
            <w:tcW w:type="dxa" w:w="7056"/>
          </w:tcPr>
          <w:p>
            <w:pPr>
              <w:spacing w:after="20"/>
            </w:pPr>
            <w:r>
              <w:rPr>
                <w:color w:val="1C3A36"/>
                <w:sz w:val="17"/>
              </w:rPr>
              <w:t>Range — bear at the top of the beta's 90% interval (1.621, cost of equity 11.56%) with the return on that book scaled down; bull at the bottom of it (0.586, 7.18%) with the same scaling applied upward</w:t>
            </w:r>
          </w:p>
        </w:tc>
        <w:tc>
          <w:tcPr>
            <w:tcW w:type="dxa" w:w="3024"/>
          </w:tcPr>
          <w:p>
            <w:pPr>
              <w:spacing w:after="20"/>
              <w:jc w:val="right"/>
            </w:pPr>
            <w:r>
              <w:rPr>
                <w:color w:val="1C3A36"/>
                <w:sz w:val="17"/>
              </w:rPr>
              <w:t>2.56 – 5.74</w:t>
            </w:r>
          </w:p>
        </w:tc>
      </w:tr>
      <w:tr>
        <w:trPr>
          <w:cantSplit/>
        </w:trPr>
        <w:tc>
          <w:tcPr>
            <w:tcW w:type="dxa" w:w="7056"/>
          </w:tcPr>
          <w:p>
            <w:pPr>
              <w:spacing w:after="20"/>
            </w:pPr>
            <w:r>
              <w:rPr>
                <w:color w:val="1C3A36"/>
                <w:sz w:val="17"/>
              </w:rPr>
              <w:t>Memorandum — the price the market pays for the SAME book, ordinary equity only</w:t>
            </w:r>
          </w:p>
        </w:tc>
        <w:tc>
          <w:tcPr>
            <w:tcW w:type="dxa" w:w="3024"/>
          </w:tcPr>
          <w:p>
            <w:pPr>
              <w:spacing w:after="20"/>
              <w:jc w:val="right"/>
            </w:pPr>
            <w:r>
              <w:rPr>
                <w:color w:val="1C3A36"/>
                <w:sz w:val="17"/>
              </w:rPr>
              <w:t>2.33×</w:t>
            </w:r>
          </w:p>
        </w:tc>
      </w:tr>
      <w:tr>
        <w:trPr>
          <w:cantSplit/>
        </w:trPr>
        <w:tc>
          <w:tcPr>
            <w:tcW w:type="dxa" w:w="7056"/>
          </w:tcPr>
          <w:p>
            <w:pPr>
              <w:spacing w:after="20"/>
            </w:pPr>
            <w:r>
              <w:rPr>
                <w:color w:val="1C3A36"/>
                <w:sz w:val="17"/>
              </w:rPr>
              <w:t>Memorandum — the same on the wider book that also counts the perpetual securities</w:t>
            </w:r>
          </w:p>
        </w:tc>
        <w:tc>
          <w:tcPr>
            <w:tcW w:type="dxa" w:w="3024"/>
          </w:tcPr>
          <w:p>
            <w:pPr>
              <w:spacing w:after="20"/>
              <w:jc w:val="right"/>
            </w:pPr>
            <w:r>
              <w:rPr>
                <w:color w:val="1C3A36"/>
                <w:sz w:val="17"/>
              </w:rPr>
              <w:t>1.74×</w:t>
            </w:r>
          </w:p>
        </w:tc>
      </w:tr>
      <w:tr>
        <w:trPr>
          <w:cantSplit/>
        </w:trPr>
        <w:tc>
          <w:tcPr>
            <w:tcW w:type="dxa" w:w="7056"/>
          </w:tcPr>
          <w:p>
            <w:pPr>
              <w:spacing w:after="20"/>
            </w:pPr>
            <w:r>
              <w:rPr>
                <w:color w:val="1C3A36"/>
                <w:sz w:val="17"/>
              </w:rPr>
              <w:t>Memorandum — realised value against carrying value on the January vessel sale</w:t>
            </w:r>
          </w:p>
        </w:tc>
        <w:tc>
          <w:tcPr>
            <w:tcW w:type="dxa" w:w="3024"/>
          </w:tcPr>
          <w:p>
            <w:pPr>
              <w:spacing w:after="20"/>
              <w:jc w:val="right"/>
            </w:pPr>
            <w:r>
              <w:rPr>
                <w:color w:val="1C3A36"/>
                <w:sz w:val="17"/>
              </w:rPr>
              <w:t>1.34× on the disclosed carrying value, 1.32× on the carrying value the disclosed gain implies</w:t>
            </w:r>
          </w:p>
        </w:tc>
      </w:tr>
    </w:tbl>
    <w:p>
      <w:pPr>
        <w:spacing w:after="40"/>
      </w:pPr>
    </w:p>
    <w:p>
      <w:pPr>
        <w:spacing w:after="120" w:before="0"/>
      </w:pPr>
      <w:r>
        <w:rPr>
          <w:b w:val="0"/>
          <w:i w:val="0"/>
          <w:color w:val="1C3A36"/>
          <w:sz w:val="21"/>
        </w:rPr>
        <w:t>The first of those memorandum lines is the one to read against the justified multiple above it, and an earlier edition printed the wrong one. The lens values ORDINARY equity — AED 2.92 a share, excluding the perpetual capital securities — so the market multiple has to be struck on the same denominator. On that basis the market pays 2.33× book against the 1.35× this lens justifies, which says the share is EXPENSIVE on the asset lens. Struck on the wider book that also counts the perpetual securities the market appears to pay 1.74×, which printed beneath a justified multiple computed on the narrower book invites the opposite conclusion from a comparison that is not like for like. Both are now shown and the comparable one is named. The peer in section 1.3 that publishes a price-to-book figure trades at 1.65×, and that comparison is on the ordinary-book basis too.</w:t>
      </w:r>
    </w:p>
    <w:p>
      <w:pPr>
        <w:spacing w:after="120" w:before="0"/>
      </w:pPr>
      <w:r>
        <w:rPr>
          <w:b w:val="0"/>
          <w:i w:val="0"/>
          <w:color w:val="1C3A36"/>
          <w:sz w:val="21"/>
        </w:rPr>
        <w:t>The bounds move with the beta and with the return together: the bear bound of AED 2.56 takes a cost of equity of 11.56%, built on the upper end 1.621 of the beta's own 90% confidence interval, together with a proportionally lower return on that book; the bull bound of AED 5.74 takes 7.18% on the lower end 0.586 of the same interval with the same proportion applied upward. Only the cost of equity in those bounds comes from the estimate's own statistical uncertainty; the return stress beside it is a judgement, as it is in the cash-flow lens. THIS READ IS A DISCLOSED FLOOR AND CARRIES NO WEIGHT IN THE ANSWER AT ALL, which is a change from an earlier edition where it carried 15% of a blend. It inherits the same cost of equity as the cash-flow model rather than testing it independently, and carrying value is a poor description of what a fleet is worth; a floor is what it is good for.</w:t>
      </w:r>
    </w:p>
    <w:p>
      <w:pPr>
        <w:spacing w:after="120" w:before="0"/>
      </w:pPr>
      <w:r>
        <w:rPr>
          <w:b w:val="0"/>
          <w:i w:val="0"/>
          <w:color w:val="1C3A36"/>
          <w:sz w:val="21"/>
        </w:rPr>
        <w:t>On that last point there is one piece of hard evidence, and it is worth more than any amount of argument. In January 2026 the company completed the sale of a 2017-built very large crude carrier for USD 111 million against a carrying value of USD 83 million — a realised market value of 1.34× book, on its own asset, disclosed in its own earnings release. The same release discloses a gain of USD 27 million on the sale, which implies a carrying value of USD 84 million and a ratio of 1.32× instead — the company's own two disclosures about one transaction do not quite reconcile, and both readings are shown rather than one being picked. Two further qualifications belong with the figure: the vessel was 90% owned, so the group did not keep all of the proceeds, and the sale was struck in a strong market. That tells the reader which way this lens is biased. Carrying values understate realisable value, so a book-based read of this company is conservative rather than neutral, and the gap is not small: applied across the fleet, a 1.34× ratio would lift the asset base by roughly a third. It is a single transaction on a single vessel in a strong market and it is not extrapolated into the valuation — but it is the only direct evidence available on the gap between the balance sheet and the market, and it points one way.</w:t>
      </w:r>
    </w:p>
    <w:p>
      <w:pPr>
        <w:keepNext/>
        <w:spacing w:after="80" w:before="200"/>
      </w:pPr>
      <w:r>
        <w:rPr>
          <w:b/>
          <w:i w:val="0"/>
          <w:color w:val="1C3A36"/>
          <w:sz w:val="24"/>
        </w:rPr>
        <w:t>1.3  Relative multiples</w:t>
      </w:r>
    </w:p>
    <w:p>
      <w:pPr>
        <w:spacing w:after="120" w:before="0"/>
      </w:pPr>
      <w:r>
        <w:rPr>
          <w:b w:val="0"/>
          <w:i w:val="0"/>
          <w:color w:val="1C3A36"/>
          <w:sz w:val="21"/>
        </w:rPr>
        <w:t>There is no clean comparable for this company, and the reason is the same reason it is interesting: nothing else combines a contracted logistics arm working for a national oil company with an open-market tanker fleet. The frame used here therefore takes two multiples from two different kinds of shipowner and blends them on the company's own disclosed exposure, rather than picking one peer and pretending it fits.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238"/>
        <w:gridCol w:w="2160"/>
        <w:gridCol w:w="1613"/>
        <w:gridCol w:w="1786"/>
        <w:gridCol w:w="1123"/>
      </w:tblGrid>
      <w:tr>
        <w:trPr>
          <w:cantSplit/>
          <w:tblHeader/>
        </w:trPr>
        <w:tc>
          <w:tcPr>
            <w:tcW w:type="dxa" w:w="2160"/>
            <w:shd w:val="clear" w:color="auto" w:fill="EAF0EE"/>
          </w:tcPr>
          <w:p>
            <w:pPr>
              <w:spacing w:after="20"/>
            </w:pPr>
            <w:r>
              <w:rPr>
                <w:b/>
                <w:color w:val="1C3A36"/>
                <w:sz w:val="16"/>
              </w:rPr>
              <w:t>Company</w:t>
            </w:r>
          </w:p>
        </w:tc>
        <w:tc>
          <w:tcPr>
            <w:tcW w:type="dxa" w:w="1238"/>
            <w:shd w:val="clear" w:color="auto" w:fill="EAF0EE"/>
          </w:tcPr>
          <w:p>
            <w:pPr>
              <w:spacing w:after="20"/>
              <w:jc w:val="left"/>
            </w:pPr>
            <w:r>
              <w:rPr>
                <w:b/>
                <w:color w:val="1C3A36"/>
                <w:sz w:val="16"/>
              </w:rPr>
              <w:t>Market</w:t>
            </w:r>
          </w:p>
        </w:tc>
        <w:tc>
          <w:tcPr>
            <w:tcW w:type="dxa" w:w="2160"/>
            <w:shd w:val="clear" w:color="auto" w:fill="EAF0EE"/>
          </w:tcPr>
          <w:p>
            <w:pPr>
              <w:spacing w:after="20"/>
              <w:jc w:val="left"/>
            </w:pPr>
            <w:r>
              <w:rPr>
                <w:b/>
                <w:color w:val="1C3A36"/>
                <w:sz w:val="16"/>
              </w:rPr>
              <w:t>Business model</w:t>
            </w:r>
          </w:p>
        </w:tc>
        <w:tc>
          <w:tcPr>
            <w:tcW w:type="dxa" w:w="1613"/>
            <w:shd w:val="clear" w:color="auto" w:fill="EAF0EE"/>
          </w:tcPr>
          <w:p>
            <w:pPr>
              <w:spacing w:after="20"/>
            </w:pPr>
            <w:r>
              <w:rPr>
                <w:b/>
                <w:color w:val="1C3A36"/>
                <w:sz w:val="16"/>
              </w:rPr>
              <w:t>EV / earnings</w:t>
            </w:r>
          </w:p>
        </w:tc>
        <w:tc>
          <w:tcPr>
            <w:tcW w:type="dxa" w:w="1786"/>
            <w:shd w:val="clear" w:color="auto" w:fill="EAF0EE"/>
          </w:tcPr>
          <w:p>
            <w:pPr>
              <w:spacing w:after="20"/>
            </w:pPr>
            <w:r>
              <w:rPr>
                <w:b/>
                <w:color w:val="1C3A36"/>
                <w:sz w:val="16"/>
              </w:rPr>
              <w:t>Price / earnings (fwd / trailing)</w:t>
            </w:r>
          </w:p>
        </w:tc>
        <w:tc>
          <w:tcPr>
            <w:tcW w:type="dxa" w:w="1123"/>
            <w:shd w:val="clear" w:color="auto" w:fill="EAF0EE"/>
          </w:tcPr>
          <w:p>
            <w:pPr>
              <w:spacing w:after="20"/>
            </w:pPr>
            <w:r>
              <w:rPr>
                <w:b/>
                <w:color w:val="1C3A36"/>
                <w:sz w:val="16"/>
              </w:rPr>
              <w:t>Price / book</w:t>
            </w:r>
          </w:p>
        </w:tc>
      </w:tr>
      <w:tr>
        <w:trPr>
          <w:cantSplit/>
        </w:trPr>
        <w:tc>
          <w:tcPr>
            <w:tcW w:type="dxa" w:w="2160"/>
          </w:tcPr>
          <w:p>
            <w:pPr>
              <w:spacing w:after="20"/>
            </w:pPr>
            <w:r>
              <w:rPr>
                <w:color w:val="1C3A36"/>
                <w:sz w:val="16"/>
              </w:rPr>
              <w:t>Qatar Gas Transport (Nakilat)</w:t>
            </w:r>
          </w:p>
        </w:tc>
        <w:tc>
          <w:tcPr>
            <w:tcW w:type="dxa" w:w="1238"/>
          </w:tcPr>
          <w:p>
            <w:pPr>
              <w:spacing w:after="20"/>
              <w:jc w:val="left"/>
            </w:pPr>
            <w:r>
              <w:rPr>
                <w:color w:val="1C3A36"/>
                <w:sz w:val="16"/>
              </w:rPr>
              <w:t>Qatar</w:t>
            </w:r>
          </w:p>
        </w:tc>
        <w:tc>
          <w:tcPr>
            <w:tcW w:type="dxa" w:w="2160"/>
          </w:tcPr>
          <w:p>
            <w:pPr>
              <w:spacing w:after="20"/>
              <w:jc w:val="left"/>
            </w:pPr>
            <w:r>
              <w:rPr>
                <w:color w:val="1C3A36"/>
                <w:sz w:val="16"/>
              </w:rPr>
              <w:t>long-term contracted gas shipping</w:t>
            </w:r>
          </w:p>
        </w:tc>
        <w:tc>
          <w:tcPr>
            <w:tcW w:type="dxa" w:w="1613"/>
          </w:tcPr>
          <w:p>
            <w:pPr>
              <w:spacing w:after="20"/>
              <w:jc w:val="right"/>
            </w:pPr>
            <w:r>
              <w:rPr>
                <w:color w:val="1C3A36"/>
                <w:sz w:val="16"/>
              </w:rPr>
              <w:t>12.26×</w:t>
            </w:r>
          </w:p>
        </w:tc>
        <w:tc>
          <w:tcPr>
            <w:tcW w:type="dxa" w:w="1786"/>
          </w:tcPr>
          <w:p>
            <w:pPr>
              <w:spacing w:after="20"/>
              <w:jc w:val="right"/>
            </w:pPr>
            <w:r>
              <w:rPr>
                <w:color w:val="1C3A36"/>
                <w:sz w:val="16"/>
              </w:rPr>
              <w:t>13.97× / 14.15×</w:t>
            </w:r>
          </w:p>
        </w:tc>
        <w:tc>
          <w:tcPr>
            <w:tcW w:type="dxa" w:w="1123"/>
          </w:tcPr>
          <w:p>
            <w:pPr>
              <w:spacing w:after="20"/>
              <w:jc w:val="right"/>
            </w:pPr>
            <w:r>
              <w:rPr>
                <w:color w:val="1C3A36"/>
                <w:sz w:val="16"/>
              </w:rPr>
              <w:t>1.65×</w:t>
            </w:r>
          </w:p>
        </w:tc>
      </w:tr>
      <w:tr>
        <w:trPr>
          <w:cantSplit/>
        </w:trPr>
        <w:tc>
          <w:tcPr>
            <w:tcW w:type="dxa" w:w="2160"/>
          </w:tcPr>
          <w:p>
            <w:pPr>
              <w:spacing w:after="20"/>
            </w:pPr>
            <w:r>
              <w:rPr>
                <w:color w:val="1C3A36"/>
                <w:sz w:val="16"/>
              </w:rPr>
              <w:t>Frontline plc</w:t>
            </w:r>
          </w:p>
        </w:tc>
        <w:tc>
          <w:tcPr>
            <w:tcW w:type="dxa" w:w="1238"/>
          </w:tcPr>
          <w:p>
            <w:pPr>
              <w:spacing w:after="20"/>
              <w:jc w:val="left"/>
            </w:pPr>
            <w:r>
              <w:rPr>
                <w:color w:val="1C3A36"/>
                <w:sz w:val="16"/>
              </w:rPr>
              <w:t>Oslo / New York</w:t>
            </w:r>
          </w:p>
        </w:tc>
        <w:tc>
          <w:tcPr>
            <w:tcW w:type="dxa" w:w="2160"/>
          </w:tcPr>
          <w:p>
            <w:pPr>
              <w:spacing w:after="20"/>
              <w:jc w:val="left"/>
            </w:pPr>
            <w:r>
              <w:rPr>
                <w:color w:val="1C3A36"/>
                <w:sz w:val="16"/>
              </w:rPr>
              <w:t>spot crude tankers</w:t>
            </w:r>
          </w:p>
        </w:tc>
        <w:tc>
          <w:tcPr>
            <w:tcW w:type="dxa" w:w="1613"/>
          </w:tcPr>
          <w:p>
            <w:pPr>
              <w:spacing w:after="20"/>
              <w:jc w:val="right"/>
            </w:pPr>
            <w:r>
              <w:rPr>
                <w:color w:val="1C3A36"/>
                <w:sz w:val="16"/>
              </w:rPr>
              <w:t>8.96×</w:t>
            </w:r>
          </w:p>
        </w:tc>
        <w:tc>
          <w:tcPr>
            <w:tcW w:type="dxa" w:w="1786"/>
          </w:tcPr>
          <w:p>
            <w:pPr>
              <w:spacing w:after="20"/>
              <w:jc w:val="right"/>
            </w:pPr>
            <w:r>
              <w:rPr>
                <w:color w:val="1C3A36"/>
                <w:sz w:val="16"/>
              </w:rPr>
              <w:t>6.44× / 9.98×</w:t>
            </w:r>
          </w:p>
        </w:tc>
        <w:tc>
          <w:tcPr>
            <w:tcW w:type="dxa" w:w="1123"/>
          </w:tcPr>
          <w:p>
            <w:pPr>
              <w:spacing w:after="20"/>
              <w:jc w:val="right"/>
            </w:pPr>
            <w:r>
              <w:rPr>
                <w:color w:val="1C3A36"/>
                <w:sz w:val="16"/>
              </w:rPr>
              <w:t>—</w:t>
            </w:r>
          </w:p>
        </w:tc>
      </w:tr>
      <w:tr>
        <w:trPr>
          <w:cantSplit/>
        </w:trPr>
        <w:tc>
          <w:tcPr>
            <w:tcW w:type="dxa" w:w="2160"/>
          </w:tcPr>
          <w:p>
            <w:pPr>
              <w:spacing w:after="20"/>
            </w:pPr>
            <w:r>
              <w:rPr>
                <w:color w:val="1C3A36"/>
                <w:sz w:val="16"/>
              </w:rPr>
              <w:t>International Seaways</w:t>
            </w:r>
          </w:p>
        </w:tc>
        <w:tc>
          <w:tcPr>
            <w:tcW w:type="dxa" w:w="1238"/>
          </w:tcPr>
          <w:p>
            <w:pPr>
              <w:spacing w:after="20"/>
              <w:jc w:val="left"/>
            </w:pPr>
            <w:r>
              <w:rPr>
                <w:color w:val="1C3A36"/>
                <w:sz w:val="16"/>
              </w:rPr>
              <w:t>New York</w:t>
            </w:r>
          </w:p>
        </w:tc>
        <w:tc>
          <w:tcPr>
            <w:tcW w:type="dxa" w:w="2160"/>
          </w:tcPr>
          <w:p>
            <w:pPr>
              <w:spacing w:after="20"/>
              <w:jc w:val="left"/>
            </w:pPr>
            <w:r>
              <w:rPr>
                <w:color w:val="1C3A36"/>
                <w:sz w:val="16"/>
              </w:rPr>
              <w:t>spot crude and product tankers</w:t>
            </w:r>
          </w:p>
        </w:tc>
        <w:tc>
          <w:tcPr>
            <w:tcW w:type="dxa" w:w="1613"/>
          </w:tcPr>
          <w:p>
            <w:pPr>
              <w:spacing w:after="20"/>
              <w:jc w:val="right"/>
            </w:pPr>
            <w:r>
              <w:rPr>
                <w:color w:val="1C3A36"/>
                <w:sz w:val="16"/>
              </w:rPr>
              <w:t>8.10×</w:t>
            </w:r>
          </w:p>
        </w:tc>
        <w:tc>
          <w:tcPr>
            <w:tcW w:type="dxa" w:w="1786"/>
          </w:tcPr>
          <w:p>
            <w:pPr>
              <w:spacing w:after="20"/>
              <w:jc w:val="right"/>
            </w:pPr>
            <w:r>
              <w:rPr>
                <w:color w:val="1C3A36"/>
                <w:sz w:val="16"/>
              </w:rPr>
              <w:t>— / —</w:t>
            </w:r>
          </w:p>
        </w:tc>
        <w:tc>
          <w:tcPr>
            <w:tcW w:type="dxa" w:w="1123"/>
          </w:tcPr>
          <w:p>
            <w:pPr>
              <w:spacing w:after="20"/>
              <w:jc w:val="right"/>
            </w:pPr>
            <w:r>
              <w:rPr>
                <w:color w:val="1C3A36"/>
                <w:sz w:val="16"/>
              </w:rPr>
              <w:t>—</w:t>
            </w:r>
          </w:p>
        </w:tc>
      </w:tr>
      <w:tr>
        <w:trPr>
          <w:cantSplit/>
        </w:trPr>
        <w:tc>
          <w:tcPr>
            <w:tcW w:type="dxa" w:w="2160"/>
            <w:shd w:val="clear" w:color="auto" w:fill="F6F1E6"/>
          </w:tcPr>
          <w:p>
            <w:pPr>
              <w:spacing w:after="20"/>
            </w:pPr>
            <w:r>
              <w:rPr>
                <w:b/>
                <w:color w:val="1C3A36"/>
                <w:sz w:val="16"/>
              </w:rPr>
              <w:t>ADNOC Logistics &amp; Services</w:t>
            </w:r>
          </w:p>
        </w:tc>
        <w:tc>
          <w:tcPr>
            <w:tcW w:type="dxa" w:w="1238"/>
            <w:shd w:val="clear" w:color="auto" w:fill="F6F1E6"/>
          </w:tcPr>
          <w:p>
            <w:pPr>
              <w:spacing w:after="20"/>
              <w:jc w:val="left"/>
            </w:pPr>
            <w:r>
              <w:rPr>
                <w:b/>
                <w:color w:val="1C3A36"/>
                <w:sz w:val="16"/>
              </w:rPr>
              <w:t>Abu Dhabi Exchange</w:t>
            </w:r>
          </w:p>
        </w:tc>
        <w:tc>
          <w:tcPr>
            <w:tcW w:type="dxa" w:w="2160"/>
            <w:shd w:val="clear" w:color="auto" w:fill="F6F1E6"/>
          </w:tcPr>
          <w:p>
            <w:pPr>
              <w:spacing w:after="20"/>
              <w:jc w:val="left"/>
            </w:pPr>
            <w:r>
              <w:rPr>
                <w:b/>
                <w:color w:val="1C3A36"/>
                <w:sz w:val="16"/>
              </w:rPr>
              <w:t>half contracted logistics, half merchant fleet</w:t>
            </w:r>
          </w:p>
        </w:tc>
        <w:tc>
          <w:tcPr>
            <w:tcW w:type="dxa" w:w="1613"/>
            <w:shd w:val="clear" w:color="auto" w:fill="F6F1E6"/>
          </w:tcPr>
          <w:p>
            <w:pPr>
              <w:spacing w:after="20"/>
              <w:jc w:val="right"/>
            </w:pPr>
            <w:r>
              <w:rPr>
                <w:b/>
                <w:color w:val="1C3A36"/>
                <w:sz w:val="16"/>
              </w:rPr>
              <w:t>10.27× trailing / 5.73× on 2026E</w:t>
            </w:r>
          </w:p>
        </w:tc>
        <w:tc>
          <w:tcPr>
            <w:tcW w:type="dxa" w:w="1786"/>
            <w:shd w:val="clear" w:color="auto" w:fill="F6F1E6"/>
          </w:tcPr>
          <w:p>
            <w:pPr>
              <w:spacing w:after="20"/>
              <w:jc w:val="right"/>
            </w:pPr>
            <w:r>
              <w:rPr>
                <w:b/>
                <w:color w:val="1C3A36"/>
                <w:sz w:val="16"/>
              </w:rPr>
              <w:t>7.78× / 17.63×</w:t>
            </w:r>
          </w:p>
        </w:tc>
        <w:tc>
          <w:tcPr>
            <w:tcW w:type="dxa" w:w="1123"/>
            <w:shd w:val="clear" w:color="auto" w:fill="F6F1E6"/>
          </w:tcPr>
          <w:p>
            <w:pPr>
              <w:spacing w:after="20"/>
              <w:jc w:val="right"/>
            </w:pPr>
            <w:r>
              <w:rPr>
                <w:b/>
                <w:color w:val="1C3A36"/>
                <w:sz w:val="16"/>
              </w:rPr>
              <w:t>2.33×</w:t>
            </w:r>
          </w:p>
        </w:tc>
      </w:tr>
    </w:tbl>
    <w:p>
      <w:pPr>
        <w:spacing w:after="40"/>
      </w:pPr>
    </w:p>
    <w:p>
      <w:pPr>
        <w:spacing w:after="200" w:before="0"/>
      </w:pPr>
      <w:r>
        <w:rPr>
          <w:b w:val="0"/>
          <w:i/>
          <w:color w:val="6E7B77"/>
          <w:sz w:val="17"/>
        </w:rPr>
        <w:t>The contracted-fleet multiple of 12.26× comes from the long-term contracted gas shipowner; the spot multiple of 8.53× is the average of the two listed spot tanker owners. Two sourcing points belong on the face of this table. First, the peer multiples are taken from data-aggregator statistics pages, named and dated in the source register, and NOT recomputed from each peer's own filings — the rule that admits only a company's own issued statements governs the subject's reported history, and it is the subject's history, not the comparators', that this study builds from. The consequence is real and is stated rather than buried: the study cannot demonstrate that a comparator's earnings are struck on the same definition as its own, which is a reason to read this lens as a cross-check on relative pricing rather than as an independent valuation. Second, the price-to-earnings column now shows forward and trailing for every row, because the multiple this lens APPLIES is the peers' forward multiple and quoting the company on a trailing figure beside forward peers — as an earlier edition did — compares two different things. The company's own price-to-book is struck on ordinary equity, the same book the comparator's figure uses and the same book the asset lens in section 1.2 values. The company's own trailing enterprise multiple uses the operating earnings definition used throughout, not the company's own wider reported one, and is struck on the same convention the peer figures use — market capitalisation plus net debt — so that the comparison is like for like. On this study's own bridge, which additionally treats the perpetual capital securities and the minorities as claims ranking ahead of the ordinary shares, the same 2026E earnings give 6.56× rather than 5.73×. Both are set out in the next table.</w:t>
      </w:r>
    </w:p>
    <w:p>
      <w:pPr>
        <w:keepNext/>
        <w:spacing w:after="80" w:before="200"/>
      </w:pPr>
      <w:r>
        <w:rPr>
          <w:b/>
          <w:i w:val="0"/>
          <w:color w:val="1C3A36"/>
          <w:sz w:val="24"/>
        </w:rPr>
        <w:t>The same company, on two definitions of enterprise value</w:t>
      </w:r>
    </w:p>
    <w:p>
      <w:pPr>
        <w:spacing w:after="120" w:before="0"/>
      </w:pPr>
      <w:r>
        <w:rPr>
          <w:b w:val="0"/>
          <w:i w:val="0"/>
          <w:color w:val="1C3A36"/>
          <w:sz w:val="21"/>
        </w:rPr>
        <w:t>An enterprise multiple depends entirely on what is counted as part of the enterprise, and this company has two claims — perpetual capital securities and minority interests — that different conventions treat differently. Publishing one number without saying which convention produced it is how a comparison quietly stops comparing.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584"/>
        <w:gridCol w:w="1368"/>
        <w:gridCol w:w="4176"/>
      </w:tblGrid>
      <w:tr>
        <w:trPr>
          <w:cantSplit/>
          <w:tblHeader/>
        </w:trPr>
        <w:tc>
          <w:tcPr>
            <w:tcW w:type="dxa" w:w="2952"/>
            <w:shd w:val="clear" w:color="auto" w:fill="EAF0EE"/>
          </w:tcPr>
          <w:p>
            <w:pPr>
              <w:spacing w:after="20"/>
              <w:jc w:val="left"/>
            </w:pPr>
            <w:r>
              <w:rPr>
                <w:b/>
                <w:color w:val="1C3A36"/>
                <w:sz w:val="16"/>
              </w:rPr>
              <w:t>Basis</w:t>
            </w:r>
          </w:p>
        </w:tc>
        <w:tc>
          <w:tcPr>
            <w:tcW w:type="dxa" w:w="1584"/>
            <w:shd w:val="clear" w:color="auto" w:fill="EAF0EE"/>
          </w:tcPr>
          <w:p>
            <w:pPr>
              <w:spacing w:after="20"/>
            </w:pPr>
            <w:r>
              <w:rPr>
                <w:b/>
                <w:color w:val="1C3A36"/>
                <w:sz w:val="16"/>
              </w:rPr>
              <w:t>Enterprise value (USD mn)</w:t>
            </w:r>
          </w:p>
        </w:tc>
        <w:tc>
          <w:tcPr>
            <w:tcW w:type="dxa" w:w="1368"/>
            <w:shd w:val="clear" w:color="auto" w:fill="EAF0EE"/>
          </w:tcPr>
          <w:p>
            <w:pPr>
              <w:spacing w:after="20"/>
            </w:pPr>
            <w:r>
              <w:rPr>
                <w:b/>
                <w:color w:val="1C3A36"/>
                <w:sz w:val="16"/>
              </w:rPr>
              <w:t>On 2026E earnings</w:t>
            </w:r>
          </w:p>
        </w:tc>
        <w:tc>
          <w:tcPr>
            <w:tcW w:type="dxa" w:w="4176"/>
            <w:shd w:val="clear" w:color="auto" w:fill="EAF0EE"/>
          </w:tcPr>
          <w:p>
            <w:pPr>
              <w:spacing w:after="20"/>
              <w:jc w:val="left"/>
            </w:pPr>
            <w:r>
              <w:rPr>
                <w:b/>
                <w:color w:val="1C3A36"/>
                <w:sz w:val="16"/>
              </w:rPr>
              <w:t>Where it is used</w:t>
            </w:r>
          </w:p>
        </w:tc>
      </w:tr>
      <w:tr>
        <w:trPr>
          <w:cantSplit/>
        </w:trPr>
        <w:tc>
          <w:tcPr>
            <w:tcW w:type="dxa" w:w="2952"/>
          </w:tcPr>
          <w:p>
            <w:pPr>
              <w:spacing w:after="20"/>
              <w:jc w:val="left"/>
            </w:pPr>
            <w:r>
              <w:rPr>
                <w:color w:val="1C3A36"/>
                <w:sz w:val="16"/>
              </w:rPr>
              <w:t>Market capitalisation plus net debt</w:t>
            </w:r>
          </w:p>
        </w:tc>
        <w:tc>
          <w:tcPr>
            <w:tcW w:type="dxa" w:w="1584"/>
          </w:tcPr>
          <w:p>
            <w:pPr>
              <w:spacing w:after="20"/>
              <w:jc w:val="right"/>
            </w:pPr>
            <w:r>
              <w:rPr>
                <w:color w:val="1C3A36"/>
                <w:sz w:val="16"/>
              </w:rPr>
              <w:t>15,561</w:t>
            </w:r>
          </w:p>
        </w:tc>
        <w:tc>
          <w:tcPr>
            <w:tcW w:type="dxa" w:w="1368"/>
          </w:tcPr>
          <w:p>
            <w:pPr>
              <w:spacing w:after="20"/>
              <w:jc w:val="right"/>
            </w:pPr>
            <w:r>
              <w:rPr>
                <w:color w:val="1C3A36"/>
                <w:sz w:val="16"/>
              </w:rPr>
              <w:t>5.73×</w:t>
            </w:r>
          </w:p>
        </w:tc>
        <w:tc>
          <w:tcPr>
            <w:tcW w:type="dxa" w:w="4176"/>
          </w:tcPr>
          <w:p>
            <w:pPr>
              <w:spacing w:after="20"/>
              <w:jc w:val="left"/>
            </w:pPr>
            <w:r>
              <w:rPr>
                <w:color w:val="1C3A36"/>
                <w:sz w:val="16"/>
              </w:rPr>
              <w:t>the convention behind the published figures for the three comparators, so it is the one the peer table above must use</w:t>
            </w:r>
          </w:p>
        </w:tc>
      </w:tr>
      <w:tr>
        <w:trPr>
          <w:cantSplit/>
        </w:trPr>
        <w:tc>
          <w:tcPr>
            <w:tcW w:type="dxa" w:w="2952"/>
          </w:tcPr>
          <w:p>
            <w:pPr>
              <w:spacing w:after="20"/>
              <w:jc w:val="left"/>
            </w:pPr>
            <w:r>
              <w:rPr>
                <w:color w:val="1C3A36"/>
                <w:sz w:val="16"/>
              </w:rPr>
              <w:t>This study's own bridge — the same plus the perpetual capital securities at carrying value and the minority interests</w:t>
            </w:r>
          </w:p>
        </w:tc>
        <w:tc>
          <w:tcPr>
            <w:tcW w:type="dxa" w:w="1584"/>
          </w:tcPr>
          <w:p>
            <w:pPr>
              <w:spacing w:after="20"/>
              <w:jc w:val="right"/>
            </w:pPr>
            <w:r>
              <w:rPr>
                <w:color w:val="1C3A36"/>
                <w:sz w:val="16"/>
              </w:rPr>
              <w:t>17,828</w:t>
            </w:r>
          </w:p>
        </w:tc>
        <w:tc>
          <w:tcPr>
            <w:tcW w:type="dxa" w:w="1368"/>
          </w:tcPr>
          <w:p>
            <w:pPr>
              <w:spacing w:after="20"/>
              <w:jc w:val="right"/>
            </w:pPr>
            <w:r>
              <w:rPr>
                <w:color w:val="1C3A36"/>
                <w:sz w:val="16"/>
              </w:rPr>
              <w:t>6.56×</w:t>
            </w:r>
          </w:p>
        </w:tc>
        <w:tc>
          <w:tcPr>
            <w:tcW w:type="dxa" w:w="4176"/>
          </w:tcPr>
          <w:p>
            <w:pPr>
              <w:spacing w:after="20"/>
              <w:jc w:val="left"/>
            </w:pPr>
            <w:r>
              <w:rPr>
                <w:color w:val="1C3A36"/>
                <w:sz w:val="16"/>
              </w:rPr>
              <w:t>the definition section 1.1 bridges from, because each of those claims ranks ahead of the ordinary share and is deducted there</w:t>
            </w:r>
          </w:p>
        </w:tc>
      </w:tr>
      <w:tr>
        <w:trPr>
          <w:cantSplit/>
        </w:trPr>
        <w:tc>
          <w:tcPr>
            <w:tcW w:type="dxa" w:w="2952"/>
          </w:tcPr>
          <w:p>
            <w:pPr>
              <w:spacing w:after="20"/>
              <w:jc w:val="left"/>
            </w:pPr>
            <w:r>
              <w:rPr>
                <w:color w:val="1C3A36"/>
                <w:sz w:val="16"/>
              </w:rPr>
              <w:t>The difference</w:t>
            </w:r>
          </w:p>
        </w:tc>
        <w:tc>
          <w:tcPr>
            <w:tcW w:type="dxa" w:w="1584"/>
          </w:tcPr>
          <w:p>
            <w:pPr>
              <w:spacing w:after="20"/>
              <w:jc w:val="right"/>
            </w:pPr>
            <w:r>
              <w:rPr>
                <w:color w:val="1C3A36"/>
                <w:sz w:val="16"/>
              </w:rPr>
              <w:t>2,268</w:t>
            </w:r>
          </w:p>
        </w:tc>
        <w:tc>
          <w:tcPr>
            <w:tcW w:type="dxa" w:w="1368"/>
          </w:tcPr>
          <w:p>
            <w:pPr>
              <w:spacing w:after="20"/>
              <w:jc w:val="right"/>
            </w:pPr>
            <w:r>
              <w:rPr>
                <w:color w:val="1C3A36"/>
                <w:sz w:val="16"/>
              </w:rPr>
              <w:t>+0.83 turns</w:t>
            </w:r>
          </w:p>
        </w:tc>
        <w:tc>
          <w:tcPr>
            <w:tcW w:type="dxa" w:w="4176"/>
          </w:tcPr>
          <w:p>
            <w:pPr>
              <w:spacing w:after="20"/>
              <w:jc w:val="left"/>
            </w:pPr>
            <w:r>
              <w:rPr>
                <w:color w:val="1C3A36"/>
                <w:sz w:val="16"/>
              </w:rPr>
              <w:t>87% of it the perpetual capital securities. A reader comparing this company with a peer that has none should know which of the two numbers they are holding</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440"/>
        <w:gridCol w:w="5328"/>
      </w:tblGrid>
      <w:tr>
        <w:trPr>
          <w:cantSplit/>
          <w:tblHeader/>
        </w:trPr>
        <w:tc>
          <w:tcPr>
            <w:tcW w:type="dxa" w:w="3312"/>
            <w:shd w:val="clear" w:color="auto" w:fill="EAF0EE"/>
          </w:tcPr>
          <w:p>
            <w:pPr>
              <w:spacing w:after="20"/>
            </w:pPr>
            <w:r>
              <w:rPr>
                <w:b/>
                <w:color w:val="1C3A36"/>
                <w:sz w:val="16"/>
              </w:rPr>
              <w:t>Measure</w:t>
            </w:r>
          </w:p>
        </w:tc>
        <w:tc>
          <w:tcPr>
            <w:tcW w:type="dxa" w:w="1440"/>
            <w:shd w:val="clear" w:color="auto" w:fill="EAF0EE"/>
          </w:tcPr>
          <w:p>
            <w:pPr>
              <w:spacing w:after="20"/>
            </w:pPr>
            <w:r>
              <w:rPr>
                <w:b/>
                <w:color w:val="1C3A36"/>
                <w:sz w:val="16"/>
              </w:rPr>
              <w:t>Value</w:t>
            </w:r>
          </w:p>
        </w:tc>
        <w:tc>
          <w:tcPr>
            <w:tcW w:type="dxa" w:w="5328"/>
            <w:shd w:val="clear" w:color="auto" w:fill="EAF0EE"/>
          </w:tcPr>
          <w:p>
            <w:pPr>
              <w:spacing w:after="20"/>
              <w:jc w:val="left"/>
            </w:pPr>
            <w:r>
              <w:rPr>
                <w:b/>
                <w:color w:val="1C3A36"/>
                <w:sz w:val="16"/>
              </w:rPr>
              <w:t>Comment</w:t>
            </w:r>
          </w:p>
        </w:tc>
      </w:tr>
      <w:tr>
        <w:trPr>
          <w:cantSplit/>
        </w:trPr>
        <w:tc>
          <w:tcPr>
            <w:tcW w:type="dxa" w:w="3312"/>
          </w:tcPr>
          <w:p>
            <w:pPr>
              <w:spacing w:after="20"/>
            </w:pPr>
            <w:r>
              <w:rPr>
                <w:color w:val="1C3A36"/>
                <w:sz w:val="16"/>
              </w:rPr>
              <w:t>Contracted-fleet multiple</w:t>
            </w:r>
          </w:p>
        </w:tc>
        <w:tc>
          <w:tcPr>
            <w:tcW w:type="dxa" w:w="1440"/>
          </w:tcPr>
          <w:p>
            <w:pPr>
              <w:spacing w:after="20"/>
              <w:jc w:val="right"/>
            </w:pPr>
            <w:r>
              <w:rPr>
                <w:color w:val="1C3A36"/>
                <w:sz w:val="16"/>
              </w:rPr>
              <w:t>12.26×</w:t>
            </w:r>
          </w:p>
        </w:tc>
        <w:tc>
          <w:tcPr>
            <w:tcW w:type="dxa" w:w="5328"/>
          </w:tcPr>
          <w:p>
            <w:pPr>
              <w:spacing w:after="20"/>
              <w:jc w:val="left"/>
            </w:pPr>
            <w:r>
              <w:rPr>
                <w:color w:val="1C3A36"/>
                <w:sz w:val="16"/>
              </w:rPr>
              <w:t>the long-term contracted gas shipowner — the closest listed analogue to the logistics and gas-carrier legs, which earn under long contracts with a single strong counterparty</w:t>
            </w:r>
          </w:p>
        </w:tc>
      </w:tr>
      <w:tr>
        <w:trPr>
          <w:cantSplit/>
        </w:trPr>
        <w:tc>
          <w:tcPr>
            <w:tcW w:type="dxa" w:w="3312"/>
          </w:tcPr>
          <w:p>
            <w:pPr>
              <w:spacing w:after="20"/>
            </w:pPr>
            <w:r>
              <w:rPr>
                <w:color w:val="1C3A36"/>
                <w:sz w:val="16"/>
              </w:rPr>
              <w:t>Spot-fleet multiple</w:t>
            </w:r>
          </w:p>
        </w:tc>
        <w:tc>
          <w:tcPr>
            <w:tcW w:type="dxa" w:w="1440"/>
          </w:tcPr>
          <w:p>
            <w:pPr>
              <w:spacing w:after="20"/>
              <w:jc w:val="right"/>
            </w:pPr>
            <w:r>
              <w:rPr>
                <w:color w:val="1C3A36"/>
                <w:sz w:val="16"/>
              </w:rPr>
              <w:t>8.53×</w:t>
            </w:r>
          </w:p>
        </w:tc>
        <w:tc>
          <w:tcPr>
            <w:tcW w:type="dxa" w:w="5328"/>
          </w:tcPr>
          <w:p>
            <w:pPr>
              <w:spacing w:after="20"/>
              <w:jc w:val="left"/>
            </w:pPr>
            <w:r>
              <w:rPr>
                <w:color w:val="1C3A36"/>
                <w:sz w:val="16"/>
              </w:rPr>
              <w:t>the average of two listed spot tanker owners — the closest analogue to the merchant fleet, and it trades several turns lower precisely because its earnings are not contracted</w:t>
            </w:r>
          </w:p>
        </w:tc>
      </w:tr>
      <w:tr>
        <w:trPr>
          <w:cantSplit/>
        </w:trPr>
        <w:tc>
          <w:tcPr>
            <w:tcW w:type="dxa" w:w="3312"/>
          </w:tcPr>
          <w:p>
            <w:pPr>
              <w:spacing w:after="20"/>
            </w:pPr>
            <w:r>
              <w:rPr>
                <w:color w:val="1C3A36"/>
                <w:sz w:val="16"/>
              </w:rPr>
              <w:t>Weight on the spot multiple</w:t>
            </w:r>
          </w:p>
        </w:tc>
        <w:tc>
          <w:tcPr>
            <w:tcW w:type="dxa" w:w="1440"/>
          </w:tcPr>
          <w:p>
            <w:pPr>
              <w:spacing w:after="20"/>
              <w:jc w:val="right"/>
            </w:pPr>
            <w:r>
              <w:rPr>
                <w:color w:val="1C3A36"/>
                <w:sz w:val="16"/>
              </w:rPr>
              <w:t>31%</w:t>
            </w:r>
          </w:p>
        </w:tc>
        <w:tc>
          <w:tcPr>
            <w:tcW w:type="dxa" w:w="5328"/>
          </w:tcPr>
          <w:p>
            <w:pPr>
              <w:spacing w:after="20"/>
              <w:jc w:val="left"/>
            </w:pPr>
            <w:r>
              <w:rPr>
                <w:color w:val="1C3A36"/>
                <w:sz w:val="16"/>
              </w:rPr>
              <w:t>the company's own disclosed share of earnings exposed to spot rates in 2026E — the weighting is taken from the company rather than chosen</w:t>
            </w:r>
          </w:p>
        </w:tc>
      </w:tr>
      <w:tr>
        <w:trPr>
          <w:cantSplit/>
        </w:trPr>
        <w:tc>
          <w:tcPr>
            <w:tcW w:type="dxa" w:w="3312"/>
          </w:tcPr>
          <w:p>
            <w:pPr>
              <w:spacing w:after="20"/>
            </w:pPr>
            <w:r>
              <w:rPr>
                <w:color w:val="1C3A36"/>
                <w:sz w:val="16"/>
              </w:rPr>
              <w:t>Blended enterprise multiple</w:t>
            </w:r>
          </w:p>
        </w:tc>
        <w:tc>
          <w:tcPr>
            <w:tcW w:type="dxa" w:w="1440"/>
          </w:tcPr>
          <w:p>
            <w:pPr>
              <w:spacing w:after="20"/>
              <w:jc w:val="right"/>
            </w:pPr>
            <w:r>
              <w:rPr>
                <w:color w:val="1C3A36"/>
                <w:sz w:val="16"/>
              </w:rPr>
              <w:t>11.10×</w:t>
            </w:r>
          </w:p>
        </w:tc>
        <w:tc>
          <w:tcPr>
            <w:tcW w:type="dxa" w:w="5328"/>
          </w:tcPr>
          <w:p>
            <w:pPr>
              <w:spacing w:after="20"/>
              <w:jc w:val="left"/>
            </w:pPr>
            <w:r>
              <w:rPr>
                <w:color w:val="1C3A36"/>
                <w:sz w:val="16"/>
              </w:rPr>
              <w:t>applied to 2026E earnings of USD 2,716 million</w:t>
            </w:r>
          </w:p>
        </w:tc>
      </w:tr>
      <w:tr>
        <w:trPr>
          <w:cantSplit/>
        </w:trPr>
        <w:tc>
          <w:tcPr>
            <w:tcW w:type="dxa" w:w="3312"/>
          </w:tcPr>
          <w:p>
            <w:pPr>
              <w:spacing w:after="20"/>
            </w:pPr>
            <w:r>
              <w:rPr>
                <w:color w:val="1C3A36"/>
                <w:sz w:val="16"/>
              </w:rPr>
              <w:t>Blended price-to-earnings multiple, forward</w:t>
            </w:r>
          </w:p>
        </w:tc>
        <w:tc>
          <w:tcPr>
            <w:tcW w:type="dxa" w:w="1440"/>
          </w:tcPr>
          <w:p>
            <w:pPr>
              <w:spacing w:after="20"/>
              <w:jc w:val="right"/>
            </w:pPr>
            <w:r>
              <w:rPr>
                <w:color w:val="1C3A36"/>
                <w:sz w:val="16"/>
              </w:rPr>
              <w:t>11.64×</w:t>
            </w:r>
          </w:p>
        </w:tc>
        <w:tc>
          <w:tcPr>
            <w:tcW w:type="dxa" w:w="5328"/>
          </w:tcPr>
          <w:p>
            <w:pPr>
              <w:spacing w:after="20"/>
              <w:jc w:val="left"/>
            </w:pPr>
            <w:r>
              <w:rPr>
                <w:color w:val="1C3A36"/>
                <w:sz w:val="16"/>
              </w:rPr>
              <w:t>the peers' FORWARD multiples blended on the same weight, applied to 2026E attributable profit after the perpetual coupon of USD 1,762 million. This is the multiple the lens uses: a forward multiple belongs on forward earnings</w:t>
            </w:r>
          </w:p>
        </w:tc>
      </w:tr>
      <w:tr>
        <w:trPr>
          <w:cantSplit/>
        </w:trPr>
        <w:tc>
          <w:tcPr>
            <w:tcW w:type="dxa" w:w="3312"/>
          </w:tcPr>
          <w:p>
            <w:pPr>
              <w:spacing w:after="20"/>
            </w:pPr>
            <w:r>
              <w:rPr>
                <w:color w:val="1C3A36"/>
                <w:sz w:val="16"/>
              </w:rPr>
              <w:t>The same blend on the peers’ trailing multiples</w:t>
            </w:r>
          </w:p>
        </w:tc>
        <w:tc>
          <w:tcPr>
            <w:tcW w:type="dxa" w:w="1440"/>
          </w:tcPr>
          <w:p>
            <w:pPr>
              <w:spacing w:after="20"/>
              <w:jc w:val="right"/>
            </w:pPr>
            <w:r>
              <w:rPr>
                <w:color w:val="1C3A36"/>
                <w:sz w:val="16"/>
              </w:rPr>
              <w:t>12.86×</w:t>
            </w:r>
          </w:p>
        </w:tc>
        <w:tc>
          <w:tcPr>
            <w:tcW w:type="dxa" w:w="5328"/>
          </w:tcPr>
          <w:p>
            <w:pPr>
              <w:spacing w:after="20"/>
              <w:jc w:val="left"/>
            </w:pPr>
            <w:r>
              <w:rPr>
                <w:color w:val="1C3A36"/>
                <w:sz w:val="16"/>
              </w:rPr>
              <w:t>published so that a reader who prefers the trailing basis can see it. It is higher, so using it would raise this lens; it is not used, because the earnings it would be applied to are forecast rather than reported. The company's own multiple is 7.78× forward and 17.63× trailing, and an earlier edition quoted only the second beside peers shown on the first</w:t>
            </w:r>
          </w:p>
        </w:tc>
      </w:tr>
      <w:tr>
        <w:trPr>
          <w:cantSplit/>
        </w:trPr>
        <w:tc>
          <w:tcPr>
            <w:tcW w:type="dxa" w:w="3312"/>
          </w:tcPr>
          <w:p>
            <w:pPr>
              <w:spacing w:after="20"/>
            </w:pPr>
            <w:r>
              <w:rPr>
                <w:color w:val="1C3A36"/>
                <w:sz w:val="16"/>
              </w:rPr>
              <w:t>Value on the enterprise multiple (AED/share)</w:t>
            </w:r>
          </w:p>
        </w:tc>
        <w:tc>
          <w:tcPr>
            <w:tcW w:type="dxa" w:w="1440"/>
          </w:tcPr>
          <w:p>
            <w:pPr>
              <w:spacing w:after="20"/>
              <w:jc w:val="right"/>
            </w:pPr>
            <w:r>
              <w:rPr>
                <w:color w:val="1C3A36"/>
                <w:sz w:val="16"/>
              </w:rPr>
              <w:t>13.08</w:t>
            </w:r>
          </w:p>
        </w:tc>
        <w:tc>
          <w:tcPr>
            <w:tcW w:type="dxa" w:w="5328"/>
          </w:tcPr>
          <w:p>
            <w:pPr>
              <w:spacing w:after="20"/>
              <w:jc w:val="left"/>
            </w:pPr>
            <w:r>
              <w:rPr>
                <w:color w:val="1C3A36"/>
                <w:sz w:val="16"/>
              </w:rPr>
            </w:r>
          </w:p>
        </w:tc>
      </w:tr>
      <w:tr>
        <w:trPr>
          <w:cantSplit/>
        </w:trPr>
        <w:tc>
          <w:tcPr>
            <w:tcW w:type="dxa" w:w="3312"/>
          </w:tcPr>
          <w:p>
            <w:pPr>
              <w:spacing w:after="20"/>
            </w:pPr>
            <w:r>
              <w:rPr>
                <w:color w:val="1C3A36"/>
                <w:sz w:val="16"/>
              </w:rPr>
              <w:t>Value on the earnings multiple (AED/share)</w:t>
            </w:r>
          </w:p>
        </w:tc>
        <w:tc>
          <w:tcPr>
            <w:tcW w:type="dxa" w:w="1440"/>
          </w:tcPr>
          <w:p>
            <w:pPr>
              <w:spacing w:after="20"/>
              <w:jc w:val="right"/>
            </w:pPr>
            <w:r>
              <w:rPr>
                <w:color w:val="1C3A36"/>
                <w:sz w:val="16"/>
              </w:rPr>
              <w:t>10.17</w:t>
            </w:r>
          </w:p>
        </w:tc>
        <w:tc>
          <w:tcPr>
            <w:tcW w:type="dxa" w:w="5328"/>
          </w:tcPr>
          <w:p>
            <w:pPr>
              <w:spacing w:after="20"/>
              <w:jc w:val="left"/>
            </w:pPr>
            <w:r>
              <w:rPr>
                <w:color w:val="1C3A36"/>
                <w:sz w:val="16"/>
              </w:rPr>
              <w:t>materially lower, because depreciation on a young, recently expanded fleet and the perpetual coupon both fall between the two measures — the reason this lens weights the enterprise measure more heavily</w:t>
            </w:r>
          </w:p>
        </w:tc>
      </w:tr>
      <w:tr>
        <w:trPr>
          <w:cantSplit/>
        </w:trPr>
        <w:tc>
          <w:tcPr>
            <w:tcW w:type="dxa" w:w="3312"/>
            <w:shd w:val="clear" w:color="auto" w:fill="F6F1E6"/>
          </w:tcPr>
          <w:p>
            <w:pPr>
              <w:spacing w:after="20"/>
            </w:pPr>
            <w:r>
              <w:rPr>
                <w:b/>
                <w:color w:val="1C3A36"/>
                <w:sz w:val="16"/>
              </w:rPr>
              <w:t>Weighted value (70% enterprise / 30% earnings)</w:t>
            </w:r>
          </w:p>
        </w:tc>
        <w:tc>
          <w:tcPr>
            <w:tcW w:type="dxa" w:w="1440"/>
            <w:shd w:val="clear" w:color="auto" w:fill="F6F1E6"/>
          </w:tcPr>
          <w:p>
            <w:pPr>
              <w:spacing w:after="20"/>
              <w:jc w:val="right"/>
            </w:pPr>
            <w:r>
              <w:rPr>
                <w:b/>
                <w:color w:val="1C3A36"/>
                <w:sz w:val="16"/>
              </w:rPr>
              <w:t>12.21</w:t>
            </w:r>
          </w:p>
        </w:tc>
        <w:tc>
          <w:tcPr>
            <w:tcW w:type="dxa" w:w="5328"/>
            <w:shd w:val="clear" w:color="auto" w:fill="F6F1E6"/>
          </w:tcPr>
          <w:p>
            <w:pPr>
              <w:spacing w:after="20"/>
              <w:jc w:val="left"/>
            </w:pPr>
            <w:r>
              <w:rPr>
                <w:b/>
                <w:color w:val="1C3A36"/>
                <w:sz w:val="16"/>
              </w:rPr>
              <w:t>the enterprise measure carries more weight because it is the standard measure for a capital-intensive fleet owner and neutralises differences in leverage, depreciation policy and tax relief across the comparators</w:t>
            </w:r>
          </w:p>
        </w:tc>
      </w:tr>
      <w:tr>
        <w:trPr>
          <w:cantSplit/>
        </w:trPr>
        <w:tc>
          <w:tcPr>
            <w:tcW w:type="dxa" w:w="3312"/>
          </w:tcPr>
          <w:p>
            <w:pPr>
              <w:spacing w:after="20"/>
            </w:pPr>
            <w:r>
              <w:rPr>
                <w:color w:val="1C3A36"/>
                <w:sz w:val="16"/>
              </w:rPr>
              <w:t>Range</w:t>
            </w:r>
          </w:p>
        </w:tc>
        <w:tc>
          <w:tcPr>
            <w:tcW w:type="dxa" w:w="1440"/>
          </w:tcPr>
          <w:p>
            <w:pPr>
              <w:spacing w:after="20"/>
              <w:jc w:val="right"/>
            </w:pPr>
            <w:r>
              <w:rPr>
                <w:color w:val="1C3A36"/>
                <w:sz w:val="16"/>
              </w:rPr>
              <w:t>9.63 – 14.63</w:t>
            </w:r>
          </w:p>
        </w:tc>
        <w:tc>
          <w:tcPr>
            <w:tcW w:type="dxa" w:w="5328"/>
          </w:tcPr>
          <w:p>
            <w:pPr>
              <w:spacing w:after="20"/>
              <w:jc w:val="left"/>
            </w:pPr>
            <w:r>
              <w:rPr>
                <w:color w:val="1C3A36"/>
                <w:sz w:val="16"/>
              </w:rPr>
              <w:t>the whole group at the spot multiple, and the whole group at the contracted multiple — the two corners the ENTERPRISE reading sits between. Read the base against it carefully: the base is a weighted blend of the enterprise reading and the earnings reading, while both bounds flex the enterprise reading only, so the base of AED 12.21 does not sit in the middle of its own published span. It sits at about the 52th percentile of it. The span is a multiple range, not a symmetric error bar around the base, and it is labelled as one</w:t>
            </w:r>
          </w:p>
        </w:tc>
      </w:tr>
    </w:tbl>
    <w:p>
      <w:pPr>
        <w:spacing w:after="40"/>
      </w:pPr>
    </w:p>
    <w:p>
      <w:pPr>
        <w:keepNext/>
        <w:spacing w:after="80" w:before="200"/>
      </w:pPr>
      <w:r>
        <w:rPr>
          <w:b/>
          <w:i w:val="0"/>
          <w:color w:val="1C3A36"/>
          <w:sz w:val="24"/>
        </w:rPr>
        <w:t>Sum of the parts — the same multiples, applied where they belong</w:t>
      </w:r>
    </w:p>
    <w:p>
      <w:pPr>
        <w:spacing w:after="120" w:before="0"/>
      </w:pPr>
      <w:r>
        <w:rPr>
          <w:b w:val="0"/>
          <w:i w:val="0"/>
          <w:color w:val="1C3A36"/>
          <w:sz w:val="21"/>
        </w:rPr>
        <w:t>Applying one multiple to the whole group is the mistake the frame above is trying to avoid, and there is a cleaner way to say so: value each business unit on the multiple that fits it and add them. The two contracted legs — Integrated Logistics and Services — earn under long-term contracts with a single strong counterparty and take the contracted-fleet multiple. Shipping takes a blend of the contracted and spot multiples, weighted by the company's own disclosed share of earnings exposed to spot rates. This is a cross-check on the relative lens rather than a fifth lens, and it is excluded from the central, but it is the construction that honours the fact that this company runs contracted work and market-exposed shipping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69"/>
        <w:gridCol w:w="1037"/>
        <w:gridCol w:w="1598"/>
        <w:gridCol w:w="3456"/>
      </w:tblGrid>
      <w:tr>
        <w:trPr>
          <w:cantSplit/>
          <w:tblHeader/>
        </w:trPr>
        <w:tc>
          <w:tcPr>
            <w:tcW w:type="dxa" w:w="2520"/>
            <w:shd w:val="clear" w:color="auto" w:fill="EAF0EE"/>
          </w:tcPr>
          <w:p>
            <w:pPr>
              <w:spacing w:after="20"/>
            </w:pPr>
            <w:r>
              <w:rPr>
                <w:b/>
                <w:color w:val="1C3A36"/>
                <w:sz w:val="16"/>
              </w:rPr>
              <w:t>Business unit</w:t>
            </w:r>
          </w:p>
        </w:tc>
        <w:tc>
          <w:tcPr>
            <w:tcW w:type="dxa" w:w="1469"/>
            <w:shd w:val="clear" w:color="auto" w:fill="EAF0EE"/>
          </w:tcPr>
          <w:p>
            <w:pPr>
              <w:spacing w:after="20"/>
            </w:pPr>
            <w:r>
              <w:rPr>
                <w:b/>
                <w:color w:val="1C3A36"/>
                <w:sz w:val="16"/>
              </w:rPr>
              <w:t>2026E earnings (USD mn)</w:t>
            </w:r>
          </w:p>
        </w:tc>
        <w:tc>
          <w:tcPr>
            <w:tcW w:type="dxa" w:w="1037"/>
            <w:shd w:val="clear" w:color="auto" w:fill="EAF0EE"/>
          </w:tcPr>
          <w:p>
            <w:pPr>
              <w:spacing w:after="20"/>
            </w:pPr>
            <w:r>
              <w:rPr>
                <w:b/>
                <w:color w:val="1C3A36"/>
                <w:sz w:val="16"/>
              </w:rPr>
              <w:t>Multiple</w:t>
            </w:r>
          </w:p>
        </w:tc>
        <w:tc>
          <w:tcPr>
            <w:tcW w:type="dxa" w:w="1598"/>
            <w:shd w:val="clear" w:color="auto" w:fill="EAF0EE"/>
          </w:tcPr>
          <w:p>
            <w:pPr>
              <w:spacing w:after="20"/>
            </w:pPr>
            <w:r>
              <w:rPr>
                <w:b/>
                <w:color w:val="1C3A36"/>
                <w:sz w:val="16"/>
              </w:rPr>
              <w:t>Enterprise value (USD mn)</w:t>
            </w:r>
          </w:p>
        </w:tc>
        <w:tc>
          <w:tcPr>
            <w:tcW w:type="dxa" w:w="3456"/>
            <w:shd w:val="clear" w:color="auto" w:fill="EAF0EE"/>
          </w:tcPr>
          <w:p>
            <w:pPr>
              <w:spacing w:after="20"/>
              <w:jc w:val="left"/>
            </w:pPr>
            <w:r>
              <w:rPr>
                <w:b/>
                <w:color w:val="1C3A36"/>
                <w:sz w:val="16"/>
              </w:rPr>
              <w:t>Why that multiple</w:t>
            </w:r>
          </w:p>
        </w:tc>
      </w:tr>
      <w:tr>
        <w:trPr>
          <w:cantSplit/>
        </w:trPr>
        <w:tc>
          <w:tcPr>
            <w:tcW w:type="dxa" w:w="2520"/>
          </w:tcPr>
          <w:p>
            <w:pPr>
              <w:spacing w:after="20"/>
            </w:pPr>
            <w:r>
              <w:rPr>
                <w:color w:val="1C3A36"/>
                <w:sz w:val="16"/>
              </w:rPr>
              <w:t>Integrated Logistics</w:t>
            </w:r>
          </w:p>
        </w:tc>
        <w:tc>
          <w:tcPr>
            <w:tcW w:type="dxa" w:w="1469"/>
          </w:tcPr>
          <w:p>
            <w:pPr>
              <w:spacing w:after="20"/>
              <w:jc w:val="right"/>
            </w:pPr>
            <w:r>
              <w:rPr>
                <w:color w:val="1C3A36"/>
                <w:sz w:val="16"/>
              </w:rPr>
              <w:t>631</w:t>
            </w:r>
          </w:p>
        </w:tc>
        <w:tc>
          <w:tcPr>
            <w:tcW w:type="dxa" w:w="1037"/>
          </w:tcPr>
          <w:p>
            <w:pPr>
              <w:spacing w:after="20"/>
              <w:jc w:val="right"/>
            </w:pPr>
            <w:r>
              <w:rPr>
                <w:color w:val="1C3A36"/>
                <w:sz w:val="16"/>
              </w:rPr>
              <w:t>12.26×</w:t>
            </w:r>
          </w:p>
        </w:tc>
        <w:tc>
          <w:tcPr>
            <w:tcW w:type="dxa" w:w="1598"/>
          </w:tcPr>
          <w:p>
            <w:pPr>
              <w:spacing w:after="20"/>
              <w:jc w:val="right"/>
            </w:pPr>
            <w:r>
              <w:rPr>
                <w:color w:val="1C3A36"/>
                <w:sz w:val="16"/>
              </w:rPr>
              <w:t>7,737</w:t>
            </w:r>
          </w:p>
        </w:tc>
        <w:tc>
          <w:tcPr>
            <w:tcW w:type="dxa" w:w="3456"/>
          </w:tcPr>
          <w:p>
            <w:pPr>
              <w:spacing w:after="20"/>
              <w:jc w:val="left"/>
            </w:pPr>
            <w:r>
              <w:rPr>
                <w:color w:val="1C3A36"/>
                <w:sz w:val="16"/>
              </w:rPr>
              <w:t>a contracted-fleet multiple, because this leg earns under long-term contracts</w:t>
            </w:r>
          </w:p>
        </w:tc>
      </w:tr>
      <w:tr>
        <w:trPr>
          <w:cantSplit/>
        </w:trPr>
        <w:tc>
          <w:tcPr>
            <w:tcW w:type="dxa" w:w="2520"/>
          </w:tcPr>
          <w:p>
            <w:pPr>
              <w:spacing w:after="20"/>
            </w:pPr>
            <w:r>
              <w:rPr>
                <w:color w:val="1C3A36"/>
                <w:sz w:val="16"/>
              </w:rPr>
              <w:t>Shipping</w:t>
            </w:r>
          </w:p>
        </w:tc>
        <w:tc>
          <w:tcPr>
            <w:tcW w:type="dxa" w:w="1469"/>
          </w:tcPr>
          <w:p>
            <w:pPr>
              <w:spacing w:after="20"/>
              <w:jc w:val="right"/>
            </w:pPr>
            <w:r>
              <w:rPr>
                <w:color w:val="1C3A36"/>
                <w:sz w:val="16"/>
              </w:rPr>
              <w:t>2,035</w:t>
            </w:r>
          </w:p>
        </w:tc>
        <w:tc>
          <w:tcPr>
            <w:tcW w:type="dxa" w:w="1037"/>
          </w:tcPr>
          <w:p>
            <w:pPr>
              <w:spacing w:after="20"/>
              <w:jc w:val="right"/>
            </w:pPr>
            <w:r>
              <w:rPr>
                <w:color w:val="1C3A36"/>
                <w:sz w:val="16"/>
              </w:rPr>
              <w:t>11.10×</w:t>
            </w:r>
          </w:p>
        </w:tc>
        <w:tc>
          <w:tcPr>
            <w:tcW w:type="dxa" w:w="1598"/>
          </w:tcPr>
          <w:p>
            <w:pPr>
              <w:spacing w:after="20"/>
              <w:jc w:val="right"/>
            </w:pPr>
            <w:r>
              <w:rPr>
                <w:color w:val="1C3A36"/>
                <w:sz w:val="16"/>
              </w:rPr>
              <w:t>22,591</w:t>
            </w:r>
          </w:p>
        </w:tc>
        <w:tc>
          <w:tcPr>
            <w:tcW w:type="dxa" w:w="3456"/>
          </w:tcPr>
          <w:p>
            <w:pPr>
              <w:spacing w:after="20"/>
              <w:jc w:val="left"/>
            </w:pPr>
            <w:r>
              <w:rPr>
                <w:color w:val="1C3A36"/>
                <w:sz w:val="16"/>
              </w:rPr>
              <w:t>a blend of the contracted and spot multiples, weighted by the company's own disclosed share of earnings exposed to spot rates</w:t>
            </w:r>
          </w:p>
        </w:tc>
      </w:tr>
      <w:tr>
        <w:trPr>
          <w:cantSplit/>
        </w:trPr>
        <w:tc>
          <w:tcPr>
            <w:tcW w:type="dxa" w:w="2520"/>
          </w:tcPr>
          <w:p>
            <w:pPr>
              <w:spacing w:after="20"/>
            </w:pPr>
            <w:r>
              <w:rPr>
                <w:color w:val="1C3A36"/>
                <w:sz w:val="16"/>
              </w:rPr>
              <w:t>Services</w:t>
            </w:r>
          </w:p>
        </w:tc>
        <w:tc>
          <w:tcPr>
            <w:tcW w:type="dxa" w:w="1469"/>
          </w:tcPr>
          <w:p>
            <w:pPr>
              <w:spacing w:after="20"/>
              <w:jc w:val="right"/>
            </w:pPr>
            <w:r>
              <w:rPr>
                <w:color w:val="1C3A36"/>
                <w:sz w:val="16"/>
              </w:rPr>
              <w:t>51</w:t>
            </w:r>
          </w:p>
        </w:tc>
        <w:tc>
          <w:tcPr>
            <w:tcW w:type="dxa" w:w="1037"/>
          </w:tcPr>
          <w:p>
            <w:pPr>
              <w:spacing w:after="20"/>
              <w:jc w:val="right"/>
            </w:pPr>
            <w:r>
              <w:rPr>
                <w:color w:val="1C3A36"/>
                <w:sz w:val="16"/>
              </w:rPr>
              <w:t>12.26×</w:t>
            </w:r>
          </w:p>
        </w:tc>
        <w:tc>
          <w:tcPr>
            <w:tcW w:type="dxa" w:w="1598"/>
          </w:tcPr>
          <w:p>
            <w:pPr>
              <w:spacing w:after="20"/>
              <w:jc w:val="right"/>
            </w:pPr>
            <w:r>
              <w:rPr>
                <w:color w:val="1C3A36"/>
                <w:sz w:val="16"/>
              </w:rPr>
              <w:t>620</w:t>
            </w:r>
          </w:p>
        </w:tc>
        <w:tc>
          <w:tcPr>
            <w:tcW w:type="dxa" w:w="3456"/>
          </w:tcPr>
          <w:p>
            <w:pPr>
              <w:spacing w:after="20"/>
              <w:jc w:val="left"/>
            </w:pPr>
            <w:r>
              <w:rPr>
                <w:color w:val="1C3A36"/>
                <w:sz w:val="16"/>
              </w:rPr>
              <w:t>a contracted-fleet multiple, because this leg earns under long-term contracts</w:t>
            </w:r>
          </w:p>
        </w:tc>
      </w:tr>
      <w:tr>
        <w:trPr>
          <w:cantSplit/>
        </w:trPr>
        <w:tc>
          <w:tcPr>
            <w:tcW w:type="dxa" w:w="2520"/>
            <w:shd w:val="clear" w:color="auto" w:fill="F6F1E6"/>
          </w:tcPr>
          <w:p>
            <w:pPr>
              <w:spacing w:after="20"/>
            </w:pPr>
            <w:r>
              <w:rPr>
                <w:b/>
                <w:color w:val="1C3A36"/>
                <w:sz w:val="16"/>
              </w:rPr>
              <w:t>Sum of the three legs</w:t>
            </w:r>
          </w:p>
        </w:tc>
        <w:tc>
          <w:tcPr>
            <w:tcW w:type="dxa" w:w="1469"/>
            <w:shd w:val="clear" w:color="auto" w:fill="F6F1E6"/>
          </w:tcPr>
          <w:p>
            <w:pPr>
              <w:spacing w:after="20"/>
              <w:jc w:val="right"/>
            </w:pPr>
            <w:r>
              <w:rPr>
                <w:b/>
                <w:color w:val="1C3A36"/>
                <w:sz w:val="16"/>
              </w:rPr>
              <w:t>2,716</w:t>
            </w:r>
          </w:p>
        </w:tc>
        <w:tc>
          <w:tcPr>
            <w:tcW w:type="dxa" w:w="1037"/>
            <w:shd w:val="clear" w:color="auto" w:fill="F6F1E6"/>
          </w:tcPr>
          <w:p>
            <w:pPr>
              <w:spacing w:after="20"/>
              <w:jc w:val="right"/>
            </w:pPr>
            <w:r>
              <w:rPr>
                <w:b/>
                <w:color w:val="1C3A36"/>
                <w:sz w:val="16"/>
              </w:rPr>
            </w:r>
          </w:p>
        </w:tc>
        <w:tc>
          <w:tcPr>
            <w:tcW w:type="dxa" w:w="1598"/>
            <w:shd w:val="clear" w:color="auto" w:fill="F6F1E6"/>
          </w:tcPr>
          <w:p>
            <w:pPr>
              <w:spacing w:after="20"/>
              <w:jc w:val="right"/>
            </w:pPr>
            <w:r>
              <w:rPr>
                <w:b/>
                <w:color w:val="1C3A36"/>
                <w:sz w:val="16"/>
              </w:rPr>
              <w:t>30,947</w:t>
            </w:r>
          </w:p>
        </w:tc>
        <w:tc>
          <w:tcPr>
            <w:tcW w:type="dxa" w:w="3456"/>
            <w:shd w:val="clear" w:color="auto" w:fill="F6F1E6"/>
          </w:tcPr>
          <w:p>
            <w:pPr>
              <w:spacing w:after="20"/>
              <w:jc w:val="left"/>
            </w:pPr>
            <w:r>
              <w:rPr>
                <w:b/>
                <w:color w:val="1C3A36"/>
                <w:sz w:val="16"/>
              </w:rPr>
              <w:t>enterprise value of the operations, the three legs added</w:t>
            </w:r>
          </w:p>
        </w:tc>
      </w:tr>
      <w:tr>
        <w:trPr>
          <w:cantSplit/>
        </w:trPr>
        <w:tc>
          <w:tcPr>
            <w:tcW w:type="dxa" w:w="2520"/>
          </w:tcPr>
          <w:p>
            <w:pPr>
              <w:spacing w:after="20"/>
            </w:pPr>
            <w:r>
              <w:rPr>
                <w:color w:val="1C3A36"/>
                <w:sz w:val="16"/>
              </w:rPr>
              <w:t>Plus joint ventures and associates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523</w:t>
            </w:r>
          </w:p>
        </w:tc>
        <w:tc>
          <w:tcPr>
            <w:tcW w:type="dxa" w:w="3456"/>
          </w:tcPr>
          <w:p>
            <w:pPr>
              <w:spacing w:after="20"/>
              <w:jc w:val="left"/>
            </w:pPr>
            <w:r>
              <w:rPr>
                <w:color w:val="1C3A36"/>
                <w:sz w:val="16"/>
              </w:rPr>
              <w:t>at reviewed book value</w:t>
            </w:r>
          </w:p>
        </w:tc>
      </w:tr>
      <w:tr>
        <w:trPr>
          <w:cantSplit/>
        </w:trPr>
        <w:tc>
          <w:tcPr>
            <w:tcW w:type="dxa" w:w="2520"/>
          </w:tcPr>
          <w:p>
            <w:pPr>
              <w:spacing w:after="20"/>
            </w:pPr>
            <w:r>
              <w:rPr>
                <w:color w:val="1C3A36"/>
                <w:sz w:val="16"/>
              </w:rPr>
              <w:t>Less net debt and deferred consideration</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(1,862)</w:t>
            </w:r>
          </w:p>
        </w:tc>
        <w:tc>
          <w:tcPr>
            <w:tcW w:type="dxa" w:w="3456"/>
          </w:tcPr>
          <w:p>
            <w:pPr>
              <w:spacing w:after="20"/>
              <w:jc w:val="left"/>
            </w:pPr>
            <w:r>
              <w:rPr>
                <w:color w:val="1C3A36"/>
                <w:sz w:val="16"/>
              </w:rPr>
              <w:t>the same bridge lines as the cash-flow model</w:t>
            </w:r>
          </w:p>
        </w:tc>
      </w:tr>
      <w:tr>
        <w:trPr>
          <w:cantSplit/>
        </w:trPr>
        <w:tc>
          <w:tcPr>
            <w:tcW w:type="dxa" w:w="2520"/>
          </w:tcPr>
          <w:p>
            <w:pPr>
              <w:spacing w:after="20"/>
            </w:pPr>
            <w:r>
              <w:rPr>
                <w:color w:val="1C3A36"/>
                <w:sz w:val="16"/>
              </w:rPr>
              <w:t>Less perpetual capital securities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(1,979)</w:t>
            </w:r>
          </w:p>
        </w:tc>
        <w:tc>
          <w:tcPr>
            <w:tcW w:type="dxa" w:w="3456"/>
          </w:tcPr>
          <w:p>
            <w:pPr>
              <w:spacing w:after="20"/>
              <w:jc w:val="left"/>
            </w:pPr>
            <w:r>
              <w:rPr>
                <w:color w:val="1C3A36"/>
                <w:sz w:val="16"/>
              </w:rPr>
              <w:t>at carrying value</w:t>
            </w:r>
          </w:p>
        </w:tc>
      </w:tr>
      <w:tr>
        <w:trPr>
          <w:cantSplit/>
        </w:trPr>
        <w:tc>
          <w:tcPr>
            <w:tcW w:type="dxa" w:w="2520"/>
          </w:tcPr>
          <w:p>
            <w:pPr>
              <w:spacing w:after="20"/>
            </w:pPr>
            <w:r>
              <w:rPr>
                <w:color w:val="1C3A36"/>
                <w:sz w:val="16"/>
              </w:rPr>
              <w:t>Less non-controlling interests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(289)</w:t>
            </w:r>
          </w:p>
        </w:tc>
        <w:tc>
          <w:tcPr>
            <w:tcW w:type="dxa" w:w="3456"/>
          </w:tcPr>
          <w:p>
            <w:pPr>
              <w:spacing w:after="20"/>
              <w:jc w:val="left"/>
            </w:pPr>
            <w:r>
              <w:rPr>
                <w:color w:val="1C3A36"/>
                <w:sz w:val="16"/>
              </w:rPr>
              <w:t>at book value. The cash-flow bridge in section 1.1 lifts the non-contracted slice of this to its share of value, worth AED 0.01 a share; that refinement is not repeated in this cross-check</w:t>
            </w:r>
          </w:p>
        </w:tc>
      </w:tr>
      <w:tr>
        <w:trPr>
          <w:cantSplit/>
        </w:trPr>
        <w:tc>
          <w:tcPr>
            <w:tcW w:type="dxa" w:w="2520"/>
            <w:shd w:val="clear" w:color="auto" w:fill="F6F1E6"/>
          </w:tcPr>
          <w:p>
            <w:pPr>
              <w:spacing w:after="20"/>
            </w:pPr>
            <w:r>
              <w:rPr>
                <w:b/>
                <w:color w:val="1C3A36"/>
                <w:sz w:val="16"/>
              </w:rPr>
              <w:t>Equity value</w:t>
            </w:r>
          </w:p>
        </w:tc>
        <w:tc>
          <w:tcPr>
            <w:tcW w:type="dxa" w:w="1469"/>
            <w:shd w:val="clear" w:color="auto" w:fill="F6F1E6"/>
          </w:tcPr>
          <w:p>
            <w:pPr>
              <w:spacing w:after="20"/>
              <w:jc w:val="right"/>
            </w:pPr>
            <w:r>
              <w:rPr>
                <w:b/>
                <w:color w:val="1C3A36"/>
                <w:sz w:val="16"/>
              </w:rPr>
            </w:r>
          </w:p>
        </w:tc>
        <w:tc>
          <w:tcPr>
            <w:tcW w:type="dxa" w:w="1037"/>
            <w:shd w:val="clear" w:color="auto" w:fill="F6F1E6"/>
          </w:tcPr>
          <w:p>
            <w:pPr>
              <w:spacing w:after="20"/>
              <w:jc w:val="right"/>
            </w:pPr>
            <w:r>
              <w:rPr>
                <w:b/>
                <w:color w:val="1C3A36"/>
                <w:sz w:val="16"/>
              </w:rPr>
            </w:r>
          </w:p>
        </w:tc>
        <w:tc>
          <w:tcPr>
            <w:tcW w:type="dxa" w:w="1598"/>
            <w:shd w:val="clear" w:color="auto" w:fill="F6F1E6"/>
          </w:tcPr>
          <w:p>
            <w:pPr>
              <w:spacing w:after="20"/>
              <w:jc w:val="right"/>
            </w:pPr>
            <w:r>
              <w:rPr>
                <w:b/>
                <w:color w:val="1C3A36"/>
                <w:sz w:val="16"/>
              </w:rPr>
              <w:t>27,255</w:t>
            </w:r>
          </w:p>
        </w:tc>
        <w:tc>
          <w:tcPr>
            <w:tcW w:type="dxa" w:w="3456"/>
            <w:shd w:val="clear" w:color="auto" w:fill="F6F1E6"/>
          </w:tcPr>
          <w:p>
            <w:pPr>
              <w:spacing w:after="20"/>
              <w:jc w:val="left"/>
            </w:pPr>
            <w:r>
              <w:rPr>
                <w:b/>
                <w:color w:val="1C3A36"/>
                <w:sz w:val="16"/>
              </w:rPr>
              <w:t>AED 13.53 a share, 99% above the market price</w:t>
            </w:r>
          </w:p>
        </w:tc>
      </w:tr>
      <w:tr>
        <w:trPr>
          <w:cantSplit/>
        </w:trPr>
        <w:tc>
          <w:tcPr>
            <w:tcW w:type="dxa" w:w="2520"/>
          </w:tcPr>
          <w:p>
            <w:pPr>
              <w:spacing w:after="20"/>
            </w:pPr>
            <w:r>
              <w:rPr>
                <w:color w:val="1C3A36"/>
                <w:sz w:val="16"/>
              </w:rPr>
              <w:t>MEMORANDUM — the Shipping leg with the exposure share re-based to it</w:t>
            </w:r>
          </w:p>
        </w:tc>
        <w:tc>
          <w:tcPr>
            <w:tcW w:type="dxa" w:w="1469"/>
          </w:tcPr>
          <w:p>
            <w:pPr>
              <w:spacing w:after="20"/>
              <w:jc w:val="right"/>
            </w:pPr>
            <w:r>
              <w:rPr>
                <w:color w:val="1C3A36"/>
                <w:sz w:val="16"/>
              </w:rPr>
            </w:r>
          </w:p>
        </w:tc>
        <w:tc>
          <w:tcPr>
            <w:tcW w:type="dxa" w:w="1037"/>
          </w:tcPr>
          <w:p>
            <w:pPr>
              <w:spacing w:after="20"/>
              <w:jc w:val="right"/>
            </w:pPr>
            <w:r>
              <w:rPr>
                <w:color w:val="1C3A36"/>
                <w:sz w:val="16"/>
              </w:rPr>
              <w:t>10.72×</w:t>
            </w:r>
          </w:p>
        </w:tc>
        <w:tc>
          <w:tcPr>
            <w:tcW w:type="dxa" w:w="1598"/>
          </w:tcPr>
          <w:p>
            <w:pPr>
              <w:spacing w:after="20"/>
              <w:jc w:val="right"/>
            </w:pPr>
            <w:r>
              <w:rPr>
                <w:color w:val="1C3A36"/>
                <w:sz w:val="16"/>
              </w:rPr>
              <w:t>30,159</w:t>
            </w:r>
          </w:p>
        </w:tc>
        <w:tc>
          <w:tcPr>
            <w:tcW w:type="dxa" w:w="3456"/>
          </w:tcPr>
          <w:p>
            <w:pPr>
              <w:spacing w:after="20"/>
              <w:jc w:val="left"/>
            </w:pPr>
            <w:r>
              <w:rPr>
                <w:color w:val="1C3A36"/>
                <w:sz w:val="16"/>
              </w:rPr>
              <w:t>AED 13.18 a share. The 31% weight in the row above is the company's disclosed share of GROUP earnings exposed to spot rates, and every dollar of that exposure sits inside Shipping. Measured against Shipping's own 2026E earnings rather than the group's it is 41%, which lowers the leg multiple to 10.72× and the cross-check by AED 0.35 a share</w:t>
            </w:r>
          </w:p>
        </w:tc>
      </w:tr>
    </w:tbl>
    <w:p>
      <w:pPr>
        <w:spacing w:after="40"/>
      </w:pPr>
    </w:p>
    <w:p>
      <w:pPr>
        <w:spacing w:after="200" w:before="0"/>
      </w:pPr>
      <w:r>
        <w:rPr>
          <w:b w:val="0"/>
          <w:i/>
          <w:color w:val="6E7B77"/>
          <w:sz w:val="17"/>
        </w:rPr>
        <w:t>The sum of the parts lands at AED 13.53 against the blended relative lens at AED 12.21, and the difference is almost entirely the earnings measure the multiple is applied to rather than the multiples themselves: the sum of the parts applies each multiple to that unit's own earnings before any group cost, while the blended lens applies its multiple to the consolidated figure and then averages an enterprise measure with an after-tax earnings measure. Both are disclosed. Neither is included in the central, which rests on the cash-flow model and the three lenses beside it. On the exposure share re-based to the leg it is applied to — the memorandum row above, and the more defensible construction of the two — the cross-check reads AED 13.18 instead. The row is published as a memorandum rather than substituted into the table because the weighting the table uses is the company's own disclosed figure taken at face value, and a reader should be able to see both what the disclosure says and what re-basing it does.</w:t>
      </w:r>
    </w:p>
    <w:p>
      <w:pPr>
        <w:keepNext/>
        <w:spacing w:after="80" w:before="200"/>
      </w:pPr>
      <w:r>
        <w:rPr>
          <w:b/>
          <w:i w:val="0"/>
          <w:color w:val="1C3A36"/>
          <w:sz w:val="24"/>
        </w:rPr>
        <w:t>1.4  Normalised earnings power — what the group earns in an ordinary year</w:t>
      </w:r>
    </w:p>
    <w:p>
      <w:pPr>
        <w:spacing w:after="120" w:before="0"/>
      </w:pPr>
      <w:r>
        <w:rPr>
          <w:b w:val="0"/>
          <w:i w:val="0"/>
          <w:color w:val="1C3A36"/>
          <w:sz w:val="21"/>
        </w:rPr>
        <w:t>The question this lens asks is what the company earns in a year that is neither the rate spike of 2026 nor the trough that followed the FY2024 peak. The answer used here is the five-year average of the build's own output: earnings before interest, tax, depreciation and amortisation of USD 2,617 million and attributable profit after the perpetual coupon of USD 1,663 million. That average is taken across a path that starts far above mid-cycle and ends below it, so it is a genuine normalisation rather than a disguised extrapolation of the good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3024"/>
      </w:tblGrid>
      <w:tr>
        <w:trPr>
          <w:cantSplit/>
          <w:tblHeader/>
        </w:trPr>
        <w:tc>
          <w:tcPr>
            <w:tcW w:type="dxa" w:w="7056"/>
            <w:shd w:val="clear" w:color="auto" w:fill="EAF0EE"/>
          </w:tcPr>
          <w:p>
            <w:pPr>
              <w:spacing w:after="20"/>
            </w:pPr>
            <w:r>
              <w:rPr>
                <w:b/>
                <w:color w:val="1C3A36"/>
                <w:sz w:val="17"/>
              </w:rPr>
              <w:t>Line</w:t>
            </w:r>
          </w:p>
        </w:tc>
        <w:tc>
          <w:tcPr>
            <w:tcW w:type="dxa" w:w="3024"/>
            <w:shd w:val="clear" w:color="auto" w:fill="EAF0EE"/>
          </w:tcPr>
          <w:p>
            <w:pPr>
              <w:spacing w:after="20"/>
            </w:pPr>
            <w:r>
              <w:rPr>
                <w:b/>
                <w:color w:val="1C3A36"/>
                <w:sz w:val="17"/>
              </w:rPr>
              <w:t>Value</w:t>
            </w:r>
          </w:p>
        </w:tc>
      </w:tr>
      <w:tr>
        <w:trPr>
          <w:cantSplit/>
        </w:trPr>
        <w:tc>
          <w:tcPr>
            <w:tcW w:type="dxa" w:w="7056"/>
          </w:tcPr>
          <w:p>
            <w:pPr>
              <w:spacing w:after="20"/>
            </w:pPr>
            <w:r>
              <w:rPr>
                <w:color w:val="1C3A36"/>
                <w:sz w:val="17"/>
              </w:rPr>
              <w:t>Average earnings before interest, tax, depreciation and amortisation over the five forecast years (USD mn)</w:t>
            </w:r>
          </w:p>
        </w:tc>
        <w:tc>
          <w:tcPr>
            <w:tcW w:type="dxa" w:w="3024"/>
          </w:tcPr>
          <w:p>
            <w:pPr>
              <w:spacing w:after="20"/>
              <w:jc w:val="right"/>
            </w:pPr>
            <w:r>
              <w:rPr>
                <w:color w:val="1C3A36"/>
                <w:sz w:val="17"/>
              </w:rPr>
              <w:t>2,617</w:t>
            </w:r>
          </w:p>
        </w:tc>
      </w:tr>
      <w:tr>
        <w:trPr>
          <w:cantSplit/>
        </w:trPr>
        <w:tc>
          <w:tcPr>
            <w:tcW w:type="dxa" w:w="7056"/>
          </w:tcPr>
          <w:p>
            <w:pPr>
              <w:spacing w:after="20"/>
            </w:pPr>
            <w:r>
              <w:rPr>
                <w:color w:val="1C3A36"/>
                <w:sz w:val="17"/>
              </w:rPr>
              <w:t>Against FY2025 actual (USD mn)</w:t>
            </w:r>
          </w:p>
        </w:tc>
        <w:tc>
          <w:tcPr>
            <w:tcW w:type="dxa" w:w="3024"/>
          </w:tcPr>
          <w:p>
            <w:pPr>
              <w:spacing w:after="20"/>
              <w:jc w:val="right"/>
            </w:pPr>
            <w:r>
              <w:rPr>
                <w:color w:val="1C3A36"/>
                <w:sz w:val="17"/>
              </w:rPr>
              <w:t>1,469</w:t>
            </w:r>
          </w:p>
        </w:tc>
      </w:tr>
      <w:tr>
        <w:trPr>
          <w:cantSplit/>
        </w:trPr>
        <w:tc>
          <w:tcPr>
            <w:tcW w:type="dxa" w:w="7056"/>
          </w:tcPr>
          <w:p>
            <w:pPr>
              <w:spacing w:after="20"/>
            </w:pPr>
            <w:r>
              <w:rPr>
                <w:color w:val="1C3A36"/>
                <w:sz w:val="17"/>
              </w:rPr>
              <w:t>Against the 2026E build (USD mn)</w:t>
            </w:r>
          </w:p>
        </w:tc>
        <w:tc>
          <w:tcPr>
            <w:tcW w:type="dxa" w:w="3024"/>
          </w:tcPr>
          <w:p>
            <w:pPr>
              <w:spacing w:after="20"/>
              <w:jc w:val="right"/>
            </w:pPr>
            <w:r>
              <w:rPr>
                <w:color w:val="1C3A36"/>
                <w:sz w:val="17"/>
              </w:rPr>
              <w:t>2,716</w:t>
            </w:r>
          </w:p>
        </w:tc>
      </w:tr>
      <w:tr>
        <w:trPr>
          <w:cantSplit/>
        </w:trPr>
        <w:tc>
          <w:tcPr>
            <w:tcW w:type="dxa" w:w="7056"/>
          </w:tcPr>
          <w:p>
            <w:pPr>
              <w:spacing w:after="20"/>
            </w:pPr>
            <w:r>
              <w:rPr>
                <w:color w:val="1C3A36"/>
                <w:sz w:val="17"/>
              </w:rPr>
              <w:t>Average attributable profit after the perpetual coupon (USD mn)</w:t>
            </w:r>
          </w:p>
        </w:tc>
        <w:tc>
          <w:tcPr>
            <w:tcW w:type="dxa" w:w="3024"/>
          </w:tcPr>
          <w:p>
            <w:pPr>
              <w:spacing w:after="20"/>
              <w:jc w:val="right"/>
            </w:pPr>
            <w:r>
              <w:rPr>
                <w:color w:val="1C3A36"/>
                <w:sz w:val="17"/>
              </w:rPr>
              <w:t>1,663</w:t>
            </w:r>
          </w:p>
        </w:tc>
      </w:tr>
      <w:tr>
        <w:trPr>
          <w:cantSplit/>
        </w:trPr>
        <w:tc>
          <w:tcPr>
            <w:tcW w:type="dxa" w:w="7056"/>
          </w:tcPr>
          <w:p>
            <w:pPr>
              <w:spacing w:after="20"/>
            </w:pPr>
            <w:r>
              <w:rPr>
                <w:color w:val="1C3A36"/>
                <w:sz w:val="17"/>
              </w:rPr>
              <w:t>Normalised earnings per share (USD)</w:t>
            </w:r>
          </w:p>
        </w:tc>
        <w:tc>
          <w:tcPr>
            <w:tcW w:type="dxa" w:w="3024"/>
          </w:tcPr>
          <w:p>
            <w:pPr>
              <w:spacing w:after="20"/>
              <w:jc w:val="right"/>
            </w:pPr>
            <w:r>
              <w:rPr>
                <w:color w:val="1C3A36"/>
                <w:sz w:val="17"/>
              </w:rPr>
              <w:t>0.2248</w:t>
            </w:r>
          </w:p>
        </w:tc>
      </w:tr>
      <w:tr>
        <w:trPr>
          <w:cantSplit/>
        </w:trPr>
        <w:tc>
          <w:tcPr>
            <w:tcW w:type="dxa" w:w="7056"/>
          </w:tcPr>
          <w:p>
            <w:pPr>
              <w:spacing w:after="20"/>
            </w:pPr>
            <w:r>
              <w:rPr>
                <w:color w:val="1C3A36"/>
                <w:sz w:val="17"/>
              </w:rPr>
              <w:t>At the blended enterprise multiple, through the bridge (AED/share)</w:t>
            </w:r>
          </w:p>
        </w:tc>
        <w:tc>
          <w:tcPr>
            <w:tcW w:type="dxa" w:w="3024"/>
          </w:tcPr>
          <w:p>
            <w:pPr>
              <w:spacing w:after="20"/>
              <w:jc w:val="right"/>
            </w:pPr>
            <w:r>
              <w:rPr>
                <w:color w:val="1C3A36"/>
                <w:sz w:val="17"/>
              </w:rPr>
              <w:t>12.54</w:t>
            </w:r>
          </w:p>
        </w:tc>
      </w:tr>
      <w:tr>
        <w:trPr>
          <w:cantSplit/>
        </w:trPr>
        <w:tc>
          <w:tcPr>
            <w:tcW w:type="dxa" w:w="7056"/>
          </w:tcPr>
          <w:p>
            <w:pPr>
              <w:spacing w:after="20"/>
            </w:pPr>
            <w:r>
              <w:rPr>
                <w:color w:val="1C3A36"/>
                <w:sz w:val="17"/>
              </w:rPr>
              <w:t>At the blended 11.64× price-to-earnings multiple (AED/share)</w:t>
            </w:r>
          </w:p>
        </w:tc>
        <w:tc>
          <w:tcPr>
            <w:tcW w:type="dxa" w:w="3024"/>
          </w:tcPr>
          <w:p>
            <w:pPr>
              <w:spacing w:after="20"/>
              <w:jc w:val="right"/>
            </w:pPr>
            <w:r>
              <w:rPr>
                <w:color w:val="1C3A36"/>
                <w:sz w:val="17"/>
              </w:rPr>
              <w:t>9.61</w:t>
            </w:r>
          </w:p>
        </w:tc>
      </w:tr>
      <w:tr>
        <w:trPr>
          <w:cantSplit/>
        </w:trPr>
        <w:tc>
          <w:tcPr>
            <w:tcW w:type="dxa" w:w="7056"/>
          </w:tcPr>
          <w:p>
            <w:pPr>
              <w:spacing w:after="20"/>
            </w:pPr>
            <w:r>
              <w:rPr>
                <w:color w:val="1C3A36"/>
                <w:sz w:val="17"/>
              </w:rPr>
              <w:t>Fair value per share — the average of the two (AED)</w:t>
            </w:r>
          </w:p>
        </w:tc>
        <w:tc>
          <w:tcPr>
            <w:tcW w:type="dxa" w:w="3024"/>
          </w:tcPr>
          <w:p>
            <w:pPr>
              <w:spacing w:after="20"/>
              <w:jc w:val="right"/>
            </w:pPr>
            <w:r>
              <w:rPr>
                <w:color w:val="1C3A36"/>
                <w:sz w:val="17"/>
              </w:rPr>
              <w:t>11.07</w:t>
            </w:r>
          </w:p>
        </w:tc>
      </w:tr>
      <w:tr>
        <w:trPr>
          <w:cantSplit/>
        </w:trPr>
        <w:tc>
          <w:tcPr>
            <w:tcW w:type="dxa" w:w="7056"/>
            <w:shd w:val="clear" w:color="auto" w:fill="F6F1E6"/>
          </w:tcPr>
          <w:p>
            <w:pPr>
              <w:spacing w:after="20"/>
            </w:pPr>
            <w:r>
              <w:rPr>
                <w:b/>
                <w:color w:val="1C3A36"/>
                <w:sz w:val="17"/>
              </w:rPr>
              <w:t>Range — the whole group at the spot multiple, and at the contracted multiple (the enterprise reading only; the base is an average of the two readings, so it does not sit in the middle of this span)</w:t>
            </w:r>
          </w:p>
        </w:tc>
        <w:tc>
          <w:tcPr>
            <w:tcW w:type="dxa" w:w="3024"/>
            <w:shd w:val="clear" w:color="auto" w:fill="F6F1E6"/>
          </w:tcPr>
          <w:p>
            <w:pPr>
              <w:spacing w:after="20"/>
              <w:jc w:val="right"/>
            </w:pPr>
            <w:r>
              <w:rPr>
                <w:b/>
                <w:color w:val="1C3A36"/>
                <w:sz w:val="17"/>
              </w:rPr>
              <w:t>9.21 – 14.03</w:t>
            </w:r>
          </w:p>
        </w:tc>
      </w:tr>
    </w:tbl>
    <w:p>
      <w:pPr>
        <w:spacing w:after="40"/>
      </w:pPr>
    </w:p>
    <w:p>
      <w:pPr>
        <w:spacing w:after="200" w:before="0"/>
      </w:pPr>
      <w:r>
        <w:rPr>
          <w:b w:val="0"/>
          <w:i/>
          <w:color w:val="6E7B77"/>
          <w:sz w:val="17"/>
        </w:rPr>
        <w:t>The two constructions disagree by a wide margin — AED 12.54 against AED 9.61 — and the gap is depreciation and the perpetual coupon. This is a young fleet: depreciation runs from 21.5% of earnings before interest, tax, depreciation and amortisation in the lightest forecast year to 39.7% in the heaviest, averaging 27.6% across the five — and RISING through them, as the newbuild programme and the vessels bought in August 2026 come into the asset base. An earlier edition quoted the first year's figure as though it were the average, which understated the very wedge this paragraph exists to explain. An enterprise measure and an after-tax earnings measure will never agree on a company like this. Averaging them is a deliberate refusal to pick, and THIS READ IS RETIRED AS A LENS FOR THIS COMPANY accordingly — it carried 20% of an earlier edition's blend and carries none of the answer now. The published range flexes the enterprise reading between the spot and contracted multiples; the base is the average of that reading and the earnings reading, so it sits at about the 39th percentile of its own span rather than at the middle of it.</w:t>
      </w:r>
    </w:p>
    <w:p>
      <w:pPr>
        <w:keepNext/>
        <w:spacing w:after="80" w:before="200"/>
      </w:pPr>
      <w:r>
        <w:rPr>
          <w:b/>
          <w:i w:val="0"/>
          <w:color w:val="1C3A36"/>
          <w:sz w:val="24"/>
        </w:rPr>
        <w:t>1.5  Synthesis — four lenses, one field</w:t>
      </w:r>
    </w:p>
    <w:p>
      <w:pPr>
        <w:spacing w:after="40"/>
        <w:jc w:val="center"/>
      </w:pPr>
      <w:r>
        <w:drawing>
          <wp:inline xmlns:a="http://schemas.openxmlformats.org/drawingml/2006/main" xmlns:pic="http://schemas.openxmlformats.org/drawingml/2006/picture">
            <wp:extent cx="6309360" cy="3447382"/>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3447382"/>
                    </a:xfrm>
                    <a:prstGeom prst="rect"/>
                  </pic:spPr>
                </pic:pic>
              </a:graphicData>
            </a:graphic>
          </wp:inline>
        </w:drawing>
      </w:r>
    </w:p>
    <w:p>
      <w:pPr>
        <w:spacing w:after="200" w:before="0"/>
      </w:pPr>
      <w:r>
        <w:rPr>
          <w:b w:val="0"/>
          <w:i/>
          <w:color w:val="6E7B77"/>
          <w:sz w:val="17"/>
        </w:rPr>
        <w:t>Figure 1 — the four lenses, both measurements of the market and the two centrals, against the market price of AED 6.80. Each central is the CASH-FLOW LENS on its own regressor rather than an average of the bars beside it. Each bar is that lens's bear-to-bull span; the brass tick is its base case. The two cash-flow rows are the same model with the beta regressed on two different market series.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85"/>
        <w:gridCol w:w="1238"/>
        <w:gridCol w:w="1238"/>
        <w:gridCol w:w="1238"/>
        <w:gridCol w:w="1238"/>
        <w:gridCol w:w="1642"/>
      </w:tblGrid>
      <w:tr>
        <w:trPr>
          <w:cantSplit/>
          <w:tblHeader/>
        </w:trPr>
        <w:tc>
          <w:tcPr>
            <w:tcW w:type="dxa" w:w="3485"/>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238"/>
            <w:shd w:val="clear" w:color="auto" w:fill="EAF0EE"/>
          </w:tcPr>
          <w:p>
            <w:pPr>
              <w:spacing w:after="20"/>
            </w:pPr>
            <w:r>
              <w:rPr>
                <w:b/>
                <w:color w:val="1C3A36"/>
                <w:sz w:val="17"/>
              </w:rPr>
              <w:t>Role in this study</w:t>
            </w:r>
          </w:p>
        </w:tc>
        <w:tc>
          <w:tcPr>
            <w:tcW w:type="dxa" w:w="1642"/>
            <w:shd w:val="clear" w:color="auto" w:fill="EAF0EE"/>
          </w:tcPr>
          <w:p>
            <w:pPr>
              <w:spacing w:after="20"/>
            </w:pPr>
            <w:r>
              <w:rPr>
                <w:b/>
                <w:color w:val="1C3A36"/>
                <w:sz w:val="17"/>
              </w:rPr>
              <w:t>Weight in the RETIRED blend</w:t>
            </w:r>
          </w:p>
        </w:tc>
      </w:tr>
      <w:tr>
        <w:trPr>
          <w:cantSplit/>
        </w:trPr>
        <w:tc>
          <w:tcPr>
            <w:tcW w:type="dxa" w:w="3485"/>
          </w:tcPr>
          <w:p>
            <w:pPr>
              <w:spacing w:after="20"/>
            </w:pPr>
            <w:r>
              <w:rPr>
                <w:color w:val="1C3A36"/>
                <w:sz w:val="17"/>
              </w:rPr>
              <w:t>Cash-flow model — published index</w:t>
            </w:r>
          </w:p>
        </w:tc>
        <w:tc>
          <w:tcPr>
            <w:tcW w:type="dxa" w:w="1238"/>
          </w:tcPr>
          <w:p>
            <w:pPr>
              <w:spacing w:after="20"/>
              <w:jc w:val="right"/>
            </w:pPr>
            <w:r>
              <w:rPr>
                <w:color w:val="1C3A36"/>
                <w:sz w:val="17"/>
              </w:rPr>
              <w:t>2.90</w:t>
            </w:r>
          </w:p>
        </w:tc>
        <w:tc>
          <w:tcPr>
            <w:tcW w:type="dxa" w:w="1238"/>
          </w:tcPr>
          <w:p>
            <w:pPr>
              <w:spacing w:after="20"/>
              <w:jc w:val="right"/>
            </w:pPr>
            <w:r>
              <w:rPr>
                <w:color w:val="1C3A36"/>
                <w:sz w:val="17"/>
              </w:rPr>
              <w:t>5.39</w:t>
            </w:r>
          </w:p>
        </w:tc>
        <w:tc>
          <w:tcPr>
            <w:tcW w:type="dxa" w:w="1238"/>
          </w:tcPr>
          <w:p>
            <w:pPr>
              <w:spacing w:after="20"/>
              <w:jc w:val="right"/>
            </w:pPr>
            <w:r>
              <w:rPr>
                <w:color w:val="1C3A36"/>
                <w:sz w:val="17"/>
              </w:rPr>
              <w:t>9.49</w:t>
            </w:r>
          </w:p>
        </w:tc>
        <w:tc>
          <w:tcPr>
            <w:tcW w:type="dxa" w:w="1238"/>
          </w:tcPr>
          <w:p>
            <w:pPr>
              <w:spacing w:after="20"/>
              <w:jc w:val="right"/>
            </w:pPr>
            <w:r>
              <w:rPr>
                <w:color w:val="1C3A36"/>
                <w:sz w:val="17"/>
              </w:rPr>
              <w:t>PRIMARY — this is the central</w:t>
            </w:r>
          </w:p>
        </w:tc>
        <w:tc>
          <w:tcPr>
            <w:tcW w:type="dxa" w:w="1642"/>
          </w:tcPr>
          <w:p>
            <w:pPr>
              <w:spacing w:after="20"/>
              <w:jc w:val="right"/>
            </w:pPr>
            <w:r>
              <w:rPr>
                <w:color w:val="1C3A36"/>
                <w:sz w:val="17"/>
              </w:rPr>
              <w:t>40%</w:t>
            </w:r>
          </w:p>
        </w:tc>
      </w:tr>
      <w:tr>
        <w:trPr>
          <w:cantSplit/>
        </w:trPr>
        <w:tc>
          <w:tcPr>
            <w:tcW w:type="dxa" w:w="3485"/>
          </w:tcPr>
          <w:p>
            <w:pPr>
              <w:spacing w:after="20"/>
            </w:pPr>
            <w:r>
              <w:rPr>
                <w:color w:val="1C3A36"/>
                <w:sz w:val="17"/>
              </w:rPr>
              <w:t>Relative multiples</w:t>
            </w:r>
          </w:p>
        </w:tc>
        <w:tc>
          <w:tcPr>
            <w:tcW w:type="dxa" w:w="1238"/>
          </w:tcPr>
          <w:p>
            <w:pPr>
              <w:spacing w:after="20"/>
              <w:jc w:val="right"/>
            </w:pPr>
            <w:r>
              <w:rPr>
                <w:color w:val="1C3A36"/>
                <w:sz w:val="17"/>
              </w:rPr>
              <w:t>9.63</w:t>
            </w:r>
          </w:p>
        </w:tc>
        <w:tc>
          <w:tcPr>
            <w:tcW w:type="dxa" w:w="1238"/>
          </w:tcPr>
          <w:p>
            <w:pPr>
              <w:spacing w:after="20"/>
              <w:jc w:val="right"/>
            </w:pPr>
            <w:r>
              <w:rPr>
                <w:color w:val="1C3A36"/>
                <w:sz w:val="17"/>
              </w:rPr>
              <w:t>12.21</w:t>
            </w:r>
          </w:p>
        </w:tc>
        <w:tc>
          <w:tcPr>
            <w:tcW w:type="dxa" w:w="1238"/>
          </w:tcPr>
          <w:p>
            <w:pPr>
              <w:spacing w:after="20"/>
              <w:jc w:val="right"/>
            </w:pPr>
            <w:r>
              <w:rPr>
                <w:color w:val="1C3A36"/>
                <w:sz w:val="17"/>
              </w:rPr>
              <w:t>14.63</w:t>
            </w:r>
          </w:p>
        </w:tc>
        <w:tc>
          <w:tcPr>
            <w:tcW w:type="dxa" w:w="1238"/>
          </w:tcPr>
          <w:p>
            <w:pPr>
              <w:spacing w:after="20"/>
              <w:jc w:val="right"/>
            </w:pPr>
            <w:r>
              <w:rPr>
                <w:color w:val="1C3A36"/>
                <w:sz w:val="17"/>
              </w:rPr>
              <w:t>cross-check</w:t>
            </w:r>
          </w:p>
        </w:tc>
        <w:tc>
          <w:tcPr>
            <w:tcW w:type="dxa" w:w="1642"/>
          </w:tcPr>
          <w:p>
            <w:pPr>
              <w:spacing w:after="20"/>
              <w:jc w:val="right"/>
            </w:pPr>
            <w:r>
              <w:rPr>
                <w:color w:val="1C3A36"/>
                <w:sz w:val="17"/>
              </w:rPr>
              <w:t>25%</w:t>
            </w:r>
          </w:p>
        </w:tc>
      </w:tr>
      <w:tr>
        <w:trPr>
          <w:cantSplit/>
        </w:trPr>
        <w:tc>
          <w:tcPr>
            <w:tcW w:type="dxa" w:w="3485"/>
          </w:tcPr>
          <w:p>
            <w:pPr>
              <w:spacing w:after="20"/>
            </w:pPr>
            <w:r>
              <w:rPr>
                <w:color w:val="1C3A36"/>
                <w:sz w:val="17"/>
              </w:rPr>
              <w:t>Normalised earnings power</w:t>
            </w:r>
          </w:p>
        </w:tc>
        <w:tc>
          <w:tcPr>
            <w:tcW w:type="dxa" w:w="1238"/>
          </w:tcPr>
          <w:p>
            <w:pPr>
              <w:spacing w:after="20"/>
              <w:jc w:val="right"/>
            </w:pPr>
            <w:r>
              <w:rPr>
                <w:color w:val="1C3A36"/>
                <w:sz w:val="17"/>
              </w:rPr>
              <w:t>9.21</w:t>
            </w:r>
          </w:p>
        </w:tc>
        <w:tc>
          <w:tcPr>
            <w:tcW w:type="dxa" w:w="1238"/>
          </w:tcPr>
          <w:p>
            <w:pPr>
              <w:spacing w:after="20"/>
              <w:jc w:val="right"/>
            </w:pPr>
            <w:r>
              <w:rPr>
                <w:color w:val="1C3A36"/>
                <w:sz w:val="17"/>
              </w:rPr>
              <w:t>11.07</w:t>
            </w:r>
          </w:p>
        </w:tc>
        <w:tc>
          <w:tcPr>
            <w:tcW w:type="dxa" w:w="1238"/>
          </w:tcPr>
          <w:p>
            <w:pPr>
              <w:spacing w:after="20"/>
              <w:jc w:val="right"/>
            </w:pPr>
            <w:r>
              <w:rPr>
                <w:color w:val="1C3A36"/>
                <w:sz w:val="17"/>
              </w:rPr>
              <w:t>14.03</w:t>
            </w:r>
          </w:p>
        </w:tc>
        <w:tc>
          <w:tcPr>
            <w:tcW w:type="dxa" w:w="1238"/>
          </w:tcPr>
          <w:p>
            <w:pPr>
              <w:spacing w:after="20"/>
              <w:jc w:val="right"/>
            </w:pPr>
            <w:r>
              <w:rPr>
                <w:color w:val="1C3A36"/>
                <w:sz w:val="17"/>
              </w:rPr>
              <w:t>RETIRED for this class</w:t>
            </w:r>
          </w:p>
        </w:tc>
        <w:tc>
          <w:tcPr>
            <w:tcW w:type="dxa" w:w="1642"/>
          </w:tcPr>
          <w:p>
            <w:pPr>
              <w:spacing w:after="20"/>
              <w:jc w:val="right"/>
            </w:pPr>
            <w:r>
              <w:rPr>
                <w:color w:val="1C3A36"/>
                <w:sz w:val="17"/>
              </w:rPr>
              <w:t>20%</w:t>
            </w:r>
          </w:p>
        </w:tc>
      </w:tr>
      <w:tr>
        <w:trPr>
          <w:cantSplit/>
        </w:trPr>
        <w:tc>
          <w:tcPr>
            <w:tcW w:type="dxa" w:w="3485"/>
          </w:tcPr>
          <w:p>
            <w:pPr>
              <w:spacing w:after="20"/>
            </w:pPr>
            <w:r>
              <w:rPr>
                <w:color w:val="1C3A36"/>
                <w:sz w:val="17"/>
              </w:rPr>
              <w:t>Book value and sustainable return</w:t>
            </w:r>
          </w:p>
        </w:tc>
        <w:tc>
          <w:tcPr>
            <w:tcW w:type="dxa" w:w="1238"/>
          </w:tcPr>
          <w:p>
            <w:pPr>
              <w:spacing w:after="20"/>
              <w:jc w:val="right"/>
            </w:pPr>
            <w:r>
              <w:rPr>
                <w:color w:val="1C3A36"/>
                <w:sz w:val="17"/>
              </w:rPr>
              <w:t>2.56</w:t>
            </w:r>
          </w:p>
        </w:tc>
        <w:tc>
          <w:tcPr>
            <w:tcW w:type="dxa" w:w="1238"/>
          </w:tcPr>
          <w:p>
            <w:pPr>
              <w:spacing w:after="20"/>
              <w:jc w:val="right"/>
            </w:pPr>
            <w:r>
              <w:rPr>
                <w:color w:val="1C3A36"/>
                <w:sz w:val="17"/>
              </w:rPr>
              <w:t>3.93</w:t>
            </w:r>
          </w:p>
        </w:tc>
        <w:tc>
          <w:tcPr>
            <w:tcW w:type="dxa" w:w="1238"/>
          </w:tcPr>
          <w:p>
            <w:pPr>
              <w:spacing w:after="20"/>
              <w:jc w:val="right"/>
            </w:pPr>
            <w:r>
              <w:rPr>
                <w:color w:val="1C3A36"/>
                <w:sz w:val="17"/>
              </w:rPr>
              <w:t>5.74</w:t>
            </w:r>
          </w:p>
        </w:tc>
        <w:tc>
          <w:tcPr>
            <w:tcW w:type="dxa" w:w="1238"/>
          </w:tcPr>
          <w:p>
            <w:pPr>
              <w:spacing w:after="20"/>
              <w:jc w:val="right"/>
            </w:pPr>
            <w:r>
              <w:rPr>
                <w:color w:val="1C3A36"/>
                <w:sz w:val="17"/>
              </w:rPr>
              <w:t>disclosed floor, never weighted</w:t>
            </w:r>
          </w:p>
        </w:tc>
        <w:tc>
          <w:tcPr>
            <w:tcW w:type="dxa" w:w="1642"/>
          </w:tcPr>
          <w:p>
            <w:pPr>
              <w:spacing w:after="20"/>
              <w:jc w:val="right"/>
            </w:pPr>
            <w:r>
              <w:rPr>
                <w:color w:val="1C3A36"/>
                <w:sz w:val="17"/>
              </w:rPr>
              <w:t>15%</w:t>
            </w:r>
          </w:p>
        </w:tc>
      </w:tr>
      <w:tr>
        <w:trPr>
          <w:cantSplit/>
        </w:trPr>
        <w:tc>
          <w:tcPr>
            <w:tcW w:type="dxa" w:w="3485"/>
            <w:shd w:val="clear" w:color="auto" w:fill="F6F1E6"/>
          </w:tcPr>
          <w:p>
            <w:pPr>
              <w:spacing w:after="20"/>
            </w:pPr>
            <w:r>
              <w:rPr>
                <w:b/>
                <w:color w:val="1C3A36"/>
                <w:sz w:val="17"/>
              </w:rPr>
              <w:t>Central — published index</w:t>
            </w:r>
          </w:p>
        </w:tc>
        <w:tc>
          <w:tcPr>
            <w:tcW w:type="dxa" w:w="1238"/>
            <w:shd w:val="clear" w:color="auto" w:fill="F6F1E6"/>
          </w:tcPr>
          <w:p>
            <w:pPr>
              <w:spacing w:after="20"/>
              <w:jc w:val="right"/>
            </w:pPr>
            <w:r>
              <w:rPr>
                <w:b/>
                <w:color w:val="1C3A36"/>
                <w:sz w:val="17"/>
              </w:rPr>
              <w:t>2.90</w:t>
            </w:r>
          </w:p>
        </w:tc>
        <w:tc>
          <w:tcPr>
            <w:tcW w:type="dxa" w:w="1238"/>
            <w:shd w:val="clear" w:color="auto" w:fill="F6F1E6"/>
          </w:tcPr>
          <w:p>
            <w:pPr>
              <w:spacing w:after="20"/>
              <w:jc w:val="right"/>
            </w:pPr>
            <w:r>
              <w:rPr>
                <w:b/>
                <w:color w:val="1C3A36"/>
                <w:sz w:val="17"/>
              </w:rPr>
              <w:t>5.39</w:t>
            </w:r>
          </w:p>
        </w:tc>
        <w:tc>
          <w:tcPr>
            <w:tcW w:type="dxa" w:w="1238"/>
            <w:shd w:val="clear" w:color="auto" w:fill="F6F1E6"/>
          </w:tcPr>
          <w:p>
            <w:pPr>
              <w:spacing w:after="20"/>
              <w:jc w:val="right"/>
            </w:pPr>
            <w:r>
              <w:rPr>
                <w:b/>
                <w:color w:val="1C3A36"/>
                <w:sz w:val="17"/>
              </w:rPr>
              <w:t>9.49</w:t>
            </w:r>
          </w:p>
        </w:tc>
        <w:tc>
          <w:tcPr>
            <w:tcW w:type="dxa" w:w="1238"/>
            <w:shd w:val="clear" w:color="auto" w:fill="F6F1E6"/>
          </w:tcPr>
          <w:p>
            <w:pPr>
              <w:spacing w:after="20"/>
              <w:jc w:val="right"/>
            </w:pPr>
            <w:r>
              <w:rPr>
                <w:b/>
                <w:color w:val="1C3A36"/>
                <w:sz w:val="17"/>
              </w:rPr>
              <w:t>the cash-flow lens, not a blend</w:t>
            </w:r>
          </w:p>
        </w:tc>
        <w:tc>
          <w:tcPr>
            <w:tcW w:type="dxa" w:w="1642"/>
            <w:shd w:val="clear" w:color="auto" w:fill="F6F1E6"/>
          </w:tcPr>
          <w:p>
            <w:pPr>
              <w:spacing w:after="20"/>
              <w:jc w:val="right"/>
            </w:pPr>
            <w:r>
              <w:rPr>
                <w:b/>
                <w:color w:val="1C3A36"/>
                <w:sz w:val="17"/>
              </w:rPr>
              <w:t>—</w:t>
            </w:r>
          </w:p>
        </w:tc>
      </w:tr>
      <w:tr>
        <w:trPr>
          <w:cantSplit/>
        </w:trPr>
        <w:tc>
          <w:tcPr>
            <w:tcW w:type="dxa" w:w="3485"/>
          </w:tcPr>
          <w:p>
            <w:pPr>
              <w:spacing w:after="20"/>
            </w:pPr>
            <w:r>
              <w:rPr>
                <w:color w:val="1C3A36"/>
                <w:sz w:val="17"/>
              </w:rPr>
              <w:t>Cash-flow model — equal-weight composite</w:t>
            </w:r>
          </w:p>
        </w:tc>
        <w:tc>
          <w:tcPr>
            <w:tcW w:type="dxa" w:w="1238"/>
          </w:tcPr>
          <w:p>
            <w:pPr>
              <w:spacing w:after="20"/>
              <w:jc w:val="right"/>
            </w:pPr>
            <w:r>
              <w:rPr>
                <w:color w:val="1C3A36"/>
                <w:sz w:val="17"/>
              </w:rPr>
              <w:t>not re-run</w:t>
            </w:r>
          </w:p>
        </w:tc>
        <w:tc>
          <w:tcPr>
            <w:tcW w:type="dxa" w:w="1238"/>
          </w:tcPr>
          <w:p>
            <w:pPr>
              <w:spacing w:after="20"/>
              <w:jc w:val="right"/>
            </w:pPr>
            <w:r>
              <w:rPr>
                <w:color w:val="1C3A36"/>
                <w:sz w:val="17"/>
              </w:rPr>
              <w:t>7.12</w:t>
            </w:r>
          </w:p>
        </w:tc>
        <w:tc>
          <w:tcPr>
            <w:tcW w:type="dxa" w:w="1238"/>
          </w:tcPr>
          <w:p>
            <w:pPr>
              <w:spacing w:after="20"/>
              <w:jc w:val="right"/>
            </w:pPr>
            <w:r>
              <w:rPr>
                <w:color w:val="1C3A36"/>
                <w:sz w:val="17"/>
              </w:rPr>
              <w:t>not re-run</w:t>
            </w:r>
          </w:p>
        </w:tc>
        <w:tc>
          <w:tcPr>
            <w:tcW w:type="dxa" w:w="1238"/>
          </w:tcPr>
          <w:p>
            <w:pPr>
              <w:spacing w:after="20"/>
              <w:jc w:val="right"/>
            </w:pPr>
            <w:r>
              <w:rPr>
                <w:color w:val="1C3A36"/>
                <w:sz w:val="17"/>
              </w:rPr>
              <w:t>the same lens on the other regressor</w:t>
            </w:r>
          </w:p>
        </w:tc>
        <w:tc>
          <w:tcPr>
            <w:tcW w:type="dxa" w:w="1642"/>
          </w:tcPr>
          <w:p>
            <w:pPr>
              <w:spacing w:after="20"/>
              <w:jc w:val="right"/>
            </w:pPr>
            <w:r>
              <w:rPr>
                <w:color w:val="1C3A36"/>
                <w:sz w:val="17"/>
              </w:rPr>
              <w:t>—</w:t>
            </w:r>
          </w:p>
        </w:tc>
      </w:tr>
      <w:tr>
        <w:trPr>
          <w:cantSplit/>
        </w:trPr>
        <w:tc>
          <w:tcPr>
            <w:tcW w:type="dxa" w:w="3485"/>
            <w:shd w:val="clear" w:color="auto" w:fill="F6F1E6"/>
          </w:tcPr>
          <w:p>
            <w:pPr>
              <w:spacing w:after="20"/>
            </w:pPr>
            <w:r>
              <w:rPr>
                <w:b/>
                <w:color w:val="1C3A36"/>
                <w:sz w:val="17"/>
              </w:rPr>
              <w:t>Central — equal-weight composite</w:t>
            </w:r>
          </w:p>
        </w:tc>
        <w:tc>
          <w:tcPr>
            <w:tcW w:type="dxa" w:w="1238"/>
            <w:shd w:val="clear" w:color="auto" w:fill="F6F1E6"/>
          </w:tcPr>
          <w:p>
            <w:pPr>
              <w:spacing w:after="20"/>
              <w:jc w:val="right"/>
            </w:pPr>
            <w:r>
              <w:rPr>
                <w:b/>
                <w:color w:val="1C3A36"/>
                <w:sz w:val="17"/>
              </w:rPr>
              <w:t>not re-run</w:t>
            </w:r>
          </w:p>
        </w:tc>
        <w:tc>
          <w:tcPr>
            <w:tcW w:type="dxa" w:w="1238"/>
            <w:shd w:val="clear" w:color="auto" w:fill="F6F1E6"/>
          </w:tcPr>
          <w:p>
            <w:pPr>
              <w:spacing w:after="20"/>
              <w:jc w:val="right"/>
            </w:pPr>
            <w:r>
              <w:rPr>
                <w:b/>
                <w:color w:val="1C3A36"/>
                <w:sz w:val="17"/>
              </w:rPr>
              <w:t>7.12</w:t>
            </w:r>
          </w:p>
        </w:tc>
        <w:tc>
          <w:tcPr>
            <w:tcW w:type="dxa" w:w="1238"/>
            <w:shd w:val="clear" w:color="auto" w:fill="F6F1E6"/>
          </w:tcPr>
          <w:p>
            <w:pPr>
              <w:spacing w:after="20"/>
              <w:jc w:val="right"/>
            </w:pPr>
            <w:r>
              <w:rPr>
                <w:b/>
                <w:color w:val="1C3A36"/>
                <w:sz w:val="17"/>
              </w:rPr>
              <w:t>not re-run</w:t>
            </w:r>
          </w:p>
        </w:tc>
        <w:tc>
          <w:tcPr>
            <w:tcW w:type="dxa" w:w="1238"/>
            <w:shd w:val="clear" w:color="auto" w:fill="F6F1E6"/>
          </w:tcPr>
          <w:p>
            <w:pPr>
              <w:spacing w:after="20"/>
              <w:jc w:val="right"/>
            </w:pPr>
            <w:r>
              <w:rPr>
                <w:b/>
                <w:color w:val="1C3A36"/>
                <w:sz w:val="17"/>
              </w:rPr>
              <w:t>the cash-flow lens, not a blend</w:t>
            </w:r>
          </w:p>
        </w:tc>
        <w:tc>
          <w:tcPr>
            <w:tcW w:type="dxa" w:w="1642"/>
            <w:shd w:val="clear" w:color="auto" w:fill="F6F1E6"/>
          </w:tcPr>
          <w:p>
            <w:pPr>
              <w:spacing w:after="20"/>
              <w:jc w:val="right"/>
            </w:pPr>
            <w:r>
              <w:rPr>
                <w:b/>
                <w:color w:val="1C3A36"/>
                <w:sz w:val="17"/>
              </w:rPr>
              <w:t>—</w:t>
            </w:r>
          </w:p>
        </w:tc>
      </w:tr>
      <w:tr>
        <w:trPr>
          <w:cantSplit/>
        </w:trPr>
        <w:tc>
          <w:tcPr>
            <w:tcW w:type="dxa" w:w="3485"/>
          </w:tcPr>
          <w:p>
            <w:pPr>
              <w:spacing w:after="20"/>
            </w:pPr>
            <w:r>
              <w:rPr>
                <w:color w:val="1C3A36"/>
                <w:sz w:val="17"/>
              </w:rPr>
              <w:t>MEMO — the retired blend at its typed weights</w:t>
            </w:r>
          </w:p>
        </w:tc>
        <w:tc>
          <w:tcPr>
            <w:tcW w:type="dxa" w:w="1238"/>
          </w:tcPr>
          <w:p>
            <w:pPr>
              <w:spacing w:after="20"/>
              <w:jc w:val="right"/>
            </w:pPr>
            <w:r>
              <w:rPr>
                <w:color w:val="1C3A36"/>
                <w:sz w:val="17"/>
              </w:rPr>
              <w:t>—</w:t>
            </w:r>
          </w:p>
        </w:tc>
        <w:tc>
          <w:tcPr>
            <w:tcW w:type="dxa" w:w="1238"/>
          </w:tcPr>
          <w:p>
            <w:pPr>
              <w:spacing w:after="20"/>
              <w:jc w:val="right"/>
            </w:pPr>
            <w:r>
              <w:rPr>
                <w:color w:val="1C3A36"/>
                <w:sz w:val="17"/>
              </w:rPr>
              <w:t>8.01</w:t>
            </w:r>
          </w:p>
        </w:tc>
        <w:tc>
          <w:tcPr>
            <w:tcW w:type="dxa" w:w="1238"/>
          </w:tcPr>
          <w:p>
            <w:pPr>
              <w:spacing w:after="20"/>
              <w:jc w:val="right"/>
            </w:pPr>
            <w:r>
              <w:rPr>
                <w:color w:val="1C3A36"/>
                <w:sz w:val="17"/>
              </w:rPr>
              <w:t>—</w:t>
            </w:r>
          </w:p>
        </w:tc>
        <w:tc>
          <w:tcPr>
            <w:tcW w:type="dxa" w:w="1238"/>
          </w:tcPr>
          <w:p>
            <w:pPr>
              <w:spacing w:after="20"/>
              <w:jc w:val="right"/>
            </w:pPr>
            <w:r>
              <w:rPr>
                <w:color w:val="1C3A36"/>
                <w:sz w:val="17"/>
              </w:rPr>
              <w:t>RETIRED: two of its four weights are forbidden outright</w:t>
            </w:r>
          </w:p>
        </w:tc>
        <w:tc>
          <w:tcPr>
            <w:tcW w:type="dxa" w:w="1642"/>
          </w:tcPr>
          <w:p>
            <w:pPr>
              <w:spacing w:after="20"/>
              <w:jc w:val="right"/>
            </w:pPr>
            <w:r>
              <w:rPr>
                <w:color w:val="1C3A36"/>
                <w:sz w:val="17"/>
              </w:rPr>
              <w:t>100%</w:t>
            </w:r>
          </w:p>
        </w:tc>
      </w:tr>
    </w:tbl>
    <w:p>
      <w:pPr>
        <w:spacing w:after="40"/>
      </w:pPr>
    </w:p>
    <w:p>
      <w:pPr>
        <w:spacing w:after="200" w:before="0"/>
      </w:pPr>
      <w:r>
        <w:rPr>
          <w:b w:val="0"/>
          <w:i/>
          <w:color w:val="6E7B77"/>
          <w:sz w:val="17"/>
        </w:rPr>
        <w:t>THE LAST COLUMN DOES NOT BUILD THE CENTRAL AND IS PRINTED SO THAT A READER CAN SEE WHAT WAS RETIRED. The central is the cash-flow lens on its own; the other three reads are cross-checks published beside it, and the memo row at the foot shows where the retired blend of those weights would have landed. Two of its four weights were forbidden outright rather than merely unevidenced — book value is a disclosed floor that is never weighted, and normalised earnings is not a lens for a fleet whose day rates are this cyclical. The two composite rows have no bear and bull of their own: only their base case was re-run on the composite beta, so the low and high cells are left empty rather than filled with the primary construction's bounds. An earlier edition filled them, which put a span around a base that sat near the top of it. One further thing a reader should know about the composite reading: at 0.690 it lies BELOW the lower bound of the adopted estimate's own 90% confidence interval of [0.586, 1.621]. It is carried at full size throughout this study because the difference between the two measurements is a fact about index construction that a reader is entitled to see — but it is a more aggressive statement about the discount rate than this study's own bull case, and that is now on its face rather than left to be worked out.</w:t>
      </w:r>
    </w:p>
    <w:p>
      <w:pPr>
        <w:spacing w:after="120" w:before="0"/>
      </w:pPr>
      <w:r>
        <w:rPr>
          <w:b w:val="0"/>
          <w:i w:val="0"/>
          <w:color w:val="1C3A36"/>
          <w:sz w:val="21"/>
        </w:rPr>
        <w:t>The four lenses do not agree and the disagreement is informative. The two that price earnings through a multiple — relative and normalised — land at AED 12.21 and AED 11.07, the furthest above the market of the four. The two that state a cost of equity rather than importing one land lower: the cash-flow model at AED 5.39, close to the screen, and the book lens at AED 3.93, well below it. That ordering is not a coincidence and it is the most useful thing this table says. The multiple-based lenses import a cost of capital rather than state one, and the comparators they import it from are a contracted shipowner and a pair of spot tanker owners, so they already embed an answer to the question the cash-flow model asks explicitly and answers with a measured beta of 1.103. Where the two families disagree, the disagreement is about the discount rate rather than about the cash flows.</w:t>
      </w:r>
    </w:p>
    <w:p>
      <w:pPr>
        <w:spacing w:after="120" w:before="0"/>
      </w:pPr>
      <w:r>
        <w:rPr>
          <w:b w:val="0"/>
          <w:i w:val="0"/>
          <w:color w:val="1C3A36"/>
          <w:sz w:val="21"/>
        </w:rPr>
        <w:t>There is a weakness in this weighting that a reader should be told about rather than left to find, and it is the largest single item still open against this study. The relative lens and the normalised lens are not independent of each other. They use the SAME three multiples — the contracted-fleet multiple, the spot multiple and the blend of them — and the same weighting between the enterprise and earnings readings. What differs between them is only the earnings denominator those multiples are applied to: the 2026E build in one, the five-year average of the same build in the other. Together they carry 45% of the central. So 45% of the headline rests on one method presented as two reads, and the four-lens field is narrower evidence than four bars make it look. The counterfactual is easy to state: dropping the normalised lens and redistributing its weight would move the central toward the cash-flow and asset lenses, which are the two that sit lower. This has not been changed, because both denominators are legitimate questions to ask and neither is redundant on its own terms — but the overlap is real, it is not neutral in direction, and it is disclosed here rather than absorbed.</w:t>
      </w:r>
    </w:p>
    <w:p>
      <w:pPr>
        <w:spacing w:after="120" w:before="0"/>
      </w:pPr>
      <w:r>
        <w:rPr>
          <w:b w:val="0"/>
          <w:i w:val="0"/>
          <w:color w:val="1C3A36"/>
          <w:sz w:val="21"/>
        </w:rPr>
        <w:t>Weighted together, the four centre at AED 5.39, 21% below the market price. Measuring the market as an equal-weight composite instead lifts that to AED 7.12, 5% above the market price. Neither figure supports a claim that this share is materially mispriced: on the adopted construction the centre of the evidence sits about 21% above the screen, which is narrower than the bear-to-bull width of any single lens in the table and narrower than the three-month price dispersion in section 3. The honest reading of the field is that the share is close to fairly priced, with the fleet's earning power in 2027 and beyond — not the discount rate — deciding which way it resolves.</w:t>
      </w:r>
    </w:p>
    <w:p>
      <w:pPr>
        <w:keepNext/>
        <w:spacing w:after="80" w:before="200"/>
      </w:pPr>
      <w:r>
        <w:rPr>
          <w:b/>
          <w:i w:val="0"/>
          <w:color w:val="1C3A36"/>
          <w:sz w:val="24"/>
        </w:rPr>
        <w:t>1.6  The drivers — every disclosed unit grown on its own driver</w:t>
      </w:r>
    </w:p>
    <w:p>
      <w:pPr>
        <w:spacing w:after="120" w:before="0"/>
      </w:pPr>
      <w:r>
        <w:rPr>
          <w:b w:val="0"/>
          <w:i w:val="0"/>
          <w:color w:val="1C3A36"/>
          <w:sz w:val="21"/>
        </w:rPr>
        <w:t>The company discloses seven operating units inside its three reported business units, with revenue, direct cost and earnings for each. The forecast is built at that level and summed; nothing is grown at the group line. Where a physical driver is disclosed it is used, and where it is not, the finest level the disclosure supports is used and the gap is stated.</w:t>
      </w:r>
    </w:p>
    <w:p>
      <w:pPr>
        <w:keepNext/>
        <w:spacing w:after="80" w:before="200"/>
      </w:pPr>
      <w:r>
        <w:rPr>
          <w:b/>
          <w:i w:val="0"/>
          <w:color w:val="1C3A36"/>
          <w:sz w:val="24"/>
        </w:rPr>
        <w:t>The seven disclosed units,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1728"/>
        <w:gridCol w:w="1094"/>
        <w:gridCol w:w="864"/>
        <w:gridCol w:w="1094"/>
        <w:gridCol w:w="864"/>
        <w:gridCol w:w="1094"/>
        <w:gridCol w:w="864"/>
      </w:tblGrid>
      <w:tr>
        <w:trPr>
          <w:cantSplit/>
          <w:tblHeader/>
        </w:trPr>
        <w:tc>
          <w:tcPr>
            <w:tcW w:type="dxa" w:w="2045"/>
            <w:shd w:val="clear" w:color="auto" w:fill="EAF0EE"/>
          </w:tcPr>
          <w:p>
            <w:pPr>
              <w:spacing w:after="20"/>
            </w:pPr>
            <w:r>
              <w:rPr>
                <w:b/>
                <w:color w:val="1C3A36"/>
                <w:sz w:val="15"/>
              </w:rPr>
              <w:t>Unit</w:t>
            </w:r>
          </w:p>
        </w:tc>
        <w:tc>
          <w:tcPr>
            <w:tcW w:type="dxa" w:w="1728"/>
            <w:shd w:val="clear" w:color="auto" w:fill="EAF0EE"/>
          </w:tcPr>
          <w:p>
            <w:pPr>
              <w:spacing w:after="20"/>
              <w:jc w:val="left"/>
            </w:pPr>
            <w:r>
              <w:rPr>
                <w:b/>
                <w:color w:val="1C3A36"/>
                <w:sz w:val="15"/>
              </w:rPr>
              <w:t>Business unit</w:t>
            </w:r>
          </w:p>
        </w:tc>
        <w:tc>
          <w:tcPr>
            <w:tcW w:type="dxa" w:w="1094"/>
            <w:shd w:val="clear" w:color="auto" w:fill="EAF0EE"/>
          </w:tcPr>
          <w:p>
            <w:pPr>
              <w:spacing w:after="20"/>
            </w:pPr>
            <w:r>
              <w:rPr>
                <w:b/>
                <w:color w:val="1C3A36"/>
                <w:sz w:val="15"/>
              </w:rPr>
              <w:t>FY2023 rev</w:t>
            </w:r>
          </w:p>
        </w:tc>
        <w:tc>
          <w:tcPr>
            <w:tcW w:type="dxa" w:w="864"/>
            <w:shd w:val="clear" w:color="auto" w:fill="EAF0EE"/>
          </w:tcPr>
          <w:p>
            <w:pPr>
              <w:spacing w:after="20"/>
            </w:pPr>
            <w:r>
              <w:rPr>
                <w:b/>
                <w:color w:val="1C3A36"/>
                <w:sz w:val="15"/>
              </w:rPr>
              <w:t>margin</w:t>
            </w:r>
          </w:p>
        </w:tc>
        <w:tc>
          <w:tcPr>
            <w:tcW w:type="dxa" w:w="1094"/>
            <w:shd w:val="clear" w:color="auto" w:fill="EAF0EE"/>
          </w:tcPr>
          <w:p>
            <w:pPr>
              <w:spacing w:after="20"/>
            </w:pPr>
            <w:r>
              <w:rPr>
                <w:b/>
                <w:color w:val="1C3A36"/>
                <w:sz w:val="15"/>
              </w:rPr>
              <w:t>FY2024 rev</w:t>
            </w:r>
          </w:p>
        </w:tc>
        <w:tc>
          <w:tcPr>
            <w:tcW w:type="dxa" w:w="864"/>
            <w:shd w:val="clear" w:color="auto" w:fill="EAF0EE"/>
          </w:tcPr>
          <w:p>
            <w:pPr>
              <w:spacing w:after="20"/>
            </w:pPr>
            <w:r>
              <w:rPr>
                <w:b/>
                <w:color w:val="1C3A36"/>
                <w:sz w:val="15"/>
              </w:rPr>
              <w:t>margin</w:t>
            </w:r>
          </w:p>
        </w:tc>
        <w:tc>
          <w:tcPr>
            <w:tcW w:type="dxa" w:w="1094"/>
            <w:shd w:val="clear" w:color="auto" w:fill="EAF0EE"/>
          </w:tcPr>
          <w:p>
            <w:pPr>
              <w:spacing w:after="20"/>
            </w:pPr>
            <w:r>
              <w:rPr>
                <w:b/>
                <w:color w:val="1C3A36"/>
                <w:sz w:val="15"/>
              </w:rPr>
              <w:t>FY2025 rev</w:t>
            </w:r>
          </w:p>
        </w:tc>
        <w:tc>
          <w:tcPr>
            <w:tcW w:type="dxa" w:w="864"/>
            <w:shd w:val="clear" w:color="auto" w:fill="EAF0EE"/>
          </w:tcPr>
          <w:p>
            <w:pPr>
              <w:spacing w:after="20"/>
            </w:pPr>
            <w:r>
              <w:rPr>
                <w:b/>
                <w:color w:val="1C3A36"/>
                <w:sz w:val="15"/>
              </w:rPr>
              <w:t>margin</w:t>
            </w:r>
          </w:p>
        </w:tc>
      </w:tr>
      <w:tr>
        <w:trPr>
          <w:cantSplit/>
        </w:trPr>
        <w:tc>
          <w:tcPr>
            <w:tcW w:type="dxa" w:w="2045"/>
          </w:tcPr>
          <w:p>
            <w:pPr>
              <w:spacing w:after="20"/>
            </w:pPr>
            <w:r>
              <w:rPr>
                <w:color w:val="1C3A36"/>
                <w:sz w:val="15"/>
              </w:rPr>
              <w:t>Offshore Contracting</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975</w:t>
            </w:r>
          </w:p>
        </w:tc>
        <w:tc>
          <w:tcPr>
            <w:tcW w:type="dxa" w:w="864"/>
          </w:tcPr>
          <w:p>
            <w:pPr>
              <w:spacing w:after="20"/>
              <w:jc w:val="right"/>
            </w:pPr>
            <w:r>
              <w:rPr>
                <w:color w:val="1C3A36"/>
                <w:sz w:val="15"/>
              </w:rPr>
              <w:t>44%</w:t>
            </w:r>
          </w:p>
        </w:tc>
        <w:tc>
          <w:tcPr>
            <w:tcW w:type="dxa" w:w="1094"/>
          </w:tcPr>
          <w:p>
            <w:pPr>
              <w:spacing w:after="20"/>
              <w:jc w:val="right"/>
            </w:pPr>
            <w:r>
              <w:rPr>
                <w:color w:val="1C3A36"/>
                <w:sz w:val="15"/>
              </w:rPr>
              <w:t>1,108</w:t>
            </w:r>
          </w:p>
        </w:tc>
        <w:tc>
          <w:tcPr>
            <w:tcW w:type="dxa" w:w="864"/>
          </w:tcPr>
          <w:p>
            <w:pPr>
              <w:spacing w:after="20"/>
              <w:jc w:val="right"/>
            </w:pPr>
            <w:r>
              <w:rPr>
                <w:color w:val="1C3A36"/>
                <w:sz w:val="15"/>
              </w:rPr>
              <w:t>45%</w:t>
            </w:r>
          </w:p>
        </w:tc>
        <w:tc>
          <w:tcPr>
            <w:tcW w:type="dxa" w:w="1094"/>
          </w:tcPr>
          <w:p>
            <w:pPr>
              <w:spacing w:after="20"/>
              <w:jc w:val="right"/>
            </w:pPr>
            <w:r>
              <w:rPr>
                <w:color w:val="1C3A36"/>
                <w:sz w:val="15"/>
              </w:rPr>
              <w:t>1,369</w:t>
            </w:r>
          </w:p>
        </w:tc>
        <w:tc>
          <w:tcPr>
            <w:tcW w:type="dxa" w:w="864"/>
          </w:tcPr>
          <w:p>
            <w:pPr>
              <w:spacing w:after="20"/>
              <w:jc w:val="right"/>
            </w:pPr>
            <w:r>
              <w:rPr>
                <w:color w:val="1C3A36"/>
                <w:sz w:val="15"/>
              </w:rPr>
              <w:t>46%</w:t>
            </w:r>
          </w:p>
        </w:tc>
      </w:tr>
      <w:tr>
        <w:trPr>
          <w:cantSplit/>
        </w:trPr>
        <w:tc>
          <w:tcPr>
            <w:tcW w:type="dxa" w:w="2045"/>
          </w:tcPr>
          <w:p>
            <w:pPr>
              <w:spacing w:after="20"/>
            </w:pPr>
            <w:r>
              <w:rPr>
                <w:color w:val="1C3A36"/>
                <w:sz w:val="15"/>
              </w:rPr>
              <w:t>Offshore Services</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501</w:t>
            </w:r>
          </w:p>
        </w:tc>
        <w:tc>
          <w:tcPr>
            <w:tcW w:type="dxa" w:w="864"/>
          </w:tcPr>
          <w:p>
            <w:pPr>
              <w:spacing w:after="20"/>
              <w:jc w:val="right"/>
            </w:pPr>
            <w:r>
              <w:rPr>
                <w:color w:val="1C3A36"/>
                <w:sz w:val="15"/>
              </w:rPr>
              <w:t>19%</w:t>
            </w:r>
          </w:p>
        </w:tc>
        <w:tc>
          <w:tcPr>
            <w:tcW w:type="dxa" w:w="1094"/>
          </w:tcPr>
          <w:p>
            <w:pPr>
              <w:spacing w:after="20"/>
              <w:jc w:val="right"/>
            </w:pPr>
            <w:r>
              <w:rPr>
                <w:color w:val="1C3A36"/>
                <w:sz w:val="15"/>
              </w:rPr>
              <w:t>553</w:t>
            </w:r>
          </w:p>
        </w:tc>
        <w:tc>
          <w:tcPr>
            <w:tcW w:type="dxa" w:w="864"/>
          </w:tcPr>
          <w:p>
            <w:pPr>
              <w:spacing w:after="20"/>
              <w:jc w:val="right"/>
            </w:pPr>
            <w:r>
              <w:rPr>
                <w:color w:val="1C3A36"/>
                <w:sz w:val="15"/>
              </w:rPr>
              <w:t>24%</w:t>
            </w:r>
          </w:p>
        </w:tc>
        <w:tc>
          <w:tcPr>
            <w:tcW w:type="dxa" w:w="1094"/>
          </w:tcPr>
          <w:p>
            <w:pPr>
              <w:spacing w:after="20"/>
              <w:jc w:val="right"/>
            </w:pPr>
            <w:r>
              <w:rPr>
                <w:color w:val="1C3A36"/>
                <w:sz w:val="15"/>
              </w:rPr>
              <w:t>629</w:t>
            </w:r>
          </w:p>
        </w:tc>
        <w:tc>
          <w:tcPr>
            <w:tcW w:type="dxa" w:w="864"/>
          </w:tcPr>
          <w:p>
            <w:pPr>
              <w:spacing w:after="20"/>
              <w:jc w:val="right"/>
            </w:pPr>
            <w:r>
              <w:rPr>
                <w:color w:val="1C3A36"/>
                <w:sz w:val="15"/>
              </w:rPr>
              <w:t>28%</w:t>
            </w:r>
          </w:p>
        </w:tc>
      </w:tr>
      <w:tr>
        <w:trPr>
          <w:cantSplit/>
        </w:trPr>
        <w:tc>
          <w:tcPr>
            <w:tcW w:type="dxa" w:w="2045"/>
          </w:tcPr>
          <w:p>
            <w:pPr>
              <w:spacing w:after="20"/>
            </w:pPr>
            <w:r>
              <w:rPr>
                <w:color w:val="1C3A36"/>
                <w:sz w:val="15"/>
              </w:rPr>
              <w:t>Offshore Projects</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157</w:t>
            </w:r>
          </w:p>
        </w:tc>
        <w:tc>
          <w:tcPr>
            <w:tcW w:type="dxa" w:w="864"/>
          </w:tcPr>
          <w:p>
            <w:pPr>
              <w:spacing w:after="20"/>
              <w:jc w:val="right"/>
            </w:pPr>
            <w:r>
              <w:rPr>
                <w:color w:val="1C3A36"/>
                <w:sz w:val="15"/>
              </w:rPr>
              <w:t>7%</w:t>
            </w:r>
          </w:p>
        </w:tc>
        <w:tc>
          <w:tcPr>
            <w:tcW w:type="dxa" w:w="1094"/>
          </w:tcPr>
          <w:p>
            <w:pPr>
              <w:spacing w:after="20"/>
              <w:jc w:val="right"/>
            </w:pPr>
            <w:r>
              <w:rPr>
                <w:color w:val="1C3A36"/>
                <w:sz w:val="15"/>
              </w:rPr>
              <w:t>620</w:t>
            </w:r>
          </w:p>
        </w:tc>
        <w:tc>
          <w:tcPr>
            <w:tcW w:type="dxa" w:w="864"/>
          </w:tcPr>
          <w:p>
            <w:pPr>
              <w:spacing w:after="20"/>
              <w:jc w:val="right"/>
            </w:pPr>
            <w:r>
              <w:rPr>
                <w:color w:val="1C3A36"/>
                <w:sz w:val="15"/>
              </w:rPr>
              <w:t>9%</w:t>
            </w:r>
          </w:p>
        </w:tc>
        <w:tc>
          <w:tcPr>
            <w:tcW w:type="dxa" w:w="1094"/>
          </w:tcPr>
          <w:p>
            <w:pPr>
              <w:spacing w:after="20"/>
              <w:jc w:val="right"/>
            </w:pPr>
            <w:r>
              <w:rPr>
                <w:color w:val="1C3A36"/>
                <w:sz w:val="15"/>
              </w:rPr>
              <w:t>531</w:t>
            </w:r>
          </w:p>
        </w:tc>
        <w:tc>
          <w:tcPr>
            <w:tcW w:type="dxa" w:w="864"/>
          </w:tcPr>
          <w:p>
            <w:pPr>
              <w:spacing w:after="20"/>
              <w:jc w:val="right"/>
            </w:pPr>
            <w:r>
              <w:rPr>
                <w:color w:val="1C3A36"/>
                <w:sz w:val="15"/>
              </w:rPr>
              <w:t>5%</w:t>
            </w:r>
          </w:p>
        </w:tc>
      </w:tr>
      <w:tr>
        <w:trPr>
          <w:cantSplit/>
        </w:trPr>
        <w:tc>
          <w:tcPr>
            <w:tcW w:type="dxa" w:w="2045"/>
          </w:tcPr>
          <w:p>
            <w:pPr>
              <w:spacing w:after="20"/>
            </w:pPr>
            <w:r>
              <w:rPr>
                <w:color w:val="1C3A36"/>
                <w:sz w:val="15"/>
              </w:rPr>
              <w:t>Tankers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407</w:t>
            </w:r>
          </w:p>
        </w:tc>
        <w:tc>
          <w:tcPr>
            <w:tcW w:type="dxa" w:w="864"/>
          </w:tcPr>
          <w:p>
            <w:pPr>
              <w:spacing w:after="20"/>
              <w:jc w:val="right"/>
            </w:pPr>
            <w:r>
              <w:rPr>
                <w:color w:val="1C3A36"/>
                <w:sz w:val="15"/>
              </w:rPr>
              <w:t>39%</w:t>
            </w:r>
          </w:p>
        </w:tc>
        <w:tc>
          <w:tcPr>
            <w:tcW w:type="dxa" w:w="1094"/>
          </w:tcPr>
          <w:p>
            <w:pPr>
              <w:spacing w:after="20"/>
              <w:jc w:val="right"/>
            </w:pPr>
            <w:r>
              <w:rPr>
                <w:color w:val="1C3A36"/>
                <w:sz w:val="15"/>
              </w:rPr>
              <w:t>517</w:t>
            </w:r>
          </w:p>
        </w:tc>
        <w:tc>
          <w:tcPr>
            <w:tcW w:type="dxa" w:w="864"/>
          </w:tcPr>
          <w:p>
            <w:pPr>
              <w:spacing w:after="20"/>
              <w:jc w:val="right"/>
            </w:pPr>
            <w:r>
              <w:rPr>
                <w:color w:val="1C3A36"/>
                <w:sz w:val="15"/>
              </w:rPr>
              <w:t>46%</w:t>
            </w:r>
          </w:p>
        </w:tc>
        <w:tc>
          <w:tcPr>
            <w:tcW w:type="dxa" w:w="1094"/>
          </w:tcPr>
          <w:p>
            <w:pPr>
              <w:spacing w:after="20"/>
              <w:jc w:val="right"/>
            </w:pPr>
            <w:r>
              <w:rPr>
                <w:color w:val="1C3A36"/>
                <w:sz w:val="15"/>
              </w:rPr>
              <w:t>1,720</w:t>
            </w:r>
          </w:p>
        </w:tc>
        <w:tc>
          <w:tcPr>
            <w:tcW w:type="dxa" w:w="864"/>
          </w:tcPr>
          <w:p>
            <w:pPr>
              <w:spacing w:after="20"/>
              <w:jc w:val="right"/>
            </w:pPr>
            <w:r>
              <w:rPr>
                <w:color w:val="1C3A36"/>
                <w:sz w:val="15"/>
              </w:rPr>
              <w:t>26%</w:t>
            </w:r>
          </w:p>
        </w:tc>
      </w:tr>
      <w:tr>
        <w:trPr>
          <w:cantSplit/>
        </w:trPr>
        <w:tc>
          <w:tcPr>
            <w:tcW w:type="dxa" w:w="2045"/>
          </w:tcPr>
          <w:p>
            <w:pPr>
              <w:spacing w:after="20"/>
            </w:pPr>
            <w:r>
              <w:rPr>
                <w:color w:val="1C3A36"/>
                <w:sz w:val="15"/>
              </w:rPr>
              <w:t>Gas Carriers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174</w:t>
            </w:r>
          </w:p>
        </w:tc>
        <w:tc>
          <w:tcPr>
            <w:tcW w:type="dxa" w:w="864"/>
          </w:tcPr>
          <w:p>
            <w:pPr>
              <w:spacing w:after="20"/>
              <w:jc w:val="right"/>
            </w:pPr>
            <w:r>
              <w:rPr>
                <w:color w:val="1C3A36"/>
                <w:sz w:val="15"/>
              </w:rPr>
              <w:t>58%</w:t>
            </w:r>
          </w:p>
        </w:tc>
        <w:tc>
          <w:tcPr>
            <w:tcW w:type="dxa" w:w="1094"/>
          </w:tcPr>
          <w:p>
            <w:pPr>
              <w:spacing w:after="20"/>
              <w:jc w:val="right"/>
            </w:pPr>
            <w:r>
              <w:rPr>
                <w:color w:val="1C3A36"/>
                <w:sz w:val="15"/>
              </w:rPr>
              <w:t>153</w:t>
            </w:r>
          </w:p>
        </w:tc>
        <w:tc>
          <w:tcPr>
            <w:tcW w:type="dxa" w:w="864"/>
          </w:tcPr>
          <w:p>
            <w:pPr>
              <w:spacing w:after="20"/>
              <w:jc w:val="right"/>
            </w:pPr>
            <w:r>
              <w:rPr>
                <w:color w:val="1C3A36"/>
                <w:sz w:val="15"/>
              </w:rPr>
              <w:t>57%</w:t>
            </w:r>
          </w:p>
        </w:tc>
        <w:tc>
          <w:tcPr>
            <w:tcW w:type="dxa" w:w="1094"/>
          </w:tcPr>
          <w:p>
            <w:pPr>
              <w:spacing w:after="20"/>
              <w:jc w:val="right"/>
            </w:pPr>
            <w:r>
              <w:rPr>
                <w:color w:val="1C3A36"/>
                <w:sz w:val="15"/>
              </w:rPr>
              <w:t>180</w:t>
            </w:r>
          </w:p>
        </w:tc>
        <w:tc>
          <w:tcPr>
            <w:tcW w:type="dxa" w:w="864"/>
          </w:tcPr>
          <w:p>
            <w:pPr>
              <w:spacing w:after="20"/>
              <w:jc w:val="right"/>
            </w:pPr>
            <w:r>
              <w:rPr>
                <w:color w:val="1C3A36"/>
                <w:sz w:val="15"/>
              </w:rPr>
              <w:t>72%</w:t>
            </w:r>
          </w:p>
        </w:tc>
      </w:tr>
      <w:tr>
        <w:trPr>
          <w:cantSplit/>
        </w:trPr>
        <w:tc>
          <w:tcPr>
            <w:tcW w:type="dxa" w:w="2045"/>
          </w:tcPr>
          <w:p>
            <w:pPr>
              <w:spacing w:after="20"/>
            </w:pPr>
            <w:r>
              <w:rPr>
                <w:color w:val="1C3A36"/>
                <w:sz w:val="15"/>
              </w:rPr>
              <w:t>Dry-Bulk and Containers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258</w:t>
            </w:r>
          </w:p>
        </w:tc>
        <w:tc>
          <w:tcPr>
            <w:tcW w:type="dxa" w:w="864"/>
          </w:tcPr>
          <w:p>
            <w:pPr>
              <w:spacing w:after="20"/>
              <w:jc w:val="right"/>
            </w:pPr>
            <w:r>
              <w:rPr>
                <w:color w:val="1C3A36"/>
                <w:sz w:val="15"/>
              </w:rPr>
              <w:t>23%</w:t>
            </w:r>
          </w:p>
        </w:tc>
        <w:tc>
          <w:tcPr>
            <w:tcW w:type="dxa" w:w="1094"/>
          </w:tcPr>
          <w:p>
            <w:pPr>
              <w:spacing w:after="20"/>
              <w:jc w:val="right"/>
            </w:pPr>
            <w:r>
              <w:rPr>
                <w:color w:val="1C3A36"/>
                <w:sz w:val="15"/>
              </w:rPr>
              <w:t>287</w:t>
            </w:r>
          </w:p>
        </w:tc>
        <w:tc>
          <w:tcPr>
            <w:tcW w:type="dxa" w:w="864"/>
          </w:tcPr>
          <w:p>
            <w:pPr>
              <w:spacing w:after="20"/>
              <w:jc w:val="right"/>
            </w:pPr>
            <w:r>
              <w:rPr>
                <w:color w:val="1C3A36"/>
                <w:sz w:val="15"/>
              </w:rPr>
              <w:t>24%</w:t>
            </w:r>
          </w:p>
        </w:tc>
        <w:tc>
          <w:tcPr>
            <w:tcW w:type="dxa" w:w="1094"/>
          </w:tcPr>
          <w:p>
            <w:pPr>
              <w:spacing w:after="20"/>
              <w:jc w:val="right"/>
            </w:pPr>
            <w:r>
              <w:rPr>
                <w:color w:val="1C3A36"/>
                <w:sz w:val="15"/>
              </w:rPr>
              <w:t>225</w:t>
            </w:r>
          </w:p>
        </w:tc>
        <w:tc>
          <w:tcPr>
            <w:tcW w:type="dxa" w:w="864"/>
          </w:tcPr>
          <w:p>
            <w:pPr>
              <w:spacing w:after="20"/>
              <w:jc w:val="right"/>
            </w:pPr>
            <w:r>
              <w:rPr>
                <w:color w:val="1C3A36"/>
                <w:sz w:val="15"/>
              </w:rPr>
              <w:t>17%</w:t>
            </w:r>
          </w:p>
        </w:tc>
      </w:tr>
      <w:tr>
        <w:trPr>
          <w:cantSplit/>
        </w:trPr>
        <w:tc>
          <w:tcPr>
            <w:tcW w:type="dxa" w:w="2045"/>
          </w:tcPr>
          <w:p>
            <w:pPr>
              <w:spacing w:after="20"/>
            </w:pPr>
            <w:r>
              <w:rPr>
                <w:color w:val="1C3A36"/>
                <w:sz w:val="15"/>
              </w:rPr>
              <w:t>Services</w:t>
            </w:r>
          </w:p>
        </w:tc>
        <w:tc>
          <w:tcPr>
            <w:tcW w:type="dxa" w:w="1728"/>
          </w:tcPr>
          <w:p>
            <w:pPr>
              <w:spacing w:after="20"/>
              <w:jc w:val="left"/>
            </w:pPr>
            <w:r>
              <w:rPr>
                <w:color w:val="1C3A36"/>
                <w:sz w:val="15"/>
              </w:rPr>
              <w:t>Services</w:t>
            </w:r>
          </w:p>
        </w:tc>
        <w:tc>
          <w:tcPr>
            <w:tcW w:type="dxa" w:w="1094"/>
          </w:tcPr>
          <w:p>
            <w:pPr>
              <w:spacing w:after="20"/>
              <w:jc w:val="right"/>
            </w:pPr>
            <w:r>
              <w:rPr>
                <w:color w:val="1C3A36"/>
                <w:sz w:val="15"/>
              </w:rPr>
              <w:t>284</w:t>
            </w:r>
          </w:p>
        </w:tc>
        <w:tc>
          <w:tcPr>
            <w:tcW w:type="dxa" w:w="864"/>
          </w:tcPr>
          <w:p>
            <w:pPr>
              <w:spacing w:after="20"/>
              <w:jc w:val="right"/>
            </w:pPr>
            <w:r>
              <w:rPr>
                <w:color w:val="1C3A36"/>
                <w:sz w:val="15"/>
              </w:rPr>
              <w:t>16%</w:t>
            </w:r>
          </w:p>
        </w:tc>
        <w:tc>
          <w:tcPr>
            <w:tcW w:type="dxa" w:w="1094"/>
          </w:tcPr>
          <w:p>
            <w:pPr>
              <w:spacing w:after="20"/>
              <w:jc w:val="right"/>
            </w:pPr>
            <w:r>
              <w:rPr>
                <w:color w:val="1C3A36"/>
                <w:sz w:val="15"/>
              </w:rPr>
              <w:t>312</w:t>
            </w:r>
          </w:p>
        </w:tc>
        <w:tc>
          <w:tcPr>
            <w:tcW w:type="dxa" w:w="864"/>
          </w:tcPr>
          <w:p>
            <w:pPr>
              <w:spacing w:after="20"/>
              <w:jc w:val="right"/>
            </w:pPr>
            <w:r>
              <w:rPr>
                <w:color w:val="1C3A36"/>
                <w:sz w:val="15"/>
              </w:rPr>
              <w:t>18%</w:t>
            </w:r>
          </w:p>
        </w:tc>
        <w:tc>
          <w:tcPr>
            <w:tcW w:type="dxa" w:w="1094"/>
          </w:tcPr>
          <w:p>
            <w:pPr>
              <w:spacing w:after="20"/>
              <w:jc w:val="right"/>
            </w:pPr>
            <w:r>
              <w:rPr>
                <w:color w:val="1C3A36"/>
                <w:sz w:val="15"/>
              </w:rPr>
              <w:t>362</w:t>
            </w:r>
          </w:p>
        </w:tc>
        <w:tc>
          <w:tcPr>
            <w:tcW w:type="dxa" w:w="864"/>
          </w:tcPr>
          <w:p>
            <w:pPr>
              <w:spacing w:after="20"/>
              <w:jc w:val="right"/>
            </w:pPr>
            <w:r>
              <w:rPr>
                <w:color w:val="1C3A36"/>
                <w:sz w:val="15"/>
              </w:rPr>
              <w:t>17%</w:t>
            </w:r>
          </w:p>
        </w:tc>
      </w:tr>
      <w:tr>
        <w:trPr>
          <w:cantSplit/>
        </w:trPr>
        <w:tc>
          <w:tcPr>
            <w:tcW w:type="dxa" w:w="2045"/>
            <w:shd w:val="clear" w:color="auto" w:fill="F6F1E6"/>
          </w:tcPr>
          <w:p>
            <w:pPr>
              <w:spacing w:after="20"/>
            </w:pPr>
            <w:r>
              <w:rPr>
                <w:b/>
                <w:color w:val="1C3A36"/>
                <w:sz w:val="15"/>
              </w:rPr>
              <w:t>Group</w:t>
            </w:r>
          </w:p>
        </w:tc>
        <w:tc>
          <w:tcPr>
            <w:tcW w:type="dxa" w:w="1728"/>
            <w:shd w:val="clear" w:color="auto" w:fill="F6F1E6"/>
          </w:tcPr>
          <w:p>
            <w:pPr>
              <w:spacing w:after="20"/>
              <w:jc w:val="left"/>
            </w:pPr>
            <w:r>
              <w:rPr>
                <w:b/>
                <w:color w:val="1C3A36"/>
                <w:sz w:val="15"/>
              </w:rPr>
            </w:r>
          </w:p>
        </w:tc>
        <w:tc>
          <w:tcPr>
            <w:tcW w:type="dxa" w:w="1094"/>
            <w:shd w:val="clear" w:color="auto" w:fill="F6F1E6"/>
          </w:tcPr>
          <w:p>
            <w:pPr>
              <w:spacing w:after="20"/>
              <w:jc w:val="right"/>
            </w:pPr>
            <w:r>
              <w:rPr>
                <w:b/>
                <w:color w:val="1C3A36"/>
                <w:sz w:val="15"/>
              </w:rPr>
              <w:t>2,755</w:t>
            </w:r>
          </w:p>
        </w:tc>
        <w:tc>
          <w:tcPr>
            <w:tcW w:type="dxa" w:w="864"/>
            <w:shd w:val="clear" w:color="auto" w:fill="F6F1E6"/>
          </w:tcPr>
          <w:p>
            <w:pPr>
              <w:spacing w:after="20"/>
              <w:jc w:val="right"/>
            </w:pPr>
            <w:r>
              <w:rPr>
                <w:b/>
                <w:color w:val="1C3A36"/>
                <w:sz w:val="15"/>
              </w:rPr>
              <w:t>31%</w:t>
            </w:r>
          </w:p>
        </w:tc>
        <w:tc>
          <w:tcPr>
            <w:tcW w:type="dxa" w:w="1094"/>
            <w:shd w:val="clear" w:color="auto" w:fill="F6F1E6"/>
          </w:tcPr>
          <w:p>
            <w:pPr>
              <w:spacing w:after="20"/>
              <w:jc w:val="right"/>
            </w:pPr>
            <w:r>
              <w:rPr>
                <w:b/>
                <w:color w:val="1C3A36"/>
                <w:sz w:val="15"/>
              </w:rPr>
              <w:t>3,549</w:t>
            </w:r>
          </w:p>
        </w:tc>
        <w:tc>
          <w:tcPr>
            <w:tcW w:type="dxa" w:w="864"/>
            <w:shd w:val="clear" w:color="auto" w:fill="F6F1E6"/>
          </w:tcPr>
          <w:p>
            <w:pPr>
              <w:spacing w:after="20"/>
              <w:jc w:val="right"/>
            </w:pPr>
            <w:r>
              <w:rPr>
                <w:b/>
                <w:color w:val="1C3A36"/>
                <w:sz w:val="15"/>
              </w:rPr>
              <w:t>32%</w:t>
            </w:r>
          </w:p>
        </w:tc>
        <w:tc>
          <w:tcPr>
            <w:tcW w:type="dxa" w:w="1094"/>
            <w:shd w:val="clear" w:color="auto" w:fill="F6F1E6"/>
          </w:tcPr>
          <w:p>
            <w:pPr>
              <w:spacing w:after="20"/>
              <w:jc w:val="right"/>
            </w:pPr>
            <w:r>
              <w:rPr>
                <w:b/>
                <w:color w:val="1C3A36"/>
                <w:sz w:val="15"/>
              </w:rPr>
              <w:t>5,016</w:t>
            </w:r>
          </w:p>
        </w:tc>
        <w:tc>
          <w:tcPr>
            <w:tcW w:type="dxa" w:w="864"/>
            <w:shd w:val="clear" w:color="auto" w:fill="F6F1E6"/>
          </w:tcPr>
          <w:p>
            <w:pPr>
              <w:spacing w:after="20"/>
              <w:jc w:val="right"/>
            </w:pPr>
            <w:r>
              <w:rPr>
                <w:b/>
                <w:color w:val="1C3A36"/>
                <w:sz w:val="15"/>
              </w:rPr>
              <w:t>29%</w:t>
            </w:r>
          </w:p>
        </w:tc>
      </w:tr>
    </w:tbl>
    <w:p>
      <w:pPr>
        <w:spacing w:after="40"/>
      </w:pPr>
    </w:p>
    <w:p>
      <w:pPr>
        <w:spacing w:after="200" w:before="0"/>
      </w:pPr>
      <w:r>
        <w:rPr>
          <w:b w:val="0"/>
          <w:i/>
          <w:color w:val="6E7B77"/>
          <w:sz w:val="17"/>
        </w:rPr>
        <w:t>Revenue in USD million; margin is that unit's own earnings before interest, tax, depreciation and amortisation over its own revenue, all taken from the operating segments note. The Tankers line tells most of the story of the last three years: revenue more than tripled from FY2024 to FY2025 as the acquired fleet consolidated, while the margin fell from 46% to 26% because much of that revenue is low-margin chartered-in and relet trading that grosses up the revenue line without adding to earnings.</w:t>
      </w:r>
    </w:p>
    <w:p>
      <w:pPr>
        <w:keepNext/>
        <w:spacing w:after="80" w:before="200"/>
      </w:pPr>
      <w:r>
        <w:rPr>
          <w:b/>
          <w:i w:val="0"/>
          <w:color w:val="1C3A36"/>
          <w:sz w:val="24"/>
        </w:rPr>
        <w:t>How each unit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7992"/>
      </w:tblGrid>
      <w:tr>
        <w:trPr>
          <w:cantSplit/>
          <w:tblHeader/>
        </w:trPr>
        <w:tc>
          <w:tcPr>
            <w:tcW w:type="dxa" w:w="2088"/>
            <w:shd w:val="clear" w:color="auto" w:fill="EAF0EE"/>
          </w:tcPr>
          <w:p>
            <w:pPr>
              <w:spacing w:after="20"/>
            </w:pPr>
            <w:r>
              <w:rPr>
                <w:b/>
                <w:color w:val="1C3A36"/>
                <w:sz w:val="16"/>
              </w:rPr>
              <w:t>Unit</w:t>
            </w:r>
          </w:p>
        </w:tc>
        <w:tc>
          <w:tcPr>
            <w:tcW w:type="dxa" w:w="7992"/>
            <w:shd w:val="clear" w:color="auto" w:fill="EAF0EE"/>
          </w:tcPr>
          <w:p>
            <w:pPr>
              <w:spacing w:after="20"/>
            </w:pPr>
            <w:r>
              <w:rPr>
                <w:b/>
                <w:color w:val="1C3A36"/>
                <w:sz w:val="16"/>
              </w:rPr>
              <w:t>Driver</w:t>
            </w:r>
          </w:p>
        </w:tc>
      </w:tr>
      <w:tr>
        <w:trPr>
          <w:cantSplit/>
        </w:trPr>
        <w:tc>
          <w:tcPr>
            <w:tcW w:type="dxa" w:w="2088"/>
          </w:tcPr>
          <w:p>
            <w:pPr>
              <w:spacing w:after="20"/>
            </w:pPr>
            <w:r>
              <w:rPr>
                <w:color w:val="1C3A36"/>
                <w:sz w:val="16"/>
              </w:rPr>
              <w:t>Tankers</w:t>
            </w:r>
          </w:p>
        </w:tc>
        <w:tc>
          <w:tcPr>
            <w:tcW w:type="dxa" w:w="7992"/>
          </w:tcPr>
          <w:p>
            <w:pPr>
              <w:spacing w:after="20"/>
            </w:pPr>
            <w:r>
              <w:rPr>
                <w:color w:val="1C3A36"/>
                <w:sz w:val="16"/>
              </w:rPr>
              <w:t>Literally vessel by vessel, on the company's own charter table. 52 owned tankers in five size classes at the valuation date, of which 11 sit on charters out at disclosed fixed rates running to dates between 2026 and 2028; each of those earns its own rate for exactly the days its own contract covers, and no other. The remaining 41 earn the open-market rate, which is not assumed but solved out of the company's own published class average by removing the chartered vessels from it — section 1.7 shows the arithmetic. 2026 is the six months the company has REPORTED plus a second half built at the rates it has published for it: the third quarter to 11 August on the share of vessel days already contracted, with the balance at the mid-cycle rate, and a fourth quarter stepped halfway back from there. From 2027E the market rate glides over four years to that mid-cycle anchor, the average of the FY2024 and FY2025 outcomes. The 6 very large crude carriers bought on 7 Aug 2026 join the fleet on their announced delivery date and trade at that same market rate from it, so they earn part of 2026E and all of every year after. The smallest class is not broken out in any published rate table, so it is carried at the medium-range rate scaled by 0.79× — the relative move the company itself disclosed for it, not a substitution. The cost side is a STACK rather than one solved number: a fixed base of USD 530 million a year, escalated 2% a year on wages and technical management — a services escalator, not a commodity index — and a variable component of 1.05× for every dollar the owned fleet earns on a charter-equivalent basis, which is the voyage cost, the charter-in hire and the cost of the relet book. BOTH ARE SOLVED FROM TWO DISCLOSED PERIODS TOGETHER — the audited FY2025 year and the reviewed six months to 30 June 2026 — and the reviewed six months to 30 June 2025 are HELD OUT: the stack reproduces that period's earnings to within 10.7%, understating them. A single running cost solved on one year cannot reproduce this business: at the published rates the owned fleet's charter-equivalent revenue in the reviewed half was USD 806 million and the unit reported earnings of USD 994 million, MORE than the ships it owns can earn before any cost at all, because it also trades chartered-in tonnage and serves the parent group</w:t>
            </w:r>
          </w:p>
        </w:tc>
      </w:tr>
      <w:tr>
        <w:trPr>
          <w:cantSplit/>
        </w:trPr>
        <w:tc>
          <w:tcPr>
            <w:tcW w:type="dxa" w:w="2088"/>
          </w:tcPr>
          <w:p>
            <w:pPr>
              <w:spacing w:after="20"/>
            </w:pPr>
            <w:r>
              <w:rPr>
                <w:color w:val="1C3A36"/>
                <w:sz w:val="16"/>
              </w:rPr>
              <w:t>Gas Carriers</w:t>
            </w:r>
          </w:p>
        </w:tc>
        <w:tc>
          <w:tcPr>
            <w:tcW w:type="dxa" w:w="7992"/>
          </w:tcPr>
          <w:p>
            <w:pPr>
              <w:spacing w:after="20"/>
            </w:pPr>
            <w:r>
              <w:rPr>
                <w:color w:val="1C3A36"/>
                <w:sz w:val="16"/>
              </w:rPr>
              <w:t>Contracted vessel-years × day rate. The company's own contract table gives 12.0 consolidated vessel-years in 2026 rising to 30.0 by 2029 as the ethane and Ruwais carriers enter service. Per-vessel rates are not disclosed, so the day rate of USD 61,573 is solved from reported FY2025 revenue over vessel-years — the finest level the disclosure supports, and flagged as solved rather than sourced. Margin held near the FY2025 outcome NET of the joint-venture profit, since the disclosed earnings of this unit include USD 21 million of the group's share of the gas-carrier joint venture and that is added separately at book value in the bridge. 15 of 20 owned vessels sit on long-term contracts</w:t>
            </w:r>
          </w:p>
        </w:tc>
      </w:tr>
      <w:tr>
        <w:trPr>
          <w:cantSplit/>
        </w:trPr>
        <w:tc>
          <w:tcPr>
            <w:tcW w:type="dxa" w:w="2088"/>
          </w:tcPr>
          <w:p>
            <w:pPr>
              <w:spacing w:after="20"/>
            </w:pPr>
            <w:r>
              <w:rPr>
                <w:color w:val="1C3A36"/>
                <w:sz w:val="16"/>
              </w:rPr>
              <w:t>Offshore Contracting</w:t>
            </w:r>
          </w:p>
        </w:tc>
        <w:tc>
          <w:tcPr>
            <w:tcW w:type="dxa" w:w="7992"/>
          </w:tcPr>
          <w:p>
            <w:pPr>
              <w:spacing w:after="20"/>
            </w:pPr>
            <w:r>
              <w:rPr>
                <w:color w:val="1C3A36"/>
                <w:sz w:val="16"/>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trPr>
        <w:tc>
          <w:tcPr>
            <w:tcW w:type="dxa" w:w="2088"/>
          </w:tcPr>
          <w:p>
            <w:pPr>
              <w:spacing w:after="20"/>
            </w:pPr>
            <w:r>
              <w:rPr>
                <w:color w:val="1C3A36"/>
                <w:sz w:val="16"/>
              </w:rPr>
              <w:t>Offshore Services</w:t>
            </w:r>
          </w:p>
        </w:tc>
        <w:tc>
          <w:tcPr>
            <w:tcW w:type="dxa" w:w="7992"/>
          </w:tcPr>
          <w:p>
            <w:pPr>
              <w:spacing w:after="20"/>
            </w:pPr>
            <w:r>
              <w:rPr>
                <w:color w:val="1C3A36"/>
                <w:sz w:val="16"/>
              </w:rPr>
              <w:t>The reviewed half as reported plus a second half at the same revenue and the same margin, then 5% a year on the support-vessel fleet growth already under way. The margin is the half's own.</w:t>
            </w:r>
          </w:p>
        </w:tc>
      </w:tr>
      <w:tr>
        <w:trPr>
          <w:cantSplit/>
        </w:trPr>
        <w:tc>
          <w:tcPr>
            <w:tcW w:type="dxa" w:w="2088"/>
          </w:tcPr>
          <w:p>
            <w:pPr>
              <w:spacing w:after="20"/>
            </w:pPr>
            <w:r>
              <w:rPr>
                <w:color w:val="1C3A36"/>
                <w:sz w:val="16"/>
              </w:rPr>
              <w:t>Offshore Projects</w:t>
            </w:r>
          </w:p>
        </w:tc>
        <w:tc>
          <w:tcPr>
            <w:tcW w:type="dxa" w:w="7992"/>
          </w:tcPr>
          <w:p>
            <w:pPr>
              <w:spacing w:after="20"/>
            </w:pPr>
            <w:r>
              <w:rPr>
                <w:color w:val="1C3A36"/>
                <w:sz w:val="16"/>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trPr>
        <w:tc>
          <w:tcPr>
            <w:tcW w:type="dxa" w:w="2088"/>
          </w:tcPr>
          <w:p>
            <w:pPr>
              <w:spacing w:after="20"/>
            </w:pPr>
            <w:r>
              <w:rPr>
                <w:color w:val="1C3A36"/>
                <w:sz w:val="16"/>
              </w:rPr>
              <w:t>Dry-Bulk and Containers</w:t>
            </w:r>
          </w:p>
        </w:tc>
        <w:tc>
          <w:tcPr>
            <w:tcW w:type="dxa" w:w="7992"/>
          </w:tcPr>
          <w:p>
            <w:pPr>
              <w:spacing w:after="20"/>
            </w:pPr>
            <w:r>
              <w:rPr>
                <w:color w:val="1C3A36"/>
                <w:sz w:val="16"/>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trPr>
        <w:tc>
          <w:tcPr>
            <w:tcW w:type="dxa" w:w="2088"/>
          </w:tcPr>
          <w:p>
            <w:pPr>
              <w:spacing w:after="20"/>
            </w:pPr>
            <w:r>
              <w:rPr>
                <w:color w:val="1C3A36"/>
                <w:sz w:val="16"/>
              </w:rPr>
              <w:t>Services</w:t>
            </w:r>
          </w:p>
        </w:tc>
        <w:tc>
          <w:tcPr>
            <w:tcW w:type="dxa" w:w="7992"/>
          </w:tcPr>
          <w:p>
            <w:pPr>
              <w:spacing w:after="20"/>
            </w:pPr>
            <w:r>
              <w:rPr>
                <w:color w:val="1C3A36"/>
                <w:sz w:val="16"/>
              </w:rPr>
              <w:t>The reviewed half as reported plus a second half on the same terms, then 4% a year. The margin is the reviewed half’s own and reflects the warehouse activity moved into this unit. The group’s share of the bunkering associate is NOT in this line: it is taken out of the unit before the forecast starts — at the half’s own annualised figure rather than last year’s, because it more than trebled — and the stake is added once, at book value, in the bridge.</w:t>
            </w:r>
          </w:p>
        </w:tc>
      </w:tr>
    </w:tbl>
    <w:p>
      <w:pPr>
        <w:spacing w:after="40"/>
      </w:pP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Integrated Logistics — revenue</w:t>
            </w:r>
          </w:p>
        </w:tc>
        <w:tc>
          <w:tcPr>
            <w:tcW w:type="dxa" w:w="1382"/>
          </w:tcPr>
          <w:p>
            <w:pPr>
              <w:spacing w:after="20"/>
              <w:jc w:val="right"/>
            </w:pPr>
            <w:r>
              <w:rPr>
                <w:color w:val="1C3A36"/>
                <w:sz w:val="16"/>
              </w:rPr>
              <w:t>2,080</w:t>
            </w:r>
          </w:p>
        </w:tc>
        <w:tc>
          <w:tcPr>
            <w:tcW w:type="dxa" w:w="1382"/>
          </w:tcPr>
          <w:p>
            <w:pPr>
              <w:spacing w:after="20"/>
              <w:jc w:val="right"/>
            </w:pPr>
            <w:r>
              <w:rPr>
                <w:color w:val="1C3A36"/>
                <w:sz w:val="16"/>
              </w:rPr>
              <w:t>2,171</w:t>
            </w:r>
          </w:p>
        </w:tc>
        <w:tc>
          <w:tcPr>
            <w:tcW w:type="dxa" w:w="1382"/>
          </w:tcPr>
          <w:p>
            <w:pPr>
              <w:spacing w:after="20"/>
              <w:jc w:val="right"/>
            </w:pPr>
            <w:r>
              <w:rPr>
                <w:color w:val="1C3A36"/>
                <w:sz w:val="16"/>
              </w:rPr>
              <w:t>2,265</w:t>
            </w:r>
          </w:p>
        </w:tc>
        <w:tc>
          <w:tcPr>
            <w:tcW w:type="dxa" w:w="1382"/>
          </w:tcPr>
          <w:p>
            <w:pPr>
              <w:spacing w:after="20"/>
              <w:jc w:val="right"/>
            </w:pPr>
            <w:r>
              <w:rPr>
                <w:color w:val="1C3A36"/>
                <w:sz w:val="16"/>
              </w:rPr>
              <w:t>2,364</w:t>
            </w:r>
          </w:p>
        </w:tc>
        <w:tc>
          <w:tcPr>
            <w:tcW w:type="dxa" w:w="1382"/>
          </w:tcPr>
          <w:p>
            <w:pPr>
              <w:spacing w:after="20"/>
              <w:jc w:val="right"/>
            </w:pPr>
            <w:r>
              <w:rPr>
                <w:color w:val="1C3A36"/>
                <w:sz w:val="16"/>
              </w:rPr>
              <w:t>2,467</w:t>
            </w:r>
          </w:p>
        </w:tc>
      </w:tr>
      <w:tr>
        <w:trPr>
          <w:cantSplit/>
        </w:trPr>
        <w:tc>
          <w:tcPr>
            <w:tcW w:type="dxa" w:w="3168"/>
          </w:tcPr>
          <w:p>
            <w:pPr>
              <w:spacing w:after="20"/>
            </w:pPr>
            <w:r>
              <w:rPr>
                <w:color w:val="1C3A36"/>
                <w:sz w:val="16"/>
              </w:rPr>
              <w:t>Integrated Logistics — margin</w:t>
            </w:r>
          </w:p>
        </w:tc>
        <w:tc>
          <w:tcPr>
            <w:tcW w:type="dxa" w:w="1382"/>
          </w:tcPr>
          <w:p>
            <w:pPr>
              <w:spacing w:after="20"/>
              <w:jc w:val="right"/>
            </w:pPr>
            <w:r>
              <w:rPr>
                <w:color w:val="1C3A36"/>
                <w:sz w:val="16"/>
              </w:rPr>
              <w:t>30%</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33%</w:t>
            </w:r>
          </w:p>
        </w:tc>
      </w:tr>
      <w:tr>
        <w:trPr>
          <w:cantSplit/>
        </w:trPr>
        <w:tc>
          <w:tcPr>
            <w:tcW w:type="dxa" w:w="3168"/>
          </w:tcPr>
          <w:p>
            <w:pPr>
              <w:spacing w:after="20"/>
            </w:pPr>
            <w:r>
              <w:rPr>
                <w:color w:val="1C3A36"/>
                <w:sz w:val="16"/>
              </w:rPr>
              <w:t>Shipping — revenue</w:t>
            </w:r>
          </w:p>
        </w:tc>
        <w:tc>
          <w:tcPr>
            <w:tcW w:type="dxa" w:w="1382"/>
          </w:tcPr>
          <w:p>
            <w:pPr>
              <w:spacing w:after="20"/>
              <w:jc w:val="right"/>
            </w:pPr>
            <w:r>
              <w:rPr>
                <w:color w:val="1C3A36"/>
                <w:sz w:val="16"/>
              </w:rPr>
              <w:t>4,524</w:t>
            </w:r>
          </w:p>
        </w:tc>
        <w:tc>
          <w:tcPr>
            <w:tcW w:type="dxa" w:w="1382"/>
          </w:tcPr>
          <w:p>
            <w:pPr>
              <w:spacing w:after="20"/>
              <w:jc w:val="right"/>
            </w:pPr>
            <w:r>
              <w:rPr>
                <w:color w:val="1C3A36"/>
                <w:sz w:val="16"/>
              </w:rPr>
              <w:t>5,126</w:t>
            </w:r>
          </w:p>
        </w:tc>
        <w:tc>
          <w:tcPr>
            <w:tcW w:type="dxa" w:w="1382"/>
          </w:tcPr>
          <w:p>
            <w:pPr>
              <w:spacing w:after="20"/>
              <w:jc w:val="right"/>
            </w:pPr>
            <w:r>
              <w:rPr>
                <w:color w:val="1C3A36"/>
                <w:sz w:val="16"/>
              </w:rPr>
              <w:t>4,773</w:t>
            </w:r>
          </w:p>
        </w:tc>
        <w:tc>
          <w:tcPr>
            <w:tcW w:type="dxa" w:w="1382"/>
          </w:tcPr>
          <w:p>
            <w:pPr>
              <w:spacing w:after="20"/>
              <w:jc w:val="right"/>
            </w:pPr>
            <w:r>
              <w:rPr>
                <w:color w:val="1C3A36"/>
                <w:sz w:val="16"/>
              </w:rPr>
              <w:t>3,927</w:t>
            </w:r>
          </w:p>
        </w:tc>
        <w:tc>
          <w:tcPr>
            <w:tcW w:type="dxa" w:w="1382"/>
          </w:tcPr>
          <w:p>
            <w:pPr>
              <w:spacing w:after="20"/>
              <w:jc w:val="right"/>
            </w:pPr>
            <w:r>
              <w:rPr>
                <w:color w:val="1C3A36"/>
                <w:sz w:val="16"/>
              </w:rPr>
              <w:t>2,981</w:t>
            </w:r>
          </w:p>
        </w:tc>
      </w:tr>
      <w:tr>
        <w:trPr>
          <w:cantSplit/>
        </w:trPr>
        <w:tc>
          <w:tcPr>
            <w:tcW w:type="dxa" w:w="3168"/>
          </w:tcPr>
          <w:p>
            <w:pPr>
              <w:spacing w:after="20"/>
            </w:pPr>
            <w:r>
              <w:rPr>
                <w:color w:val="1C3A36"/>
                <w:sz w:val="16"/>
              </w:rPr>
              <w:t>Shipping — margin</w:t>
            </w:r>
          </w:p>
        </w:tc>
        <w:tc>
          <w:tcPr>
            <w:tcW w:type="dxa" w:w="1382"/>
          </w:tcPr>
          <w:p>
            <w:pPr>
              <w:spacing w:after="20"/>
              <w:jc w:val="right"/>
            </w:pPr>
            <w:r>
              <w:rPr>
                <w:color w:val="1C3A36"/>
                <w:sz w:val="16"/>
              </w:rPr>
              <w:t>45%</w:t>
            </w:r>
          </w:p>
        </w:tc>
        <w:tc>
          <w:tcPr>
            <w:tcW w:type="dxa" w:w="1382"/>
          </w:tcPr>
          <w:p>
            <w:pPr>
              <w:spacing w:after="20"/>
              <w:jc w:val="right"/>
            </w:pPr>
            <w:r>
              <w:rPr>
                <w:color w:val="1C3A36"/>
                <w:sz w:val="16"/>
              </w:rPr>
              <w:t>46%</w:t>
            </w:r>
          </w:p>
        </w:tc>
        <w:tc>
          <w:tcPr>
            <w:tcW w:type="dxa" w:w="1382"/>
          </w:tcPr>
          <w:p>
            <w:pPr>
              <w:spacing w:after="20"/>
              <w:jc w:val="right"/>
            </w:pPr>
            <w:r>
              <w:rPr>
                <w:color w:val="1C3A36"/>
                <w:sz w:val="16"/>
              </w:rPr>
              <w:t>44%</w:t>
            </w:r>
          </w:p>
        </w:tc>
        <w:tc>
          <w:tcPr>
            <w:tcW w:type="dxa" w:w="1382"/>
          </w:tcPr>
          <w:p>
            <w:pPr>
              <w:spacing w:after="20"/>
              <w:jc w:val="right"/>
            </w:pPr>
            <w:r>
              <w:rPr>
                <w:color w:val="1C3A36"/>
                <w:sz w:val="16"/>
              </w:rPr>
              <w:t>40%</w:t>
            </w:r>
          </w:p>
        </w:tc>
        <w:tc>
          <w:tcPr>
            <w:tcW w:type="dxa" w:w="1382"/>
          </w:tcPr>
          <w:p>
            <w:pPr>
              <w:spacing w:after="20"/>
              <w:jc w:val="right"/>
            </w:pPr>
            <w:r>
              <w:rPr>
                <w:color w:val="1C3A36"/>
                <w:sz w:val="16"/>
              </w:rPr>
              <w:t>33%</w:t>
            </w:r>
          </w:p>
        </w:tc>
      </w:tr>
      <w:tr>
        <w:trPr>
          <w:cantSplit/>
        </w:trPr>
        <w:tc>
          <w:tcPr>
            <w:tcW w:type="dxa" w:w="3168"/>
          </w:tcPr>
          <w:p>
            <w:pPr>
              <w:spacing w:after="20"/>
            </w:pPr>
            <w:r>
              <w:rPr>
                <w:color w:val="1C3A36"/>
                <w:sz w:val="16"/>
              </w:rPr>
              <w:t>Services — revenue</w:t>
            </w:r>
          </w:p>
        </w:tc>
        <w:tc>
          <w:tcPr>
            <w:tcW w:type="dxa" w:w="1382"/>
          </w:tcPr>
          <w:p>
            <w:pPr>
              <w:spacing w:after="20"/>
              <w:jc w:val="right"/>
            </w:pPr>
            <w:r>
              <w:rPr>
                <w:color w:val="1C3A36"/>
                <w:sz w:val="16"/>
              </w:rPr>
              <w:t>378</w:t>
            </w:r>
          </w:p>
        </w:tc>
        <w:tc>
          <w:tcPr>
            <w:tcW w:type="dxa" w:w="1382"/>
          </w:tcPr>
          <w:p>
            <w:pPr>
              <w:spacing w:after="20"/>
              <w:jc w:val="right"/>
            </w:pPr>
            <w:r>
              <w:rPr>
                <w:color w:val="1C3A36"/>
                <w:sz w:val="16"/>
              </w:rPr>
              <w:t>393</w:t>
            </w:r>
          </w:p>
        </w:tc>
        <w:tc>
          <w:tcPr>
            <w:tcW w:type="dxa" w:w="1382"/>
          </w:tcPr>
          <w:p>
            <w:pPr>
              <w:spacing w:after="20"/>
              <w:jc w:val="right"/>
            </w:pPr>
            <w:r>
              <w:rPr>
                <w:color w:val="1C3A36"/>
                <w:sz w:val="16"/>
              </w:rPr>
              <w:t>409</w:t>
            </w:r>
          </w:p>
        </w:tc>
        <w:tc>
          <w:tcPr>
            <w:tcW w:type="dxa" w:w="1382"/>
          </w:tcPr>
          <w:p>
            <w:pPr>
              <w:spacing w:after="20"/>
              <w:jc w:val="right"/>
            </w:pPr>
            <w:r>
              <w:rPr>
                <w:color w:val="1C3A36"/>
                <w:sz w:val="16"/>
              </w:rPr>
              <w:t>425</w:t>
            </w:r>
          </w:p>
        </w:tc>
        <w:tc>
          <w:tcPr>
            <w:tcW w:type="dxa" w:w="1382"/>
          </w:tcPr>
          <w:p>
            <w:pPr>
              <w:spacing w:after="20"/>
              <w:jc w:val="right"/>
            </w:pPr>
            <w:r>
              <w:rPr>
                <w:color w:val="1C3A36"/>
                <w:sz w:val="16"/>
              </w:rPr>
              <w:t>442</w:t>
            </w:r>
          </w:p>
        </w:tc>
      </w:tr>
      <w:tr>
        <w:trPr>
          <w:cantSplit/>
        </w:trPr>
        <w:tc>
          <w:tcPr>
            <w:tcW w:type="dxa" w:w="3168"/>
          </w:tcPr>
          <w:p>
            <w:pPr>
              <w:spacing w:after="20"/>
            </w:pPr>
            <w:r>
              <w:rPr>
                <w:color w:val="1C3A36"/>
                <w:sz w:val="16"/>
              </w:rPr>
              <w:t>Services — margin</w:t>
            </w:r>
          </w:p>
        </w:tc>
        <w:tc>
          <w:tcPr>
            <w:tcW w:type="dxa" w:w="1382"/>
          </w:tcPr>
          <w:p>
            <w:pPr>
              <w:spacing w:after="20"/>
              <w:jc w:val="right"/>
            </w:pPr>
            <w:r>
              <w:rPr>
                <w:color w:val="1C3A36"/>
                <w:sz w:val="16"/>
              </w:rPr>
              <w:t>13%</w:t>
            </w:r>
          </w:p>
        </w:tc>
        <w:tc>
          <w:tcPr>
            <w:tcW w:type="dxa" w:w="1382"/>
          </w:tcPr>
          <w:p>
            <w:pPr>
              <w:spacing w:after="20"/>
              <w:jc w:val="right"/>
            </w:pPr>
            <w:r>
              <w:rPr>
                <w:color w:val="1C3A36"/>
                <w:sz w:val="16"/>
              </w:rPr>
              <w:t>14%</w:t>
            </w:r>
          </w:p>
        </w:tc>
        <w:tc>
          <w:tcPr>
            <w:tcW w:type="dxa" w:w="1382"/>
          </w:tcPr>
          <w:p>
            <w:pPr>
              <w:spacing w:after="20"/>
              <w:jc w:val="right"/>
            </w:pPr>
            <w:r>
              <w:rPr>
                <w:color w:val="1C3A36"/>
                <w:sz w:val="16"/>
              </w:rPr>
              <w:t>14%</w:t>
            </w:r>
          </w:p>
        </w:tc>
        <w:tc>
          <w:tcPr>
            <w:tcW w:type="dxa" w:w="1382"/>
          </w:tcPr>
          <w:p>
            <w:pPr>
              <w:spacing w:after="20"/>
              <w:jc w:val="right"/>
            </w:pPr>
            <w:r>
              <w:rPr>
                <w:color w:val="1C3A36"/>
                <w:sz w:val="16"/>
              </w:rPr>
              <w:t>14%</w:t>
            </w:r>
          </w:p>
        </w:tc>
        <w:tc>
          <w:tcPr>
            <w:tcW w:type="dxa" w:w="1382"/>
          </w:tcPr>
          <w:p>
            <w:pPr>
              <w:spacing w:after="20"/>
              <w:jc w:val="right"/>
            </w:pPr>
            <w:r>
              <w:rPr>
                <w:color w:val="1C3A36"/>
                <w:sz w:val="16"/>
              </w:rPr>
              <w:t>14%</w:t>
            </w:r>
          </w:p>
        </w:tc>
      </w:tr>
      <w:tr>
        <w:trPr>
          <w:cantSplit/>
        </w:trPr>
        <w:tc>
          <w:tcPr>
            <w:tcW w:type="dxa" w:w="3168"/>
            <w:shd w:val="clear" w:color="auto" w:fill="F6F1E6"/>
          </w:tcPr>
          <w:p>
            <w:pPr>
              <w:spacing w:after="20"/>
            </w:pPr>
            <w:r>
              <w:rPr>
                <w:b/>
                <w:color w:val="1C3A36"/>
                <w:sz w:val="16"/>
              </w:rPr>
              <w:t>Group revenue</w:t>
            </w:r>
          </w:p>
        </w:tc>
        <w:tc>
          <w:tcPr>
            <w:tcW w:type="dxa" w:w="1382"/>
            <w:shd w:val="clear" w:color="auto" w:fill="F6F1E6"/>
          </w:tcPr>
          <w:p>
            <w:pPr>
              <w:spacing w:after="20"/>
              <w:jc w:val="right"/>
            </w:pPr>
            <w:r>
              <w:rPr>
                <w:b/>
                <w:color w:val="1C3A36"/>
                <w:sz w:val="16"/>
              </w:rPr>
              <w:t>6,982</w:t>
            </w:r>
          </w:p>
        </w:tc>
        <w:tc>
          <w:tcPr>
            <w:tcW w:type="dxa" w:w="1382"/>
            <w:shd w:val="clear" w:color="auto" w:fill="F6F1E6"/>
          </w:tcPr>
          <w:p>
            <w:pPr>
              <w:spacing w:after="20"/>
              <w:jc w:val="right"/>
            </w:pPr>
            <w:r>
              <w:rPr>
                <w:b/>
                <w:color w:val="1C3A36"/>
                <w:sz w:val="16"/>
              </w:rPr>
              <w:t>7,690</w:t>
            </w:r>
          </w:p>
        </w:tc>
        <w:tc>
          <w:tcPr>
            <w:tcW w:type="dxa" w:w="1382"/>
            <w:shd w:val="clear" w:color="auto" w:fill="F6F1E6"/>
          </w:tcPr>
          <w:p>
            <w:pPr>
              <w:spacing w:after="20"/>
              <w:jc w:val="right"/>
            </w:pPr>
            <w:r>
              <w:rPr>
                <w:b/>
                <w:color w:val="1C3A36"/>
                <w:sz w:val="16"/>
              </w:rPr>
              <w:t>7,447</w:t>
            </w:r>
          </w:p>
        </w:tc>
        <w:tc>
          <w:tcPr>
            <w:tcW w:type="dxa" w:w="1382"/>
            <w:shd w:val="clear" w:color="auto" w:fill="F6F1E6"/>
          </w:tcPr>
          <w:p>
            <w:pPr>
              <w:spacing w:after="20"/>
              <w:jc w:val="right"/>
            </w:pPr>
            <w:r>
              <w:rPr>
                <w:b/>
                <w:color w:val="1C3A36"/>
                <w:sz w:val="16"/>
              </w:rPr>
              <w:t>6,716</w:t>
            </w:r>
          </w:p>
        </w:tc>
        <w:tc>
          <w:tcPr>
            <w:tcW w:type="dxa" w:w="1382"/>
            <w:shd w:val="clear" w:color="auto" w:fill="F6F1E6"/>
          </w:tcPr>
          <w:p>
            <w:pPr>
              <w:spacing w:after="20"/>
              <w:jc w:val="right"/>
            </w:pPr>
            <w:r>
              <w:rPr>
                <w:b/>
                <w:color w:val="1C3A36"/>
                <w:sz w:val="16"/>
              </w:rPr>
              <w:t>5,890</w:t>
            </w:r>
          </w:p>
        </w:tc>
      </w:tr>
      <w:tr>
        <w:trPr>
          <w:cantSplit/>
        </w:trPr>
        <w:tc>
          <w:tcPr>
            <w:tcW w:type="dxa" w:w="3168"/>
            <w:shd w:val="clear" w:color="auto" w:fill="F6F1E6"/>
          </w:tcPr>
          <w:p>
            <w:pPr>
              <w:spacing w:after="20"/>
            </w:pPr>
            <w:r>
              <w:rPr>
                <w:b/>
                <w:color w:val="1C3A36"/>
                <w:sz w:val="16"/>
              </w:rPr>
              <w:t>Group earnings before interest, tax, depreciation and amortisation</w:t>
            </w:r>
          </w:p>
        </w:tc>
        <w:tc>
          <w:tcPr>
            <w:tcW w:type="dxa" w:w="1382"/>
            <w:shd w:val="clear" w:color="auto" w:fill="F6F1E6"/>
          </w:tcPr>
          <w:p>
            <w:pPr>
              <w:spacing w:after="20"/>
              <w:jc w:val="right"/>
            </w:pPr>
            <w:r>
              <w:rPr>
                <w:b/>
                <w:color w:val="1C3A36"/>
                <w:sz w:val="16"/>
              </w:rPr>
              <w:t>2,716</w:t>
            </w:r>
          </w:p>
        </w:tc>
        <w:tc>
          <w:tcPr>
            <w:tcW w:type="dxa" w:w="1382"/>
            <w:shd w:val="clear" w:color="auto" w:fill="F6F1E6"/>
          </w:tcPr>
          <w:p>
            <w:pPr>
              <w:spacing w:after="20"/>
              <w:jc w:val="right"/>
            </w:pPr>
            <w:r>
              <w:rPr>
                <w:b/>
                <w:color w:val="1C3A36"/>
                <w:sz w:val="16"/>
              </w:rPr>
              <w:t>3,140</w:t>
            </w:r>
          </w:p>
        </w:tc>
        <w:tc>
          <w:tcPr>
            <w:tcW w:type="dxa" w:w="1382"/>
            <w:shd w:val="clear" w:color="auto" w:fill="F6F1E6"/>
          </w:tcPr>
          <w:p>
            <w:pPr>
              <w:spacing w:after="20"/>
              <w:jc w:val="right"/>
            </w:pPr>
            <w:r>
              <w:rPr>
                <w:b/>
                <w:color w:val="1C3A36"/>
                <w:sz w:val="16"/>
              </w:rPr>
              <w:t>2,924</w:t>
            </w:r>
          </w:p>
        </w:tc>
        <w:tc>
          <w:tcPr>
            <w:tcW w:type="dxa" w:w="1382"/>
            <w:shd w:val="clear" w:color="auto" w:fill="F6F1E6"/>
          </w:tcPr>
          <w:p>
            <w:pPr>
              <w:spacing w:after="20"/>
              <w:jc w:val="right"/>
            </w:pPr>
            <w:r>
              <w:rPr>
                <w:b/>
                <w:color w:val="1C3A36"/>
                <w:sz w:val="16"/>
              </w:rPr>
              <w:t>2,426</w:t>
            </w:r>
          </w:p>
        </w:tc>
        <w:tc>
          <w:tcPr>
            <w:tcW w:type="dxa" w:w="1382"/>
            <w:shd w:val="clear" w:color="auto" w:fill="F6F1E6"/>
          </w:tcPr>
          <w:p>
            <w:pPr>
              <w:spacing w:after="20"/>
              <w:jc w:val="right"/>
            </w:pPr>
            <w:r>
              <w:rPr>
                <w:b/>
                <w:color w:val="1C3A36"/>
                <w:sz w:val="16"/>
              </w:rPr>
              <w:t>1,880</w:t>
            </w:r>
          </w:p>
        </w:tc>
      </w:tr>
      <w:tr>
        <w:trPr>
          <w:cantSplit/>
        </w:trPr>
        <w:tc>
          <w:tcPr>
            <w:tcW w:type="dxa" w:w="3168"/>
            <w:shd w:val="clear" w:color="auto" w:fill="F6F1E6"/>
          </w:tcPr>
          <w:p>
            <w:pPr>
              <w:spacing w:after="20"/>
            </w:pPr>
            <w:r>
              <w:rPr>
                <w:b/>
                <w:color w:val="1C3A36"/>
                <w:sz w:val="16"/>
              </w:rPr>
              <w:t>Group margin</w:t>
            </w:r>
          </w:p>
        </w:tc>
        <w:tc>
          <w:tcPr>
            <w:tcW w:type="dxa" w:w="1382"/>
            <w:shd w:val="clear" w:color="auto" w:fill="F6F1E6"/>
          </w:tcPr>
          <w:p>
            <w:pPr>
              <w:spacing w:after="20"/>
              <w:jc w:val="right"/>
            </w:pPr>
            <w:r>
              <w:rPr>
                <w:b/>
                <w:color w:val="1C3A36"/>
                <w:sz w:val="16"/>
              </w:rPr>
              <w:t>38.9%</w:t>
            </w:r>
          </w:p>
        </w:tc>
        <w:tc>
          <w:tcPr>
            <w:tcW w:type="dxa" w:w="1382"/>
            <w:shd w:val="clear" w:color="auto" w:fill="F6F1E6"/>
          </w:tcPr>
          <w:p>
            <w:pPr>
              <w:spacing w:after="20"/>
              <w:jc w:val="right"/>
            </w:pPr>
            <w:r>
              <w:rPr>
                <w:b/>
                <w:color w:val="1C3A36"/>
                <w:sz w:val="16"/>
              </w:rPr>
              <w:t>40.8%</w:t>
            </w:r>
          </w:p>
        </w:tc>
        <w:tc>
          <w:tcPr>
            <w:tcW w:type="dxa" w:w="1382"/>
            <w:shd w:val="clear" w:color="auto" w:fill="F6F1E6"/>
          </w:tcPr>
          <w:p>
            <w:pPr>
              <w:spacing w:after="20"/>
              <w:jc w:val="right"/>
            </w:pPr>
            <w:r>
              <w:rPr>
                <w:b/>
                <w:color w:val="1C3A36"/>
                <w:sz w:val="16"/>
              </w:rPr>
              <w:t>39.3%</w:t>
            </w:r>
          </w:p>
        </w:tc>
        <w:tc>
          <w:tcPr>
            <w:tcW w:type="dxa" w:w="1382"/>
            <w:shd w:val="clear" w:color="auto" w:fill="F6F1E6"/>
          </w:tcPr>
          <w:p>
            <w:pPr>
              <w:spacing w:after="20"/>
              <w:jc w:val="right"/>
            </w:pPr>
            <w:r>
              <w:rPr>
                <w:b/>
                <w:color w:val="1C3A36"/>
                <w:sz w:val="16"/>
              </w:rPr>
              <w:t>36.1%</w:t>
            </w:r>
          </w:p>
        </w:tc>
        <w:tc>
          <w:tcPr>
            <w:tcW w:type="dxa" w:w="1382"/>
            <w:shd w:val="clear" w:color="auto" w:fill="F6F1E6"/>
          </w:tcPr>
          <w:p>
            <w:pPr>
              <w:spacing w:after="20"/>
              <w:jc w:val="right"/>
            </w:pPr>
            <w:r>
              <w:rPr>
                <w:b/>
                <w:color w:val="1C3A36"/>
                <w:sz w:val="16"/>
              </w:rPr>
              <w:t>31.9%</w:t>
            </w:r>
          </w:p>
        </w:tc>
      </w:tr>
    </w:tbl>
    <w:p>
      <w:pPr>
        <w:spacing w:after="40"/>
      </w:pPr>
    </w:p>
    <w:p>
      <w:pPr>
        <w:spacing w:after="200" w:before="0"/>
      </w:pPr>
      <w:r>
        <w:rPr>
          <w:b w:val="0"/>
          <w:i/>
          <w:color w:val="6E7B77"/>
          <w:sz w:val="17"/>
        </w:rPr>
        <w:t>No margin in this table is an assumption applied to the group. For the tanker unit that carries most of the rate risk, the margin is an arithmetic output: charter-equivalent revenue times a gross-up MEASURED on the reviewed half, less a fixed cost base and a variable cost per unit of that revenue, both SOLVED from the audited FY2025 year and the reviewed half together. For every other unit the 2026 figure is the REPORTED first half plus a second half at the margin that half itself delivered, and the years after it grow on the unit's own driver. The group margin — which moves from 38.9% to 31.9% across the forecast — is an output of the changing mix, not a path anyone chose. It sits above FY2025's 29.3% because the reviewed half printed 40.2% and the forecast opens 38.9%, and it falls back as the charter rates the half earned revert.</w:t>
      </w:r>
    </w:p>
    <w:p>
      <w:pPr>
        <w:spacing w:after="40"/>
        <w:jc w:val="center"/>
      </w:pPr>
      <w:r>
        <w:drawing>
          <wp:inline xmlns:a="http://schemas.openxmlformats.org/drawingml/2006/main" xmlns:pic="http://schemas.openxmlformats.org/drawingml/2006/picture">
            <wp:extent cx="6309360" cy="3568931"/>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3568931"/>
                    </a:xfrm>
                    <a:prstGeom prst="rect"/>
                  </pic:spPr>
                </pic:pic>
              </a:graphicData>
            </a:graphic>
          </wp:inline>
        </w:drawing>
      </w:r>
    </w:p>
    <w:p>
      <w:pPr>
        <w:spacing w:after="200" w:before="0"/>
      </w:pPr>
      <w:r>
        <w:rPr>
          <w:b w:val="0"/>
          <w:i/>
          <w:color w:val="6E7B77"/>
          <w:sz w:val="17"/>
        </w:rPr>
        <w:t>Figure 2 — earnings by business unit, reported and forecast, with the group margin. Shipping does the moving; the contracted logistics base grows steadily underneath it.</w:t>
      </w:r>
    </w:p>
    <w:p>
      <w:pPr>
        <w:keepNext/>
        <w:spacing w:after="80" w:before="200"/>
      </w:pPr>
      <w:r>
        <w:rPr>
          <w:b/>
          <w:i w:val="0"/>
          <w:color w:val="1C3A36"/>
          <w:sz w:val="24"/>
        </w:rPr>
        <w:t>The build against the company's own guidance — a gap, stated plainly</w:t>
      </w:r>
    </w:p>
    <w:p>
      <w:pPr>
        <w:spacing w:after="120" w:before="0"/>
      </w:pPr>
      <w:r>
        <w:rPr>
          <w:b w:val="0"/>
          <w:i w:val="0"/>
          <w:color w:val="1C3A36"/>
          <w:sz w:val="21"/>
        </w:rPr>
        <w:t>This build sits materially above what management has guided for 2026, and that is a deliberate result of the method rather than an accident to be reconciled away.</w:t>
      </w:r>
    </w:p>
    <w:p>
      <w:pPr>
        <w:spacing w:after="120" w:before="0"/>
      </w:pPr>
      <w:r>
        <w:rPr>
          <w:b w:val="0"/>
          <w:i w:val="0"/>
          <w:color w:val="1C3A36"/>
          <w:sz w:val="21"/>
        </w:rPr>
        <w:t>One thing has to be established before the comparison can be read at all: the company does not publish a dollar guidance figure, for the group or for any business unit. What it publishes is DIRECTIONAL — a band in words, for revenue and for earnings, at group level and for each of the three units. Every guided figure below is this study's own conversion of those words into dollars, taken at the midpoint of the band and applied to the FY2025 figure it grows from. The conversion is shown line by line so that a reader who reads a band differently can redo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872"/>
        <w:gridCol w:w="1584"/>
        <w:gridCol w:w="2160"/>
      </w:tblGrid>
      <w:tr>
        <w:trPr>
          <w:cantSplit/>
          <w:tblHeader/>
        </w:trPr>
        <w:tc>
          <w:tcPr>
            <w:tcW w:type="dxa" w:w="4464"/>
            <w:shd w:val="clear" w:color="auto" w:fill="EAF0EE"/>
          </w:tcPr>
          <w:p>
            <w:pPr>
              <w:spacing w:after="20"/>
              <w:jc w:val="left"/>
            </w:pPr>
            <w:r>
              <w:rPr>
                <w:b/>
                <w:color w:val="1C3A36"/>
                <w:sz w:val="16"/>
              </w:rPr>
              <w:t>Line</w:t>
            </w:r>
          </w:p>
        </w:tc>
        <w:tc>
          <w:tcPr>
            <w:tcW w:type="dxa" w:w="1872"/>
            <w:shd w:val="clear" w:color="auto" w:fill="EAF0EE"/>
          </w:tcPr>
          <w:p>
            <w:pPr>
              <w:spacing w:after="20"/>
            </w:pPr>
            <w:r>
              <w:rPr>
                <w:b/>
                <w:color w:val="1C3A36"/>
                <w:sz w:val="16"/>
              </w:rPr>
              <w:t>FY2025 base (USD mn)</w:t>
            </w:r>
          </w:p>
        </w:tc>
        <w:tc>
          <w:tcPr>
            <w:tcW w:type="dxa" w:w="1584"/>
            <w:shd w:val="clear" w:color="auto" w:fill="EAF0EE"/>
          </w:tcPr>
          <w:p>
            <w:pPr>
              <w:spacing w:after="20"/>
            </w:pPr>
            <w:r>
              <w:rPr>
                <w:b/>
                <w:color w:val="1C3A36"/>
                <w:sz w:val="16"/>
              </w:rPr>
              <w:t>Guided change</w:t>
            </w:r>
          </w:p>
        </w:tc>
        <w:tc>
          <w:tcPr>
            <w:tcW w:type="dxa" w:w="2160"/>
            <w:shd w:val="clear" w:color="auto" w:fill="EAF0EE"/>
          </w:tcPr>
          <w:p>
            <w:pPr>
              <w:spacing w:after="20"/>
            </w:pPr>
            <w:r>
              <w:rPr>
                <w:b/>
                <w:color w:val="1C3A36"/>
                <w:sz w:val="16"/>
              </w:rPr>
              <w:t>Converted (USD mn)</w:t>
            </w:r>
          </w:p>
        </w:tc>
      </w:tr>
      <w:tr>
        <w:trPr>
          <w:cantSplit/>
        </w:trPr>
        <w:tc>
          <w:tcPr>
            <w:tcW w:type="dxa" w:w="4464"/>
          </w:tcPr>
          <w:p>
            <w:pPr>
              <w:spacing w:after="20"/>
              <w:jc w:val="left"/>
            </w:pPr>
            <w:r>
              <w:rPr>
                <w:color w:val="1C3A36"/>
                <w:sz w:val="16"/>
              </w:rPr>
              <w:t>Integrated Logistics — revenue</w:t>
            </w:r>
          </w:p>
        </w:tc>
        <w:tc>
          <w:tcPr>
            <w:tcW w:type="dxa" w:w="1872"/>
          </w:tcPr>
          <w:p>
            <w:pPr>
              <w:spacing w:after="20"/>
              <w:jc w:val="right"/>
            </w:pPr>
            <w:r>
              <w:rPr>
                <w:color w:val="1C3A36"/>
                <w:sz w:val="16"/>
              </w:rPr>
              <w:t>2,529</w:t>
            </w:r>
          </w:p>
        </w:tc>
        <w:tc>
          <w:tcPr>
            <w:tcW w:type="dxa" w:w="1584"/>
          </w:tcPr>
          <w:p>
            <w:pPr>
              <w:spacing w:after="20"/>
              <w:jc w:val="right"/>
            </w:pPr>
            <w:r>
              <w:rPr>
                <w:color w:val="1C3A36"/>
                <w:sz w:val="16"/>
              </w:rPr>
              <w:t>-25.0%</w:t>
            </w:r>
          </w:p>
        </w:tc>
        <w:tc>
          <w:tcPr>
            <w:tcW w:type="dxa" w:w="2160"/>
          </w:tcPr>
          <w:p>
            <w:pPr>
              <w:spacing w:after="20"/>
              <w:jc w:val="right"/>
            </w:pPr>
            <w:r>
              <w:rPr>
                <w:color w:val="1C3A36"/>
                <w:sz w:val="16"/>
              </w:rPr>
              <w:t>1,897</w:t>
            </w:r>
          </w:p>
        </w:tc>
      </w:tr>
      <w:tr>
        <w:trPr>
          <w:cantSplit/>
        </w:trPr>
        <w:tc>
          <w:tcPr>
            <w:tcW w:type="dxa" w:w="4464"/>
          </w:tcPr>
          <w:p>
            <w:pPr>
              <w:spacing w:after="20"/>
              <w:jc w:val="left"/>
            </w:pPr>
            <w:r>
              <w:rPr>
                <w:color w:val="1C3A36"/>
                <w:sz w:val="16"/>
              </w:rPr>
              <w:t>Shipping — revenue</w:t>
            </w:r>
          </w:p>
        </w:tc>
        <w:tc>
          <w:tcPr>
            <w:tcW w:type="dxa" w:w="1872"/>
          </w:tcPr>
          <w:p>
            <w:pPr>
              <w:spacing w:after="20"/>
              <w:jc w:val="right"/>
            </w:pPr>
            <w:r>
              <w:rPr>
                <w:color w:val="1C3A36"/>
                <w:sz w:val="16"/>
              </w:rPr>
              <w:t>2,125</w:t>
            </w:r>
          </w:p>
        </w:tc>
        <w:tc>
          <w:tcPr>
            <w:tcW w:type="dxa" w:w="1584"/>
          </w:tcPr>
          <w:p>
            <w:pPr>
              <w:spacing w:after="20"/>
              <w:jc w:val="right"/>
            </w:pPr>
            <w:r>
              <w:rPr>
                <w:color w:val="1C3A36"/>
                <w:sz w:val="16"/>
              </w:rPr>
              <w:t>+85.0%</w:t>
            </w:r>
          </w:p>
        </w:tc>
        <w:tc>
          <w:tcPr>
            <w:tcW w:type="dxa" w:w="2160"/>
          </w:tcPr>
          <w:p>
            <w:pPr>
              <w:spacing w:after="20"/>
              <w:jc w:val="right"/>
            </w:pPr>
            <w:r>
              <w:rPr>
                <w:color w:val="1C3A36"/>
                <w:sz w:val="16"/>
              </w:rPr>
              <w:t>3,930</w:t>
            </w:r>
          </w:p>
        </w:tc>
      </w:tr>
      <w:tr>
        <w:trPr>
          <w:cantSplit/>
        </w:trPr>
        <w:tc>
          <w:tcPr>
            <w:tcW w:type="dxa" w:w="4464"/>
          </w:tcPr>
          <w:p>
            <w:pPr>
              <w:spacing w:after="20"/>
              <w:jc w:val="left"/>
            </w:pPr>
            <w:r>
              <w:rPr>
                <w:color w:val="1C3A36"/>
                <w:sz w:val="16"/>
              </w:rPr>
              <w:t>Services — revenue</w:t>
            </w:r>
          </w:p>
        </w:tc>
        <w:tc>
          <w:tcPr>
            <w:tcW w:type="dxa" w:w="1872"/>
          </w:tcPr>
          <w:p>
            <w:pPr>
              <w:spacing w:after="20"/>
              <w:jc w:val="right"/>
            </w:pPr>
            <w:r>
              <w:rPr>
                <w:color w:val="1C3A36"/>
                <w:sz w:val="16"/>
              </w:rPr>
              <w:t>362</w:t>
            </w:r>
          </w:p>
        </w:tc>
        <w:tc>
          <w:tcPr>
            <w:tcW w:type="dxa" w:w="1584"/>
          </w:tcPr>
          <w:p>
            <w:pPr>
              <w:spacing w:after="20"/>
              <w:jc w:val="right"/>
            </w:pPr>
            <w:r>
              <w:rPr>
                <w:color w:val="1C3A36"/>
                <w:sz w:val="16"/>
              </w:rPr>
              <w:t>+5.0%</w:t>
            </w:r>
          </w:p>
        </w:tc>
        <w:tc>
          <w:tcPr>
            <w:tcW w:type="dxa" w:w="2160"/>
          </w:tcPr>
          <w:p>
            <w:pPr>
              <w:spacing w:after="20"/>
              <w:jc w:val="right"/>
            </w:pPr>
            <w:r>
              <w:rPr>
                <w:color w:val="1C3A36"/>
                <w:sz w:val="16"/>
              </w:rPr>
              <w:t>381</w:t>
            </w:r>
          </w:p>
        </w:tc>
      </w:tr>
      <w:tr>
        <w:trPr>
          <w:cantSplit/>
        </w:trPr>
        <w:tc>
          <w:tcPr>
            <w:tcW w:type="dxa" w:w="4464"/>
            <w:shd w:val="clear" w:color="auto" w:fill="F6F1E6"/>
          </w:tcPr>
          <w:p>
            <w:pPr>
              <w:spacing w:after="20"/>
              <w:jc w:val="left"/>
            </w:pPr>
            <w:r>
              <w:rPr>
                <w:b/>
                <w:color w:val="1C3A36"/>
                <w:sz w:val="16"/>
              </w:rPr>
              <w:t>Sum of the three units — revenue</w:t>
            </w:r>
          </w:p>
        </w:tc>
        <w:tc>
          <w:tcPr>
            <w:tcW w:type="dxa" w:w="1872"/>
            <w:shd w:val="clear" w:color="auto" w:fill="F6F1E6"/>
          </w:tcPr>
          <w:p>
            <w:pPr>
              <w:spacing w:after="20"/>
              <w:jc w:val="right"/>
            </w:pPr>
            <w:r>
              <w:rPr>
                <w:b/>
                <w:color w:val="1C3A36"/>
                <w:sz w:val="16"/>
              </w:rPr>
              <w:t>5,016</w:t>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6,208</w:t>
            </w:r>
          </w:p>
        </w:tc>
      </w:tr>
      <w:tr>
        <w:trPr>
          <w:cantSplit/>
        </w:trPr>
        <w:tc>
          <w:tcPr>
            <w:tcW w:type="dxa" w:w="4464"/>
          </w:tcPr>
          <w:p>
            <w:pPr>
              <w:spacing w:after="20"/>
              <w:jc w:val="left"/>
            </w:pPr>
            <w:r>
              <w:rPr>
                <w:color w:val="1C3A36"/>
                <w:sz w:val="16"/>
              </w:rPr>
              <w:t>Group — revenue, on the group band</w:t>
            </w:r>
          </w:p>
        </w:tc>
        <w:tc>
          <w:tcPr>
            <w:tcW w:type="dxa" w:w="1872"/>
          </w:tcPr>
          <w:p>
            <w:pPr>
              <w:spacing w:after="20"/>
              <w:jc w:val="right"/>
            </w:pPr>
            <w:r>
              <w:rPr>
                <w:color w:val="1C3A36"/>
                <w:sz w:val="16"/>
              </w:rPr>
              <w:t>5,016</w:t>
            </w:r>
          </w:p>
        </w:tc>
        <w:tc>
          <w:tcPr>
            <w:tcW w:type="dxa" w:w="1584"/>
          </w:tcPr>
          <w:p>
            <w:pPr>
              <w:spacing w:after="20"/>
              <w:jc w:val="right"/>
            </w:pPr>
            <w:r>
              <w:rPr>
                <w:color w:val="1C3A36"/>
                <w:sz w:val="16"/>
              </w:rPr>
              <w:t>-3.5%</w:t>
            </w:r>
          </w:p>
        </w:tc>
        <w:tc>
          <w:tcPr>
            <w:tcW w:type="dxa" w:w="2160"/>
          </w:tcPr>
          <w:p>
            <w:pPr>
              <w:spacing w:after="20"/>
              <w:jc w:val="right"/>
            </w:pPr>
            <w:r>
              <w:rPr>
                <w:color w:val="1C3A36"/>
                <w:sz w:val="16"/>
              </w:rPr>
              <w:t>6,270</w:t>
            </w:r>
          </w:p>
        </w:tc>
      </w:tr>
      <w:tr>
        <w:trPr>
          <w:cantSplit/>
        </w:trPr>
        <w:tc>
          <w:tcPr>
            <w:tcW w:type="dxa" w:w="4464"/>
            <w:shd w:val="clear" w:color="auto" w:fill="F6F1E6"/>
          </w:tcPr>
          <w:p>
            <w:pPr>
              <w:spacing w:after="20"/>
              <w:jc w:val="left"/>
            </w:pPr>
            <w:r>
              <w:rPr>
                <w:b/>
                <w:color w:val="1C3A36"/>
                <w:sz w:val="16"/>
              </w:rPr>
              <w:t>Difference — the group band against the three unit bands</w:t>
            </w:r>
          </w:p>
        </w:tc>
        <w:tc>
          <w:tcPr>
            <w:tcW w:type="dxa" w:w="1872"/>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+62</w:t>
            </w:r>
          </w:p>
        </w:tc>
      </w:tr>
      <w:tr>
        <w:trPr>
          <w:cantSplit/>
        </w:trPr>
        <w:tc>
          <w:tcPr>
            <w:tcW w:type="dxa" w:w="4464"/>
          </w:tcPr>
          <w:p>
            <w:pPr>
              <w:spacing w:after="20"/>
              <w:jc w:val="left"/>
            </w:pPr>
            <w:r>
              <w:rPr>
                <w:color w:val="1C3A36"/>
                <w:sz w:val="16"/>
              </w:rPr>
              <w:t>Integrated Logistics — earnings</w:t>
            </w:r>
          </w:p>
        </w:tc>
        <w:tc>
          <w:tcPr>
            <w:tcW w:type="dxa" w:w="1872"/>
          </w:tcPr>
          <w:p>
            <w:pPr>
              <w:spacing w:after="20"/>
              <w:jc w:val="right"/>
            </w:pPr>
            <w:r>
              <w:rPr>
                <w:color w:val="1C3A36"/>
                <w:sz w:val="16"/>
              </w:rPr>
              <w:t>829</w:t>
            </w:r>
          </w:p>
        </w:tc>
        <w:tc>
          <w:tcPr>
            <w:tcW w:type="dxa" w:w="1584"/>
          </w:tcPr>
          <w:p>
            <w:pPr>
              <w:spacing w:after="20"/>
              <w:jc w:val="right"/>
            </w:pPr>
            <w:r>
              <w:rPr>
                <w:color w:val="1C3A36"/>
                <w:sz w:val="16"/>
              </w:rPr>
              <w:t>-25.0%</w:t>
            </w:r>
          </w:p>
        </w:tc>
        <w:tc>
          <w:tcPr>
            <w:tcW w:type="dxa" w:w="2160"/>
          </w:tcPr>
          <w:p>
            <w:pPr>
              <w:spacing w:after="20"/>
              <w:jc w:val="right"/>
            </w:pPr>
            <w:r>
              <w:rPr>
                <w:color w:val="1C3A36"/>
                <w:sz w:val="16"/>
              </w:rPr>
              <w:t>622</w:t>
            </w:r>
          </w:p>
        </w:tc>
      </w:tr>
      <w:tr>
        <w:trPr>
          <w:cantSplit/>
        </w:trPr>
        <w:tc>
          <w:tcPr>
            <w:tcW w:type="dxa" w:w="4464"/>
          </w:tcPr>
          <w:p>
            <w:pPr>
              <w:spacing w:after="20"/>
              <w:jc w:val="left"/>
            </w:pPr>
            <w:r>
              <w:rPr>
                <w:color w:val="1C3A36"/>
                <w:sz w:val="16"/>
              </w:rPr>
              <w:t>Shipping — earnings</w:t>
            </w:r>
          </w:p>
        </w:tc>
        <w:tc>
          <w:tcPr>
            <w:tcW w:type="dxa" w:w="1872"/>
          </w:tcPr>
          <w:p>
            <w:pPr>
              <w:spacing w:after="20"/>
              <w:jc w:val="right"/>
            </w:pPr>
            <w:r>
              <w:rPr>
                <w:color w:val="1C3A36"/>
                <w:sz w:val="16"/>
              </w:rPr>
              <w:t>619</w:t>
            </w:r>
          </w:p>
        </w:tc>
        <w:tc>
          <w:tcPr>
            <w:tcW w:type="dxa" w:w="1584"/>
          </w:tcPr>
          <w:p>
            <w:pPr>
              <w:spacing w:after="20"/>
              <w:jc w:val="right"/>
            </w:pPr>
            <w:r>
              <w:rPr>
                <w:color w:val="1C3A36"/>
                <w:sz w:val="16"/>
              </w:rPr>
              <w:t>+190.0%</w:t>
            </w:r>
          </w:p>
        </w:tc>
        <w:tc>
          <w:tcPr>
            <w:tcW w:type="dxa" w:w="2160"/>
          </w:tcPr>
          <w:p>
            <w:pPr>
              <w:spacing w:after="20"/>
              <w:jc w:val="right"/>
            </w:pPr>
            <w:r>
              <w:rPr>
                <w:color w:val="1C3A36"/>
                <w:sz w:val="16"/>
              </w:rPr>
              <w:t>1,794</w:t>
            </w:r>
          </w:p>
        </w:tc>
      </w:tr>
      <w:tr>
        <w:trPr>
          <w:cantSplit/>
        </w:trPr>
        <w:tc>
          <w:tcPr>
            <w:tcW w:type="dxa" w:w="4464"/>
          </w:tcPr>
          <w:p>
            <w:pPr>
              <w:spacing w:after="20"/>
              <w:jc w:val="left"/>
            </w:pPr>
            <w:r>
              <w:rPr>
                <w:color w:val="1C3A36"/>
                <w:sz w:val="16"/>
              </w:rPr>
              <w:t>Services — earnings</w:t>
            </w:r>
          </w:p>
        </w:tc>
        <w:tc>
          <w:tcPr>
            <w:tcW w:type="dxa" w:w="1872"/>
          </w:tcPr>
          <w:p>
            <w:pPr>
              <w:spacing w:after="20"/>
              <w:jc w:val="right"/>
            </w:pPr>
            <w:r>
              <w:rPr>
                <w:color w:val="1C3A36"/>
                <w:sz w:val="16"/>
              </w:rPr>
              <w:t>60</w:t>
            </w:r>
          </w:p>
        </w:tc>
        <w:tc>
          <w:tcPr>
            <w:tcW w:type="dxa" w:w="1584"/>
          </w:tcPr>
          <w:p>
            <w:pPr>
              <w:spacing w:after="20"/>
              <w:jc w:val="right"/>
            </w:pPr>
            <w:r>
              <w:rPr>
                <w:color w:val="1C3A36"/>
                <w:sz w:val="16"/>
              </w:rPr>
              <w:t>+20.0%</w:t>
            </w:r>
          </w:p>
        </w:tc>
        <w:tc>
          <w:tcPr>
            <w:tcW w:type="dxa" w:w="2160"/>
          </w:tcPr>
          <w:p>
            <w:pPr>
              <w:spacing w:after="20"/>
              <w:jc w:val="right"/>
            </w:pPr>
            <w:r>
              <w:rPr>
                <w:color w:val="1C3A36"/>
                <w:sz w:val="16"/>
              </w:rPr>
              <w:t>72</w:t>
            </w:r>
          </w:p>
        </w:tc>
      </w:tr>
      <w:tr>
        <w:trPr>
          <w:cantSplit/>
        </w:trPr>
        <w:tc>
          <w:tcPr>
            <w:tcW w:type="dxa" w:w="4464"/>
            <w:shd w:val="clear" w:color="auto" w:fill="F6F1E6"/>
          </w:tcPr>
          <w:p>
            <w:pPr>
              <w:spacing w:after="20"/>
              <w:jc w:val="left"/>
            </w:pPr>
            <w:r>
              <w:rPr>
                <w:b/>
                <w:color w:val="1C3A36"/>
                <w:sz w:val="16"/>
              </w:rPr>
              <w:t>Sum of the three units — earnings</w:t>
            </w:r>
          </w:p>
        </w:tc>
        <w:tc>
          <w:tcPr>
            <w:tcW w:type="dxa" w:w="1872"/>
            <w:shd w:val="clear" w:color="auto" w:fill="F6F1E6"/>
          </w:tcPr>
          <w:p>
            <w:pPr>
              <w:spacing w:after="20"/>
              <w:jc w:val="right"/>
            </w:pPr>
            <w:r>
              <w:rPr>
                <w:b/>
                <w:color w:val="1C3A36"/>
                <w:sz w:val="16"/>
              </w:rPr>
              <w:t>1,508</w:t>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2,488</w:t>
            </w:r>
          </w:p>
        </w:tc>
      </w:tr>
      <w:tr>
        <w:trPr>
          <w:cantSplit/>
        </w:trPr>
        <w:tc>
          <w:tcPr>
            <w:tcW w:type="dxa" w:w="4464"/>
          </w:tcPr>
          <w:p>
            <w:pPr>
              <w:spacing w:after="20"/>
              <w:jc w:val="left"/>
            </w:pPr>
            <w:r>
              <w:rPr>
                <w:color w:val="1C3A36"/>
                <w:sz w:val="16"/>
              </w:rPr>
              <w:t>Group — earnings, on the group band and the company's own reported measure</w:t>
            </w:r>
          </w:p>
        </w:tc>
        <w:tc>
          <w:tcPr>
            <w:tcW w:type="dxa" w:w="1872"/>
          </w:tcPr>
          <w:p>
            <w:pPr>
              <w:spacing w:after="20"/>
              <w:jc w:val="right"/>
            </w:pPr>
            <w:r>
              <w:rPr>
                <w:color w:val="1C3A36"/>
                <w:sz w:val="16"/>
              </w:rPr>
              <w:t>1,515</w:t>
            </w:r>
          </w:p>
        </w:tc>
        <w:tc>
          <w:tcPr>
            <w:tcW w:type="dxa" w:w="1584"/>
          </w:tcPr>
          <w:p>
            <w:pPr>
              <w:spacing w:after="20"/>
              <w:jc w:val="right"/>
            </w:pPr>
            <w:r>
              <w:rPr>
                <w:color w:val="1C3A36"/>
                <w:sz w:val="16"/>
              </w:rPr>
              <w:t>+6.5%</w:t>
            </w:r>
          </w:p>
        </w:tc>
        <w:tc>
          <w:tcPr>
            <w:tcW w:type="dxa" w:w="2160"/>
          </w:tcPr>
          <w:p>
            <w:pPr>
              <w:spacing w:after="20"/>
              <w:jc w:val="right"/>
            </w:pPr>
            <w:r>
              <w:rPr>
                <w:color w:val="1C3A36"/>
                <w:sz w:val="16"/>
              </w:rPr>
              <w:t>2,499</w:t>
            </w:r>
          </w:p>
        </w:tc>
      </w:tr>
      <w:tr>
        <w:trPr>
          <w:cantSplit/>
        </w:trPr>
        <w:tc>
          <w:tcPr>
            <w:tcW w:type="dxa" w:w="4464"/>
            <w:shd w:val="clear" w:color="auto" w:fill="F6F1E6"/>
          </w:tcPr>
          <w:p>
            <w:pPr>
              <w:spacing w:after="20"/>
              <w:jc w:val="left"/>
            </w:pPr>
            <w:r>
              <w:rPr>
                <w:b/>
                <w:color w:val="1C3A36"/>
                <w:sz w:val="16"/>
              </w:rPr>
              <w:t>Difference — the group band against the three unit bands</w:t>
            </w:r>
          </w:p>
        </w:tc>
        <w:tc>
          <w:tcPr>
            <w:tcW w:type="dxa" w:w="1872"/>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+11</w:t>
            </w:r>
          </w:p>
        </w:tc>
      </w:tr>
    </w:tbl>
    <w:p>
      <w:pPr>
        <w:spacing w:after="40"/>
      </w:pPr>
    </w:p>
    <w:p>
      <w:pPr>
        <w:spacing w:after="200" w:before="0"/>
      </w:pPr>
      <w:r>
        <w:rPr>
          <w:b w:val="0"/>
          <w:i/>
          <w:color w:val="6E7B77"/>
          <w:sz w:val="17"/>
        </w:rPr>
        <w:t>Every row multiplies out. The two DIFFERENCE rows are the point of the table and they are a property of the guidance, not of this conversion: management's three unit bands and its group band do not reconcile at their midpoints. On revenue the three units imply USD 6,208 million against a group band implying USD 6,270 million; on earnings the units imply more than the group band does, and part of that second gap is a measure difference as well — the group band is stated against the company's own reported earnings figure, which adds the share of joint ventures and one-off items to the USD 1,508 million the three units sum to. An earlier edition of this study printed the unit rows and the group row in one column that did not add up, with no note that it did not. Both totals are now shown and the gap between them is named.</w:t>
      </w:r>
    </w:p>
    <w:p>
      <w:pPr>
        <w:keepNext/>
        <w:spacing w:after="80" w:before="200"/>
      </w:pPr>
      <w:r>
        <w:rPr>
          <w:b/>
          <w:i w:val="0"/>
          <w:color w:val="1C3A36"/>
          <w:sz w:val="24"/>
        </w:rPr>
        <w:t>The build against that guidance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55"/>
        <w:gridCol w:w="1555"/>
        <w:gridCol w:w="1555"/>
        <w:gridCol w:w="1555"/>
        <w:gridCol w:w="1555"/>
      </w:tblGrid>
      <w:tr>
        <w:trPr>
          <w:cantSplit/>
          <w:tblHeader/>
        </w:trPr>
        <w:tc>
          <w:tcPr>
            <w:tcW w:type="dxa" w:w="2304"/>
            <w:shd w:val="clear" w:color="auto" w:fill="EAF0EE"/>
          </w:tcPr>
          <w:p>
            <w:pPr>
              <w:spacing w:after="20"/>
            </w:pPr>
            <w:r>
              <w:rPr>
                <w:b/>
                <w:color w:val="1C3A36"/>
                <w:sz w:val="16"/>
              </w:rPr>
              <w:t>Business unit</w:t>
            </w:r>
          </w:p>
        </w:tc>
        <w:tc>
          <w:tcPr>
            <w:tcW w:type="dxa" w:w="1555"/>
            <w:shd w:val="clear" w:color="auto" w:fill="EAF0EE"/>
          </w:tcPr>
          <w:p>
            <w:pPr>
              <w:spacing w:after="20"/>
            </w:pPr>
            <w:r>
              <w:rPr>
                <w:b/>
                <w:color w:val="1C3A36"/>
                <w:sz w:val="16"/>
              </w:rPr>
              <w:t>Guided revenue</w:t>
            </w:r>
          </w:p>
        </w:tc>
        <w:tc>
          <w:tcPr>
            <w:tcW w:type="dxa" w:w="1555"/>
            <w:shd w:val="clear" w:color="auto" w:fill="EAF0EE"/>
          </w:tcPr>
          <w:p>
            <w:pPr>
              <w:spacing w:after="20"/>
            </w:pPr>
            <w:r>
              <w:rPr>
                <w:b/>
                <w:color w:val="1C3A36"/>
                <w:sz w:val="16"/>
              </w:rPr>
              <w:t>Built revenue</w:t>
            </w:r>
          </w:p>
        </w:tc>
        <w:tc>
          <w:tcPr>
            <w:tcW w:type="dxa" w:w="1555"/>
            <w:shd w:val="clear" w:color="auto" w:fill="EAF0EE"/>
          </w:tcPr>
          <w:p>
            <w:pPr>
              <w:spacing w:after="20"/>
            </w:pPr>
            <w:r>
              <w:rPr>
                <w:b/>
                <w:color w:val="1C3A36"/>
                <w:sz w:val="16"/>
              </w:rPr>
              <w:t>Guided earnings</w:t>
            </w:r>
          </w:p>
        </w:tc>
        <w:tc>
          <w:tcPr>
            <w:tcW w:type="dxa" w:w="1555"/>
            <w:shd w:val="clear" w:color="auto" w:fill="EAF0EE"/>
          </w:tcPr>
          <w:p>
            <w:pPr>
              <w:spacing w:after="20"/>
            </w:pPr>
            <w:r>
              <w:rPr>
                <w:b/>
                <w:color w:val="1C3A36"/>
                <w:sz w:val="16"/>
              </w:rPr>
              <w:t>Built earnings</w:t>
            </w:r>
          </w:p>
        </w:tc>
        <w:tc>
          <w:tcPr>
            <w:tcW w:type="dxa" w:w="1555"/>
            <w:shd w:val="clear" w:color="auto" w:fill="EAF0EE"/>
          </w:tcPr>
          <w:p>
            <w:pPr>
              <w:spacing w:after="20"/>
            </w:pPr>
            <w:r>
              <w:rPr>
                <w:b/>
                <w:color w:val="1C3A36"/>
                <w:sz w:val="16"/>
              </w:rPr>
              <w:t>Gap on earnings</w:t>
            </w:r>
          </w:p>
        </w:tc>
      </w:tr>
      <w:tr>
        <w:trPr>
          <w:cantSplit/>
        </w:trPr>
        <w:tc>
          <w:tcPr>
            <w:tcW w:type="dxa" w:w="2304"/>
          </w:tcPr>
          <w:p>
            <w:pPr>
              <w:spacing w:after="20"/>
            </w:pPr>
            <w:r>
              <w:rPr>
                <w:color w:val="1C3A36"/>
                <w:sz w:val="16"/>
              </w:rPr>
              <w:t>Integrated Logistics</w:t>
            </w:r>
          </w:p>
        </w:tc>
        <w:tc>
          <w:tcPr>
            <w:tcW w:type="dxa" w:w="1555"/>
          </w:tcPr>
          <w:p>
            <w:pPr>
              <w:spacing w:after="20"/>
              <w:jc w:val="right"/>
            </w:pPr>
            <w:r>
              <w:rPr>
                <w:color w:val="1C3A36"/>
                <w:sz w:val="16"/>
              </w:rPr>
              <w:t>1,897</w:t>
            </w:r>
          </w:p>
        </w:tc>
        <w:tc>
          <w:tcPr>
            <w:tcW w:type="dxa" w:w="1555"/>
          </w:tcPr>
          <w:p>
            <w:pPr>
              <w:spacing w:after="20"/>
              <w:jc w:val="right"/>
            </w:pPr>
            <w:r>
              <w:rPr>
                <w:color w:val="1C3A36"/>
                <w:sz w:val="16"/>
              </w:rPr>
              <w:t>2,080</w:t>
            </w:r>
          </w:p>
        </w:tc>
        <w:tc>
          <w:tcPr>
            <w:tcW w:type="dxa" w:w="1555"/>
          </w:tcPr>
          <w:p>
            <w:pPr>
              <w:spacing w:after="20"/>
              <w:jc w:val="right"/>
            </w:pPr>
            <w:r>
              <w:rPr>
                <w:color w:val="1C3A36"/>
                <w:sz w:val="16"/>
              </w:rPr>
              <w:t>622</w:t>
            </w:r>
          </w:p>
        </w:tc>
        <w:tc>
          <w:tcPr>
            <w:tcW w:type="dxa" w:w="1555"/>
          </w:tcPr>
          <w:p>
            <w:pPr>
              <w:spacing w:after="20"/>
              <w:jc w:val="right"/>
            </w:pPr>
            <w:r>
              <w:rPr>
                <w:color w:val="1C3A36"/>
                <w:sz w:val="16"/>
              </w:rPr>
              <w:t>631</w:t>
            </w:r>
          </w:p>
        </w:tc>
        <w:tc>
          <w:tcPr>
            <w:tcW w:type="dxa" w:w="1555"/>
          </w:tcPr>
          <w:p>
            <w:pPr>
              <w:spacing w:after="20"/>
              <w:jc w:val="right"/>
            </w:pPr>
            <w:r>
              <w:rPr>
                <w:color w:val="1C3A36"/>
                <w:sz w:val="16"/>
              </w:rPr>
              <w:t>+1%</w:t>
            </w:r>
          </w:p>
        </w:tc>
      </w:tr>
      <w:tr>
        <w:trPr>
          <w:cantSplit/>
        </w:trPr>
        <w:tc>
          <w:tcPr>
            <w:tcW w:type="dxa" w:w="2304"/>
          </w:tcPr>
          <w:p>
            <w:pPr>
              <w:spacing w:after="20"/>
            </w:pPr>
            <w:r>
              <w:rPr>
                <w:color w:val="1C3A36"/>
                <w:sz w:val="16"/>
              </w:rPr>
              <w:t>Shipping</w:t>
            </w:r>
          </w:p>
        </w:tc>
        <w:tc>
          <w:tcPr>
            <w:tcW w:type="dxa" w:w="1555"/>
          </w:tcPr>
          <w:p>
            <w:pPr>
              <w:spacing w:after="20"/>
              <w:jc w:val="right"/>
            </w:pPr>
            <w:r>
              <w:rPr>
                <w:color w:val="1C3A36"/>
                <w:sz w:val="16"/>
              </w:rPr>
              <w:t>3,930</w:t>
            </w:r>
          </w:p>
        </w:tc>
        <w:tc>
          <w:tcPr>
            <w:tcW w:type="dxa" w:w="1555"/>
          </w:tcPr>
          <w:p>
            <w:pPr>
              <w:spacing w:after="20"/>
              <w:jc w:val="right"/>
            </w:pPr>
            <w:r>
              <w:rPr>
                <w:color w:val="1C3A36"/>
                <w:sz w:val="16"/>
              </w:rPr>
              <w:t>4,524</w:t>
            </w:r>
          </w:p>
        </w:tc>
        <w:tc>
          <w:tcPr>
            <w:tcW w:type="dxa" w:w="1555"/>
          </w:tcPr>
          <w:p>
            <w:pPr>
              <w:spacing w:after="20"/>
              <w:jc w:val="right"/>
            </w:pPr>
            <w:r>
              <w:rPr>
                <w:color w:val="1C3A36"/>
                <w:sz w:val="16"/>
              </w:rPr>
              <w:t>1,794</w:t>
            </w:r>
          </w:p>
        </w:tc>
        <w:tc>
          <w:tcPr>
            <w:tcW w:type="dxa" w:w="1555"/>
          </w:tcPr>
          <w:p>
            <w:pPr>
              <w:spacing w:after="20"/>
              <w:jc w:val="right"/>
            </w:pPr>
            <w:r>
              <w:rPr>
                <w:color w:val="1C3A36"/>
                <w:sz w:val="16"/>
              </w:rPr>
              <w:t>2,035</w:t>
            </w:r>
          </w:p>
        </w:tc>
        <w:tc>
          <w:tcPr>
            <w:tcW w:type="dxa" w:w="1555"/>
          </w:tcPr>
          <w:p>
            <w:pPr>
              <w:spacing w:after="20"/>
              <w:jc w:val="right"/>
            </w:pPr>
            <w:r>
              <w:rPr>
                <w:color w:val="1C3A36"/>
                <w:sz w:val="16"/>
              </w:rPr>
              <w:t>+13%</w:t>
            </w:r>
          </w:p>
        </w:tc>
      </w:tr>
      <w:tr>
        <w:trPr>
          <w:cantSplit/>
        </w:trPr>
        <w:tc>
          <w:tcPr>
            <w:tcW w:type="dxa" w:w="2304"/>
          </w:tcPr>
          <w:p>
            <w:pPr>
              <w:spacing w:after="20"/>
            </w:pPr>
            <w:r>
              <w:rPr>
                <w:color w:val="1C3A36"/>
                <w:sz w:val="16"/>
              </w:rPr>
              <w:t>Services</w:t>
            </w:r>
          </w:p>
        </w:tc>
        <w:tc>
          <w:tcPr>
            <w:tcW w:type="dxa" w:w="1555"/>
          </w:tcPr>
          <w:p>
            <w:pPr>
              <w:spacing w:after="20"/>
              <w:jc w:val="right"/>
            </w:pPr>
            <w:r>
              <w:rPr>
                <w:color w:val="1C3A36"/>
                <w:sz w:val="16"/>
              </w:rPr>
              <w:t>381</w:t>
            </w:r>
          </w:p>
        </w:tc>
        <w:tc>
          <w:tcPr>
            <w:tcW w:type="dxa" w:w="1555"/>
          </w:tcPr>
          <w:p>
            <w:pPr>
              <w:spacing w:after="20"/>
              <w:jc w:val="right"/>
            </w:pPr>
            <w:r>
              <w:rPr>
                <w:color w:val="1C3A36"/>
                <w:sz w:val="16"/>
              </w:rPr>
              <w:t>378</w:t>
            </w:r>
          </w:p>
        </w:tc>
        <w:tc>
          <w:tcPr>
            <w:tcW w:type="dxa" w:w="1555"/>
          </w:tcPr>
          <w:p>
            <w:pPr>
              <w:spacing w:after="20"/>
              <w:jc w:val="right"/>
            </w:pPr>
            <w:r>
              <w:rPr>
                <w:color w:val="1C3A36"/>
                <w:sz w:val="16"/>
              </w:rPr>
              <w:t>72</w:t>
            </w:r>
          </w:p>
        </w:tc>
        <w:tc>
          <w:tcPr>
            <w:tcW w:type="dxa" w:w="1555"/>
          </w:tcPr>
          <w:p>
            <w:pPr>
              <w:spacing w:after="20"/>
              <w:jc w:val="right"/>
            </w:pPr>
            <w:r>
              <w:rPr>
                <w:color w:val="1C3A36"/>
                <w:sz w:val="16"/>
              </w:rPr>
              <w:t>51</w:t>
            </w:r>
          </w:p>
        </w:tc>
        <w:tc>
          <w:tcPr>
            <w:tcW w:type="dxa" w:w="1555"/>
          </w:tcPr>
          <w:p>
            <w:pPr>
              <w:spacing w:after="20"/>
              <w:jc w:val="right"/>
            </w:pPr>
            <w:r>
              <w:rPr>
                <w:color w:val="1C3A36"/>
                <w:sz w:val="16"/>
              </w:rPr>
              <w:t>-30%</w:t>
            </w:r>
          </w:p>
        </w:tc>
      </w:tr>
      <w:tr>
        <w:trPr>
          <w:cantSplit/>
        </w:trPr>
        <w:tc>
          <w:tcPr>
            <w:tcW w:type="dxa" w:w="2304"/>
            <w:shd w:val="clear" w:color="auto" w:fill="F6F1E6"/>
          </w:tcPr>
          <w:p>
            <w:pPr>
              <w:spacing w:after="20"/>
            </w:pPr>
            <w:r>
              <w:rPr>
                <w:b/>
                <w:color w:val="1C3A36"/>
                <w:sz w:val="16"/>
              </w:rPr>
              <w:t>Group</w:t>
            </w:r>
          </w:p>
        </w:tc>
        <w:tc>
          <w:tcPr>
            <w:tcW w:type="dxa" w:w="1555"/>
            <w:shd w:val="clear" w:color="auto" w:fill="F6F1E6"/>
          </w:tcPr>
          <w:p>
            <w:pPr>
              <w:spacing w:after="20"/>
              <w:jc w:val="right"/>
            </w:pPr>
            <w:r>
              <w:rPr>
                <w:b/>
                <w:color w:val="1C3A36"/>
                <w:sz w:val="16"/>
              </w:rPr>
              <w:t>6,270</w:t>
            </w:r>
          </w:p>
        </w:tc>
        <w:tc>
          <w:tcPr>
            <w:tcW w:type="dxa" w:w="1555"/>
            <w:shd w:val="clear" w:color="auto" w:fill="F6F1E6"/>
          </w:tcPr>
          <w:p>
            <w:pPr>
              <w:spacing w:after="20"/>
              <w:jc w:val="right"/>
            </w:pPr>
            <w:r>
              <w:rPr>
                <w:b/>
                <w:color w:val="1C3A36"/>
                <w:sz w:val="16"/>
              </w:rPr>
              <w:t>6,982</w:t>
            </w:r>
          </w:p>
        </w:tc>
        <w:tc>
          <w:tcPr>
            <w:tcW w:type="dxa" w:w="1555"/>
            <w:shd w:val="clear" w:color="auto" w:fill="F6F1E6"/>
          </w:tcPr>
          <w:p>
            <w:pPr>
              <w:spacing w:after="20"/>
              <w:jc w:val="right"/>
            </w:pPr>
            <w:r>
              <w:rPr>
                <w:b/>
                <w:color w:val="1C3A36"/>
                <w:sz w:val="16"/>
              </w:rPr>
              <w:t>2,499</w:t>
            </w:r>
          </w:p>
        </w:tc>
        <w:tc>
          <w:tcPr>
            <w:tcW w:type="dxa" w:w="1555"/>
            <w:shd w:val="clear" w:color="auto" w:fill="F6F1E6"/>
          </w:tcPr>
          <w:p>
            <w:pPr>
              <w:spacing w:after="20"/>
              <w:jc w:val="right"/>
            </w:pPr>
            <w:r>
              <w:rPr>
                <w:b/>
                <w:color w:val="1C3A36"/>
                <w:sz w:val="16"/>
              </w:rPr>
              <w:t>2,716</w:t>
            </w:r>
          </w:p>
        </w:tc>
        <w:tc>
          <w:tcPr>
            <w:tcW w:type="dxa" w:w="1555"/>
            <w:shd w:val="clear" w:color="auto" w:fill="F6F1E6"/>
          </w:tcPr>
          <w:p>
            <w:pPr>
              <w:spacing w:after="20"/>
              <w:jc w:val="right"/>
            </w:pPr>
            <w:r>
              <w:rPr>
                <w:b/>
                <w:color w:val="1C3A36"/>
                <w:sz w:val="16"/>
              </w:rPr>
              <w:t>+9%</w:t>
            </w:r>
          </w:p>
        </w:tc>
      </w:tr>
      <w:tr>
        <w:trPr>
          <w:cantSplit/>
        </w:trPr>
        <w:tc>
          <w:tcPr>
            <w:tcW w:type="dxa" w:w="2304"/>
            <w:shd w:val="clear" w:color="auto" w:fill="F6F1E6"/>
          </w:tcPr>
          <w:p>
            <w:pPr>
              <w:spacing w:after="20"/>
            </w:pPr>
            <w:r>
              <w:rPr>
                <w:b/>
                <w:color w:val="1C3A36"/>
                <w:sz w:val="16"/>
              </w:rPr>
              <w:t>Group, measured against the three units instead</w:t>
            </w:r>
          </w:p>
        </w:tc>
        <w:tc>
          <w:tcPr>
            <w:tcW w:type="dxa" w:w="1555"/>
            <w:shd w:val="clear" w:color="auto" w:fill="F6F1E6"/>
          </w:tcPr>
          <w:p>
            <w:pPr>
              <w:spacing w:after="20"/>
              <w:jc w:val="right"/>
            </w:pPr>
            <w:r>
              <w:rPr>
                <w:b/>
                <w:color w:val="1C3A36"/>
                <w:sz w:val="16"/>
              </w:rPr>
              <w:t>6,208</w:t>
            </w:r>
          </w:p>
        </w:tc>
        <w:tc>
          <w:tcPr>
            <w:tcW w:type="dxa" w:w="1555"/>
            <w:shd w:val="clear" w:color="auto" w:fill="F6F1E6"/>
          </w:tcPr>
          <w:p>
            <w:pPr>
              <w:spacing w:after="20"/>
              <w:jc w:val="right"/>
            </w:pPr>
            <w:r>
              <w:rPr>
                <w:b/>
                <w:color w:val="1C3A36"/>
                <w:sz w:val="16"/>
              </w:rPr>
              <w:t>6,982</w:t>
            </w:r>
          </w:p>
        </w:tc>
        <w:tc>
          <w:tcPr>
            <w:tcW w:type="dxa" w:w="1555"/>
            <w:shd w:val="clear" w:color="auto" w:fill="F6F1E6"/>
          </w:tcPr>
          <w:p>
            <w:pPr>
              <w:spacing w:after="20"/>
              <w:jc w:val="right"/>
            </w:pPr>
            <w:r>
              <w:rPr>
                <w:b/>
                <w:color w:val="1C3A36"/>
                <w:sz w:val="16"/>
              </w:rPr>
              <w:t>2,488</w:t>
            </w:r>
          </w:p>
        </w:tc>
        <w:tc>
          <w:tcPr>
            <w:tcW w:type="dxa" w:w="1555"/>
            <w:shd w:val="clear" w:color="auto" w:fill="F6F1E6"/>
          </w:tcPr>
          <w:p>
            <w:pPr>
              <w:spacing w:after="20"/>
              <w:jc w:val="right"/>
            </w:pPr>
            <w:r>
              <w:rPr>
                <w:b/>
                <w:color w:val="1C3A36"/>
                <w:sz w:val="16"/>
              </w:rPr>
              <w:t>2,716</w:t>
            </w:r>
          </w:p>
        </w:tc>
        <w:tc>
          <w:tcPr>
            <w:tcW w:type="dxa" w:w="1555"/>
            <w:shd w:val="clear" w:color="auto" w:fill="F6F1E6"/>
          </w:tcPr>
          <w:p>
            <w:pPr>
              <w:spacing w:after="20"/>
              <w:jc w:val="right"/>
            </w:pPr>
            <w:r>
              <w:rPr>
                <w:b/>
                <w:color w:val="1C3A36"/>
                <w:sz w:val="16"/>
              </w:rPr>
              <w:t>+9%</w:t>
            </w:r>
          </w:p>
        </w:tc>
      </w:tr>
    </w:tbl>
    <w:p>
      <w:pPr>
        <w:spacing w:after="40"/>
      </w:pPr>
    </w:p>
    <w:p>
      <w:pPr>
        <w:spacing w:after="200" w:before="0"/>
      </w:pPr>
      <w:r>
        <w:rPr>
          <w:b w:val="0"/>
          <w:i/>
          <w:color w:val="6E7B77"/>
          <w:sz w:val="17"/>
        </w:rPr>
        <w:t>Revenue and earnings in USD million; guided figures are the converted ones from the table above. The last row exists because the group guidance and the unit guidance do not agree with each other, so the gap this build carries depends on which of the two it is measured against: +9% against the group band, +9% against the sum of the unit bands. Both are published. The built figures are the output of the unit model in this section.</w:t>
      </w:r>
    </w:p>
    <w:p>
      <w:pPr>
        <w:spacing w:after="120" w:before="0"/>
      </w:pPr>
      <w:r>
        <w:rPr>
          <w:b w:val="0"/>
          <w:i w:val="0"/>
          <w:color w:val="1C3A36"/>
          <w:sz w:val="21"/>
        </w:rPr>
        <w:t>The group gap is +9% on earnings. Management's own explanation for why its guidance is set where it is, given with the guidance itself, is that its shipping assumptions are set well below prevailing spot rates and its logistics guidance is set at minimum activity levels. This build does not use assumptions set below the market: it marks the tanker fleet to the rates the company itself reported for the first quarter of 2026 and indicated for the second, and it sets each logistics unit at what that unit actually earned in the first quarter, annualised. Those are the company's own numbers, used at face value. The reader now has both figures and the reason for the difference, and can decide which to work from. What the reader should not do is assume the two are reconciled somewhere below: they are not, and the +9% is carried openly through every lens in this study. Note also that the gap runs the other way in Integrated Logistics on revenue, where the build is above guidance on both lines, and is largest in Shipping at +13% — which is exactly where management said it was being conservative.</w:t>
      </w:r>
    </w:p>
    <w:p>
      <w:pPr>
        <w:keepNext/>
        <w:spacing w:after="80" w:before="200"/>
      </w:pPr>
      <w:r>
        <w:rPr>
          <w:b/>
          <w:i w:val="0"/>
          <w:color w:val="1C3A36"/>
          <w:sz w:val="24"/>
        </w:rPr>
        <w:t>1.7  The crux — what the fleet earns per day, and for how long</w:t>
      </w:r>
    </w:p>
    <w:p>
      <w:pPr>
        <w:spacing w:after="120" w:before="0"/>
      </w:pPr>
      <w:r>
        <w:rPr>
          <w:b w:val="0"/>
          <w:i w:val="0"/>
          <w:color w:val="1C3A36"/>
          <w:sz w:val="21"/>
        </w:rPr>
        <w:t>Everything else in this study is second order. The crux is a single question: the tanker fleet is currently earning rates several times its own recent average, and the valuation turns entirely on how long that lasts and where it settles. Getting to that question, though, requires first getting the current rate right, and the published figure is not it.</w:t>
      </w:r>
    </w:p>
    <w:p>
      <w:pPr>
        <w:keepNext/>
        <w:spacing w:after="80" w:before="200"/>
      </w:pPr>
      <w:r>
        <w:rPr>
          <w:b/>
          <w:i w:val="0"/>
          <w:color w:val="1C3A36"/>
          <w:sz w:val="24"/>
        </w:rPr>
        <w:t>The published rate is a blend, and the company says so</w:t>
      </w:r>
    </w:p>
    <w:p>
      <w:pPr>
        <w:spacing w:after="120" w:before="0"/>
      </w:pPr>
      <w:r>
        <w:rPr>
          <w:b w:val="0"/>
          <w:i w:val="0"/>
          <w:color w:val="1C3A36"/>
          <w:sz w:val="21"/>
        </w:rPr>
        <w:t>The company publishes one rate per vessel class per quarter. That figure averages the vessels trading in the open market with the vessels already committed on charters out at rates fixed months or years earlier, so it is lower than what a free vessel earns and lower by an amount that depends on how many of the class are committed. Asked directly about the largest class on the first-quarter call, the chief financial officer put it plainly:</w:t>
      </w:r>
    </w:p>
    <w:p>
      <w:pPr>
        <w:spacing w:after="120" w:before="0"/>
      </w:pPr>
      <w:r>
        <w:rPr>
          <w:b w:val="0"/>
          <w:i/>
          <w:color w:val="1C3A36"/>
          <w:sz w:val="18"/>
        </w:rPr>
        <w:t>“… was related to our full fleet of 8, and it includes all the vessels on long-term charter as well … it's a blended rate that we give there, which is obviously less than the spot rate.”</w:t>
      </w:r>
    </w:p>
    <w:p>
      <w:pPr>
        <w:spacing w:after="120" w:before="0"/>
      </w:pPr>
      <w:r>
        <w:rPr>
          <w:b w:val="0"/>
          <w:i w:val="0"/>
          <w:color w:val="1C3A36"/>
          <w:sz w:val="21"/>
        </w:rPr>
        <w:t>An earlier edition of this study read that published figure as the open-market rate and then added the chartered vessels to the model separately at their own, lower, disclosed rates. That charges the drag of the charters twice — once inside the published average and once again beside it — and it understates the fleet. The build is now the other way round. Every one of the 12 vessels chartered out is carried individually, at its own published rate, for exactly the days its own contract runs. The open-market rate is then not assumed at all: it is solved out of the company's own published average by taking the charters back out of it — the class average multiplied by the class's vessel-days, less what the committed vessels earned, divided by the days the uncommitted vessels had. Nothing about the market rate is a judgement; it is arithmetic on the company's own disclosure.</w:t>
      </w:r>
    </w:p>
    <w:p>
      <w:pPr>
        <w:keepNext/>
        <w:spacing w:after="80" w:before="200"/>
      </w:pPr>
      <w:r>
        <w:rPr>
          <w:b/>
          <w:i w:val="0"/>
          <w:color w:val="1C3A36"/>
          <w:sz w:val="24"/>
        </w:rPr>
        <w:t>The twelve vessels chartered out, exactly as published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2390"/>
        <w:gridCol w:w="1901"/>
        <w:gridCol w:w="1584"/>
        <w:gridCol w:w="1872"/>
      </w:tblGrid>
      <w:tr>
        <w:trPr>
          <w:cantSplit/>
          <w:tblHeader/>
        </w:trPr>
        <w:tc>
          <w:tcPr>
            <w:tcW w:type="dxa" w:w="2333"/>
            <w:shd w:val="clear" w:color="auto" w:fill="EAF0EE"/>
          </w:tcPr>
          <w:p>
            <w:pPr>
              <w:spacing w:after="20"/>
              <w:jc w:val="left"/>
            </w:pPr>
            <w:r>
              <w:rPr>
                <w:b/>
                <w:color w:val="1C3A36"/>
                <w:sz w:val="16"/>
              </w:rPr>
              <w:t>Vessel</w:t>
            </w:r>
          </w:p>
        </w:tc>
        <w:tc>
          <w:tcPr>
            <w:tcW w:type="dxa" w:w="2390"/>
            <w:shd w:val="clear" w:color="auto" w:fill="EAF0EE"/>
          </w:tcPr>
          <w:p>
            <w:pPr>
              <w:spacing w:after="20"/>
              <w:jc w:val="left"/>
            </w:pPr>
            <w:r>
              <w:rPr>
                <w:b/>
                <w:color w:val="1C3A36"/>
                <w:sz w:val="16"/>
              </w:rPr>
              <w:t>Class</w:t>
            </w:r>
          </w:p>
        </w:tc>
        <w:tc>
          <w:tcPr>
            <w:tcW w:type="dxa" w:w="1901"/>
            <w:shd w:val="clear" w:color="auto" w:fill="EAF0EE"/>
          </w:tcPr>
          <w:p>
            <w:pPr>
              <w:spacing w:after="20"/>
            </w:pPr>
            <w:r>
              <w:rPr>
                <w:b/>
                <w:color w:val="1C3A36"/>
                <w:sz w:val="16"/>
              </w:rPr>
              <w:t>Fixed rate (USD/day)</w:t>
            </w:r>
          </w:p>
        </w:tc>
        <w:tc>
          <w:tcPr>
            <w:tcW w:type="dxa" w:w="1584"/>
            <w:shd w:val="clear" w:color="auto" w:fill="EAF0EE"/>
          </w:tcPr>
          <w:p>
            <w:pPr>
              <w:spacing w:after="20"/>
            </w:pPr>
            <w:r>
              <w:rPr>
                <w:b/>
                <w:color w:val="1C3A36"/>
                <w:sz w:val="16"/>
              </w:rPr>
              <w:t>Period</w:t>
            </w:r>
          </w:p>
        </w:tc>
        <w:tc>
          <w:tcPr>
            <w:tcW w:type="dxa" w:w="1872"/>
            <w:shd w:val="clear" w:color="auto" w:fill="EAF0EE"/>
          </w:tcPr>
          <w:p>
            <w:pPr>
              <w:spacing w:after="20"/>
            </w:pPr>
            <w:r>
              <w:rPr>
                <w:b/>
                <w:color w:val="1C3A36"/>
                <w:sz w:val="16"/>
              </w:rPr>
              <w:t>Runs to</w:t>
            </w:r>
          </w:p>
        </w:tc>
      </w:tr>
      <w:tr>
        <w:trPr>
          <w:cantSplit/>
        </w:trPr>
        <w:tc>
          <w:tcPr>
            <w:tcW w:type="dxa" w:w="2333"/>
          </w:tcPr>
          <w:p>
            <w:pPr>
              <w:spacing w:after="20"/>
              <w:jc w:val="left"/>
            </w:pPr>
            <w:r>
              <w:rPr>
                <w:color w:val="1C3A36"/>
                <w:sz w:val="16"/>
              </w:rPr>
              <w:t>Navig8 Macallister</w:t>
            </w:r>
          </w:p>
        </w:tc>
        <w:tc>
          <w:tcPr>
            <w:tcW w:type="dxa" w:w="2390"/>
          </w:tcPr>
          <w:p>
            <w:pPr>
              <w:spacing w:after="20"/>
              <w:jc w:val="left"/>
            </w:pPr>
            <w:r>
              <w:rPr>
                <w:color w:val="1C3A36"/>
                <w:sz w:val="16"/>
              </w:rPr>
              <w:t>Long range 1</w:t>
            </w:r>
          </w:p>
        </w:tc>
        <w:tc>
          <w:tcPr>
            <w:tcW w:type="dxa" w:w="1901"/>
          </w:tcPr>
          <w:p>
            <w:pPr>
              <w:spacing w:after="20"/>
              <w:jc w:val="right"/>
            </w:pPr>
            <w:r>
              <w:rPr>
                <w:color w:val="1C3A36"/>
                <w:sz w:val="16"/>
              </w:rPr>
              <w:t>19,750</w:t>
            </w:r>
          </w:p>
        </w:tc>
        <w:tc>
          <w:tcPr>
            <w:tcW w:type="dxa" w:w="1584"/>
          </w:tcPr>
          <w:p>
            <w:pPr>
              <w:spacing w:after="20"/>
              <w:jc w:val="right"/>
            </w:pPr>
            <w:r>
              <w:rPr>
                <w:color w:val="1C3A36"/>
                <w:sz w:val="16"/>
              </w:rPr>
              <w:t>18 months</w:t>
            </w:r>
          </w:p>
        </w:tc>
        <w:tc>
          <w:tcPr>
            <w:tcW w:type="dxa" w:w="1872"/>
          </w:tcPr>
          <w:p>
            <w:pPr>
              <w:spacing w:after="20"/>
              <w:jc w:val="right"/>
            </w:pPr>
            <w:r>
              <w:rPr>
                <w:color w:val="1C3A36"/>
                <w:sz w:val="16"/>
              </w:rPr>
              <w:t>28 Mar 2027</w:t>
            </w:r>
          </w:p>
        </w:tc>
      </w:tr>
      <w:tr>
        <w:trPr>
          <w:cantSplit/>
        </w:trPr>
        <w:tc>
          <w:tcPr>
            <w:tcW w:type="dxa" w:w="2333"/>
          </w:tcPr>
          <w:p>
            <w:pPr>
              <w:spacing w:after="20"/>
              <w:jc w:val="left"/>
            </w:pPr>
            <w:r>
              <w:rPr>
                <w:color w:val="1C3A36"/>
                <w:sz w:val="16"/>
              </w:rPr>
              <w:t>Navig8 Martinez</w:t>
            </w:r>
          </w:p>
        </w:tc>
        <w:tc>
          <w:tcPr>
            <w:tcW w:type="dxa" w:w="2390"/>
          </w:tcPr>
          <w:p>
            <w:pPr>
              <w:spacing w:after="20"/>
              <w:jc w:val="left"/>
            </w:pPr>
            <w:r>
              <w:rPr>
                <w:color w:val="1C3A36"/>
                <w:sz w:val="16"/>
              </w:rPr>
              <w:t>Long range 1</w:t>
            </w:r>
          </w:p>
        </w:tc>
        <w:tc>
          <w:tcPr>
            <w:tcW w:type="dxa" w:w="1901"/>
          </w:tcPr>
          <w:p>
            <w:pPr>
              <w:spacing w:after="20"/>
              <w:jc w:val="right"/>
            </w:pPr>
            <w:r>
              <w:rPr>
                <w:color w:val="1C3A36"/>
                <w:sz w:val="16"/>
              </w:rPr>
              <w:t>19,750</w:t>
            </w:r>
          </w:p>
        </w:tc>
        <w:tc>
          <w:tcPr>
            <w:tcW w:type="dxa" w:w="1584"/>
          </w:tcPr>
          <w:p>
            <w:pPr>
              <w:spacing w:after="20"/>
              <w:jc w:val="right"/>
            </w:pPr>
            <w:r>
              <w:rPr>
                <w:color w:val="1C3A36"/>
                <w:sz w:val="16"/>
              </w:rPr>
              <w:t>32 months</w:t>
            </w:r>
          </w:p>
        </w:tc>
        <w:tc>
          <w:tcPr>
            <w:tcW w:type="dxa" w:w="1872"/>
          </w:tcPr>
          <w:p>
            <w:pPr>
              <w:spacing w:after="20"/>
              <w:jc w:val="right"/>
            </w:pPr>
            <w:r>
              <w:rPr>
                <w:color w:val="1C3A36"/>
                <w:sz w:val="16"/>
              </w:rPr>
              <w:t>28 Jul 2028</w:t>
            </w:r>
          </w:p>
        </w:tc>
      </w:tr>
      <w:tr>
        <w:trPr>
          <w:cantSplit/>
        </w:trPr>
        <w:tc>
          <w:tcPr>
            <w:tcW w:type="dxa" w:w="2333"/>
          </w:tcPr>
          <w:p>
            <w:pPr>
              <w:spacing w:after="20"/>
              <w:jc w:val="left"/>
            </w:pPr>
            <w:r>
              <w:rPr>
                <w:color w:val="1C3A36"/>
                <w:sz w:val="16"/>
              </w:rPr>
              <w:t>Navig8 Prosperity</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30,561</w:t>
            </w:r>
          </w:p>
        </w:tc>
        <w:tc>
          <w:tcPr>
            <w:tcW w:type="dxa" w:w="1584"/>
          </w:tcPr>
          <w:p>
            <w:pPr>
              <w:spacing w:after="20"/>
              <w:jc w:val="right"/>
            </w:pPr>
            <w:r>
              <w:rPr>
                <w:color w:val="1C3A36"/>
                <w:sz w:val="16"/>
              </w:rPr>
              <w:t>36 months</w:t>
            </w:r>
          </w:p>
        </w:tc>
        <w:tc>
          <w:tcPr>
            <w:tcW w:type="dxa" w:w="1872"/>
          </w:tcPr>
          <w:p>
            <w:pPr>
              <w:spacing w:after="20"/>
              <w:jc w:val="right"/>
            </w:pPr>
            <w:r>
              <w:rPr>
                <w:color w:val="1C3A36"/>
                <w:sz w:val="16"/>
              </w:rPr>
              <w:t>4 May 2026</w:t>
            </w:r>
          </w:p>
        </w:tc>
      </w:tr>
      <w:tr>
        <w:trPr>
          <w:cantSplit/>
        </w:trPr>
        <w:tc>
          <w:tcPr>
            <w:tcW w:type="dxa" w:w="2333"/>
          </w:tcPr>
          <w:p>
            <w:pPr>
              <w:spacing w:after="20"/>
              <w:jc w:val="left"/>
            </w:pPr>
            <w:r>
              <w:rPr>
                <w:color w:val="1C3A36"/>
                <w:sz w:val="16"/>
              </w:rPr>
              <w:t>Navig8 Promise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32,125</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27 Aug 2026</w:t>
            </w:r>
          </w:p>
        </w:tc>
      </w:tr>
      <w:tr>
        <w:trPr>
          <w:cantSplit/>
        </w:trPr>
        <w:tc>
          <w:tcPr>
            <w:tcW w:type="dxa" w:w="2333"/>
          </w:tcPr>
          <w:p>
            <w:pPr>
              <w:spacing w:after="20"/>
              <w:jc w:val="left"/>
            </w:pPr>
            <w:r>
              <w:rPr>
                <w:color w:val="1C3A36"/>
                <w:sz w:val="16"/>
              </w:rPr>
              <w:t>Navig8 Pride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32,125</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7 Oct 2026</w:t>
            </w:r>
          </w:p>
        </w:tc>
      </w:tr>
      <w:tr>
        <w:trPr>
          <w:cantSplit/>
        </w:trPr>
        <w:tc>
          <w:tcPr>
            <w:tcW w:type="dxa" w:w="2333"/>
          </w:tcPr>
          <w:p>
            <w:pPr>
              <w:spacing w:after="20"/>
              <w:jc w:val="left"/>
            </w:pPr>
            <w:r>
              <w:rPr>
                <w:color w:val="1C3A36"/>
                <w:sz w:val="16"/>
              </w:rPr>
              <w:t>Navig8 Prestige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36,850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7 Dec 2026</w:t>
            </w:r>
          </w:p>
        </w:tc>
      </w:tr>
      <w:tr>
        <w:trPr>
          <w:cantSplit/>
        </w:trPr>
        <w:tc>
          <w:tcPr>
            <w:tcW w:type="dxa" w:w="2333"/>
          </w:tcPr>
          <w:p>
            <w:pPr>
              <w:spacing w:after="20"/>
              <w:jc w:val="left"/>
            </w:pPr>
            <w:r>
              <w:rPr>
                <w:color w:val="1C3A36"/>
                <w:sz w:val="16"/>
              </w:rPr>
              <w:t>Navig8 Providence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42,000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18 Apr 2027</w:t>
            </w:r>
          </w:p>
        </w:tc>
      </w:tr>
      <w:tr>
        <w:trPr>
          <w:cantSplit/>
        </w:trPr>
        <w:tc>
          <w:tcPr>
            <w:tcW w:type="dxa" w:w="2333"/>
          </w:tcPr>
          <w:p>
            <w:pPr>
              <w:spacing w:after="20"/>
              <w:jc w:val="left"/>
            </w:pPr>
            <w:r>
              <w:rPr>
                <w:color w:val="1C3A36"/>
                <w:sz w:val="16"/>
              </w:rPr>
              <w:t>Navig8 Passion</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42,000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20 Jun 2027</w:t>
            </w:r>
          </w:p>
        </w:tc>
      </w:tr>
      <w:tr>
        <w:trPr>
          <w:cantSplit/>
        </w:trPr>
        <w:tc>
          <w:tcPr>
            <w:tcW w:type="dxa" w:w="2333"/>
          </w:tcPr>
          <w:p>
            <w:pPr>
              <w:spacing w:after="20"/>
              <w:jc w:val="left"/>
            </w:pPr>
            <w:r>
              <w:rPr>
                <w:color w:val="1C3A36"/>
                <w:sz w:val="16"/>
              </w:rPr>
              <w:t>Zakum</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50,633</w:t>
            </w:r>
          </w:p>
        </w:tc>
        <w:tc>
          <w:tcPr>
            <w:tcW w:type="dxa" w:w="1584"/>
          </w:tcPr>
          <w:p>
            <w:pPr>
              <w:spacing w:after="20"/>
              <w:jc w:val="right"/>
            </w:pPr>
            <w:r>
              <w:rPr>
                <w:color w:val="1C3A36"/>
                <w:sz w:val="16"/>
              </w:rPr>
              <w:t>22 months</w:t>
            </w:r>
          </w:p>
        </w:tc>
        <w:tc>
          <w:tcPr>
            <w:tcW w:type="dxa" w:w="1872"/>
          </w:tcPr>
          <w:p>
            <w:pPr>
              <w:spacing w:after="20"/>
              <w:jc w:val="right"/>
            </w:pPr>
            <w:r>
              <w:rPr>
                <w:color w:val="1C3A36"/>
                <w:sz w:val="16"/>
              </w:rPr>
              <w:t>2 Jan 2028</w:t>
            </w:r>
          </w:p>
        </w:tc>
      </w:tr>
      <w:tr>
        <w:trPr>
          <w:cantSplit/>
        </w:trPr>
        <w:tc>
          <w:tcPr>
            <w:tcW w:type="dxa" w:w="2333"/>
          </w:tcPr>
          <w:p>
            <w:pPr>
              <w:spacing w:after="20"/>
              <w:jc w:val="left"/>
            </w:pPr>
            <w:r>
              <w:rPr>
                <w:color w:val="1C3A36"/>
                <w:sz w:val="16"/>
              </w:rPr>
              <w:t>Hili</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50,633</w:t>
            </w:r>
          </w:p>
        </w:tc>
        <w:tc>
          <w:tcPr>
            <w:tcW w:type="dxa" w:w="1584"/>
          </w:tcPr>
          <w:p>
            <w:pPr>
              <w:spacing w:after="20"/>
              <w:jc w:val="right"/>
            </w:pPr>
            <w:r>
              <w:rPr>
                <w:color w:val="1C3A36"/>
                <w:sz w:val="16"/>
              </w:rPr>
              <w:t>22 months</w:t>
            </w:r>
          </w:p>
        </w:tc>
        <w:tc>
          <w:tcPr>
            <w:tcW w:type="dxa" w:w="1872"/>
          </w:tcPr>
          <w:p>
            <w:pPr>
              <w:spacing w:after="20"/>
              <w:jc w:val="right"/>
            </w:pPr>
            <w:r>
              <w:rPr>
                <w:color w:val="1C3A36"/>
                <w:sz w:val="16"/>
              </w:rPr>
              <w:t>16 Jan 2028</w:t>
            </w:r>
          </w:p>
        </w:tc>
      </w:tr>
      <w:tr>
        <w:trPr>
          <w:cantSplit/>
        </w:trPr>
        <w:tc>
          <w:tcPr>
            <w:tcW w:type="dxa" w:w="2333"/>
          </w:tcPr>
          <w:p>
            <w:pPr>
              <w:spacing w:after="20"/>
              <w:jc w:val="left"/>
            </w:pPr>
            <w:r>
              <w:rPr>
                <w:color w:val="1C3A36"/>
                <w:sz w:val="16"/>
              </w:rPr>
              <w:t>Arzanah</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70,000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20 Apr 2027</w:t>
            </w:r>
          </w:p>
        </w:tc>
      </w:tr>
      <w:tr>
        <w:trPr>
          <w:cantSplit/>
        </w:trPr>
        <w:tc>
          <w:tcPr>
            <w:tcW w:type="dxa" w:w="2333"/>
          </w:tcPr>
          <w:p>
            <w:pPr>
              <w:spacing w:after="20"/>
              <w:jc w:val="left"/>
            </w:pPr>
            <w:r>
              <w:rPr>
                <w:color w:val="1C3A36"/>
                <w:sz w:val="16"/>
              </w:rPr>
              <w:t>Habshan</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72,500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21 May 2027</w:t>
            </w:r>
          </w:p>
        </w:tc>
      </w:tr>
      <w:tr>
        <w:trPr>
          <w:cantSplit/>
        </w:trPr>
        <w:tc>
          <w:tcPr>
            <w:tcW w:type="dxa" w:w="2333"/>
            <w:shd w:val="clear" w:color="auto" w:fill="F6F1E6"/>
          </w:tcPr>
          <w:p>
            <w:pPr>
              <w:spacing w:after="20"/>
              <w:jc w:val="left"/>
            </w:pPr>
            <w:r>
              <w:rPr>
                <w:b/>
                <w:color w:val="1C3A36"/>
                <w:sz w:val="16"/>
              </w:rPr>
              <w:t>12 vessels</w:t>
            </w:r>
          </w:p>
        </w:tc>
        <w:tc>
          <w:tcPr>
            <w:tcW w:type="dxa" w:w="2390"/>
            <w:shd w:val="clear" w:color="auto" w:fill="F6F1E6"/>
          </w:tcPr>
          <w:p>
            <w:pPr>
              <w:spacing w:after="20"/>
              <w:jc w:val="left"/>
            </w:pPr>
            <w:r>
              <w:rPr>
                <w:b/>
                <w:color w:val="1C3A36"/>
                <w:sz w:val="16"/>
              </w:rPr>
            </w:r>
          </w:p>
        </w:tc>
        <w:tc>
          <w:tcPr>
            <w:tcW w:type="dxa" w:w="1901"/>
            <w:shd w:val="clear" w:color="auto" w:fill="F6F1E6"/>
          </w:tcPr>
          <w:p>
            <w:pPr>
              <w:spacing w:after="20"/>
              <w:jc w:val="right"/>
            </w:pPr>
            <w:r>
              <w:rPr>
                <w:b/>
                <w:color w:val="1C3A36"/>
                <w:sz w:val="16"/>
              </w:rPr>
              <w:t>19,750 – 72,500</w:t>
            </w:r>
          </w:p>
        </w:tc>
        <w:tc>
          <w:tcPr>
            <w:tcW w:type="dxa" w:w="1584"/>
            <w:shd w:val="clear" w:color="auto" w:fill="F6F1E6"/>
          </w:tcPr>
          <w:p>
            <w:pPr>
              <w:spacing w:after="20"/>
              <w:jc w:val="right"/>
            </w:pPr>
            <w:r>
              <w:rPr>
                <w:b/>
                <w:color w:val="1C3A36"/>
                <w:sz w:val="16"/>
              </w:rPr>
            </w:r>
          </w:p>
        </w:tc>
        <w:tc>
          <w:tcPr>
            <w:tcW w:type="dxa" w:w="1872"/>
            <w:shd w:val="clear" w:color="auto" w:fill="F6F1E6"/>
          </w:tcPr>
          <w:p>
            <w:pPr>
              <w:spacing w:after="20"/>
              <w:jc w:val="right"/>
            </w:pPr>
            <w:r>
              <w:rPr>
                <w:b/>
                <w:color w:val="1C3A36"/>
                <w:sz w:val="16"/>
              </w:rPr>
              <w:t>last expiry 28 Jul 2028</w:t>
            </w:r>
          </w:p>
        </w:tc>
      </w:tr>
    </w:tbl>
    <w:p>
      <w:pPr>
        <w:spacing w:after="40"/>
      </w:pPr>
    </w:p>
    <w:p>
      <w:pPr>
        <w:spacing w:after="200" w:before="0"/>
      </w:pPr>
      <w:r>
        <w:rPr>
          <w:b w:val="0"/>
          <w:i/>
          <w:color w:val="6E7B77"/>
          <w:sz w:val="17"/>
        </w:rPr>
        <w:t>Every field is disclosed in the company's own contract table; the start date is the stated expiry less the stated period, so no date is invented. At the valuation date of 2026-06-30, 11 of these were running, leaving 41 of the 52 owned tankers free to earn the open-market rate. The spread inside the table is the point: the two long-range-one vessels are fixed at USD 19,750 a day while the open-market rate for their class in the first quarter was USD 40,643, and the four largest vessels are fixed between USD 50,633 and USD 72,500 against an open-market rate of USD 151,440. A vessel on charter out cannot earn the market, and the model no longer pretends the fleet average is what a free vessel earns.</w:t>
      </w:r>
    </w:p>
    <w:p>
      <w:pPr>
        <w:spacing w:after="40"/>
        <w:jc w:val="center"/>
      </w:pPr>
      <w:r>
        <w:drawing>
          <wp:inline xmlns:a="http://schemas.openxmlformats.org/drawingml/2006/main" xmlns:pic="http://schemas.openxmlformats.org/drawingml/2006/picture">
            <wp:extent cx="6400800" cy="2863516"/>
            <wp:docPr id="3" name="Picture 3"/>
            <wp:cNvGraphicFramePr>
              <a:graphicFrameLocks noChangeAspect="1"/>
            </wp:cNvGraphicFramePr>
            <a:graphic>
              <a:graphicData uri="http://schemas.openxmlformats.org/drawingml/2006/picture">
                <pic:pic>
                  <pic:nvPicPr>
                    <pic:cNvPr id="0" name="fig8_tce.png"/>
                    <pic:cNvPicPr/>
                  </pic:nvPicPr>
                  <pic:blipFill>
                    <a:blip r:embed="rId11"/>
                    <a:stretch>
                      <a:fillRect/>
                    </a:stretch>
                  </pic:blipFill>
                  <pic:spPr>
                    <a:xfrm>
                      <a:off x="0" y="0"/>
                      <a:ext cx="6400800" cy="2863516"/>
                    </a:xfrm>
                    <a:prstGeom prst="rect"/>
                  </pic:spPr>
                </pic:pic>
              </a:graphicData>
            </a:graphic>
          </wp:inline>
        </w:drawing>
      </w:r>
    </w:p>
    <w:p>
      <w:pPr>
        <w:spacing w:after="200" w:before="0"/>
      </w:pPr>
      <w:r>
        <w:rPr>
          <w:b w:val="0"/>
          <w:i/>
          <w:color w:val="6E7B77"/>
          <w:sz w:val="17"/>
        </w:rPr>
        <w:t>Figure 3 — the crux made visible, on both measures. Left: the rate the company publishes for each class each quarter, which is a blend across the whole class, on a logarithmic scale; the last two points are the first quarter of 2026 as reported and the second quarter as indicated. The open markers on the dashed line are the rate those same quarters imply for a very large crude carrier that is NOT on charter out — USD 151,440 against a published USD 145,000 in the first quarter. The dotted lines are the mid-cycle rates this study's base case reverts to; the dash-dotted line is an independent one-year charter fixed by a listed owner in early 2026. Right: the first quarter of 2026 for every class, published beside implied. The difference between the two bars is the charters inside the published figure, which is why it is zero for the medium-range class, where no vessel is chartered 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26"/>
        <w:gridCol w:w="806"/>
        <w:gridCol w:w="1037"/>
        <w:gridCol w:w="950"/>
        <w:gridCol w:w="1094"/>
        <w:gridCol w:w="1037"/>
        <w:gridCol w:w="1210"/>
        <w:gridCol w:w="1210"/>
        <w:gridCol w:w="1210"/>
      </w:tblGrid>
      <w:tr>
        <w:trPr>
          <w:cantSplit/>
          <w:tblHeader/>
        </w:trPr>
        <w:tc>
          <w:tcPr>
            <w:tcW w:type="dxa" w:w="1526"/>
            <w:shd w:val="clear" w:color="auto" w:fill="EAF0EE"/>
          </w:tcPr>
          <w:p>
            <w:pPr>
              <w:spacing w:after="20"/>
            </w:pPr>
            <w:r>
              <w:rPr>
                <w:b/>
                <w:color w:val="1C3A36"/>
                <w:sz w:val="15"/>
              </w:rPr>
              <w:t>Class</w:t>
            </w:r>
          </w:p>
        </w:tc>
        <w:tc>
          <w:tcPr>
            <w:tcW w:type="dxa" w:w="806"/>
            <w:shd w:val="clear" w:color="auto" w:fill="EAF0EE"/>
          </w:tcPr>
          <w:p>
            <w:pPr>
              <w:spacing w:after="20"/>
            </w:pPr>
            <w:r>
              <w:rPr>
                <w:b/>
                <w:color w:val="1C3A36"/>
                <w:sz w:val="15"/>
              </w:rPr>
              <w:t>Owned</w:t>
            </w:r>
          </w:p>
        </w:tc>
        <w:tc>
          <w:tcPr>
            <w:tcW w:type="dxa" w:w="1037"/>
            <w:shd w:val="clear" w:color="auto" w:fill="EAF0EE"/>
          </w:tcPr>
          <w:p>
            <w:pPr>
              <w:spacing w:after="20"/>
            </w:pPr>
            <w:r>
              <w:rPr>
                <w:b/>
                <w:color w:val="1C3A36"/>
                <w:sz w:val="15"/>
              </w:rPr>
              <w:t>On charter out</w:t>
            </w:r>
          </w:p>
        </w:tc>
        <w:tc>
          <w:tcPr>
            <w:tcW w:type="dxa" w:w="950"/>
            <w:shd w:val="clear" w:color="auto" w:fill="EAF0EE"/>
          </w:tcPr>
          <w:p>
            <w:pPr>
              <w:spacing w:after="20"/>
            </w:pPr>
            <w:r>
              <w:rPr>
                <w:b/>
                <w:color w:val="1C3A36"/>
                <w:sz w:val="15"/>
              </w:rPr>
              <w:t>FY2024</w:t>
            </w:r>
          </w:p>
        </w:tc>
        <w:tc>
          <w:tcPr>
            <w:tcW w:type="dxa" w:w="1094"/>
            <w:shd w:val="clear" w:color="auto" w:fill="EAF0EE"/>
          </w:tcPr>
          <w:p>
            <w:pPr>
              <w:spacing w:after="20"/>
            </w:pPr>
            <w:r>
              <w:rPr>
                <w:b/>
                <w:color w:val="1C3A36"/>
                <w:sz w:val="15"/>
              </w:rPr>
              <w:t>FY2025 published</w:t>
            </w:r>
          </w:p>
        </w:tc>
        <w:tc>
          <w:tcPr>
            <w:tcW w:type="dxa" w:w="1037"/>
            <w:shd w:val="clear" w:color="auto" w:fill="EAF0EE"/>
          </w:tcPr>
          <w:p>
            <w:pPr>
              <w:spacing w:after="20"/>
            </w:pPr>
            <w:r>
              <w:rPr>
                <w:b/>
                <w:color w:val="1C3A36"/>
                <w:sz w:val="15"/>
              </w:rPr>
              <w:t>FY2025 implied</w:t>
            </w:r>
          </w:p>
        </w:tc>
        <w:tc>
          <w:tcPr>
            <w:tcW w:type="dxa" w:w="1210"/>
            <w:shd w:val="clear" w:color="auto" w:fill="EAF0EE"/>
          </w:tcPr>
          <w:p>
            <w:pPr>
              <w:spacing w:after="20"/>
            </w:pPr>
            <w:r>
              <w:rPr>
                <w:b/>
                <w:color w:val="1C3A36"/>
                <w:sz w:val="15"/>
              </w:rPr>
              <w:t>2026 Q1 published</w:t>
            </w:r>
          </w:p>
        </w:tc>
        <w:tc>
          <w:tcPr>
            <w:tcW w:type="dxa" w:w="1210"/>
            <w:shd w:val="clear" w:color="auto" w:fill="EAF0EE"/>
          </w:tcPr>
          <w:p>
            <w:pPr>
              <w:spacing w:after="20"/>
            </w:pPr>
            <w:r>
              <w:rPr>
                <w:b/>
                <w:color w:val="1C3A36"/>
                <w:sz w:val="15"/>
              </w:rPr>
              <w:t>2026 Q1 implied</w:t>
            </w:r>
          </w:p>
        </w:tc>
        <w:tc>
          <w:tcPr>
            <w:tcW w:type="dxa" w:w="1210"/>
            <w:shd w:val="clear" w:color="auto" w:fill="EAF0EE"/>
          </w:tcPr>
          <w:p>
            <w:pPr>
              <w:spacing w:after="20"/>
            </w:pPr>
            <w:r>
              <w:rPr>
                <w:b/>
                <w:color w:val="1C3A36"/>
                <w:sz w:val="15"/>
              </w:rPr>
              <w:t>Mid-cycle anchor</w:t>
            </w:r>
          </w:p>
        </w:tc>
      </w:tr>
      <w:tr>
        <w:trPr>
          <w:cantSplit/>
        </w:trPr>
        <w:tc>
          <w:tcPr>
            <w:tcW w:type="dxa" w:w="1526"/>
          </w:tcPr>
          <w:p>
            <w:pPr>
              <w:spacing w:after="20"/>
            </w:pPr>
            <w:r>
              <w:rPr>
                <w:color w:val="1C3A36"/>
                <w:sz w:val="15"/>
              </w:rPr>
              <w:t>Very large crude carriers</w:t>
            </w:r>
          </w:p>
        </w:tc>
        <w:tc>
          <w:tcPr>
            <w:tcW w:type="dxa" w:w="806"/>
          </w:tcPr>
          <w:p>
            <w:pPr>
              <w:spacing w:after="20"/>
              <w:jc w:val="right"/>
            </w:pPr>
            <w:r>
              <w:rPr>
                <w:color w:val="1C3A36"/>
                <w:sz w:val="15"/>
              </w:rPr>
              <w:t>8</w:t>
            </w:r>
          </w:p>
        </w:tc>
        <w:tc>
          <w:tcPr>
            <w:tcW w:type="dxa" w:w="1037"/>
          </w:tcPr>
          <w:p>
            <w:pPr>
              <w:spacing w:after="20"/>
              <w:jc w:val="right"/>
            </w:pPr>
            <w:r>
              <w:rPr>
                <w:color w:val="1C3A36"/>
                <w:sz w:val="15"/>
              </w:rPr>
              <w:t>4</w:t>
            </w:r>
          </w:p>
        </w:tc>
        <w:tc>
          <w:tcPr>
            <w:tcW w:type="dxa" w:w="950"/>
          </w:tcPr>
          <w:p>
            <w:pPr>
              <w:spacing w:after="20"/>
              <w:jc w:val="right"/>
            </w:pPr>
            <w:r>
              <w:rPr>
                <w:color w:val="1C3A36"/>
                <w:sz w:val="15"/>
              </w:rPr>
              <w:t>43,381</w:t>
            </w:r>
          </w:p>
        </w:tc>
        <w:tc>
          <w:tcPr>
            <w:tcW w:type="dxa" w:w="1094"/>
          </w:tcPr>
          <w:p>
            <w:pPr>
              <w:spacing w:after="20"/>
              <w:jc w:val="right"/>
            </w:pPr>
            <w:r>
              <w:rPr>
                <w:color w:val="1C3A36"/>
                <w:sz w:val="15"/>
              </w:rPr>
              <w:t>52,466</w:t>
            </w:r>
          </w:p>
        </w:tc>
        <w:tc>
          <w:tcPr>
            <w:tcW w:type="dxa" w:w="1037"/>
          </w:tcPr>
          <w:p>
            <w:pPr>
              <w:spacing w:after="20"/>
              <w:jc w:val="right"/>
            </w:pPr>
            <w:r>
              <w:rPr>
                <w:color w:val="1C3A36"/>
                <w:sz w:val="15"/>
              </w:rPr>
              <w:t>52,466</w:t>
            </w:r>
          </w:p>
        </w:tc>
        <w:tc>
          <w:tcPr>
            <w:tcW w:type="dxa" w:w="1210"/>
          </w:tcPr>
          <w:p>
            <w:pPr>
              <w:spacing w:after="20"/>
              <w:jc w:val="right"/>
            </w:pPr>
            <w:r>
              <w:rPr>
                <w:color w:val="1C3A36"/>
                <w:sz w:val="15"/>
              </w:rPr>
              <w:t>145,000</w:t>
            </w:r>
          </w:p>
        </w:tc>
        <w:tc>
          <w:tcPr>
            <w:tcW w:type="dxa" w:w="1210"/>
          </w:tcPr>
          <w:p>
            <w:pPr>
              <w:spacing w:after="20"/>
              <w:jc w:val="right"/>
            </w:pPr>
            <w:r>
              <w:rPr>
                <w:color w:val="1C3A36"/>
                <w:sz w:val="15"/>
              </w:rPr>
              <w:t>151,440</w:t>
            </w:r>
          </w:p>
        </w:tc>
        <w:tc>
          <w:tcPr>
            <w:tcW w:type="dxa" w:w="1210"/>
          </w:tcPr>
          <w:p>
            <w:pPr>
              <w:spacing w:after="20"/>
              <w:jc w:val="right"/>
            </w:pPr>
            <w:r>
              <w:rPr>
                <w:color w:val="1C3A36"/>
                <w:sz w:val="15"/>
              </w:rPr>
              <w:t>47,924</w:t>
            </w:r>
          </w:p>
        </w:tc>
      </w:tr>
      <w:tr>
        <w:trPr>
          <w:cantSplit/>
        </w:trPr>
        <w:tc>
          <w:tcPr>
            <w:tcW w:type="dxa" w:w="1526"/>
          </w:tcPr>
          <w:p>
            <w:pPr>
              <w:spacing w:after="20"/>
            </w:pPr>
            <w:r>
              <w:rPr>
                <w:color w:val="1C3A36"/>
                <w:sz w:val="15"/>
              </w:rPr>
              <w:t>Long range 2</w:t>
            </w:r>
          </w:p>
        </w:tc>
        <w:tc>
          <w:tcPr>
            <w:tcW w:type="dxa" w:w="806"/>
          </w:tcPr>
          <w:p>
            <w:pPr>
              <w:spacing w:after="20"/>
              <w:jc w:val="right"/>
            </w:pPr>
            <w:r>
              <w:rPr>
                <w:color w:val="1C3A36"/>
                <w:sz w:val="15"/>
              </w:rPr>
              <w:t>17</w:t>
            </w:r>
          </w:p>
        </w:tc>
        <w:tc>
          <w:tcPr>
            <w:tcW w:type="dxa" w:w="1037"/>
          </w:tcPr>
          <w:p>
            <w:pPr>
              <w:spacing w:after="20"/>
              <w:jc w:val="right"/>
            </w:pPr>
            <w:r>
              <w:rPr>
                <w:color w:val="1C3A36"/>
                <w:sz w:val="15"/>
              </w:rPr>
              <w:t>5</w:t>
            </w:r>
          </w:p>
        </w:tc>
        <w:tc>
          <w:tcPr>
            <w:tcW w:type="dxa" w:w="950"/>
          </w:tcPr>
          <w:p>
            <w:pPr>
              <w:spacing w:after="20"/>
              <w:jc w:val="right"/>
            </w:pPr>
            <w:r>
              <w:rPr>
                <w:color w:val="1C3A36"/>
                <w:sz w:val="15"/>
              </w:rPr>
              <w:t>48,011</w:t>
            </w:r>
          </w:p>
        </w:tc>
        <w:tc>
          <w:tcPr>
            <w:tcW w:type="dxa" w:w="1094"/>
          </w:tcPr>
          <w:p>
            <w:pPr>
              <w:spacing w:after="20"/>
              <w:jc w:val="right"/>
            </w:pPr>
            <w:r>
              <w:rPr>
                <w:color w:val="1C3A36"/>
                <w:sz w:val="15"/>
              </w:rPr>
              <w:t>35,737</w:t>
            </w:r>
          </w:p>
        </w:tc>
        <w:tc>
          <w:tcPr>
            <w:tcW w:type="dxa" w:w="1037"/>
          </w:tcPr>
          <w:p>
            <w:pPr>
              <w:spacing w:after="20"/>
              <w:jc w:val="right"/>
            </w:pPr>
            <w:r>
              <w:rPr>
                <w:color w:val="1C3A36"/>
                <w:sz w:val="15"/>
              </w:rPr>
              <w:t>36,475</w:t>
            </w:r>
          </w:p>
        </w:tc>
        <w:tc>
          <w:tcPr>
            <w:tcW w:type="dxa" w:w="1210"/>
          </w:tcPr>
          <w:p>
            <w:pPr>
              <w:spacing w:after="20"/>
              <w:jc w:val="right"/>
            </w:pPr>
            <w:r>
              <w:rPr>
                <w:color w:val="1C3A36"/>
                <w:sz w:val="15"/>
              </w:rPr>
              <w:t>58,000</w:t>
            </w:r>
          </w:p>
        </w:tc>
        <w:tc>
          <w:tcPr>
            <w:tcW w:type="dxa" w:w="1210"/>
          </w:tcPr>
          <w:p>
            <w:pPr>
              <w:spacing w:after="20"/>
              <w:jc w:val="right"/>
            </w:pPr>
            <w:r>
              <w:rPr>
                <w:color w:val="1C3A36"/>
                <w:sz w:val="15"/>
              </w:rPr>
              <w:t>65,718</w:t>
            </w:r>
          </w:p>
        </w:tc>
        <w:tc>
          <w:tcPr>
            <w:tcW w:type="dxa" w:w="1210"/>
          </w:tcPr>
          <w:p>
            <w:pPr>
              <w:spacing w:after="20"/>
              <w:jc w:val="right"/>
            </w:pPr>
            <w:r>
              <w:rPr>
                <w:color w:val="1C3A36"/>
                <w:sz w:val="15"/>
              </w:rPr>
              <w:t>42,581</w:t>
            </w:r>
          </w:p>
        </w:tc>
      </w:tr>
      <w:tr>
        <w:trPr>
          <w:cantSplit/>
        </w:trPr>
        <w:tc>
          <w:tcPr>
            <w:tcW w:type="dxa" w:w="1526"/>
          </w:tcPr>
          <w:p>
            <w:pPr>
              <w:spacing w:after="20"/>
            </w:pPr>
            <w:r>
              <w:rPr>
                <w:color w:val="1C3A36"/>
                <w:sz w:val="15"/>
              </w:rPr>
              <w:t>Long range 1</w:t>
            </w:r>
          </w:p>
        </w:tc>
        <w:tc>
          <w:tcPr>
            <w:tcW w:type="dxa" w:w="806"/>
          </w:tcPr>
          <w:p>
            <w:pPr>
              <w:spacing w:after="20"/>
              <w:jc w:val="right"/>
            </w:pPr>
            <w:r>
              <w:rPr>
                <w:color w:val="1C3A36"/>
                <w:sz w:val="15"/>
              </w:rPr>
              <w:t>9</w:t>
            </w:r>
          </w:p>
        </w:tc>
        <w:tc>
          <w:tcPr>
            <w:tcW w:type="dxa" w:w="1037"/>
          </w:tcPr>
          <w:p>
            <w:pPr>
              <w:spacing w:after="20"/>
              <w:jc w:val="right"/>
            </w:pPr>
            <w:r>
              <w:rPr>
                <w:color w:val="1C3A36"/>
                <w:sz w:val="15"/>
              </w:rPr>
              <w:t>2</w:t>
            </w:r>
          </w:p>
        </w:tc>
        <w:tc>
          <w:tcPr>
            <w:tcW w:type="dxa" w:w="950"/>
          </w:tcPr>
          <w:p>
            <w:pPr>
              <w:spacing w:after="20"/>
              <w:jc w:val="right"/>
            </w:pPr>
            <w:r>
              <w:rPr>
                <w:color w:val="1C3A36"/>
                <w:sz w:val="15"/>
              </w:rPr>
              <w:t>40,155</w:t>
            </w:r>
          </w:p>
        </w:tc>
        <w:tc>
          <w:tcPr>
            <w:tcW w:type="dxa" w:w="1094"/>
          </w:tcPr>
          <w:p>
            <w:pPr>
              <w:spacing w:after="20"/>
              <w:jc w:val="right"/>
            </w:pPr>
            <w:r>
              <w:rPr>
                <w:color w:val="1C3A36"/>
                <w:sz w:val="15"/>
              </w:rPr>
              <w:t>24,199</w:t>
            </w:r>
          </w:p>
        </w:tc>
        <w:tc>
          <w:tcPr>
            <w:tcW w:type="dxa" w:w="1037"/>
          </w:tcPr>
          <w:p>
            <w:pPr>
              <w:spacing w:after="20"/>
              <w:jc w:val="right"/>
            </w:pPr>
            <w:r>
              <w:rPr>
                <w:color w:val="1C3A36"/>
                <w:sz w:val="15"/>
              </w:rPr>
              <w:t>24,510</w:t>
            </w:r>
          </w:p>
        </w:tc>
        <w:tc>
          <w:tcPr>
            <w:tcW w:type="dxa" w:w="1210"/>
          </w:tcPr>
          <w:p>
            <w:pPr>
              <w:spacing w:after="20"/>
              <w:jc w:val="right"/>
            </w:pPr>
            <w:r>
              <w:rPr>
                <w:color w:val="1C3A36"/>
                <w:sz w:val="15"/>
              </w:rPr>
              <w:t>36,000</w:t>
            </w:r>
          </w:p>
        </w:tc>
        <w:tc>
          <w:tcPr>
            <w:tcW w:type="dxa" w:w="1210"/>
          </w:tcPr>
          <w:p>
            <w:pPr>
              <w:spacing w:after="20"/>
              <w:jc w:val="right"/>
            </w:pPr>
            <w:r>
              <w:rPr>
                <w:color w:val="1C3A36"/>
                <w:sz w:val="15"/>
              </w:rPr>
              <w:t>40,643</w:t>
            </w:r>
          </w:p>
        </w:tc>
        <w:tc>
          <w:tcPr>
            <w:tcW w:type="dxa" w:w="1210"/>
          </w:tcPr>
          <w:p>
            <w:pPr>
              <w:spacing w:after="20"/>
              <w:jc w:val="right"/>
            </w:pPr>
            <w:r>
              <w:rPr>
                <w:color w:val="1C3A36"/>
                <w:sz w:val="15"/>
              </w:rPr>
              <w:t>32,177</w:t>
            </w:r>
          </w:p>
        </w:tc>
      </w:tr>
      <w:tr>
        <w:trPr>
          <w:cantSplit/>
        </w:trPr>
        <w:tc>
          <w:tcPr>
            <w:tcW w:type="dxa" w:w="1526"/>
          </w:tcPr>
          <w:p>
            <w:pPr>
              <w:spacing w:after="20"/>
            </w:pPr>
            <w:r>
              <w:rPr>
                <w:color w:val="1C3A36"/>
                <w:sz w:val="15"/>
              </w:rPr>
              <w:t>Medium range</w:t>
            </w:r>
          </w:p>
        </w:tc>
        <w:tc>
          <w:tcPr>
            <w:tcW w:type="dxa" w:w="806"/>
          </w:tcPr>
          <w:p>
            <w:pPr>
              <w:spacing w:after="20"/>
              <w:jc w:val="right"/>
            </w:pPr>
            <w:r>
              <w:rPr>
                <w:color w:val="1C3A36"/>
                <w:sz w:val="15"/>
              </w:rPr>
              <w:t>16</w:t>
            </w:r>
          </w:p>
        </w:tc>
        <w:tc>
          <w:tcPr>
            <w:tcW w:type="dxa" w:w="1037"/>
          </w:tcPr>
          <w:p>
            <w:pPr>
              <w:spacing w:after="20"/>
              <w:jc w:val="right"/>
            </w:pPr>
            <w:r>
              <w:rPr>
                <w:color w:val="1C3A36"/>
                <w:sz w:val="15"/>
              </w:rPr>
              <w:t>0</w:t>
            </w:r>
          </w:p>
        </w:tc>
        <w:tc>
          <w:tcPr>
            <w:tcW w:type="dxa" w:w="950"/>
          </w:tcPr>
          <w:p>
            <w:pPr>
              <w:spacing w:after="20"/>
              <w:jc w:val="right"/>
            </w:pPr>
            <w:r>
              <w:rPr>
                <w:color w:val="1C3A36"/>
                <w:sz w:val="15"/>
              </w:rPr>
              <w:t>24,140</w:t>
            </w:r>
          </w:p>
        </w:tc>
        <w:tc>
          <w:tcPr>
            <w:tcW w:type="dxa" w:w="1094"/>
          </w:tcPr>
          <w:p>
            <w:pPr>
              <w:spacing w:after="20"/>
              <w:jc w:val="right"/>
            </w:pPr>
            <w:r>
              <w:rPr>
                <w:color w:val="1C3A36"/>
                <w:sz w:val="15"/>
              </w:rPr>
              <w:t>24,140</w:t>
            </w:r>
          </w:p>
        </w:tc>
        <w:tc>
          <w:tcPr>
            <w:tcW w:type="dxa" w:w="1037"/>
          </w:tcPr>
          <w:p>
            <w:pPr>
              <w:spacing w:after="20"/>
              <w:jc w:val="right"/>
            </w:pPr>
            <w:r>
              <w:rPr>
                <w:color w:val="1C3A36"/>
                <w:sz w:val="15"/>
              </w:rPr>
              <w:t>24,140</w:t>
            </w:r>
          </w:p>
        </w:tc>
        <w:tc>
          <w:tcPr>
            <w:tcW w:type="dxa" w:w="1210"/>
          </w:tcPr>
          <w:p>
            <w:pPr>
              <w:spacing w:after="20"/>
              <w:jc w:val="right"/>
            </w:pPr>
            <w:r>
              <w:rPr>
                <w:color w:val="1C3A36"/>
                <w:sz w:val="15"/>
              </w:rPr>
              <w:t>30,000</w:t>
            </w:r>
          </w:p>
        </w:tc>
        <w:tc>
          <w:tcPr>
            <w:tcW w:type="dxa" w:w="1210"/>
          </w:tcPr>
          <w:p>
            <w:pPr>
              <w:spacing w:after="20"/>
              <w:jc w:val="right"/>
            </w:pPr>
            <w:r>
              <w:rPr>
                <w:color w:val="1C3A36"/>
                <w:sz w:val="15"/>
              </w:rPr>
              <w:t>30,000</w:t>
            </w:r>
          </w:p>
        </w:tc>
        <w:tc>
          <w:tcPr>
            <w:tcW w:type="dxa" w:w="1210"/>
          </w:tcPr>
          <w:p>
            <w:pPr>
              <w:spacing w:after="20"/>
              <w:jc w:val="right"/>
            </w:pPr>
            <w:r>
              <w:rPr>
                <w:color w:val="1C3A36"/>
                <w:sz w:val="15"/>
              </w:rPr>
              <w:t>24,140</w:t>
            </w:r>
          </w:p>
        </w:tc>
      </w:tr>
      <w:tr>
        <w:trPr>
          <w:cantSplit/>
        </w:trPr>
        <w:tc>
          <w:tcPr>
            <w:tcW w:type="dxa" w:w="1526"/>
          </w:tcPr>
          <w:p>
            <w:pPr>
              <w:spacing w:after="20"/>
            </w:pPr>
            <w:r>
              <w:rPr>
                <w:color w:val="1C3A36"/>
                <w:sz w:val="15"/>
              </w:rPr>
              <w:t>Handysize</w:t>
            </w:r>
          </w:p>
        </w:tc>
        <w:tc>
          <w:tcPr>
            <w:tcW w:type="dxa" w:w="806"/>
          </w:tcPr>
          <w:p>
            <w:pPr>
              <w:spacing w:after="20"/>
              <w:jc w:val="right"/>
            </w:pPr>
            <w:r>
              <w:rPr>
                <w:color w:val="1C3A36"/>
                <w:sz w:val="15"/>
              </w:rPr>
              <w:t>2</w:t>
            </w:r>
          </w:p>
        </w:tc>
        <w:tc>
          <w:tcPr>
            <w:tcW w:type="dxa" w:w="1037"/>
          </w:tcPr>
          <w:p>
            <w:pPr>
              <w:spacing w:after="20"/>
              <w:jc w:val="right"/>
            </w:pPr>
            <w:r>
              <w:rPr>
                <w:color w:val="1C3A36"/>
                <w:sz w:val="15"/>
              </w:rPr>
              <w:t>0</w:t>
            </w:r>
          </w:p>
        </w:tc>
        <w:tc>
          <w:tcPr>
            <w:tcW w:type="dxa" w:w="950"/>
          </w:tcPr>
          <w:p>
            <w:pPr>
              <w:spacing w:after="20"/>
              <w:jc w:val="right"/>
            </w:pPr>
            <w:r>
              <w:rPr>
                <w:color w:val="1C3A36"/>
                <w:sz w:val="15"/>
              </w:rPr>
              <w:t>19,070</w:t>
            </w:r>
          </w:p>
        </w:tc>
        <w:tc>
          <w:tcPr>
            <w:tcW w:type="dxa" w:w="1094"/>
          </w:tcPr>
          <w:p>
            <w:pPr>
              <w:spacing w:after="20"/>
              <w:jc w:val="right"/>
            </w:pPr>
            <w:r>
              <w:rPr>
                <w:color w:val="1C3A36"/>
                <w:sz w:val="15"/>
              </w:rPr>
              <w:t>19,070</w:t>
            </w:r>
          </w:p>
        </w:tc>
        <w:tc>
          <w:tcPr>
            <w:tcW w:type="dxa" w:w="1037"/>
          </w:tcPr>
          <w:p>
            <w:pPr>
              <w:spacing w:after="20"/>
              <w:jc w:val="right"/>
            </w:pPr>
            <w:r>
              <w:rPr>
                <w:color w:val="1C3A36"/>
                <w:sz w:val="15"/>
              </w:rPr>
              <w:t>19,070</w:t>
            </w:r>
          </w:p>
        </w:tc>
        <w:tc>
          <w:tcPr>
            <w:tcW w:type="dxa" w:w="1210"/>
          </w:tcPr>
          <w:p>
            <w:pPr>
              <w:spacing w:after="20"/>
              <w:jc w:val="right"/>
            </w:pPr>
            <w:r>
              <w:rPr>
                <w:color w:val="1C3A36"/>
                <w:sz w:val="15"/>
              </w:rPr>
              <w:t>23,700</w:t>
            </w:r>
          </w:p>
        </w:tc>
        <w:tc>
          <w:tcPr>
            <w:tcW w:type="dxa" w:w="1210"/>
          </w:tcPr>
          <w:p>
            <w:pPr>
              <w:spacing w:after="20"/>
              <w:jc w:val="right"/>
            </w:pPr>
            <w:r>
              <w:rPr>
                <w:color w:val="1C3A36"/>
                <w:sz w:val="15"/>
              </w:rPr>
              <w:t>23,700</w:t>
            </w:r>
          </w:p>
        </w:tc>
        <w:tc>
          <w:tcPr>
            <w:tcW w:type="dxa" w:w="1210"/>
          </w:tcPr>
          <w:p>
            <w:pPr>
              <w:spacing w:after="20"/>
              <w:jc w:val="right"/>
            </w:pPr>
            <w:r>
              <w:rPr>
                <w:color w:val="1C3A36"/>
                <w:sz w:val="15"/>
              </w:rPr>
              <w:t>19,070</w:t>
            </w:r>
          </w:p>
        </w:tc>
      </w:tr>
    </w:tbl>
    <w:p>
      <w:pPr>
        <w:spacing w:after="40"/>
      </w:pPr>
    </w:p>
    <w:p>
      <w:pPr>
        <w:spacing w:after="200" w:before="0"/>
      </w:pPr>
      <w:r>
        <w:rPr>
          <w:b w:val="0"/>
          <w:i/>
          <w:color w:val="6E7B77"/>
          <w:sz w:val="17"/>
        </w:rPr>
        <w:t>US dollars per vessel per day. “Published” is the company's own class average; “implied” is what a vessel not on charter out must have earned for that average to be true, given the charters the company also publishes. Where a class has no vessel on charter out the two are the same figure, which is the check that the construction is doing only what it claims. The mid-cycle anchor is the implied rate for the average of the FY2024 and FY2025 outcomes, which is what the base case reverts to over four years from 2027E. Counts are at the valuation date and therefore BEFORE the 6 very large crude carriers bought on 7 Aug 2026, which take that class to 14 from their delivery date and are carried in the forecast from it. Two disclosure gaps are handled and flagged. Quarterly rates for the medium-range class are not disclosed for FY2024, so the FY2025 average stands in. And the handysize vessels are not broken out in any rate table at all: an earlier edition carried them at the medium-range rate unadjusted, which was wrong in DIRECTION and not merely in size — the company said on the first-quarter call that handysize rates were softer while medium range was up, so the two smallest classes were moving opposite ways. They are now carried at 0.79× the medium-range rate, the relative move the company itself disclosed. Both classes remain small: together 18 of 52 vessels, none of them on charter out, and the smallest earners.</w:t>
      </w:r>
    </w:p>
    <w:p>
      <w:pPr>
        <w:spacing w:after="120" w:before="0"/>
      </w:pPr>
      <w:r>
        <w:rPr>
          <w:b w:val="0"/>
          <w:i w:val="0"/>
          <w:color w:val="1C3A36"/>
          <w:sz w:val="21"/>
        </w:rPr>
        <w:t>The scale of the move is easiest to see in the largest class. Very large crude carriers averaged a published USD 43,381 a day in FY2024 and USD 52,466 in FY2025; the published figure was USD 145,000 for the first quarter of 2026 and USD 291,145 was indicated for the second. Take out the 4 of 8 vessels in that class already on charter out and the free vessels earned USD 151,440 in the first quarter, and the indicated second quarter implies USD 449,713 — roughly 3.2 times the mid-cycle anchor this study reverts to, against the 3.0 times the published figure suggests. Against 41 owned vessels free to earn the market and the company's own disclosure that USD 1,000 a day is worth USD 20 million of annual earnings, the difference between today's rate and the mid-cycle anchor is worth well over a billion dollars a year of earnings. That is why this one judgement dominates — and it is also why the correction matters, because the same reversion judgement applied to a higher starting point produces a higher value.</w:t>
      </w:r>
    </w:p>
    <w:p>
      <w:pPr>
        <w:keepNext/>
        <w:spacing w:after="80" w:before="200"/>
      </w:pPr>
      <w:r>
        <w:rPr>
          <w:b/>
          <w:i w:val="0"/>
          <w:color w:val="1C3A36"/>
          <w:sz w:val="24"/>
        </w:rPr>
        <w:t>Why the base case reverts — the outside evidence</w:t>
      </w:r>
    </w:p>
    <w:p>
      <w:pPr>
        <w:spacing w:after="120" w:before="0"/>
      </w:pPr>
      <w:r>
        <w:rPr>
          <w:b w:val="0"/>
          <w:i w:val="0"/>
          <w:color w:val="1C3A36"/>
          <w:sz w:val="21"/>
        </w:rPr>
        <w:t>A reversion assumption made without evidence is just pessimism. Two independent observations, neither of them this study's own construction, point the same way, and they are the reason the base case is a judgement with support rather than a default.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6768"/>
      </w:tblGrid>
      <w:tr>
        <w:trPr>
          <w:cantSplit/>
          <w:tblHeader/>
        </w:trPr>
        <w:tc>
          <w:tcPr>
            <w:tcW w:type="dxa" w:w="3312"/>
            <w:shd w:val="clear" w:color="auto" w:fill="EAF0EE"/>
          </w:tcPr>
          <w:p>
            <w:pPr>
              <w:spacing w:after="20"/>
            </w:pPr>
            <w:r>
              <w:rPr>
                <w:b/>
                <w:color w:val="1C3A36"/>
                <w:sz w:val="16"/>
              </w:rPr>
              <w:t>Evidence</w:t>
            </w:r>
          </w:p>
        </w:tc>
        <w:tc>
          <w:tcPr>
            <w:tcW w:type="dxa" w:w="6768"/>
            <w:shd w:val="clear" w:color="auto" w:fill="EAF0EE"/>
          </w:tcPr>
          <w:p>
            <w:pPr>
              <w:spacing w:after="20"/>
            </w:pPr>
            <w:r>
              <w:rPr>
                <w:b/>
                <w:color w:val="1C3A36"/>
                <w:sz w:val="16"/>
              </w:rPr>
              <w:t>What it shows</w:t>
            </w:r>
          </w:p>
        </w:tc>
      </w:tr>
      <w:tr>
        <w:trPr>
          <w:cantSplit/>
        </w:trPr>
        <w:tc>
          <w:tcPr>
            <w:tcW w:type="dxa" w:w="3312"/>
          </w:tcPr>
          <w:p>
            <w:pPr>
              <w:spacing w:after="20"/>
            </w:pPr>
            <w:r>
              <w:rPr>
                <w:color w:val="1C3A36"/>
                <w:sz w:val="16"/>
              </w:rPr>
              <w:t>The forward market will not pay spot for a year of time</w:t>
            </w:r>
          </w:p>
        </w:tc>
        <w:tc>
          <w:tcPr>
            <w:tcW w:type="dxa" w:w="6768"/>
          </w:tcPr>
          <w:p>
            <w:pPr>
              <w:spacing w:after="20"/>
            </w:pPr>
            <w:r>
              <w:rPr>
                <w:color w:val="1C3A36"/>
                <w:sz w:val="16"/>
              </w:rPr>
              <w:t>A listed crude tanker owner fixed seven very large crude carriers on one-year time charters in early 2026 at USD 76,900 a day, at a time when the spot rate of the moment was around USD 102,897 and this company's own uncommitted vessels went on to earn an implied USD 151,440 in the first quarter. A counterparty willing to commit for twelve months priced that year at -25.3% against the spot rate in front of it. That is a market saying, with its own money, that it does not expect spot to hold</w:t>
            </w:r>
          </w:p>
        </w:tc>
      </w:tr>
      <w:tr>
        <w:trPr>
          <w:cantSplit/>
        </w:trPr>
        <w:tc>
          <w:tcPr>
            <w:tcW w:type="dxa" w:w="3312"/>
          </w:tcPr>
          <w:p>
            <w:pPr>
              <w:spacing w:after="20"/>
            </w:pPr>
            <w:r>
              <w:rPr>
                <w:color w:val="1C3A36"/>
                <w:sz w:val="16"/>
              </w:rPr>
              <w:t>The supply reason why</w:t>
            </w:r>
          </w:p>
        </w:tc>
        <w:tc>
          <w:tcPr>
            <w:tcW w:type="dxa" w:w="6768"/>
          </w:tcPr>
          <w:p>
            <w:pPr>
              <w:spacing w:after="20"/>
            </w:pPr>
            <w:r>
              <w:rPr>
                <w:color w:val="1C3A36"/>
                <w:sz w:val="16"/>
              </w:rPr>
              <w:t>The crude tanker order book stands near 27% of the trading fleet, a seventeen-year high, with the very large crude carrier order book higher still. Ships ordered into a strong market arrive into whatever market exists when they deliver, and this is the mechanism by which every previous tanker upcycle ended</w:t>
            </w:r>
          </w:p>
        </w:tc>
      </w:tr>
      <w:tr>
        <w:trPr>
          <w:cantSplit/>
        </w:trPr>
        <w:tc>
          <w:tcPr>
            <w:tcW w:type="dxa" w:w="3312"/>
          </w:tcPr>
          <w:p>
            <w:pPr>
              <w:spacing w:after="20"/>
            </w:pPr>
            <w:r>
              <w:rPr>
                <w:color w:val="1C3A36"/>
                <w:sz w:val="16"/>
              </w:rPr>
              <w:t>This study's own base path</w:t>
            </w:r>
          </w:p>
        </w:tc>
        <w:tc>
          <w:tcPr>
            <w:tcW w:type="dxa" w:w="6768"/>
          </w:tcPr>
          <w:p>
            <w:pPr>
              <w:spacing w:after="20"/>
            </w:pPr>
            <w:r>
              <w:rPr>
                <w:color w:val="1C3A36"/>
                <w:sz w:val="16"/>
              </w:rPr>
              <w:t>The base case runs the market rate for a very large crude carrier not on charter out from USD 232,877 in 2026E down to USD 47,924 by 2030E, a straight glide to the FY2024-FY2025 average. Read against the one-year charter above, that path is the LESS pessimistic of the two: it stays above USD 76,900 until it crosses between 2029E and 2030E, so for 4 of the five forecast years this study assumes the fleet earns more than a counterparty was willing to commit to for twelve months. That cuts against this study's own conclusion and is stated rather than left for a reader to work out</w:t>
            </w:r>
          </w:p>
        </w:tc>
      </w:tr>
    </w:tbl>
    <w:p>
      <w:pPr>
        <w:spacing w:after="40"/>
      </w:pPr>
    </w:p>
    <w:p>
      <w:pPr>
        <w:spacing w:after="120" w:before="0"/>
      </w:pPr>
      <w:r>
        <w:rPr>
          <w:b w:val="0"/>
          <w:i w:val="0"/>
          <w:color w:val="1C3A36"/>
          <w:sz w:val="21"/>
        </w:rPr>
        <w:t>The alternative — rates settling 30% above the mid-cycle anchor rather than at it — is the direction the company's own guidance and its contracted expansion point in, and it is computed in full: it gives AED 7.53 a share against the base case's AED 5.39. It is published as an alternative reading rather than adopted, because the two observations above are external, dated and specific, while the case for sustained strength rests on a view about future supply and demand that this study is not in a position to hold with confidence.</w:t>
      </w:r>
    </w:p>
    <w:p>
      <w:pPr>
        <w:spacing w:after="120" w:before="0"/>
      </w:pPr>
      <w:r>
        <w:rPr>
          <w:b w:val="0"/>
          <w:i w:val="0"/>
          <w:color w:val="1C3A36"/>
          <w:sz w:val="21"/>
        </w:rPr>
        <w:t>One more comparison puts the crux in proportion, and it is worth being careful about what it does and does not show. Moving the mid-cycle rate anchor across the whole tested range, from 80.0% to 120.0% of the base, moves fair value by AED 2.86 a share — and that range is wide enough to carry fair value across the market price, which it reaches between the 110% and 120% anchors. Widening the beta across the 0.690-to-1.621 range tested in section 1.9 moves it by AED 3.07, which is 1.1 times as much and remains the widest single sensitivity in the study. But the two are not comparable as open questions. The beta is measured, with a 90% interval of [0.59, 1.62] that the bear and bull cases already carry at full width; where tanker rates settle after 2026 is not measured by anything and cannot be. That is why this section, and not the discount rate, is where the study says its judgement is genuinely exposed.</w:t>
      </w:r>
    </w:p>
    <w:p>
      <w:pPr>
        <w:keepNext/>
        <w:spacing w:after="80" w:before="200"/>
      </w:pPr>
      <w:r>
        <w:rPr>
          <w:b/>
          <w:i w:val="0"/>
          <w:color w:val="1C3A36"/>
          <w:sz w:val="24"/>
        </w:rPr>
        <w:t>1.8  Macro and country — the sourced cost of capital</w:t>
      </w:r>
    </w:p>
    <w:p>
      <w:pPr>
        <w:spacing w:after="120" w:before="0"/>
      </w:pPr>
      <w:r>
        <w:rPr>
          <w:b w:val="0"/>
          <w:i w:val="0"/>
          <w:color w:val="1C3A36"/>
          <w:sz w:val="21"/>
        </w:rPr>
        <w:t>The dirham has been fixed to the US dollar at 3.6725 since 1997 and monetary policy follows the Federal Reserve accordingly: the Central Bank of the UAE base rate stood at 3.65% and was maintained at its July 2026 decision, its last change being a cut from 3.90% in December 2025. That matters for this study in a specific way: because the company reports in dollars and the currency is pegged, there is no exchange-rate view anywhere in the valuation, and the whole of the country question reduces to a small sovereign premium rather than a convertibility argument.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40"/>
        <w:gridCol w:w="1037"/>
        <w:gridCol w:w="5371"/>
      </w:tblGrid>
      <w:tr>
        <w:trPr>
          <w:cantSplit/>
          <w:tblHeader/>
        </w:trPr>
        <w:tc>
          <w:tcPr>
            <w:tcW w:type="dxa" w:w="2232"/>
            <w:shd w:val="clear" w:color="auto" w:fill="EAF0EE"/>
          </w:tcPr>
          <w:p>
            <w:pPr>
              <w:spacing w:after="20"/>
            </w:pPr>
            <w:r>
              <w:rPr>
                <w:b/>
                <w:color w:val="1C3A36"/>
                <w:sz w:val="16"/>
              </w:rPr>
              <w:t>Component</w:t>
            </w:r>
          </w:p>
        </w:tc>
        <w:tc>
          <w:tcPr>
            <w:tcW w:type="dxa" w:w="1440"/>
            <w:shd w:val="clear" w:color="auto" w:fill="EAF0EE"/>
          </w:tcPr>
          <w:p>
            <w:pPr>
              <w:spacing w:after="20"/>
            </w:pPr>
            <w:r>
              <w:rPr>
                <w:b/>
                <w:color w:val="1C3A36"/>
                <w:sz w:val="16"/>
              </w:rPr>
              <w:t>Explicit window</w:t>
            </w:r>
          </w:p>
        </w:tc>
        <w:tc>
          <w:tcPr>
            <w:tcW w:type="dxa" w:w="1037"/>
            <w:shd w:val="clear" w:color="auto" w:fill="EAF0EE"/>
          </w:tcPr>
          <w:p>
            <w:pPr>
              <w:spacing w:after="20"/>
            </w:pPr>
            <w:r>
              <w:rPr>
                <w:b/>
                <w:color w:val="1C3A36"/>
                <w:sz w:val="16"/>
              </w:rPr>
              <w:t>Terminal</w:t>
            </w:r>
          </w:p>
        </w:tc>
        <w:tc>
          <w:tcPr>
            <w:tcW w:type="dxa" w:w="5371"/>
            <w:shd w:val="clear" w:color="auto" w:fill="EAF0EE"/>
          </w:tcPr>
          <w:p>
            <w:pPr>
              <w:spacing w:after="20"/>
              <w:jc w:val="left"/>
            </w:pPr>
            <w:r>
              <w:rPr>
                <w:b/>
                <w:color w:val="1C3A36"/>
                <w:sz w:val="16"/>
              </w:rPr>
              <w:t>Source and construction</w:t>
            </w:r>
          </w:p>
        </w:tc>
      </w:tr>
      <w:tr>
        <w:trPr>
          <w:cantSplit/>
        </w:trPr>
        <w:tc>
          <w:tcPr>
            <w:tcW w:type="dxa" w:w="2232"/>
          </w:tcPr>
          <w:p>
            <w:pPr>
              <w:spacing w:after="20"/>
            </w:pPr>
            <w:r>
              <w:rPr>
                <w:color w:val="1C3A36"/>
                <w:sz w:val="16"/>
              </w:rPr>
              <w:t>Observed risk-free rate</w:t>
            </w:r>
          </w:p>
        </w:tc>
        <w:tc>
          <w:tcPr>
            <w:tcW w:type="dxa" w:w="1440"/>
          </w:tcPr>
          <w:p>
            <w:pPr>
              <w:spacing w:after="20"/>
              <w:jc w:val="right"/>
            </w:pPr>
            <w:r>
              <w:rPr>
                <w:color w:val="1C3A36"/>
                <w:sz w:val="16"/>
              </w:rPr>
              <w:t>4.48%</w:t>
            </w:r>
          </w:p>
        </w:tc>
        <w:tc>
          <w:tcPr>
            <w:tcW w:type="dxa" w:w="1037"/>
          </w:tcPr>
          <w:p>
            <w:pPr>
              <w:spacing w:after="20"/>
              <w:jc w:val="right"/>
            </w:pPr>
            <w:r>
              <w:rPr>
                <w:color w:val="1C3A36"/>
                <w:sz w:val="16"/>
              </w:rPr>
            </w:r>
          </w:p>
        </w:tc>
        <w:tc>
          <w:tcPr>
            <w:tcW w:type="dxa" w:w="5371"/>
          </w:tcPr>
          <w:p>
            <w:pPr>
              <w:spacing w:after="20"/>
              <w:jc w:val="left"/>
            </w:pPr>
            <w:r>
              <w:rPr>
                <w:color w:val="1C3A36"/>
                <w:sz w:val="16"/>
              </w:rPr>
              <w:t>the UAE dirham Treasury bond tranche maturing January 2031, at its July 2026 auction yield</w:t>
            </w:r>
          </w:p>
        </w:tc>
      </w:tr>
      <w:tr>
        <w:trPr>
          <w:cantSplit/>
        </w:trPr>
        <w:tc>
          <w:tcPr>
            <w:tcW w:type="dxa" w:w="2232"/>
          </w:tcPr>
          <w:p>
            <w:pPr>
              <w:spacing w:after="20"/>
            </w:pPr>
            <w:r>
              <w:rPr>
                <w:color w:val="1C3A36"/>
                <w:sz w:val="16"/>
              </w:rPr>
              <w:t>Less the sovereign default spread</w:t>
            </w:r>
          </w:p>
        </w:tc>
        <w:tc>
          <w:tcPr>
            <w:tcW w:type="dxa" w:w="1440"/>
          </w:tcPr>
          <w:p>
            <w:pPr>
              <w:spacing w:after="20"/>
              <w:jc w:val="right"/>
            </w:pPr>
            <w:r>
              <w:rPr>
                <w:color w:val="1C3A36"/>
                <w:sz w:val="16"/>
              </w:rPr>
              <w:t>(0.42%)</w:t>
            </w:r>
          </w:p>
        </w:tc>
        <w:tc>
          <w:tcPr>
            <w:tcW w:type="dxa" w:w="1037"/>
          </w:tcPr>
          <w:p>
            <w:pPr>
              <w:spacing w:after="20"/>
              <w:jc w:val="right"/>
            </w:pPr>
            <w:r>
              <w:rPr>
                <w:color w:val="1C3A36"/>
                <w:sz w:val="16"/>
              </w:rPr>
            </w:r>
          </w:p>
        </w:tc>
        <w:tc>
          <w:tcPr>
            <w:tcW w:type="dxa" w:w="5371"/>
          </w:tcPr>
          <w:p>
            <w:pPr>
              <w:spacing w:after="20"/>
              <w:jc w:val="left"/>
            </w:pPr>
            <w:r>
              <w:rPr>
                <w:color w:val="1C3A36"/>
                <w:sz w:val="16"/>
              </w:rPr>
              <w:t>the published country-risk file adjusted default spread for the UAE on its Moody’s Aa2 assessment. Country risk must enter once, and it enters through the premium below, so it is netted out of the observed yield here</w:t>
            </w:r>
          </w:p>
        </w:tc>
      </w:tr>
      <w:tr>
        <w:trPr>
          <w:cantSplit/>
        </w:trPr>
        <w:tc>
          <w:tcPr>
            <w:tcW w:type="dxa" w:w="2232"/>
          </w:tcPr>
          <w:p>
            <w:pPr>
              <w:spacing w:after="20"/>
            </w:pPr>
            <w:r>
              <w:rPr>
                <w:color w:val="1C3A36"/>
                <w:sz w:val="16"/>
              </w:rPr>
              <w:t>Adjusted risk-free rate</w:t>
            </w:r>
          </w:p>
        </w:tc>
        <w:tc>
          <w:tcPr>
            <w:tcW w:type="dxa" w:w="1440"/>
          </w:tcPr>
          <w:p>
            <w:pPr>
              <w:spacing w:after="20"/>
              <w:jc w:val="right"/>
            </w:pPr>
            <w:r>
              <w:rPr>
                <w:color w:val="1C3A36"/>
                <w:sz w:val="16"/>
              </w:rPr>
              <w:t>4.06%</w:t>
            </w:r>
          </w:p>
        </w:tc>
        <w:tc>
          <w:tcPr>
            <w:tcW w:type="dxa" w:w="1037"/>
          </w:tcPr>
          <w:p>
            <w:pPr>
              <w:spacing w:after="20"/>
              <w:jc w:val="right"/>
            </w:pPr>
            <w:r>
              <w:rPr>
                <w:color w:val="1C3A36"/>
                <w:sz w:val="16"/>
              </w:rPr>
              <w:t>3.98%</w:t>
            </w:r>
          </w:p>
        </w:tc>
        <w:tc>
          <w:tcPr>
            <w:tcW w:type="dxa" w:w="5371"/>
          </w:tcPr>
          <w:p>
            <w:pPr>
              <w:spacing w:after="20"/>
              <w:jc w:val="left"/>
            </w:pPr>
            <w:r>
              <w:rPr>
                <w:color w:val="1C3A36"/>
                <w:sz w:val="16"/>
              </w:rPr>
              <w:t>the terminal figure is a long-run nominal anchor for a dollar-pegged economy: a 2% inflation objective plus a 1.25% long-run real policy rate, the same construction the terminal growth rate rests on</w:t>
            </w:r>
          </w:p>
        </w:tc>
      </w:tr>
      <w:tr>
        <w:trPr>
          <w:cantSplit/>
        </w:trPr>
        <w:tc>
          <w:tcPr>
            <w:tcW w:type="dxa" w:w="2232"/>
          </w:tcPr>
          <w:p>
            <w:pPr>
              <w:spacing w:after="20"/>
            </w:pPr>
            <w:r>
              <w:rPr>
                <w:color w:val="1C3A36"/>
                <w:sz w:val="16"/>
              </w:rPr>
              <w:t>Beta</w:t>
            </w:r>
          </w:p>
        </w:tc>
        <w:tc>
          <w:tcPr>
            <w:tcW w:type="dxa" w:w="1440"/>
          </w:tcPr>
          <w:p>
            <w:pPr>
              <w:spacing w:after="20"/>
              <w:jc w:val="right"/>
            </w:pPr>
            <w:r>
              <w:rPr>
                <w:color w:val="1C3A36"/>
                <w:sz w:val="16"/>
              </w:rPr>
              <w:t>1.103</w:t>
            </w:r>
          </w:p>
        </w:tc>
        <w:tc>
          <w:tcPr>
            <w:tcW w:type="dxa" w:w="1037"/>
          </w:tcPr>
          <w:p>
            <w:pPr>
              <w:spacing w:after="20"/>
              <w:jc w:val="right"/>
            </w:pPr>
            <w:r>
              <w:rPr>
                <w:color w:val="1C3A36"/>
                <w:sz w:val="16"/>
              </w:rPr>
              <w:t>1.103</w:t>
            </w:r>
          </w:p>
        </w:tc>
        <w:tc>
          <w:tcPr>
            <w:tcW w:type="dxa" w:w="5371"/>
          </w:tcPr>
          <w:p>
            <w:pPr>
              <w:spacing w:after="20"/>
              <w:jc w:val="left"/>
            </w:pPr>
            <w:r>
              <w:rPr>
                <w:color w:val="1C3A36"/>
                <w:sz w:val="16"/>
              </w:rPr>
              <w:t>own-stock weekly regression against the FTSE ADX General Index, 2023-06-16 to 2026-07-17: n = 159, R-squared 0.181, standard error 0.315, 90% interval [0.586, 1.621]. The evidence table below sets this out in full alongside the equal-weight composite, which gives 0.690</w:t>
            </w:r>
          </w:p>
        </w:tc>
      </w:tr>
      <w:tr>
        <w:trPr>
          <w:cantSplit/>
        </w:trPr>
        <w:tc>
          <w:tcPr>
            <w:tcW w:type="dxa" w:w="2232"/>
          </w:tcPr>
          <w:p>
            <w:pPr>
              <w:spacing w:after="20"/>
            </w:pPr>
            <w:r>
              <w:rPr>
                <w:color w:val="1C3A36"/>
                <w:sz w:val="16"/>
              </w:rPr>
              <w:t>Equity risk premium</w:t>
            </w:r>
          </w:p>
        </w:tc>
        <w:tc>
          <w:tcPr>
            <w:tcW w:type="dxa" w:w="1440"/>
          </w:tcPr>
          <w:p>
            <w:pPr>
              <w:spacing w:after="20"/>
              <w:jc w:val="right"/>
            </w:pPr>
            <w:r>
              <w:rPr>
                <w:color w:val="1C3A36"/>
                <w:sz w:val="16"/>
              </w:rPr>
              <w:t>4.87%</w:t>
            </w:r>
          </w:p>
        </w:tc>
        <w:tc>
          <w:tcPr>
            <w:tcW w:type="dxa" w:w="1037"/>
          </w:tcPr>
          <w:p>
            <w:pPr>
              <w:spacing w:after="20"/>
              <w:jc w:val="right"/>
            </w:pPr>
            <w:r>
              <w:rPr>
                <w:color w:val="1C3A36"/>
                <w:sz w:val="16"/>
              </w:rPr>
              <w:t>4.87%</w:t>
            </w:r>
          </w:p>
        </w:tc>
        <w:tc>
          <w:tcPr>
            <w:tcW w:type="dxa" w:w="5371"/>
          </w:tcPr>
          <w:p>
            <w:pPr>
              <w:spacing w:after="20"/>
              <w:jc w:val="left"/>
            </w:pPr>
            <w:r>
              <w:rPr>
                <w:color w:val="1C3A36"/>
                <w:sz w:val="16"/>
              </w:rPr>
              <w:t>the January 2026 country-risk file: a mature-market premium of 4.23% plus a UAE country premium of 0.64%</w:t>
            </w:r>
          </w:p>
        </w:tc>
      </w:tr>
      <w:tr>
        <w:trPr>
          <w:cantSplit/>
        </w:trPr>
        <w:tc>
          <w:tcPr>
            <w:tcW w:type="dxa" w:w="2232"/>
            <w:shd w:val="clear" w:color="auto" w:fill="F6F1E6"/>
          </w:tcPr>
          <w:p>
            <w:pPr>
              <w:spacing w:after="20"/>
            </w:pPr>
            <w:r>
              <w:rPr>
                <w:b/>
                <w:color w:val="1C3A36"/>
                <w:sz w:val="16"/>
              </w:rPr>
              <w:t>Cost of equity</w:t>
            </w:r>
          </w:p>
        </w:tc>
        <w:tc>
          <w:tcPr>
            <w:tcW w:type="dxa" w:w="1440"/>
            <w:shd w:val="clear" w:color="auto" w:fill="F6F1E6"/>
          </w:tcPr>
          <w:p>
            <w:pPr>
              <w:spacing w:after="20"/>
              <w:jc w:val="right"/>
            </w:pPr>
            <w:r>
              <w:rPr>
                <w:b/>
                <w:color w:val="1C3A36"/>
                <w:sz w:val="16"/>
              </w:rPr>
              <w:t>9.37%</w:t>
            </w:r>
          </w:p>
        </w:tc>
        <w:tc>
          <w:tcPr>
            <w:tcW w:type="dxa" w:w="1037"/>
            <w:shd w:val="clear" w:color="auto" w:fill="F6F1E6"/>
          </w:tcPr>
          <w:p>
            <w:pPr>
              <w:spacing w:after="20"/>
              <w:jc w:val="right"/>
            </w:pPr>
            <w:r>
              <w:rPr>
                <w:b/>
                <w:color w:val="1C3A36"/>
                <w:sz w:val="16"/>
              </w:rPr>
              <w:t>9.28%</w:t>
            </w:r>
          </w:p>
        </w:tc>
        <w:tc>
          <w:tcPr>
            <w:tcW w:type="dxa" w:w="5371"/>
            <w:shd w:val="clear" w:color="auto" w:fill="F6F1E6"/>
          </w:tcPr>
          <w:p>
            <w:pPr>
              <w:spacing w:after="20"/>
              <w:jc w:val="left"/>
            </w:pPr>
            <w:r>
              <w:rPr>
                <w:b/>
                <w:color w:val="1C3A36"/>
                <w:sz w:val="16"/>
              </w:rPr>
              <w:t>adjusted risk-free rate plus beta times the premium. On the equal-weight composite's 0.690 it would be 7.62%; on the measured slope shrunk toward the market at 1.069, 9.22%</w:t>
            </w:r>
          </w:p>
        </w:tc>
      </w:tr>
      <w:tr>
        <w:trPr>
          <w:cantSplit/>
        </w:trPr>
        <w:tc>
          <w:tcPr>
            <w:tcW w:type="dxa" w:w="2232"/>
          </w:tcPr>
          <w:p>
            <w:pPr>
              <w:spacing w:after="20"/>
            </w:pPr>
            <w:r>
              <w:rPr>
                <w:color w:val="1C3A36"/>
                <w:sz w:val="16"/>
              </w:rPr>
              <w:t>Cost of debt, pre-tax</w:t>
            </w:r>
          </w:p>
        </w:tc>
        <w:tc>
          <w:tcPr>
            <w:tcW w:type="dxa" w:w="1440"/>
          </w:tcPr>
          <w:p>
            <w:pPr>
              <w:spacing w:after="20"/>
              <w:jc w:val="right"/>
            </w:pPr>
            <w:r>
              <w:rPr>
                <w:color w:val="1C3A36"/>
                <w:sz w:val="16"/>
              </w:rPr>
              <w:t>6.35%</w:t>
            </w:r>
          </w:p>
        </w:tc>
        <w:tc>
          <w:tcPr>
            <w:tcW w:type="dxa" w:w="1037"/>
          </w:tcPr>
          <w:p>
            <w:pPr>
              <w:spacing w:after="20"/>
              <w:jc w:val="right"/>
            </w:pPr>
            <w:r>
              <w:rPr>
                <w:color w:val="1C3A36"/>
                <w:sz w:val="16"/>
              </w:rPr>
              <w:t>6.26%</w:t>
            </w:r>
          </w:p>
        </w:tc>
        <w:tc>
          <w:tcPr>
            <w:tcW w:type="dxa" w:w="5371"/>
          </w:tcPr>
          <w:p>
            <w:pPr>
              <w:spacing w:after="20"/>
              <w:jc w:val="left"/>
            </w:pPr>
            <w:r>
              <w:rPr>
                <w:color w:val="1C3A36"/>
                <w:sz w:val="16"/>
              </w:rPr>
              <w:t>the plain AVERAGE of three constructions built on six disclosed instruments — the evidence table follows. It is not a weighted figure and an earlier edition described it as one. Weighted by what is actually drawn the same evidence gives 6.35%, which is one of the three constructions being averaged; both are published</w:t>
            </w:r>
          </w:p>
        </w:tc>
      </w:tr>
      <w:tr>
        <w:trPr>
          <w:cantSplit/>
        </w:trPr>
        <w:tc>
          <w:tcPr>
            <w:tcW w:type="dxa" w:w="2232"/>
          </w:tcPr>
          <w:p>
            <w:pPr>
              <w:spacing w:after="20"/>
            </w:pPr>
            <w:r>
              <w:rPr>
                <w:color w:val="1C3A36"/>
                <w:sz w:val="16"/>
              </w:rPr>
              <w:t>Cost of debt, after tax</w:t>
            </w:r>
          </w:p>
        </w:tc>
        <w:tc>
          <w:tcPr>
            <w:tcW w:type="dxa" w:w="1440"/>
          </w:tcPr>
          <w:p>
            <w:pPr>
              <w:spacing w:after="20"/>
              <w:jc w:val="right"/>
            </w:pPr>
            <w:r>
              <w:rPr>
                <w:color w:val="1C3A36"/>
                <w:sz w:val="16"/>
              </w:rPr>
              <w:t>5.78%</w:t>
            </w:r>
          </w:p>
        </w:tc>
        <w:tc>
          <w:tcPr>
            <w:tcW w:type="dxa" w:w="1037"/>
          </w:tcPr>
          <w:p>
            <w:pPr>
              <w:spacing w:after="20"/>
              <w:jc w:val="right"/>
            </w:pPr>
            <w:r>
              <w:rPr>
                <w:color w:val="1C3A36"/>
                <w:sz w:val="16"/>
              </w:rPr>
            </w:r>
          </w:p>
        </w:tc>
        <w:tc>
          <w:tcPr>
            <w:tcW w:type="dxa" w:w="5371"/>
          </w:tcPr>
          <w:p>
            <w:pPr>
              <w:spacing w:after="20"/>
              <w:jc w:val="left"/>
            </w:pPr>
            <w:r>
              <w:rPr>
                <w:color w:val="1C3A36"/>
                <w:sz w:val="16"/>
              </w:rPr>
              <w:t>at the 9% statutory rate. This is the one place in the study where the statutory rate is used rather than the rate the company actually bears: the model taxes profit unit by unit at effective rates running near 2.5%, and a shield taken at 9% is larger than the relief the group in fact receives. It is inconsistent, it is disclosed, and it is worth almost nothing — debt is 4.9% of capital, so the whole difference between a statutory and an effective shield is a fraction of a basis point on the cost of capital</w:t>
            </w:r>
          </w:p>
        </w:tc>
      </w:tr>
      <w:tr>
        <w:trPr>
          <w:cantSplit/>
        </w:trPr>
        <w:tc>
          <w:tcPr>
            <w:tcW w:type="dxa" w:w="2232"/>
          </w:tcPr>
          <w:p>
            <w:pPr>
              <w:spacing w:after="20"/>
            </w:pPr>
            <w:r>
              <w:rPr>
                <w:color w:val="1C3A36"/>
                <w:sz w:val="16"/>
              </w:rPr>
              <w:t>Cost of the perpetual capital securities</w:t>
            </w:r>
          </w:p>
        </w:tc>
        <w:tc>
          <w:tcPr>
            <w:tcW w:type="dxa" w:w="1440"/>
          </w:tcPr>
          <w:p>
            <w:pPr>
              <w:spacing w:after="20"/>
              <w:jc w:val="right"/>
            </w:pPr>
            <w:r>
              <w:rPr>
                <w:color w:val="1C3A36"/>
                <w:sz w:val="16"/>
              </w:rPr>
              <w:t>4.90%</w:t>
            </w:r>
          </w:p>
        </w:tc>
        <w:tc>
          <w:tcPr>
            <w:tcW w:type="dxa" w:w="1037"/>
          </w:tcPr>
          <w:p>
            <w:pPr>
              <w:spacing w:after="20"/>
              <w:jc w:val="right"/>
            </w:pPr>
            <w:r>
              <w:rPr>
                <w:color w:val="1C3A36"/>
                <w:sz w:val="16"/>
              </w:rPr>
              <w:t>5.23%</w:t>
            </w:r>
          </w:p>
        </w:tc>
        <w:tc>
          <w:tcPr>
            <w:tcW w:type="dxa" w:w="5371"/>
          </w:tcPr>
          <w:p>
            <w:pPr>
              <w:spacing w:after="20"/>
              <w:jc w:val="left"/>
            </w:pPr>
            <w:r>
              <w:rPr>
                <w:color w:val="1C3A36"/>
                <w:sz w:val="16"/>
              </w:rPr>
              <w:t>their own contractual coupon — the overnight financing rate plus 125 basis points. It is not tax-relieved, because the coupon is a distribution rather than interest, and it is not marked down in the terminal by anything except the risk-free rate the margin sits on: the coupon floats, so its cost normalises as the base rate does</w:t>
            </w:r>
          </w:p>
        </w:tc>
      </w:tr>
      <w:tr>
        <w:trPr>
          <w:cantSplit/>
        </w:trPr>
        <w:tc>
          <w:tcPr>
            <w:tcW w:type="dxa" w:w="2232"/>
          </w:tcPr>
          <w:p>
            <w:pPr>
              <w:spacing w:after="20"/>
            </w:pPr>
            <w:r>
              <w:rPr>
                <w:color w:val="1C3A36"/>
                <w:sz w:val="16"/>
              </w:rPr>
              <w:t>Ordinary equity weight</w:t>
            </w:r>
          </w:p>
        </w:tc>
        <w:tc>
          <w:tcPr>
            <w:tcW w:type="dxa" w:w="1440"/>
          </w:tcPr>
          <w:p>
            <w:pPr>
              <w:spacing w:after="20"/>
              <w:jc w:val="right"/>
            </w:pPr>
            <w:r>
              <w:rPr>
                <w:color w:val="1C3A36"/>
                <w:sz w:val="16"/>
              </w:rPr>
              <w:t>83.1%</w:t>
            </w:r>
          </w:p>
        </w:tc>
        <w:tc>
          <w:tcPr>
            <w:tcW w:type="dxa" w:w="1037"/>
          </w:tcPr>
          <w:p>
            <w:pPr>
              <w:spacing w:after="20"/>
              <w:jc w:val="right"/>
            </w:pPr>
            <w:r>
              <w:rPr>
                <w:color w:val="1C3A36"/>
                <w:sz w:val="16"/>
              </w:rPr>
              <w:t>83.1%</w:t>
            </w:r>
          </w:p>
        </w:tc>
        <w:tc>
          <w:tcPr>
            <w:tcW w:type="dxa" w:w="5371"/>
          </w:tcPr>
          <w:p>
            <w:pPr>
              <w:spacing w:after="20"/>
              <w:jc w:val="left"/>
            </w:pPr>
            <w:r>
              <w:rPr>
                <w:color w:val="1C3A36"/>
                <w:sz w:val="16"/>
              </w:rPr>
              <w:t>market capitalisation of USD 13,699 million against gross debt of USD 800 million and perpetual capital securities of USD 1,979 million. Market-value weights throughout; book equity is never used</w:t>
            </w:r>
          </w:p>
        </w:tc>
      </w:tr>
      <w:tr>
        <w:trPr>
          <w:cantSplit/>
        </w:trPr>
        <w:tc>
          <w:tcPr>
            <w:tcW w:type="dxa" w:w="2232"/>
            <w:shd w:val="clear" w:color="auto" w:fill="F6F1E6"/>
          </w:tcPr>
          <w:p>
            <w:pPr>
              <w:spacing w:after="20"/>
            </w:pPr>
            <w:r>
              <w:rPr>
                <w:b/>
                <w:color w:val="1C3A36"/>
                <w:sz w:val="16"/>
              </w:rPr>
              <w:t>Debt weight</w:t>
            </w:r>
          </w:p>
        </w:tc>
        <w:tc>
          <w:tcPr>
            <w:tcW w:type="dxa" w:w="1440"/>
            <w:shd w:val="clear" w:color="auto" w:fill="F6F1E6"/>
          </w:tcPr>
          <w:p>
            <w:pPr>
              <w:spacing w:after="20"/>
              <w:jc w:val="right"/>
            </w:pPr>
            <w:r>
              <w:rPr>
                <w:b/>
                <w:color w:val="1C3A36"/>
                <w:sz w:val="16"/>
              </w:rPr>
              <w:t>4.9%</w:t>
            </w:r>
          </w:p>
        </w:tc>
        <w:tc>
          <w:tcPr>
            <w:tcW w:type="dxa" w:w="1037"/>
            <w:shd w:val="clear" w:color="auto" w:fill="F6F1E6"/>
          </w:tcPr>
          <w:p>
            <w:pPr>
              <w:spacing w:after="20"/>
              <w:jc w:val="right"/>
            </w:pPr>
            <w:r>
              <w:rPr>
                <w:b/>
                <w:color w:val="1C3A36"/>
                <w:sz w:val="16"/>
              </w:rPr>
              <w:t>4.9%</w:t>
            </w:r>
          </w:p>
        </w:tc>
        <w:tc>
          <w:tcPr>
            <w:tcW w:type="dxa" w:w="5371"/>
            <w:shd w:val="clear" w:color="auto" w:fill="F6F1E6"/>
          </w:tcPr>
          <w:p>
            <w:pPr>
              <w:spacing w:after="20"/>
              <w:jc w:val="left"/>
            </w:pPr>
            <w:r>
              <w:rPr>
                <w:b/>
                <w:color w:val="1C3A36"/>
                <w:sz w:val="16"/>
              </w:rPr>
            </w:r>
          </w:p>
        </w:tc>
      </w:tr>
      <w:tr>
        <w:trPr>
          <w:cantSplit/>
        </w:trPr>
        <w:tc>
          <w:tcPr>
            <w:tcW w:type="dxa" w:w="2232"/>
          </w:tcPr>
          <w:p>
            <w:pPr>
              <w:spacing w:after="20"/>
            </w:pPr>
            <w:r>
              <w:rPr>
                <w:color w:val="1C3A36"/>
                <w:sz w:val="16"/>
              </w:rPr>
              <w:t>Perpetual capital securities weight</w:t>
            </w:r>
          </w:p>
        </w:tc>
        <w:tc>
          <w:tcPr>
            <w:tcW w:type="dxa" w:w="1440"/>
          </w:tcPr>
          <w:p>
            <w:pPr>
              <w:spacing w:after="20"/>
              <w:jc w:val="right"/>
            </w:pPr>
            <w:r>
              <w:rPr>
                <w:color w:val="1C3A36"/>
                <w:sz w:val="16"/>
              </w:rPr>
              <w:t>12.0%</w:t>
            </w:r>
          </w:p>
        </w:tc>
        <w:tc>
          <w:tcPr>
            <w:tcW w:type="dxa" w:w="1037"/>
          </w:tcPr>
          <w:p>
            <w:pPr>
              <w:spacing w:after="20"/>
              <w:jc w:val="right"/>
            </w:pPr>
            <w:r>
              <w:rPr>
                <w:color w:val="1C3A36"/>
                <w:sz w:val="16"/>
              </w:rPr>
              <w:t>12.0%</w:t>
            </w:r>
          </w:p>
        </w:tc>
        <w:tc>
          <w:tcPr>
            <w:tcW w:type="dxa" w:w="5371"/>
          </w:tcPr>
          <w:p>
            <w:pPr>
              <w:spacing w:after="20"/>
              <w:jc w:val="left"/>
            </w:pPr>
            <w:r>
              <w:rPr>
                <w:color w:val="1C3A36"/>
                <w:sz w:val="16"/>
              </w:rPr>
              <w:t>An earlier edition of this study left this tranche out of the weights on the ground that it is already deducted in the bridge and counting it here would charge for it twice. That reasoning does not hold, and two independent reviews said so. Deducting a claim from value and pricing the capital it supplies are different operations: leaving it out took a cheap tranche of funding out of the enterprise without letting it lower the rate at which the enterprise is discounted. It is now weighted at its own coupon, which is the correction that moves the cost of capital from 9.17% to 8.66% and the terminal rate from 9.08% to 8.62%</w:t>
            </w:r>
          </w:p>
        </w:tc>
      </w:tr>
      <w:tr>
        <w:trPr>
          <w:cantSplit/>
        </w:trPr>
        <w:tc>
          <w:tcPr>
            <w:tcW w:type="dxa" w:w="2232"/>
          </w:tcPr>
          <w:p>
            <w:pPr>
              <w:spacing w:after="20"/>
            </w:pPr>
            <w:r>
              <w:rPr>
                <w:color w:val="1C3A36"/>
                <w:sz w:val="16"/>
              </w:rPr>
              <w:t>Cost of capital</w:t>
            </w:r>
          </w:p>
        </w:tc>
        <w:tc>
          <w:tcPr>
            <w:tcW w:type="dxa" w:w="1440"/>
          </w:tcPr>
          <w:p>
            <w:pPr>
              <w:spacing w:after="20"/>
              <w:jc w:val="right"/>
            </w:pPr>
            <w:r>
              <w:rPr>
                <w:color w:val="1C3A36"/>
                <w:sz w:val="16"/>
              </w:rPr>
              <w:t>8.66%</w:t>
            </w:r>
          </w:p>
        </w:tc>
        <w:tc>
          <w:tcPr>
            <w:tcW w:type="dxa" w:w="1037"/>
          </w:tcPr>
          <w:p>
            <w:pPr>
              <w:spacing w:after="20"/>
              <w:jc w:val="right"/>
            </w:pPr>
            <w:r>
              <w:rPr>
                <w:color w:val="1C3A36"/>
                <w:sz w:val="16"/>
              </w:rPr>
              <w:t>8.62%</w:t>
            </w:r>
          </w:p>
        </w:tc>
        <w:tc>
          <w:tcPr>
            <w:tcW w:type="dxa" w:w="5371"/>
          </w:tcPr>
          <w:p>
            <w:pPr>
              <w:spacing w:after="20"/>
              <w:jc w:val="left"/>
            </w:pPr>
            <w:r>
              <w:rPr>
                <w:color w:val="1C3A36"/>
                <w:sz w:val="16"/>
              </w:rPr>
              <w:t>each forecast year is discounted at its own point on the glide between the two, and the terminal value is capitalised at the terminal rate and brought back on the same cumulative factor as the year-five cash flow — one date, one price of time</w:t>
            </w:r>
          </w:p>
        </w:tc>
      </w:tr>
      <w:tr>
        <w:trPr>
          <w:cantSplit/>
        </w:trPr>
        <w:tc>
          <w:tcPr>
            <w:tcW w:type="dxa" w:w="2232"/>
          </w:tcPr>
          <w:p>
            <w:pPr>
              <w:spacing w:after="20"/>
            </w:pPr>
            <w:r>
              <w:rPr>
                <w:color w:val="1C3A36"/>
                <w:sz w:val="16"/>
              </w:rPr>
              <w:t>The glide, year by year</w:t>
            </w:r>
          </w:p>
        </w:tc>
        <w:tc>
          <w:tcPr>
            <w:tcW w:type="dxa" w:w="1440"/>
          </w:tcPr>
          <w:p>
            <w:pPr>
              <w:spacing w:after="20"/>
              <w:jc w:val="right"/>
            </w:pPr>
            <w:r>
              <w:rPr>
                <w:color w:val="1C3A36"/>
                <w:sz w:val="16"/>
              </w:rPr>
              <w:t>8.65% · 8.64% · 8.63% · 8.63% · 8.62%</w:t>
            </w:r>
          </w:p>
        </w:tc>
        <w:tc>
          <w:tcPr>
            <w:tcW w:type="dxa" w:w="1037"/>
          </w:tcPr>
          <w:p>
            <w:pPr>
              <w:spacing w:after="20"/>
              <w:jc w:val="right"/>
            </w:pPr>
            <w:r>
              <w:rPr>
                <w:color w:val="1C3A36"/>
                <w:sz w:val="16"/>
              </w:rPr>
            </w:r>
          </w:p>
        </w:tc>
        <w:tc>
          <w:tcPr>
            <w:tcW w:type="dxa" w:w="5371"/>
          </w:tcPr>
          <w:p>
            <w:pPr>
              <w:spacing w:after="20"/>
              <w:jc w:val="left"/>
            </w:pPr>
            <w:r>
              <w:rPr>
                <w:color w:val="1C3A36"/>
                <w:sz w:val="16"/>
              </w:rPr>
              <w:t>published so the discount factors in section 1.1 are reproducible</w:t>
            </w:r>
          </w:p>
        </w:tc>
      </w:tr>
    </w:tbl>
    <w:p>
      <w:pPr>
        <w:spacing w:after="40"/>
      </w:pPr>
    </w:p>
    <w:p>
      <w:pPr>
        <w:keepNext/>
        <w:spacing w:after="80" w:before="200"/>
      </w:pPr>
      <w:r>
        <w:rPr>
          <w:b/>
          <w:i w:val="0"/>
          <w:color w:val="1C3A36"/>
          <w:sz w:val="24"/>
        </w:rPr>
        <w:t>The beta — what it was measured against, and what a different market would give</w:t>
      </w:r>
    </w:p>
    <w:p>
      <w:pPr>
        <w:spacing w:after="120" w:before="0"/>
      </w:pPr>
      <w:r>
        <w:rPr>
          <w:b w:val="0"/>
          <w:i w:val="0"/>
          <w:color w:val="1C3A36"/>
          <w:sz w:val="21"/>
        </w:rPr>
        <w:t>A beta is a statement about co-movement with a market, so the series chosen to stand for the market decides the answer. That series is not chosen here. It follows from where the share is listed: the regression is run against the FTSE ADX General Index (FADGI), the published, capitalisation-weighted index of the exchange the share trades on, taken as of 2026-07-24. The index series runs from 2011-01-02 to 2026-07-24 across 3,883 sessions; it and the share's own history are both screened for data quality before a single return is computed, and the returns are paired on the exchange's own trading week rather than on a calendar week that would fall on days the exchange is shut. Every figure in the table below is read out of that measurement's own record, including the description of what was measured against what.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584"/>
        <w:gridCol w:w="6019"/>
      </w:tblGrid>
      <w:tr>
        <w:trPr>
          <w:cantSplit/>
          <w:tblHeader/>
        </w:trPr>
        <w:tc>
          <w:tcPr>
            <w:tcW w:type="dxa" w:w="2477"/>
            <w:shd w:val="clear" w:color="auto" w:fill="EAF0EE"/>
          </w:tcPr>
          <w:p>
            <w:pPr>
              <w:spacing w:after="20"/>
            </w:pPr>
            <w:r>
              <w:rPr>
                <w:b/>
                <w:color w:val="1C3A36"/>
                <w:sz w:val="16"/>
              </w:rPr>
              <w:t>Item</w:t>
            </w:r>
          </w:p>
        </w:tc>
        <w:tc>
          <w:tcPr>
            <w:tcW w:type="dxa" w:w="1584"/>
            <w:shd w:val="clear" w:color="auto" w:fill="EAF0EE"/>
          </w:tcPr>
          <w:p>
            <w:pPr>
              <w:spacing w:after="20"/>
              <w:jc w:val="left"/>
            </w:pPr>
            <w:r>
              <w:rPr>
                <w:b/>
                <w:color w:val="1C3A36"/>
                <w:sz w:val="16"/>
              </w:rPr>
              <w:t>Value</w:t>
            </w:r>
          </w:p>
        </w:tc>
        <w:tc>
          <w:tcPr>
            <w:tcW w:type="dxa" w:w="6019"/>
            <w:shd w:val="clear" w:color="auto" w:fill="EAF0EE"/>
          </w:tcPr>
          <w:p>
            <w:pPr>
              <w:spacing w:after="20"/>
              <w:jc w:val="left"/>
            </w:pPr>
            <w:r>
              <w:rPr>
                <w:b/>
                <w:color w:val="1C3A36"/>
                <w:sz w:val="16"/>
              </w:rPr>
              <w:t>Note</w:t>
            </w:r>
          </w:p>
        </w:tc>
      </w:tr>
      <w:tr>
        <w:trPr>
          <w:cantSplit/>
        </w:trPr>
        <w:tc>
          <w:tcPr>
            <w:tcW w:type="dxa" w:w="2477"/>
          </w:tcPr>
          <w:p>
            <w:pPr>
              <w:spacing w:after="20"/>
            </w:pPr>
            <w:r>
              <w:rPr>
                <w:color w:val="1C3A36"/>
                <w:sz w:val="16"/>
              </w:rPr>
              <w:t>Market series used</w:t>
            </w:r>
          </w:p>
        </w:tc>
        <w:tc>
          <w:tcPr>
            <w:tcW w:type="dxa" w:w="1584"/>
          </w:tcPr>
          <w:p>
            <w:pPr>
              <w:spacing w:after="20"/>
              <w:jc w:val="left"/>
            </w:pPr>
            <w:r>
              <w:rPr>
                <w:color w:val="1C3A36"/>
                <w:sz w:val="16"/>
              </w:rPr>
              <w:t>FTSE ADX General Index (FADGI)</w:t>
            </w:r>
          </w:p>
        </w:tc>
        <w:tc>
          <w:tcPr>
            <w:tcW w:type="dxa" w:w="6019"/>
          </w:tcPr>
          <w:p>
            <w:pPr>
              <w:spacing w:after="20"/>
              <w:jc w:val="left"/>
            </w:pPr>
            <w:r>
              <w:rPr>
                <w:color w:val="1C3A36"/>
                <w:sz w:val="16"/>
              </w:rPr>
              <w:t>The published capitalisation-weighted index of the exchange the share is listed on — the local index the beta rule asks for, resolved from that exchange by the routine rather than chosen by the study.</w:t>
            </w:r>
          </w:p>
        </w:tc>
      </w:tr>
      <w:tr>
        <w:trPr>
          <w:cantSplit/>
        </w:trPr>
        <w:tc>
          <w:tcPr>
            <w:tcW w:type="dxa" w:w="2477"/>
          </w:tcPr>
          <w:p>
            <w:pPr>
              <w:spacing w:after="20"/>
            </w:pPr>
            <w:r>
              <w:rPr>
                <w:color w:val="1C3A36"/>
                <w:sz w:val="16"/>
              </w:rPr>
              <w:t>Span of that series</w:t>
            </w:r>
          </w:p>
        </w:tc>
        <w:tc>
          <w:tcPr>
            <w:tcW w:type="dxa" w:w="1584"/>
          </w:tcPr>
          <w:p>
            <w:pPr>
              <w:spacing w:after="20"/>
              <w:jc w:val="left"/>
            </w:pPr>
            <w:r>
              <w:rPr>
                <w:color w:val="1C3A36"/>
                <w:sz w:val="16"/>
              </w:rPr>
              <w:t>2011-01-02 to 2026-07-24</w:t>
            </w:r>
          </w:p>
        </w:tc>
        <w:tc>
          <w:tcPr>
            <w:tcW w:type="dxa" w:w="6019"/>
          </w:tcPr>
          <w:p>
            <w:pPr>
              <w:spacing w:after="20"/>
              <w:jc w:val="left"/>
            </w:pPr>
            <w:r>
              <w:rPr>
                <w:color w:val="1C3A36"/>
                <w:sz w:val="16"/>
              </w:rPr>
              <w:t>3,883 sessions, taken as of 2026-07-24. Dropped 1 interior stale/no-trade rows</w:t>
            </w:r>
          </w:p>
        </w:tc>
      </w:tr>
      <w:tr>
        <w:trPr>
          <w:cantSplit/>
        </w:trPr>
        <w:tc>
          <w:tcPr>
            <w:tcW w:type="dxa" w:w="2477"/>
          </w:tcPr>
          <w:p>
            <w:pPr>
              <w:spacing w:after="20"/>
            </w:pPr>
            <w:r>
              <w:rPr>
                <w:color w:val="1C3A36"/>
                <w:sz w:val="16"/>
              </w:rPr>
              <w:t>How the slope is measured</w:t>
            </w:r>
          </w:p>
        </w:tc>
        <w:tc>
          <w:tcPr>
            <w:tcW w:type="dxa" w:w="1584"/>
          </w:tcPr>
          <w:p>
            <w:pPr>
              <w:spacing w:after="20"/>
              <w:jc w:val="left"/>
            </w:pPr>
            <w:r>
              <w:rPr>
                <w:color w:val="1C3A36"/>
                <w:sz w:val="16"/>
              </w:rPr>
              <w:t>lead-lag sum</w:t>
            </w:r>
          </w:p>
        </w:tc>
        <w:tc>
          <w:tcPr>
            <w:tcW w:type="dxa" w:w="6019"/>
          </w:tcPr>
          <w:p>
            <w:pPr>
              <w:spacing w:after="20"/>
              <w:jc w:val="left"/>
            </w:pPr>
            <w:r>
              <w:rPr>
                <w:color w:val="1C3A36"/>
                <w:sz w:val="16"/>
              </w:rPr>
              <w:t>The estimate is a lead-lag sum beta: the routine regresses on one lag, the contemporaneous return and one lead and sums the three slopes, so the co-movement a thinly traded share books late is already inside the adopted figure rather than published beside it as a separate correction.</w:t>
            </w:r>
          </w:p>
        </w:tc>
      </w:tr>
      <w:tr>
        <w:trPr>
          <w:cantSplit/>
        </w:trPr>
        <w:tc>
          <w:tcPr>
            <w:tcW w:type="dxa" w:w="2477"/>
          </w:tcPr>
          <w:p>
            <w:pPr>
              <w:spacing w:after="20"/>
            </w:pPr>
            <w:r>
              <w:rPr>
                <w:color w:val="1C3A36"/>
                <w:sz w:val="16"/>
              </w:rPr>
              <w:t>Observations in the regression</w:t>
            </w:r>
          </w:p>
        </w:tc>
        <w:tc>
          <w:tcPr>
            <w:tcW w:type="dxa" w:w="1584"/>
          </w:tcPr>
          <w:p>
            <w:pPr>
              <w:spacing w:after="20"/>
              <w:jc w:val="left"/>
            </w:pPr>
            <w:r>
              <w:rPr>
                <w:color w:val="1C3A36"/>
                <w:sz w:val="16"/>
              </w:rPr>
              <w:t>159</w:t>
            </w:r>
          </w:p>
        </w:tc>
        <w:tc>
          <w:tcPr>
            <w:tcW w:type="dxa" w:w="6019"/>
          </w:tcPr>
          <w:p>
            <w:pPr>
              <w:spacing w:after="20"/>
              <w:jc w:val="left"/>
            </w:pPr>
            <w:r>
              <w:rPr>
                <w:color w:val="1C3A36"/>
                <w:sz w:val="16"/>
              </w:rPr>
              <w:t>weekly returns from 2023-06-16 to 2026-07-17, 3.09 years — the share listed in June 2023, so a five-year window does not exist for it</w:t>
            </w:r>
          </w:p>
        </w:tc>
      </w:tr>
      <w:tr>
        <w:trPr>
          <w:cantSplit/>
        </w:trPr>
        <w:tc>
          <w:tcPr>
            <w:tcW w:type="dxa" w:w="2477"/>
            <w:shd w:val="clear" w:color="auto" w:fill="F6F1E6"/>
          </w:tcPr>
          <w:p>
            <w:pPr>
              <w:spacing w:after="20"/>
            </w:pPr>
            <w:r>
              <w:rPr>
                <w:b/>
                <w:color w:val="1C3A36"/>
                <w:sz w:val="16"/>
              </w:rPr>
              <w:t>Beta</w:t>
            </w:r>
          </w:p>
        </w:tc>
        <w:tc>
          <w:tcPr>
            <w:tcW w:type="dxa" w:w="1584"/>
            <w:shd w:val="clear" w:color="auto" w:fill="F6F1E6"/>
          </w:tcPr>
          <w:p>
            <w:pPr>
              <w:spacing w:after="20"/>
              <w:jc w:val="left"/>
            </w:pPr>
            <w:r>
              <w:rPr>
                <w:b/>
                <w:color w:val="1C3A36"/>
                <w:sz w:val="16"/>
              </w:rPr>
              <w:t>1.103</w:t>
            </w:r>
          </w:p>
        </w:tc>
        <w:tc>
          <w:tcPr>
            <w:tcW w:type="dxa" w:w="6019"/>
            <w:shd w:val="clear" w:color="auto" w:fill="F6F1E6"/>
          </w:tcPr>
          <w:p>
            <w:pPr>
              <w:spacing w:after="20"/>
              <w:jc w:val="left"/>
            </w:pPr>
            <w:r>
              <w:rPr>
                <w:b/>
                <w:color w:val="1C3A36"/>
                <w:sz w:val="16"/>
              </w:rPr>
              <w:t>the adopted figure, used in the cost of equity above</w:t>
            </w:r>
          </w:p>
        </w:tc>
      </w:tr>
      <w:tr>
        <w:trPr>
          <w:cantSplit/>
        </w:trPr>
        <w:tc>
          <w:tcPr>
            <w:tcW w:type="dxa" w:w="2477"/>
          </w:tcPr>
          <w:p>
            <w:pPr>
              <w:spacing w:after="20"/>
            </w:pPr>
            <w:r>
              <w:rPr>
                <w:color w:val="1C3A36"/>
                <w:sz w:val="16"/>
              </w:rPr>
              <w:t>Standard error</w:t>
            </w:r>
          </w:p>
        </w:tc>
        <w:tc>
          <w:tcPr>
            <w:tcW w:type="dxa" w:w="1584"/>
          </w:tcPr>
          <w:p>
            <w:pPr>
              <w:spacing w:after="20"/>
              <w:jc w:val="left"/>
            </w:pPr>
            <w:r>
              <w:rPr>
                <w:color w:val="1C3A36"/>
                <w:sz w:val="16"/>
              </w:rPr>
              <w:t>0.315</w:t>
            </w:r>
          </w:p>
        </w:tc>
        <w:tc>
          <w:tcPr>
            <w:tcW w:type="dxa" w:w="6019"/>
          </w:tcPr>
          <w:p>
            <w:pPr>
              <w:spacing w:after="20"/>
              <w:jc w:val="left"/>
            </w:pPr>
            <w:r>
              <w:rPr>
                <w:color w:val="1C3A36"/>
                <w:sz w:val="16"/>
              </w:rPr>
              <w:t>against the estimate itself, which is the usability test this has to pass</w:t>
            </w:r>
          </w:p>
        </w:tc>
      </w:tr>
      <w:tr>
        <w:trPr>
          <w:cantSplit/>
        </w:trPr>
        <w:tc>
          <w:tcPr>
            <w:tcW w:type="dxa" w:w="2477"/>
          </w:tcPr>
          <w:p>
            <w:pPr>
              <w:spacing w:after="20"/>
            </w:pPr>
            <w:r>
              <w:rPr>
                <w:color w:val="1C3A36"/>
                <w:sz w:val="16"/>
              </w:rPr>
              <w:t>R-squared</w:t>
            </w:r>
          </w:p>
        </w:tc>
        <w:tc>
          <w:tcPr>
            <w:tcW w:type="dxa" w:w="1584"/>
          </w:tcPr>
          <w:p>
            <w:pPr>
              <w:spacing w:after="20"/>
              <w:jc w:val="left"/>
            </w:pPr>
            <w:r>
              <w:rPr>
                <w:color w:val="1C3A36"/>
                <w:sz w:val="16"/>
              </w:rPr>
              <w:t>0.181</w:t>
            </w:r>
          </w:p>
        </w:tc>
        <w:tc>
          <w:tcPr>
            <w:tcW w:type="dxa" w:w="6019"/>
          </w:tcPr>
          <w:p>
            <w:pPr>
              <w:spacing w:after="20"/>
              <w:jc w:val="left"/>
            </w:pPr>
            <w:r>
              <w:rPr>
                <w:color w:val="1C3A36"/>
                <w:sz w:val="16"/>
              </w:rPr>
              <w:t>the share of the weekly return variance the index explains</w:t>
            </w:r>
          </w:p>
        </w:tc>
      </w:tr>
      <w:tr>
        <w:trPr>
          <w:cantSplit/>
        </w:trPr>
        <w:tc>
          <w:tcPr>
            <w:tcW w:type="dxa" w:w="2477"/>
          </w:tcPr>
          <w:p>
            <w:pPr>
              <w:spacing w:after="20"/>
            </w:pPr>
            <w:r>
              <w:rPr>
                <w:color w:val="1C3A36"/>
                <w:sz w:val="16"/>
              </w:rPr>
              <w:t>90% confidence interval</w:t>
            </w:r>
          </w:p>
        </w:tc>
        <w:tc>
          <w:tcPr>
            <w:tcW w:type="dxa" w:w="1584"/>
          </w:tcPr>
          <w:p>
            <w:pPr>
              <w:spacing w:after="20"/>
              <w:jc w:val="left"/>
            </w:pPr>
            <w:r>
              <w:rPr>
                <w:color w:val="1C3A36"/>
                <w:sz w:val="16"/>
              </w:rPr>
              <w:t>0.586 to 1.621</w:t>
            </w:r>
          </w:p>
        </w:tc>
        <w:tc>
          <w:tcPr>
            <w:tcW w:type="dxa" w:w="6019"/>
          </w:tcPr>
          <w:p>
            <w:pPr>
              <w:spacing w:after="20"/>
              <w:jc w:val="left"/>
            </w:pPr>
            <w:r>
              <w:rPr>
                <w:color w:val="1C3A36"/>
                <w:sz w:val="16"/>
              </w:rPr>
              <w:t>the bear and bull cases in this study take these two bounds directly, so the published fair-value range is the range this estimate itself supports — and it is a wider interval than the previous edition of this study published</w:t>
            </w:r>
          </w:p>
        </w:tc>
      </w:tr>
      <w:tr>
        <w:trPr>
          <w:cantSplit/>
        </w:trPr>
        <w:tc>
          <w:tcPr>
            <w:tcW w:type="dxa" w:w="2477"/>
          </w:tcPr>
          <w:p>
            <w:pPr>
              <w:spacing w:after="20"/>
            </w:pPr>
            <w:r>
              <w:rPr>
                <w:color w:val="1C3A36"/>
                <w:sz w:val="16"/>
              </w:rPr>
              <w:t>Shrunk toward the market</w:t>
            </w:r>
          </w:p>
        </w:tc>
        <w:tc>
          <w:tcPr>
            <w:tcW w:type="dxa" w:w="1584"/>
          </w:tcPr>
          <w:p>
            <w:pPr>
              <w:spacing w:after="20"/>
              <w:jc w:val="left"/>
            </w:pPr>
            <w:r>
              <w:rPr>
                <w:color w:val="1C3A36"/>
                <w:sz w:val="16"/>
              </w:rPr>
              <w:t>1.069</w:t>
            </w:r>
          </w:p>
        </w:tc>
        <w:tc>
          <w:tcPr>
            <w:tcW w:type="dxa" w:w="6019"/>
          </w:tcPr>
          <w:p>
            <w:pPr>
              <w:spacing w:after="20"/>
              <w:jc w:val="left"/>
            </w:pPr>
            <w:r>
              <w:rPr>
                <w:color w:val="1C3A36"/>
                <w:sz w:val="16"/>
              </w:rPr>
              <w:t>Blume shrinkage on the adopted slope — two-thirds of the measured figure plus one-third of 1.0, the standard adjustment for the tendency of a measured beta to drift toward the market over time. It is a cross-check reported by the same record, and it is not what the study discounts at.</w:t>
            </w:r>
          </w:p>
        </w:tc>
      </w:tr>
      <w:tr>
        <w:trPr>
          <w:cantSplit/>
        </w:trPr>
        <w:tc>
          <w:tcPr>
            <w:tcW w:type="dxa" w:w="2477"/>
            <w:shd w:val="clear" w:color="auto" w:fill="F6F1E6"/>
          </w:tcPr>
          <w:p>
            <w:pPr>
              <w:spacing w:after="20"/>
            </w:pPr>
            <w:r>
              <w:rPr>
                <w:b/>
                <w:color w:val="1C3A36"/>
                <w:sz w:val="16"/>
              </w:rPr>
              <w:t>The same regression on an equal-weight composite</w:t>
            </w:r>
          </w:p>
        </w:tc>
        <w:tc>
          <w:tcPr>
            <w:tcW w:type="dxa" w:w="1584"/>
            <w:shd w:val="clear" w:color="auto" w:fill="F6F1E6"/>
          </w:tcPr>
          <w:p>
            <w:pPr>
              <w:spacing w:after="20"/>
              <w:jc w:val="left"/>
            </w:pPr>
            <w:r>
              <w:rPr>
                <w:b/>
                <w:color w:val="1C3A36"/>
                <w:sz w:val="16"/>
              </w:rPr>
              <w:t>0.690</w:t>
            </w:r>
          </w:p>
        </w:tc>
        <w:tc>
          <w:tcPr>
            <w:tcW w:type="dxa" w:w="6019"/>
            <w:shd w:val="clear" w:color="auto" w:fill="F6F1E6"/>
          </w:tcPr>
          <w:p>
            <w:pPr>
              <w:spacing w:after="20"/>
              <w:jc w:val="left"/>
            </w:pPr>
            <w:r>
              <w:rPr>
                <w:b/>
                <w:color w:val="1C3A36"/>
                <w:sz w:val="16"/>
              </w:rPr>
              <w:t>Equal-weight composite of the exchange's own listed names, the subject excluded. This was the regressor before the published index was available; disclosed so the effect of the change is visible, not adopted. R-squared 0.167 on 165 observations across 12 names</w:t>
            </w:r>
          </w:p>
        </w:tc>
      </w:tr>
      <w:tr>
        <w:trPr>
          <w:cantSplit/>
        </w:trPr>
        <w:tc>
          <w:tcPr>
            <w:tcW w:type="dxa" w:w="2477"/>
          </w:tcPr>
          <w:p>
            <w:pPr>
              <w:spacing w:after="20"/>
            </w:pPr>
            <w:r>
              <w:rPr>
                <w:color w:val="1C3A36"/>
                <w:sz w:val="16"/>
              </w:rPr>
              <w:t>The same regression on the wider two-exchange composite</w:t>
            </w:r>
          </w:p>
        </w:tc>
        <w:tc>
          <w:tcPr>
            <w:tcW w:type="dxa" w:w="1584"/>
          </w:tcPr>
          <w:p>
            <w:pPr>
              <w:spacing w:after="20"/>
              <w:jc w:val="left"/>
            </w:pPr>
            <w:r>
              <w:rPr>
                <w:color w:val="1C3A36"/>
                <w:sz w:val="16"/>
              </w:rPr>
              <w:t>0.802</w:t>
            </w:r>
          </w:p>
        </w:tc>
        <w:tc>
          <w:tcPr>
            <w:tcW w:type="dxa" w:w="6019"/>
          </w:tcPr>
          <w:p>
            <w:pPr>
              <w:spacing w:after="20"/>
              <w:jc w:val="left"/>
            </w:pPr>
            <w:r>
              <w:rPr>
                <w:color w:val="1C3A36"/>
                <w:sz w:val="16"/>
              </w:rPr>
              <w:t>ADX + DFM equal-weight composite; disclosed, not adopted. R-squared 0.196 across 27 names</w:t>
            </w:r>
          </w:p>
        </w:tc>
      </w:tr>
      <w:tr>
        <w:trPr>
          <w:cantSplit/>
        </w:trPr>
        <w:tc>
          <w:tcPr>
            <w:tcW w:type="dxa" w:w="2477"/>
          </w:tcPr>
          <w:p>
            <w:pPr>
              <w:spacing w:after="20"/>
            </w:pPr>
            <w:r>
              <w:rPr>
                <w:color w:val="1C3A36"/>
                <w:sz w:val="16"/>
              </w:rPr>
              <w:t>Weekly observations excluded</w:t>
            </w:r>
          </w:p>
        </w:tc>
        <w:tc>
          <w:tcPr>
            <w:tcW w:type="dxa" w:w="1584"/>
          </w:tcPr>
          <w:p>
            <w:pPr>
              <w:spacing w:after="20"/>
              <w:jc w:val="left"/>
            </w:pPr>
            <w:r>
              <w:rPr>
                <w:color w:val="1C3A36"/>
                <w:sz w:val="16"/>
              </w:rPr>
              <w:t>2</w:t>
            </w:r>
          </w:p>
        </w:tc>
        <w:tc>
          <w:tcPr>
            <w:tcW w:type="dxa" w:w="6019"/>
          </w:tcPr>
          <w:p>
            <w:pPr>
              <w:spacing w:after="20"/>
              <w:jc w:val="left"/>
            </w:pPr>
            <w:r>
              <w:rPr>
                <w:color w:val="1C3A36"/>
                <w:sz w:val="16"/>
              </w:rPr>
              <w:t>The index series ends 2026-07-24, before the last stock session used elsewhere in the study (2026-08-07). 2 weekly stock observations therefore fall outside the regression. The window stops where the index stops rather than pairing the stock against a stale index level.</w:t>
            </w:r>
          </w:p>
        </w:tc>
      </w:tr>
    </w:tbl>
    <w:p>
      <w:pPr>
        <w:spacing w:after="40"/>
      </w:pPr>
    </w:p>
    <w:p>
      <w:pPr>
        <w:spacing w:after="200" w:before="0"/>
      </w:pPr>
      <w:r>
        <w:rPr>
          <w:b w:val="0"/>
          <w:i/>
          <w:color w:val="6E7B77"/>
          <w:sz w:val="17"/>
        </w:rPr>
        <w:t>Why the published index and the composite differ by 0.413 of a beta is a fact about index construction, not about the company. A published index is weighted by size, so it is dominated by the same large-capitalisation group this share belongs to and a large share moving with its large peers registers as full co-movement. An equal-weight composite gives the exchange's smallest and thinnest names the same say as its largest, so it measures co-movement against a market this share is not really a member of, and a large liquid name will look defensive against it almost mechanically. Two disclosures cut against the adopted figure rather than for it and are stated here rather than left out. The share is itself a constituent of the index it is measured against, and on a capitalisation-weighted index that cannot be removed; run the equal-weight proxy both ways and including the subject lifts the measured beta by 0.202, which is the scale of the same pull the published-index figure carries. And the index series ends 2026-07-24, before the share's last session used elsewhere in this study, so 2 weekly observations fall outside the window rather than being paired against a stale index level.</w:t>
      </w:r>
    </w:p>
    <w:p>
      <w:pPr>
        <w:keepNext/>
        <w:spacing w:after="80" w:before="200"/>
      </w:pPr>
      <w:r>
        <w:rPr>
          <w:b/>
          <w:i w:val="0"/>
          <w:color w:val="1C3A36"/>
          <w:sz w:val="24"/>
        </w:rPr>
        <w:t>The cost of debt — six instruments, not an assumption</w:t>
      </w:r>
    </w:p>
    <w:p>
      <w:pPr>
        <w:spacing w:after="120" w:before="0"/>
      </w:pPr>
      <w:r>
        <w:rPr>
          <w:b w:val="0"/>
          <w:i w:val="0"/>
          <w:color w:val="1C3A36"/>
          <w:sz w:val="21"/>
        </w:rPr>
        <w:t>A single disclosed range is not evidence of what a company pays. Six separate instruments are visible in the statements and the market, and they are set out here rather than summarised into one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232"/>
        <w:gridCol w:w="1944"/>
      </w:tblGrid>
      <w:tr>
        <w:trPr>
          <w:cantSplit/>
          <w:tblHeader/>
        </w:trPr>
        <w:tc>
          <w:tcPr>
            <w:tcW w:type="dxa" w:w="5904"/>
            <w:shd w:val="clear" w:color="auto" w:fill="EAF0EE"/>
          </w:tcPr>
          <w:p>
            <w:pPr>
              <w:spacing w:after="20"/>
            </w:pPr>
            <w:r>
              <w:rPr>
                <w:b/>
                <w:color w:val="1C3A36"/>
                <w:sz w:val="16"/>
              </w:rPr>
              <w:t>Instrument</w:t>
            </w:r>
          </w:p>
        </w:tc>
        <w:tc>
          <w:tcPr>
            <w:tcW w:type="dxa" w:w="2232"/>
            <w:shd w:val="clear" w:color="auto" w:fill="EAF0EE"/>
          </w:tcPr>
          <w:p>
            <w:pPr>
              <w:spacing w:after="20"/>
              <w:jc w:val="left"/>
            </w:pPr>
            <w:r>
              <w:rPr>
                <w:b/>
                <w:color w:val="1C3A36"/>
                <w:sz w:val="16"/>
              </w:rPr>
              <w:t>Basis</w:t>
            </w:r>
          </w:p>
        </w:tc>
        <w:tc>
          <w:tcPr>
            <w:tcW w:type="dxa" w:w="1944"/>
            <w:shd w:val="clear" w:color="auto" w:fill="EAF0EE"/>
          </w:tcPr>
          <w:p>
            <w:pPr>
              <w:spacing w:after="20"/>
            </w:pPr>
            <w:r>
              <w:rPr>
                <w:b/>
                <w:color w:val="1C3A36"/>
                <w:sz w:val="16"/>
              </w:rPr>
              <w:t>Rate</w:t>
            </w:r>
          </w:p>
        </w:tc>
      </w:tr>
      <w:tr>
        <w:trPr>
          <w:cantSplit/>
        </w:trPr>
        <w:tc>
          <w:tcPr>
            <w:tcW w:type="dxa" w:w="5904"/>
          </w:tcPr>
          <w:p>
            <w:pPr>
              <w:spacing w:after="20"/>
            </w:pPr>
            <w:r>
              <w:rPr>
                <w:color w:val="1C3A36"/>
                <w:sz w:val="16"/>
              </w:rPr>
              <w:t>Parent revolving credit facility, drawn January 2026</w:t>
            </w:r>
          </w:p>
        </w:tc>
        <w:tc>
          <w:tcPr>
            <w:tcW w:type="dxa" w:w="2232"/>
          </w:tcPr>
          <w:p>
            <w:pPr>
              <w:spacing w:after="20"/>
              <w:jc w:val="left"/>
            </w:pPr>
            <w:r>
              <w:rPr>
                <w:color w:val="1C3A36"/>
                <w:sz w:val="16"/>
              </w:rPr>
              <w:t>SOFR + 0.80%</w:t>
            </w:r>
          </w:p>
        </w:tc>
        <w:tc>
          <w:tcPr>
            <w:tcW w:type="dxa" w:w="1944"/>
          </w:tcPr>
          <w:p>
            <w:pPr>
              <w:spacing w:after="20"/>
              <w:jc w:val="right"/>
            </w:pPr>
            <w:r>
              <w:rPr>
                <w:color w:val="1C3A36"/>
                <w:sz w:val="16"/>
              </w:rPr>
              <w:t>4.45%</w:t>
            </w:r>
          </w:p>
        </w:tc>
      </w:tr>
      <w:tr>
        <w:trPr>
          <w:cantSplit/>
        </w:trPr>
        <w:tc>
          <w:tcPr>
            <w:tcW w:type="dxa" w:w="5904"/>
          </w:tcPr>
          <w:p>
            <w:pPr>
              <w:spacing w:after="20"/>
            </w:pPr>
            <w:r>
              <w:rPr>
                <w:color w:val="1C3A36"/>
                <w:sz w:val="16"/>
              </w:rPr>
              <w:t>Third-party bank loans, disclosed weighted-average range 7.11%-7.55%</w:t>
            </w:r>
          </w:p>
        </w:tc>
        <w:tc>
          <w:tcPr>
            <w:tcW w:type="dxa" w:w="2232"/>
          </w:tcPr>
          <w:p>
            <w:pPr>
              <w:spacing w:after="20"/>
              <w:jc w:val="left"/>
            </w:pPr>
            <w:r>
              <w:rPr>
                <w:color w:val="1C3A36"/>
                <w:sz w:val="16"/>
              </w:rPr>
              <w:t>midpoint</w:t>
            </w:r>
          </w:p>
        </w:tc>
        <w:tc>
          <w:tcPr>
            <w:tcW w:type="dxa" w:w="1944"/>
          </w:tcPr>
          <w:p>
            <w:pPr>
              <w:spacing w:after="20"/>
              <w:jc w:val="right"/>
            </w:pPr>
            <w:r>
              <w:rPr>
                <w:color w:val="1C3A36"/>
                <w:sz w:val="16"/>
              </w:rPr>
              <w:t>7.33%</w:t>
            </w:r>
          </w:p>
        </w:tc>
      </w:tr>
      <w:tr>
        <w:trPr>
          <w:cantSplit/>
        </w:trPr>
        <w:tc>
          <w:tcPr>
            <w:tcW w:type="dxa" w:w="5904"/>
          </w:tcPr>
          <w:p>
            <w:pPr>
              <w:spacing w:after="20"/>
            </w:pPr>
            <w:r>
              <w:rPr>
                <w:color w:val="1C3A36"/>
                <w:sz w:val="16"/>
              </w:rPr>
              <w:t>Other third-party borrowings, disclosed range 4.36%-8.31%</w:t>
            </w:r>
          </w:p>
        </w:tc>
        <w:tc>
          <w:tcPr>
            <w:tcW w:type="dxa" w:w="2232"/>
          </w:tcPr>
          <w:p>
            <w:pPr>
              <w:spacing w:after="20"/>
              <w:jc w:val="left"/>
            </w:pPr>
            <w:r>
              <w:rPr>
                <w:color w:val="1C3A36"/>
                <w:sz w:val="16"/>
              </w:rPr>
              <w:t>midpoint</w:t>
            </w:r>
          </w:p>
        </w:tc>
        <w:tc>
          <w:tcPr>
            <w:tcW w:type="dxa" w:w="1944"/>
          </w:tcPr>
          <w:p>
            <w:pPr>
              <w:spacing w:after="20"/>
              <w:jc w:val="right"/>
            </w:pPr>
            <w:r>
              <w:rPr>
                <w:color w:val="1C3A36"/>
                <w:sz w:val="16"/>
              </w:rPr>
              <w:t>6.33%</w:t>
            </w:r>
          </w:p>
        </w:tc>
      </w:tr>
      <w:tr>
        <w:trPr>
          <w:cantSplit/>
        </w:trPr>
        <w:tc>
          <w:tcPr>
            <w:tcW w:type="dxa" w:w="5904"/>
          </w:tcPr>
          <w:p>
            <w:pPr>
              <w:spacing w:after="20"/>
            </w:pPr>
            <w:r>
              <w:rPr>
                <w:color w:val="1C3A36"/>
                <w:sz w:val="16"/>
              </w:rPr>
              <w:t>Lease liabilities, interest charged over the average balance in 2025</w:t>
            </w:r>
          </w:p>
        </w:tc>
        <w:tc>
          <w:tcPr>
            <w:tcW w:type="dxa" w:w="2232"/>
          </w:tcPr>
          <w:p>
            <w:pPr>
              <w:spacing w:after="20"/>
              <w:jc w:val="left"/>
            </w:pPr>
            <w:r>
              <w:rPr>
                <w:color w:val="1C3A36"/>
                <w:sz w:val="16"/>
              </w:rPr>
              <w:t>implied</w:t>
            </w:r>
          </w:p>
        </w:tc>
        <w:tc>
          <w:tcPr>
            <w:tcW w:type="dxa" w:w="1944"/>
          </w:tcPr>
          <w:p>
            <w:pPr>
              <w:spacing w:after="20"/>
              <w:jc w:val="right"/>
            </w:pPr>
            <w:r>
              <w:rPr>
                <w:color w:val="1C3A36"/>
                <w:sz w:val="16"/>
              </w:rPr>
              <w:t>6.47%</w:t>
            </w:r>
          </w:p>
        </w:tc>
      </w:tr>
      <w:tr>
        <w:trPr>
          <w:cantSplit/>
        </w:trPr>
        <w:tc>
          <w:tcPr>
            <w:tcW w:type="dxa" w:w="5904"/>
          </w:tcPr>
          <w:p>
            <w:pPr>
              <w:spacing w:after="20"/>
            </w:pPr>
            <w:r>
              <w:rPr>
                <w:color w:val="1C3A36"/>
                <w:sz w:val="16"/>
              </w:rPr>
              <w:t>Perpetual capital securities placed with a third-party investor</w:t>
            </w:r>
          </w:p>
        </w:tc>
        <w:tc>
          <w:tcPr>
            <w:tcW w:type="dxa" w:w="2232"/>
          </w:tcPr>
          <w:p>
            <w:pPr>
              <w:spacing w:after="20"/>
              <w:jc w:val="left"/>
            </w:pPr>
            <w:r>
              <w:rPr>
                <w:color w:val="1C3A36"/>
                <w:sz w:val="16"/>
              </w:rPr>
              <w:t>SOFR + 1.25%</w:t>
            </w:r>
          </w:p>
        </w:tc>
        <w:tc>
          <w:tcPr>
            <w:tcW w:type="dxa" w:w="1944"/>
          </w:tcPr>
          <w:p>
            <w:pPr>
              <w:spacing w:after="20"/>
              <w:jc w:val="right"/>
            </w:pPr>
            <w:r>
              <w:rPr>
                <w:color w:val="1C3A36"/>
                <w:sz w:val="16"/>
              </w:rPr>
              <w:t>4.90%</w:t>
            </w:r>
          </w:p>
        </w:tc>
      </w:tr>
      <w:tr>
        <w:trPr>
          <w:cantSplit/>
        </w:trPr>
        <w:tc>
          <w:tcPr>
            <w:tcW w:type="dxa" w:w="5904"/>
          </w:tcPr>
          <w:p>
            <w:pPr>
              <w:spacing w:after="20"/>
            </w:pPr>
            <w:r>
              <w:rPr>
                <w:color w:val="1C3A36"/>
                <w:sz w:val="16"/>
              </w:rPr>
              <w:t>Local government bond, the dirham tranche maturing January 2031</w:t>
            </w:r>
          </w:p>
        </w:tc>
        <w:tc>
          <w:tcPr>
            <w:tcW w:type="dxa" w:w="2232"/>
          </w:tcPr>
          <w:p>
            <w:pPr>
              <w:spacing w:after="20"/>
              <w:jc w:val="left"/>
            </w:pPr>
            <w:r>
              <w:rPr>
                <w:color w:val="1C3A36"/>
                <w:sz w:val="16"/>
              </w:rPr>
              <w:t>auction yield</w:t>
            </w:r>
          </w:p>
        </w:tc>
        <w:tc>
          <w:tcPr>
            <w:tcW w:type="dxa" w:w="1944"/>
          </w:tcPr>
          <w:p>
            <w:pPr>
              <w:spacing w:after="20"/>
              <w:jc w:val="right"/>
            </w:pPr>
            <w:r>
              <w:rPr>
                <w:color w:val="1C3A36"/>
                <w:sz w:val="16"/>
              </w:rPr>
              <w:t>4.48%</w:t>
            </w:r>
          </w:p>
        </w:tc>
      </w:tr>
      <w:tr>
        <w:trPr>
          <w:cantSplit/>
        </w:trPr>
        <w:tc>
          <w:tcPr>
            <w:tcW w:type="dxa" w:w="5904"/>
          </w:tcPr>
          <w:p>
            <w:pPr>
              <w:spacing w:after="20"/>
            </w:pPr>
            <w:r>
              <w:rPr>
                <w:color w:val="1C3A36"/>
                <w:sz w:val="16"/>
              </w:rPr>
              <w:t>Memorandum — the same evidence weighted by what is actually drawn</w:t>
            </w:r>
          </w:p>
        </w:tc>
        <w:tc>
          <w:tcPr>
            <w:tcW w:type="dxa" w:w="2232"/>
          </w:tcPr>
          <w:p>
            <w:pPr>
              <w:spacing w:after="20"/>
              <w:jc w:val="left"/>
            </w:pPr>
            <w:r>
              <w:rPr>
                <w:color w:val="1C3A36"/>
                <w:sz w:val="16"/>
              </w:rPr>
              <w:t>balance-weighted</w:t>
            </w:r>
          </w:p>
        </w:tc>
        <w:tc>
          <w:tcPr>
            <w:tcW w:type="dxa" w:w="1944"/>
          </w:tcPr>
          <w:p>
            <w:pPr>
              <w:spacing w:after="20"/>
              <w:jc w:val="right"/>
            </w:pPr>
            <w:r>
              <w:rPr>
                <w:color w:val="1C3A36"/>
                <w:sz w:val="16"/>
              </w:rPr>
              <w:t>6.35%</w:t>
            </w:r>
          </w:p>
        </w:tc>
      </w:tr>
      <w:tr>
        <w:trPr>
          <w:cantSplit/>
        </w:trPr>
        <w:tc>
          <w:tcPr>
            <w:tcW w:type="dxa" w:w="5904"/>
            <w:shd w:val="clear" w:color="auto" w:fill="F6F1E6"/>
          </w:tcPr>
          <w:p>
            <w:pPr>
              <w:spacing w:after="20"/>
            </w:pPr>
            <w:r>
              <w:rPr>
                <w:b/>
                <w:color w:val="1C3A36"/>
                <w:sz w:val="16"/>
              </w:rPr>
              <w:t>Adopted cost of debt, pre-tax</w:t>
            </w:r>
          </w:p>
        </w:tc>
        <w:tc>
          <w:tcPr>
            <w:tcW w:type="dxa" w:w="2232"/>
            <w:shd w:val="clear" w:color="auto" w:fill="F6F1E6"/>
          </w:tcPr>
          <w:p>
            <w:pPr>
              <w:spacing w:after="20"/>
              <w:jc w:val="left"/>
            </w:pPr>
            <w:r>
              <w:rPr>
                <w:b/>
                <w:color w:val="1C3A36"/>
                <w:sz w:val="16"/>
              </w:rPr>
              <w:t>the plain average of three constructions</w:t>
            </w:r>
          </w:p>
        </w:tc>
        <w:tc>
          <w:tcPr>
            <w:tcW w:type="dxa" w:w="1944"/>
            <w:shd w:val="clear" w:color="auto" w:fill="F6F1E6"/>
          </w:tcPr>
          <w:p>
            <w:pPr>
              <w:spacing w:after="20"/>
              <w:jc w:val="right"/>
            </w:pPr>
            <w:r>
              <w:rPr>
                <w:b/>
                <w:color w:val="1C3A36"/>
                <w:sz w:val="16"/>
              </w:rPr>
              <w:t>6.35%</w:t>
            </w:r>
          </w:p>
        </w:tc>
      </w:tr>
    </w:tbl>
    <w:p>
      <w:pPr>
        <w:spacing w:after="40"/>
      </w:pPr>
    </w:p>
    <w:p>
      <w:pPr>
        <w:spacing w:after="200" w:before="0"/>
      </w:pPr>
      <w:r>
        <w:rPr>
          <w:b w:val="0"/>
          <w:i/>
          <w:color w:val="6E7B77"/>
          <w:sz w:val="17"/>
        </w:rPr>
        <w:t>The spread of the evidence is the point. The parent revolving facility at the secured overnight financing rate plus 80 basis points is the cheapest money in the book and is a genuine benefit of the ownership structure; third-party bank debt costs 288 basis points more. The adopted rate sits between them. It is the plain AVERAGE of three constructions — the marginal drawdown rate on the parent facility, the blend of the instruments actually outstanding, and the midpoint of the disclosed third-party bank range — and not a figure weighted across the book, which is what an earlier edition of this study called it. The genuinely balance-weighted construction is 6.35%, is one of the three being averaged, and is shown above so that a reader who wants it can take it directly; the two are 0 basis points apart on a tranche that is 4.9% of capital. The adopted rate sits above the local sovereign yield of 4.48%, as a corporate borrowing in the same currency must. The perpetual capital securities appear in the evidence because they price the company's own subordinated risk, and they are also carried in the weights at that same 4.90% rather than averaged into the cost of debt: they are neither debt nor ordinary equity, so they get a weight and a rate of their own. They are deducted in the bridge as well, and that is not a double charge — deducting a claim from value and pricing the capital it supplies are two different operations, and doing only the first is what the earlier edition of this study got wrong.</w:t>
      </w:r>
    </w:p>
    <w:p>
      <w:pPr>
        <w:keepNext/>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above are legitimately arguable. Each alternative is computed and its value published, so a reader who prefers a different convention can take the number directly instead of guessing at its size.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2664"/>
        <w:gridCol w:w="1843"/>
        <w:gridCol w:w="3240"/>
      </w:tblGrid>
      <w:tr>
        <w:trPr>
          <w:cantSplit/>
          <w:tblHeader/>
        </w:trPr>
        <w:tc>
          <w:tcPr>
            <w:tcW w:type="dxa" w:w="2333"/>
            <w:shd w:val="clear" w:color="auto" w:fill="EAF0EE"/>
          </w:tcPr>
          <w:p>
            <w:pPr>
              <w:spacing w:after="20"/>
            </w:pPr>
            <w:r>
              <w:rPr>
                <w:b/>
                <w:color w:val="1C3A36"/>
                <w:sz w:val="15"/>
              </w:rPr>
              <w:t>The choice made</w:t>
            </w:r>
          </w:p>
        </w:tc>
        <w:tc>
          <w:tcPr>
            <w:tcW w:type="dxa" w:w="2664"/>
            <w:shd w:val="clear" w:color="auto" w:fill="EAF0EE"/>
          </w:tcPr>
          <w:p>
            <w:pPr>
              <w:spacing w:after="20"/>
            </w:pPr>
            <w:r>
              <w:rPr>
                <w:b/>
                <w:color w:val="1C3A36"/>
                <w:sz w:val="15"/>
              </w:rPr>
              <w:t>The alternative</w:t>
            </w:r>
          </w:p>
        </w:tc>
        <w:tc>
          <w:tcPr>
            <w:tcW w:type="dxa" w:w="1843"/>
            <w:shd w:val="clear" w:color="auto" w:fill="EAF0EE"/>
          </w:tcPr>
          <w:p>
            <w:pPr>
              <w:spacing w:after="20"/>
            </w:pPr>
            <w:r>
              <w:rPr>
                <w:b/>
                <w:color w:val="1C3A36"/>
                <w:sz w:val="15"/>
              </w:rPr>
              <w:t>Value on the alternative</w:t>
            </w:r>
          </w:p>
        </w:tc>
        <w:tc>
          <w:tcPr>
            <w:tcW w:type="dxa" w:w="3240"/>
            <w:shd w:val="clear" w:color="auto" w:fill="EAF0EE"/>
          </w:tcPr>
          <w:p>
            <w:pPr>
              <w:spacing w:after="20"/>
            </w:pPr>
            <w:r>
              <w:rPr>
                <w:b/>
                <w:color w:val="1C3A36"/>
                <w:sz w:val="15"/>
              </w:rPr>
              <w:t>Why ours</w:t>
            </w:r>
          </w:p>
        </w:tc>
      </w:tr>
      <w:tr>
        <w:trPr>
          <w:cantSplit/>
        </w:trPr>
        <w:tc>
          <w:tcPr>
            <w:tcW w:type="dxa" w:w="2333"/>
          </w:tcPr>
          <w:p>
            <w:pPr>
              <w:spacing w:after="20"/>
            </w:pPr>
            <w:r>
              <w:rPr>
                <w:color w:val="1C3A36"/>
                <w:sz w:val="15"/>
              </w:rPr>
              <w:t>Beta measured against the published index of its own exchange, giving 1.103</w:t>
            </w:r>
          </w:p>
        </w:tc>
        <w:tc>
          <w:tcPr>
            <w:tcW w:type="dxa" w:w="2664"/>
          </w:tcPr>
          <w:p>
            <w:pPr>
              <w:spacing w:after="20"/>
            </w:pPr>
            <w:r>
              <w:rPr>
                <w:color w:val="1C3A36"/>
                <w:sz w:val="15"/>
              </w:rPr>
              <w:t>The same regression against an equal-weight composite of the same exchange's names, giving 0.690 — cost of equity 7.62% instead of 9.37%</w:t>
            </w:r>
          </w:p>
        </w:tc>
        <w:tc>
          <w:tcPr>
            <w:tcW w:type="dxa" w:w="1843"/>
          </w:tcPr>
          <w:p>
            <w:pPr>
              <w:spacing w:after="20"/>
            </w:pPr>
            <w:r>
              <w:rPr>
                <w:color w:val="1C3A36"/>
                <w:sz w:val="15"/>
              </w:rPr>
              <w:t>AED 7.12 against 5.39</w:t>
            </w:r>
          </w:p>
        </w:tc>
        <w:tc>
          <w:tcPr>
            <w:tcW w:type="dxa" w:w="3240"/>
          </w:tcPr>
          <w:p>
            <w:pPr>
              <w:spacing w:after="20"/>
            </w:pPr>
            <w:r>
              <w:rPr>
                <w:color w:val="1C3A36"/>
                <w:sz w:val="15"/>
              </w:rPr>
              <w:t>The published index is preferred, and not narrowly: it is the index of the exchange the share is listed on, and measuring a share against a composite in which the exchange’s smallest names carry the same weight as its largest measures it against a market it is not a member of. The composite is published at full size because it is what an earlier construction of this study used and the difference is large. Note that the adopted choice is the less flattering one</w:t>
            </w:r>
          </w:p>
        </w:tc>
      </w:tr>
      <w:tr>
        <w:trPr>
          <w:cantSplit/>
        </w:trPr>
        <w:tc>
          <w:tcPr>
            <w:tcW w:type="dxa" w:w="2333"/>
          </w:tcPr>
          <w:p>
            <w:pPr>
              <w:spacing w:after="20"/>
            </w:pPr>
            <w:r>
              <w:rPr>
                <w:color w:val="1C3A36"/>
                <w:sz w:val="15"/>
              </w:rPr>
              <w:t>Perpetual capital securities deducted at carrying value</w:t>
            </w:r>
          </w:p>
        </w:tc>
        <w:tc>
          <w:tcPr>
            <w:tcW w:type="dxa" w:w="2664"/>
          </w:tcPr>
          <w:p>
            <w:pPr>
              <w:spacing w:after="20"/>
            </w:pPr>
            <w:r>
              <w:rPr>
                <w:color w:val="1C3A36"/>
                <w:sz w:val="15"/>
              </w:rPr>
              <w:t>Deducted at the present value of their perpetual coupon, capitalised at the terminal cost of capital</w:t>
            </w:r>
          </w:p>
        </w:tc>
        <w:tc>
          <w:tcPr>
            <w:tcW w:type="dxa" w:w="1843"/>
          </w:tcPr>
          <w:p>
            <w:pPr>
              <w:spacing w:after="20"/>
            </w:pPr>
            <w:r>
              <w:rPr>
                <w:color w:val="1C3A36"/>
                <w:sz w:val="15"/>
              </w:rPr>
              <w:t>AED 5.81, +0.42 against 5.39</w:t>
            </w:r>
          </w:p>
        </w:tc>
        <w:tc>
          <w:tcPr>
            <w:tcW w:type="dxa" w:w="3240"/>
          </w:tcPr>
          <w:p>
            <w:pPr>
              <w:spacing w:after="20"/>
            </w:pPr>
            <w:r>
              <w:rPr>
                <w:color w:val="1C3A36"/>
                <w:sz w:val="15"/>
              </w:rPr>
              <w:t>Carrying value is the more conservative and is the amount that would have to be found if the securities were ever called. The coupon-value treatment is the right one if they are genuinely permanent. Both are shown in the bridge</w:t>
            </w:r>
          </w:p>
        </w:tc>
      </w:tr>
      <w:tr>
        <w:trPr>
          <w:cantSplit/>
        </w:trPr>
        <w:tc>
          <w:tcPr>
            <w:tcW w:type="dxa" w:w="2333"/>
          </w:tcPr>
          <w:p>
            <w:pPr>
              <w:spacing w:after="20"/>
            </w:pPr>
            <w:r>
              <w:rPr>
                <w:color w:val="1C3A36"/>
                <w:sz w:val="15"/>
              </w:rPr>
              <w:t>Country risk entering once, through the premium</w:t>
            </w:r>
          </w:p>
        </w:tc>
        <w:tc>
          <w:tcPr>
            <w:tcW w:type="dxa" w:w="2664"/>
          </w:tcPr>
          <w:p>
            <w:pPr>
              <w:spacing w:after="20"/>
            </w:pPr>
            <w:r>
              <w:rPr>
                <w:color w:val="1C3A36"/>
                <w:sz w:val="15"/>
              </w:rPr>
              <w:t>Using the raw local yield of 4.48% together with a premium that already contains the country charge</w:t>
            </w:r>
          </w:p>
        </w:tc>
        <w:tc>
          <w:tcPr>
            <w:tcW w:type="dxa" w:w="1843"/>
          </w:tcPr>
          <w:p>
            <w:pPr>
              <w:spacing w:after="20"/>
            </w:pPr>
            <w:r>
              <w:rPr>
                <w:color w:val="1C3A36"/>
                <w:sz w:val="15"/>
              </w:rPr>
              <w:t>raises the cost of equity by the sovereign spread of 0.42% and lowers the value</w:t>
            </w:r>
          </w:p>
        </w:tc>
        <w:tc>
          <w:tcPr>
            <w:tcW w:type="dxa" w:w="3240"/>
          </w:tcPr>
          <w:p>
            <w:pPr>
              <w:spacing w:after="20"/>
            </w:pPr>
            <w:r>
              <w:rPr>
                <w:color w:val="1C3A36"/>
                <w:sz w:val="15"/>
              </w:rPr>
              <w:t>That construction double-counts sovereign risk. The spread is netted from the yield and re-enters through the premium; the net country charge is therefore the premium itself, not the premium plus the spread</w:t>
            </w:r>
          </w:p>
        </w:tc>
      </w:tr>
      <w:tr>
        <w:trPr>
          <w:cantSplit/>
        </w:trPr>
        <w:tc>
          <w:tcPr>
            <w:tcW w:type="dxa" w:w="2333"/>
          </w:tcPr>
          <w:p>
            <w:pPr>
              <w:spacing w:after="20"/>
            </w:pPr>
            <w:r>
              <w:rPr>
                <w:color w:val="1C3A36"/>
                <w:sz w:val="15"/>
              </w:rPr>
              <w:t>A single premium basis, because only one exists for this country</w:t>
            </w:r>
          </w:p>
        </w:tc>
        <w:tc>
          <w:tcPr>
            <w:tcW w:type="dxa" w:w="2664"/>
          </w:tcPr>
          <w:p>
            <w:pPr>
              <w:spacing w:after="20"/>
            </w:pPr>
            <w:r>
              <w:rPr>
                <w:color w:val="1C3A36"/>
                <w:sz w:val="15"/>
              </w:rPr>
              <w:t>The credit-default-swap basis of the same published file</w:t>
            </w:r>
          </w:p>
        </w:tc>
        <w:tc>
          <w:tcPr>
            <w:tcW w:type="dxa" w:w="1843"/>
          </w:tcPr>
          <w:p>
            <w:pPr>
              <w:spacing w:after="20"/>
            </w:pPr>
            <w:r>
              <w:rPr>
                <w:color w:val="1C3A36"/>
                <w:sz w:val="15"/>
              </w:rPr>
              <w:t>not available — the UAE has no sovereign swap entry in the file</w:t>
            </w:r>
          </w:p>
        </w:tc>
        <w:tc>
          <w:tcPr>
            <w:tcW w:type="dxa" w:w="3240"/>
          </w:tcPr>
          <w:p>
            <w:pPr>
              <w:spacing w:after="20"/>
            </w:pPr>
            <w:r>
              <w:rPr>
                <w:color w:val="1C3A36"/>
                <w:sz w:val="15"/>
              </w:rPr>
              <w:t>This is stated rather than omitted. Gulf comparators that do carry both bases show they are not interchangeable: Saudi Arabia’s swap basis gives 5.72% against 5.01% on the agency credit-rating basis, a gap of about seventy basis points. A reader should treat the single available basis as carrying that much construction uncertainty</w:t>
            </w:r>
          </w:p>
        </w:tc>
      </w:tr>
      <w:tr>
        <w:trPr>
          <w:cantSplit/>
        </w:trPr>
        <w:tc>
          <w:tcPr>
            <w:tcW w:type="dxa" w:w="2333"/>
          </w:tcPr>
          <w:p>
            <w:pPr>
              <w:spacing w:after="20"/>
            </w:pPr>
            <w:r>
              <w:rPr>
                <w:color w:val="1C3A36"/>
                <w:sz w:val="15"/>
              </w:rPr>
              <w:t>The terminal risk-free rate on a constructed long-run anchor</w:t>
            </w:r>
          </w:p>
        </w:tc>
        <w:tc>
          <w:tcPr>
            <w:tcW w:type="dxa" w:w="2664"/>
          </w:tcPr>
          <w:p>
            <w:pPr>
              <w:spacing w:after="20"/>
            </w:pPr>
            <w:r>
              <w:rPr>
                <w:color w:val="1C3A36"/>
                <w:sz w:val="15"/>
              </w:rPr>
              <w:t>Carrying the explicit window's basis into the terminal instead — the observed government yield net of the sovereign's own default spread, 4.06%, rather than the 3.98% long-run anchor used</w:t>
            </w:r>
          </w:p>
        </w:tc>
        <w:tc>
          <w:tcPr>
            <w:tcW w:type="dxa" w:w="1843"/>
          </w:tcPr>
          <w:p>
            <w:pPr>
              <w:spacing w:after="20"/>
            </w:pPr>
            <w:r>
              <w:rPr>
                <w:color w:val="1C3A36"/>
                <w:sz w:val="15"/>
              </w:rPr>
              <w:t>raises the terminal risk-free rate by 8 basis points and the value with it. It has no row of its own in the grid overleaf, so the closest read-across is the beta: a step of 0.203 in the beta moves the cost of equity by about the same amount and is worth AED 0.75 — an OVERSTATEMENT of this item, because a beta step moves every year and this one moves only the terminal</w:t>
            </w:r>
          </w:p>
        </w:tc>
        <w:tc>
          <w:tcPr>
            <w:tcW w:type="dxa" w:w="3240"/>
          </w:tcPr>
          <w:p>
            <w:pPr>
              <w:spacing w:after="20"/>
            </w:pPr>
            <w:r>
              <w:rPr>
                <w:color w:val="1C3A36"/>
                <w:sz w:val="15"/>
              </w:rPr>
              <w:t>The explicit window should be priced off a rate the market is quoting today; a perpetuity should not, because today’s yield is a point on a cycle and a perpetuity is not. Both are defensible and the basis genuinely changes between them, which is why it is listed here rather than left inside the cost-of-capital table. An earlier edition made the switch without listing it as a choice</w:t>
            </w:r>
          </w:p>
        </w:tc>
      </w:tr>
      <w:tr>
        <w:trPr>
          <w:cantSplit/>
        </w:trPr>
        <w:tc>
          <w:tcPr>
            <w:tcW w:type="dxa" w:w="2333"/>
          </w:tcPr>
          <w:p>
            <w:pPr>
              <w:spacing w:after="20"/>
            </w:pPr>
            <w:r>
              <w:rPr>
                <w:color w:val="1C3A36"/>
                <w:sz w:val="15"/>
              </w:rPr>
              <w:t>Tax charged unit by unit at each unit’s own disclosed effective rate</w:t>
            </w:r>
          </w:p>
        </w:tc>
        <w:tc>
          <w:tcPr>
            <w:tcW w:type="dxa" w:w="2664"/>
          </w:tcPr>
          <w:p>
            <w:pPr>
              <w:spacing w:after="20"/>
            </w:pPr>
            <w:r>
              <w:rPr>
                <w:color w:val="1C3A36"/>
                <w:sz w:val="15"/>
              </w:rPr>
              <w:t>A uniform 15% across the group, the domestic minimum top-up rate</w:t>
            </w:r>
          </w:p>
        </w:tc>
        <w:tc>
          <w:tcPr>
            <w:tcW w:type="dxa" w:w="1843"/>
          </w:tcPr>
          <w:p>
            <w:pPr>
              <w:spacing w:after="20"/>
            </w:pPr>
            <w:r>
              <w:rPr>
                <w:color w:val="1C3A36"/>
                <w:sz w:val="15"/>
              </w:rPr>
              <w:t>AED 4.29 against 5.39</w:t>
            </w:r>
          </w:p>
        </w:tc>
        <w:tc>
          <w:tcPr>
            <w:tcW w:type="dxa" w:w="3240"/>
          </w:tcPr>
          <w:p>
            <w:pPr>
              <w:spacing w:after="20"/>
            </w:pPr>
            <w:r>
              <w:rPr>
                <w:color w:val="1C3A36"/>
                <w:sz w:val="15"/>
              </w:rPr>
              <w:t>The unit rates are what the company actually bore in FY2025 — about 1% in shipping, where international shipping income is relieved. Using a statutory rate the company does not pay would be wrong; but the relief is a policy choice that can change, so the downside is priced rather than assumed away</w:t>
            </w:r>
          </w:p>
        </w:tc>
      </w:tr>
    </w:tbl>
    <w:p>
      <w:pPr>
        <w:spacing w:after="40"/>
      </w:pPr>
    </w:p>
    <w:p>
      <w:pPr>
        <w:keepNext/>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400800" cy="2536166"/>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6400800" cy="2536166"/>
                    </a:xfrm>
                    <a:prstGeom prst="rect"/>
                  </pic:spPr>
                </pic:pic>
              </a:graphicData>
            </a:graphic>
          </wp:inline>
        </w:drawing>
      </w:r>
    </w:p>
    <w:p>
      <w:pPr>
        <w:spacing w:after="200" w:before="0"/>
      </w:pPr>
      <w:r>
        <w:rPr>
          <w:b w:val="0"/>
          <w:i/>
          <w:color w:val="6E7B77"/>
          <w:sz w:val="17"/>
        </w:rPr>
        <w:t>Figure 4 — left, fair value across beta and terminal growth; right, fair value against the mid-cycle rate the fleet reverts to. The market price of AED 6.80 is crossed in the beta grid between the 0.690 and 0.900 rows, and in the rate-anchor range between the 110% and 120% anchors.</w:t>
      </w:r>
    </w:p>
    <w:p>
      <w:pPr>
        <w:spacing w:after="120" w:before="0"/>
      </w:pPr>
      <w:r>
        <w:rPr>
          <w:b w:val="0"/>
          <w:i w:val="0"/>
          <w:color w:val="1C3A36"/>
          <w:sz w:val="21"/>
        </w:rPr>
        <w:t>Each anchor is varied independently around its own base, so each row shows what the valuation needs that one thing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55"/>
        <w:gridCol w:w="1555"/>
        <w:gridCol w:w="1555"/>
        <w:gridCol w:w="1555"/>
        <w:gridCol w:w="1555"/>
      </w:tblGrid>
      <w:tr>
        <w:trPr>
          <w:cantSplit/>
          <w:tblHeader/>
        </w:trPr>
        <w:tc>
          <w:tcPr>
            <w:tcW w:type="dxa" w:w="2304"/>
            <w:shd w:val="clear" w:color="auto" w:fill="EAF0EE"/>
          </w:tcPr>
          <w:p>
            <w:pPr>
              <w:spacing w:after="20"/>
            </w:pPr>
            <w:r>
              <w:rPr>
                <w:b/>
                <w:color w:val="1C3A36"/>
                <w:sz w:val="16"/>
              </w:rPr>
              <w:t>Beta →</w:t>
            </w:r>
          </w:p>
        </w:tc>
        <w:tc>
          <w:tcPr>
            <w:tcW w:type="dxa" w:w="1555"/>
            <w:shd w:val="clear" w:color="auto" w:fill="EAF0EE"/>
          </w:tcPr>
          <w:p>
            <w:pPr>
              <w:spacing w:after="20"/>
            </w:pPr>
            <w:r>
              <w:rPr>
                <w:b/>
                <w:color w:val="1C3A36"/>
                <w:sz w:val="16"/>
              </w:rPr>
              <w:t>0.690</w:t>
            </w:r>
          </w:p>
        </w:tc>
        <w:tc>
          <w:tcPr>
            <w:tcW w:type="dxa" w:w="1555"/>
            <w:shd w:val="clear" w:color="auto" w:fill="EAF0EE"/>
          </w:tcPr>
          <w:p>
            <w:pPr>
              <w:spacing w:after="20"/>
            </w:pPr>
            <w:r>
              <w:rPr>
                <w:b/>
                <w:color w:val="1C3A36"/>
                <w:sz w:val="16"/>
              </w:rPr>
              <w:t>0.900</w:t>
            </w:r>
          </w:p>
        </w:tc>
        <w:tc>
          <w:tcPr>
            <w:tcW w:type="dxa" w:w="1555"/>
            <w:shd w:val="clear" w:color="auto" w:fill="EAF0EE"/>
          </w:tcPr>
          <w:p>
            <w:pPr>
              <w:spacing w:after="20"/>
            </w:pPr>
            <w:r>
              <w:rPr>
                <w:b/>
                <w:color w:val="1C3A36"/>
                <w:sz w:val="16"/>
              </w:rPr>
              <w:t>1.103</w:t>
            </w:r>
          </w:p>
        </w:tc>
        <w:tc>
          <w:tcPr>
            <w:tcW w:type="dxa" w:w="1555"/>
            <w:shd w:val="clear" w:color="auto" w:fill="EAF0EE"/>
          </w:tcPr>
          <w:p>
            <w:pPr>
              <w:spacing w:after="20"/>
            </w:pPr>
            <w:r>
              <w:rPr>
                <w:b/>
                <w:color w:val="1C3A36"/>
                <w:sz w:val="16"/>
              </w:rPr>
              <w:t>1.350</w:t>
            </w:r>
          </w:p>
        </w:tc>
        <w:tc>
          <w:tcPr>
            <w:tcW w:type="dxa" w:w="1555"/>
            <w:shd w:val="clear" w:color="auto" w:fill="EAF0EE"/>
          </w:tcPr>
          <w:p>
            <w:pPr>
              <w:spacing w:after="20"/>
            </w:pPr>
            <w:r>
              <w:rPr>
                <w:b/>
                <w:color w:val="1C3A36"/>
                <w:sz w:val="16"/>
              </w:rPr>
              <w:t>1.621</w:t>
            </w:r>
          </w:p>
        </w:tc>
      </w:tr>
      <w:tr>
        <w:trPr>
          <w:cantSplit/>
        </w:trPr>
        <w:tc>
          <w:tcPr>
            <w:tcW w:type="dxa" w:w="2304"/>
          </w:tcPr>
          <w:p>
            <w:pPr>
              <w:spacing w:after="20"/>
            </w:pPr>
            <w:r>
              <w:rPr>
                <w:color w:val="1C3A36"/>
                <w:sz w:val="16"/>
              </w:rPr>
              <w:t>terminal growth 1.0%</w:t>
            </w:r>
          </w:p>
        </w:tc>
        <w:tc>
          <w:tcPr>
            <w:tcW w:type="dxa" w:w="1555"/>
          </w:tcPr>
          <w:p>
            <w:pPr>
              <w:spacing w:after="20"/>
              <w:jc w:val="right"/>
            </w:pPr>
            <w:r>
              <w:rPr>
                <w:color w:val="1C3A36"/>
                <w:sz w:val="16"/>
              </w:rPr>
              <w:t>6.73</w:t>
            </w:r>
          </w:p>
        </w:tc>
        <w:tc>
          <w:tcPr>
            <w:tcW w:type="dxa" w:w="1555"/>
          </w:tcPr>
          <w:p>
            <w:pPr>
              <w:spacing w:after="20"/>
              <w:jc w:val="right"/>
            </w:pPr>
            <w:r>
              <w:rPr>
                <w:color w:val="1C3A36"/>
                <w:sz w:val="16"/>
              </w:rPr>
              <w:t>5.91</w:t>
            </w:r>
          </w:p>
        </w:tc>
        <w:tc>
          <w:tcPr>
            <w:tcW w:type="dxa" w:w="1555"/>
          </w:tcPr>
          <w:p>
            <w:pPr>
              <w:spacing w:after="20"/>
              <w:jc w:val="right"/>
            </w:pPr>
            <w:r>
              <w:rPr>
                <w:color w:val="1C3A36"/>
                <w:sz w:val="16"/>
              </w:rPr>
              <w:t>5.26</w:t>
            </w:r>
          </w:p>
        </w:tc>
        <w:tc>
          <w:tcPr>
            <w:tcW w:type="dxa" w:w="1555"/>
          </w:tcPr>
          <w:p>
            <w:pPr>
              <w:spacing w:after="20"/>
              <w:jc w:val="right"/>
            </w:pPr>
            <w:r>
              <w:rPr>
                <w:color w:val="1C3A36"/>
                <w:sz w:val="16"/>
              </w:rPr>
              <w:t>4.62</w:t>
            </w:r>
          </w:p>
        </w:tc>
        <w:tc>
          <w:tcPr>
            <w:tcW w:type="dxa" w:w="1555"/>
          </w:tcPr>
          <w:p>
            <w:pPr>
              <w:spacing w:after="20"/>
              <w:jc w:val="right"/>
            </w:pPr>
            <w:r>
              <w:rPr>
                <w:color w:val="1C3A36"/>
                <w:sz w:val="16"/>
              </w:rPr>
              <w:t>4.04</w:t>
            </w:r>
          </w:p>
        </w:tc>
      </w:tr>
      <w:tr>
        <w:trPr>
          <w:cantSplit/>
        </w:trPr>
        <w:tc>
          <w:tcPr>
            <w:tcW w:type="dxa" w:w="2304"/>
          </w:tcPr>
          <w:p>
            <w:pPr>
              <w:spacing w:after="20"/>
            </w:pPr>
            <w:r>
              <w:rPr>
                <w:color w:val="1C3A36"/>
                <w:sz w:val="16"/>
              </w:rPr>
              <w:t>terminal growth 1.5%</w:t>
            </w:r>
          </w:p>
        </w:tc>
        <w:tc>
          <w:tcPr>
            <w:tcW w:type="dxa" w:w="1555"/>
          </w:tcPr>
          <w:p>
            <w:pPr>
              <w:spacing w:after="20"/>
              <w:jc w:val="right"/>
            </w:pPr>
            <w:r>
              <w:rPr>
                <w:color w:val="1C3A36"/>
                <w:sz w:val="16"/>
              </w:rPr>
              <w:t>6.91</w:t>
            </w:r>
          </w:p>
        </w:tc>
        <w:tc>
          <w:tcPr>
            <w:tcW w:type="dxa" w:w="1555"/>
          </w:tcPr>
          <w:p>
            <w:pPr>
              <w:spacing w:after="20"/>
              <w:jc w:val="right"/>
            </w:pPr>
            <w:r>
              <w:rPr>
                <w:color w:val="1C3A36"/>
                <w:sz w:val="16"/>
              </w:rPr>
              <w:t>6.01</w:t>
            </w:r>
          </w:p>
        </w:tc>
        <w:tc>
          <w:tcPr>
            <w:tcW w:type="dxa" w:w="1555"/>
          </w:tcPr>
          <w:p>
            <w:pPr>
              <w:spacing w:after="20"/>
              <w:jc w:val="right"/>
            </w:pPr>
            <w:r>
              <w:rPr>
                <w:color w:val="1C3A36"/>
                <w:sz w:val="16"/>
              </w:rPr>
              <w:t>5.32</w:t>
            </w:r>
          </w:p>
        </w:tc>
        <w:tc>
          <w:tcPr>
            <w:tcW w:type="dxa" w:w="1555"/>
          </w:tcPr>
          <w:p>
            <w:pPr>
              <w:spacing w:after="20"/>
              <w:jc w:val="right"/>
            </w:pPr>
            <w:r>
              <w:rPr>
                <w:color w:val="1C3A36"/>
                <w:sz w:val="16"/>
              </w:rPr>
              <w:t>4.64</w:t>
            </w:r>
          </w:p>
        </w:tc>
        <w:tc>
          <w:tcPr>
            <w:tcW w:type="dxa" w:w="1555"/>
          </w:tcPr>
          <w:p>
            <w:pPr>
              <w:spacing w:after="20"/>
              <w:jc w:val="right"/>
            </w:pPr>
            <w:r>
              <w:rPr>
                <w:color w:val="1C3A36"/>
                <w:sz w:val="16"/>
              </w:rPr>
              <w:t>4.05</w:t>
            </w:r>
          </w:p>
        </w:tc>
      </w:tr>
      <w:tr>
        <w:trPr>
          <w:cantSplit/>
        </w:trPr>
        <w:tc>
          <w:tcPr>
            <w:tcW w:type="dxa" w:w="2304"/>
          </w:tcPr>
          <w:p>
            <w:pPr>
              <w:spacing w:after="20"/>
            </w:pPr>
            <w:r>
              <w:rPr>
                <w:color w:val="1C3A36"/>
                <w:sz w:val="16"/>
              </w:rPr>
              <w:t>terminal growth 2.0%</w:t>
            </w:r>
          </w:p>
        </w:tc>
        <w:tc>
          <w:tcPr>
            <w:tcW w:type="dxa" w:w="1555"/>
          </w:tcPr>
          <w:p>
            <w:pPr>
              <w:spacing w:after="20"/>
              <w:jc w:val="right"/>
            </w:pPr>
            <w:r>
              <w:rPr>
                <w:color w:val="1C3A36"/>
                <w:sz w:val="16"/>
              </w:rPr>
              <w:t>7.12</w:t>
            </w:r>
          </w:p>
        </w:tc>
        <w:tc>
          <w:tcPr>
            <w:tcW w:type="dxa" w:w="1555"/>
          </w:tcPr>
          <w:p>
            <w:pPr>
              <w:spacing w:after="20"/>
              <w:jc w:val="right"/>
            </w:pPr>
            <w:r>
              <w:rPr>
                <w:color w:val="1C3A36"/>
                <w:sz w:val="16"/>
              </w:rPr>
              <w:t>6.13</w:t>
            </w:r>
          </w:p>
        </w:tc>
        <w:tc>
          <w:tcPr>
            <w:tcW w:type="dxa" w:w="1555"/>
          </w:tcPr>
          <w:p>
            <w:pPr>
              <w:spacing w:after="20"/>
              <w:jc w:val="right"/>
            </w:pPr>
            <w:r>
              <w:rPr>
                <w:color w:val="1C3A36"/>
                <w:sz w:val="16"/>
              </w:rPr>
              <w:t>5.39</w:t>
            </w:r>
          </w:p>
        </w:tc>
        <w:tc>
          <w:tcPr>
            <w:tcW w:type="dxa" w:w="1555"/>
          </w:tcPr>
          <w:p>
            <w:pPr>
              <w:spacing w:after="20"/>
              <w:jc w:val="right"/>
            </w:pPr>
            <w:r>
              <w:rPr>
                <w:color w:val="1C3A36"/>
                <w:sz w:val="16"/>
              </w:rPr>
              <w:t>4.67</w:t>
            </w:r>
          </w:p>
        </w:tc>
        <w:tc>
          <w:tcPr>
            <w:tcW w:type="dxa" w:w="1555"/>
          </w:tcPr>
          <w:p>
            <w:pPr>
              <w:spacing w:after="20"/>
              <w:jc w:val="right"/>
            </w:pPr>
            <w:r>
              <w:rPr>
                <w:color w:val="1C3A36"/>
                <w:sz w:val="16"/>
              </w:rPr>
              <w:t>4.05</w:t>
            </w:r>
          </w:p>
        </w:tc>
      </w:tr>
      <w:tr>
        <w:trPr>
          <w:cantSplit/>
        </w:trPr>
        <w:tc>
          <w:tcPr>
            <w:tcW w:type="dxa" w:w="2304"/>
          </w:tcPr>
          <w:p>
            <w:pPr>
              <w:spacing w:after="20"/>
            </w:pPr>
            <w:r>
              <w:rPr>
                <w:color w:val="1C3A36"/>
                <w:sz w:val="16"/>
              </w:rPr>
              <w:t>terminal growth 2.5%</w:t>
            </w:r>
          </w:p>
        </w:tc>
        <w:tc>
          <w:tcPr>
            <w:tcW w:type="dxa" w:w="1555"/>
          </w:tcPr>
          <w:p>
            <w:pPr>
              <w:spacing w:after="20"/>
              <w:jc w:val="right"/>
            </w:pPr>
            <w:r>
              <w:rPr>
                <w:color w:val="1C3A36"/>
                <w:sz w:val="16"/>
              </w:rPr>
              <w:t>7.37</w:t>
            </w:r>
          </w:p>
        </w:tc>
        <w:tc>
          <w:tcPr>
            <w:tcW w:type="dxa" w:w="1555"/>
          </w:tcPr>
          <w:p>
            <w:pPr>
              <w:spacing w:after="20"/>
              <w:jc w:val="right"/>
            </w:pPr>
            <w:r>
              <w:rPr>
                <w:color w:val="1C3A36"/>
                <w:sz w:val="16"/>
              </w:rPr>
              <w:t>6.28</w:t>
            </w:r>
          </w:p>
        </w:tc>
        <w:tc>
          <w:tcPr>
            <w:tcW w:type="dxa" w:w="1555"/>
          </w:tcPr>
          <w:p>
            <w:pPr>
              <w:spacing w:after="20"/>
              <w:jc w:val="right"/>
            </w:pPr>
            <w:r>
              <w:rPr>
                <w:color w:val="1C3A36"/>
                <w:sz w:val="16"/>
              </w:rPr>
              <w:t>5.47</w:t>
            </w:r>
          </w:p>
        </w:tc>
        <w:tc>
          <w:tcPr>
            <w:tcW w:type="dxa" w:w="1555"/>
          </w:tcPr>
          <w:p>
            <w:pPr>
              <w:spacing w:after="20"/>
              <w:jc w:val="right"/>
            </w:pPr>
            <w:r>
              <w:rPr>
                <w:color w:val="1C3A36"/>
                <w:sz w:val="16"/>
              </w:rPr>
              <w:t>4.70</w:t>
            </w:r>
          </w:p>
        </w:tc>
        <w:tc>
          <w:tcPr>
            <w:tcW w:type="dxa" w:w="1555"/>
          </w:tcPr>
          <w:p>
            <w:pPr>
              <w:spacing w:after="20"/>
              <w:jc w:val="right"/>
            </w:pPr>
            <w:r>
              <w:rPr>
                <w:color w:val="1C3A36"/>
                <w:sz w:val="16"/>
              </w:rPr>
              <w:t>4.04</w:t>
            </w:r>
          </w:p>
        </w:tc>
      </w:tr>
    </w:tbl>
    <w:p>
      <w:pPr>
        <w:spacing w:after="40"/>
      </w:pPr>
    </w:p>
    <w:p>
      <w:pPr>
        <w:spacing w:after="200" w:before="0"/>
      </w:pPr>
      <w:r>
        <w:rPr>
          <w:b w:val="0"/>
          <w:i/>
          <w:color w:val="6E7B77"/>
          <w:sz w:val="17"/>
        </w:rPr>
        <w:t>Fair value in AED per share. The adopted construction is the 1.103 column at 2.0% growth, and its cell is the published cash-flow base of AED 5.39 exactly. The bear case is struck at 1.621, the top of the regression's own 90% confidence interval and the right-hand column here; the bull case is struck at the bottom of that interval, 0.586, which falls outside the grid, below its left-hand 0.690 column. The equal-weight composite alternative is the 0.690 column, and it sits inside the interval: the bull case is struck lower still, so the composite reading is no longer — as an earlier edition of this study described it — a lower discount rate than this study's own bull case takes. Beta moves the answer across the whole width of this table; growth moves it a fraction of that. Read the beta columns against the published bear and bull of AED 2.90 and 9.49 and the difference is visible: those two also move the rate anchor and the capital programme, so they are wider than the beta alone.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808"/>
        <w:gridCol w:w="2304"/>
        <w:gridCol w:w="1944"/>
      </w:tblGrid>
      <w:tr>
        <w:trPr>
          <w:cantSplit/>
          <w:tblHeader/>
        </w:trPr>
        <w:tc>
          <w:tcPr>
            <w:tcW w:type="dxa" w:w="3024"/>
            <w:shd w:val="clear" w:color="auto" w:fill="EAF0EE"/>
          </w:tcPr>
          <w:p>
            <w:pPr>
              <w:spacing w:after="20"/>
            </w:pPr>
            <w:r>
              <w:rPr>
                <w:b/>
                <w:color w:val="1C3A36"/>
                <w:sz w:val="16"/>
              </w:rPr>
              <w:t>Sensitivity</w:t>
            </w:r>
          </w:p>
        </w:tc>
        <w:tc>
          <w:tcPr>
            <w:tcW w:type="dxa" w:w="2808"/>
            <w:shd w:val="clear" w:color="auto" w:fill="EAF0EE"/>
          </w:tcPr>
          <w:p>
            <w:pPr>
              <w:spacing w:after="20"/>
              <w:jc w:val="left"/>
            </w:pPr>
            <w:r>
              <w:rPr>
                <w:b/>
                <w:color w:val="1C3A36"/>
                <w:sz w:val="16"/>
              </w:rPr>
              <w:t>Range tested</w:t>
            </w:r>
          </w:p>
        </w:tc>
        <w:tc>
          <w:tcPr>
            <w:tcW w:type="dxa" w:w="2304"/>
            <w:shd w:val="clear" w:color="auto" w:fill="EAF0EE"/>
          </w:tcPr>
          <w:p>
            <w:pPr>
              <w:spacing w:after="20"/>
              <w:jc w:val="left"/>
            </w:pPr>
            <w:r>
              <w:rPr>
                <w:b/>
                <w:color w:val="1C3A36"/>
                <w:sz w:val="16"/>
              </w:rPr>
              <w:t>Fair value span (AED/share)</w:t>
            </w:r>
          </w:p>
        </w:tc>
        <w:tc>
          <w:tcPr>
            <w:tcW w:type="dxa" w:w="1944"/>
            <w:shd w:val="clear" w:color="auto" w:fill="EAF0EE"/>
          </w:tcPr>
          <w:p>
            <w:pPr>
              <w:spacing w:after="20"/>
            </w:pPr>
            <w:r>
              <w:rPr>
                <w:b/>
                <w:color w:val="1C3A36"/>
                <w:sz w:val="16"/>
              </w:rPr>
              <w:t>Swing</w:t>
            </w:r>
          </w:p>
        </w:tc>
      </w:tr>
      <w:tr>
        <w:trPr>
          <w:cantSplit/>
        </w:trPr>
        <w:tc>
          <w:tcPr>
            <w:tcW w:type="dxa" w:w="3024"/>
          </w:tcPr>
          <w:p>
            <w:pPr>
              <w:spacing w:after="20"/>
            </w:pPr>
            <w:r>
              <w:rPr>
                <w:color w:val="1C3A36"/>
                <w:sz w:val="16"/>
              </w:rPr>
              <w:t>Beta in the cost of equity</w:t>
            </w:r>
          </w:p>
        </w:tc>
        <w:tc>
          <w:tcPr>
            <w:tcW w:type="dxa" w:w="2808"/>
          </w:tcPr>
          <w:p>
            <w:pPr>
              <w:spacing w:after="20"/>
              <w:jc w:val="left"/>
            </w:pPr>
            <w:r>
              <w:rPr>
                <w:color w:val="1C3A36"/>
                <w:sz w:val="16"/>
              </w:rPr>
              <w:t>0.690 – 1.621</w:t>
            </w:r>
          </w:p>
        </w:tc>
        <w:tc>
          <w:tcPr>
            <w:tcW w:type="dxa" w:w="2304"/>
          </w:tcPr>
          <w:p>
            <w:pPr>
              <w:spacing w:after="20"/>
              <w:jc w:val="left"/>
            </w:pPr>
            <w:r>
              <w:rPr>
                <w:color w:val="1C3A36"/>
                <w:sz w:val="16"/>
              </w:rPr>
              <w:t>4.05 – 7.12</w:t>
            </w:r>
          </w:p>
        </w:tc>
        <w:tc>
          <w:tcPr>
            <w:tcW w:type="dxa" w:w="1944"/>
          </w:tcPr>
          <w:p>
            <w:pPr>
              <w:spacing w:after="20"/>
              <w:jc w:val="right"/>
            </w:pPr>
            <w:r>
              <w:rPr>
                <w:color w:val="1C3A36"/>
                <w:sz w:val="16"/>
              </w:rPr>
              <w:t>3.07</w:t>
            </w:r>
          </w:p>
        </w:tc>
      </w:tr>
      <w:tr>
        <w:trPr>
          <w:cantSplit/>
        </w:trPr>
        <w:tc>
          <w:tcPr>
            <w:tcW w:type="dxa" w:w="3024"/>
          </w:tcPr>
          <w:p>
            <w:pPr>
              <w:spacing w:after="20"/>
            </w:pPr>
            <w:r>
              <w:rPr>
                <w:color w:val="1C3A36"/>
                <w:sz w:val="16"/>
              </w:rPr>
              <w:t>Mid-cycle rate the fleet reverts to</w:t>
            </w:r>
          </w:p>
        </w:tc>
        <w:tc>
          <w:tcPr>
            <w:tcW w:type="dxa" w:w="2808"/>
          </w:tcPr>
          <w:p>
            <w:pPr>
              <w:spacing w:after="20"/>
              <w:jc w:val="left"/>
            </w:pPr>
            <w:r>
              <w:rPr>
                <w:color w:val="1C3A36"/>
                <w:sz w:val="16"/>
              </w:rPr>
              <w:t>80.0% – 120.0% of the base anchor</w:t>
            </w:r>
          </w:p>
        </w:tc>
        <w:tc>
          <w:tcPr>
            <w:tcW w:type="dxa" w:w="2304"/>
          </w:tcPr>
          <w:p>
            <w:pPr>
              <w:spacing w:after="20"/>
              <w:jc w:val="left"/>
            </w:pPr>
            <w:r>
              <w:rPr>
                <w:color w:val="1C3A36"/>
                <w:sz w:val="16"/>
              </w:rPr>
              <w:t>3.96 – 6.82</w:t>
            </w:r>
          </w:p>
        </w:tc>
        <w:tc>
          <w:tcPr>
            <w:tcW w:type="dxa" w:w="1944"/>
          </w:tcPr>
          <w:p>
            <w:pPr>
              <w:spacing w:after="20"/>
              <w:jc w:val="right"/>
            </w:pPr>
            <w:r>
              <w:rPr>
                <w:color w:val="1C3A36"/>
                <w:sz w:val="16"/>
              </w:rPr>
              <w:t>2.86</w:t>
            </w:r>
          </w:p>
        </w:tc>
      </w:tr>
      <w:tr>
        <w:trPr>
          <w:cantSplit/>
        </w:trPr>
        <w:tc>
          <w:tcPr>
            <w:tcW w:type="dxa" w:w="3024"/>
          </w:tcPr>
          <w:p>
            <w:pPr>
              <w:spacing w:after="20"/>
            </w:pPr>
            <w:r>
              <w:rPr>
                <w:color w:val="1C3A36"/>
                <w:sz w:val="16"/>
              </w:rPr>
              <w:t>Capital expenditure</w:t>
            </w:r>
          </w:p>
        </w:tc>
        <w:tc>
          <w:tcPr>
            <w:tcW w:type="dxa" w:w="2808"/>
          </w:tcPr>
          <w:p>
            <w:pPr>
              <w:spacing w:after="20"/>
              <w:jc w:val="left"/>
            </w:pPr>
            <w:r>
              <w:rPr>
                <w:color w:val="1C3A36"/>
                <w:sz w:val="16"/>
              </w:rPr>
              <w:t>90.0% – 120.0% of the guided programme</w:t>
            </w:r>
          </w:p>
        </w:tc>
        <w:tc>
          <w:tcPr>
            <w:tcW w:type="dxa" w:w="2304"/>
          </w:tcPr>
          <w:p>
            <w:pPr>
              <w:spacing w:after="20"/>
              <w:jc w:val="left"/>
            </w:pPr>
            <w:r>
              <w:rPr>
                <w:color w:val="1C3A36"/>
                <w:sz w:val="16"/>
              </w:rPr>
              <w:t>4.62 – 5.78</w:t>
            </w:r>
          </w:p>
        </w:tc>
        <w:tc>
          <w:tcPr>
            <w:tcW w:type="dxa" w:w="1944"/>
          </w:tcPr>
          <w:p>
            <w:pPr>
              <w:spacing w:after="20"/>
              <w:jc w:val="right"/>
            </w:pPr>
            <w:r>
              <w:rPr>
                <w:color w:val="1C3A36"/>
                <w:sz w:val="16"/>
              </w:rPr>
              <w:t>1.16</w:t>
            </w:r>
          </w:p>
        </w:tc>
      </w:tr>
      <w:tr>
        <w:trPr>
          <w:cantSplit/>
        </w:trPr>
        <w:tc>
          <w:tcPr>
            <w:tcW w:type="dxa" w:w="3024"/>
          </w:tcPr>
          <w:p>
            <w:pPr>
              <w:spacing w:after="20"/>
            </w:pPr>
            <w:r>
              <w:rPr>
                <w:color w:val="1C3A36"/>
                <w:sz w:val="16"/>
              </w:rPr>
              <w:t>Group tax rate</w:t>
            </w:r>
          </w:p>
        </w:tc>
        <w:tc>
          <w:tcPr>
            <w:tcW w:type="dxa" w:w="2808"/>
          </w:tcPr>
          <w:p>
            <w:pPr>
              <w:spacing w:after="20"/>
              <w:jc w:val="left"/>
            </w:pPr>
            <w:r>
              <w:rPr>
                <w:color w:val="1C3A36"/>
                <w:sz w:val="16"/>
              </w:rPr>
              <w:t>5% – 15% uniform across the group</w:t>
            </w:r>
          </w:p>
        </w:tc>
        <w:tc>
          <w:tcPr>
            <w:tcW w:type="dxa" w:w="2304"/>
          </w:tcPr>
          <w:p>
            <w:pPr>
              <w:spacing w:after="20"/>
              <w:jc w:val="left"/>
            </w:pPr>
            <w:r>
              <w:rPr>
                <w:color w:val="1C3A36"/>
                <w:sz w:val="16"/>
              </w:rPr>
              <w:t>4.29 – 5.28</w:t>
            </w:r>
          </w:p>
        </w:tc>
        <w:tc>
          <w:tcPr>
            <w:tcW w:type="dxa" w:w="1944"/>
          </w:tcPr>
          <w:p>
            <w:pPr>
              <w:spacing w:after="20"/>
              <w:jc w:val="right"/>
            </w:pPr>
            <w:r>
              <w:rPr>
                <w:color w:val="1C3A36"/>
                <w:sz w:val="16"/>
              </w:rPr>
              <w:t>0.99</w:t>
            </w:r>
          </w:p>
        </w:tc>
      </w:tr>
      <w:tr>
        <w:trPr>
          <w:cantSplit/>
        </w:trPr>
        <w:tc>
          <w:tcPr>
            <w:tcW w:type="dxa" w:w="3024"/>
          </w:tcPr>
          <w:p>
            <w:pPr>
              <w:spacing w:after="20"/>
            </w:pPr>
            <w:r>
              <w:rPr>
                <w:color w:val="1C3A36"/>
                <w:sz w:val="16"/>
              </w:rPr>
              <w:t>Terminal growth</w:t>
            </w:r>
          </w:p>
        </w:tc>
        <w:tc>
          <w:tcPr>
            <w:tcW w:type="dxa" w:w="2808"/>
          </w:tcPr>
          <w:p>
            <w:pPr>
              <w:spacing w:after="20"/>
              <w:jc w:val="left"/>
            </w:pPr>
            <w:r>
              <w:rPr>
                <w:color w:val="1C3A36"/>
                <w:sz w:val="16"/>
              </w:rPr>
              <w:t>1.0% – 2.5%</w:t>
            </w:r>
          </w:p>
        </w:tc>
        <w:tc>
          <w:tcPr>
            <w:tcW w:type="dxa" w:w="2304"/>
          </w:tcPr>
          <w:p>
            <w:pPr>
              <w:spacing w:after="20"/>
              <w:jc w:val="left"/>
            </w:pPr>
            <w:r>
              <w:rPr>
                <w:color w:val="1C3A36"/>
                <w:sz w:val="16"/>
              </w:rPr>
              <w:t>5.26 – 5.47</w:t>
            </w:r>
          </w:p>
        </w:tc>
        <w:tc>
          <w:tcPr>
            <w:tcW w:type="dxa" w:w="1944"/>
          </w:tcPr>
          <w:p>
            <w:pPr>
              <w:spacing w:after="20"/>
              <w:jc w:val="right"/>
            </w:pPr>
            <w:r>
              <w:rPr>
                <w:color w:val="1C3A36"/>
                <w:sz w:val="16"/>
              </w:rPr>
              <w:t>0.21</w:t>
            </w:r>
          </w:p>
        </w:tc>
      </w:tr>
      <w:tr>
        <w:trPr>
          <w:cantSplit/>
        </w:trPr>
        <w:tc>
          <w:tcPr>
            <w:tcW w:type="dxa" w:w="3024"/>
          </w:tcPr>
          <w:p>
            <w:pPr>
              <w:spacing w:after="20"/>
            </w:pPr>
            <w:r>
              <w:rPr>
                <w:color w:val="1C3A36"/>
                <w:sz w:val="16"/>
              </w:rPr>
              <w:t>Bear-to-bull scenario composite — THE PUBLISHED RANGE</w:t>
            </w:r>
          </w:p>
        </w:tc>
        <w:tc>
          <w:tcPr>
            <w:tcW w:type="dxa" w:w="2808"/>
          </w:tcPr>
          <w:p>
            <w:pPr>
              <w:spacing w:after="20"/>
              <w:jc w:val="left"/>
            </w:pPr>
            <w:r>
              <w:rPr>
                <w:color w:val="1C3A36"/>
                <w:sz w:val="16"/>
              </w:rPr>
              <w:t>three things at once: the beta at the two ends of its own 90% interval (1.621 in the bear, 0.586 in the bull), a lower mid-cycle rate anchor and a heavier capital programme in the bear, and the reverse of both in the bull</w:t>
            </w:r>
          </w:p>
        </w:tc>
        <w:tc>
          <w:tcPr>
            <w:tcW w:type="dxa" w:w="2304"/>
          </w:tcPr>
          <w:p>
            <w:pPr>
              <w:spacing w:after="20"/>
              <w:jc w:val="left"/>
            </w:pPr>
            <w:r>
              <w:rPr>
                <w:color w:val="1C3A36"/>
                <w:sz w:val="16"/>
              </w:rPr>
              <w:t>2.90 – 9.49</w:t>
            </w:r>
          </w:p>
        </w:tc>
        <w:tc>
          <w:tcPr>
            <w:tcW w:type="dxa" w:w="1944"/>
          </w:tcPr>
          <w:p>
            <w:pPr>
              <w:spacing w:after="20"/>
              <w:jc w:val="right"/>
            </w:pPr>
            <w:r>
              <w:rPr>
                <w:color w:val="1C3A36"/>
                <w:sz w:val="16"/>
              </w:rPr>
              <w:t>6.59</w:t>
            </w:r>
          </w:p>
        </w:tc>
      </w:tr>
      <w:tr>
        <w:trPr>
          <w:cantSplit/>
        </w:trPr>
        <w:tc>
          <w:tcPr>
            <w:tcW w:type="dxa" w:w="3024"/>
          </w:tcPr>
          <w:p>
            <w:pPr>
              <w:spacing w:after="20"/>
            </w:pPr>
            <w:r>
              <w:rPr>
                <w:color w:val="1C3A36"/>
                <w:sz w:val="16"/>
              </w:rPr>
              <w:t>Memorandum — the bear beta on its own</w:t>
            </w:r>
          </w:p>
        </w:tc>
        <w:tc>
          <w:tcPr>
            <w:tcW w:type="dxa" w:w="2808"/>
          </w:tcPr>
          <w:p>
            <w:pPr>
              <w:spacing w:after="20"/>
              <w:jc w:val="left"/>
            </w:pPr>
            <w:r>
              <w:rPr>
                <w:color w:val="1C3A36"/>
                <w:sz w:val="16"/>
              </w:rPr>
              <w:t>1.621, with the rate anchor and the capital programme left at the base</w:t>
            </w:r>
          </w:p>
        </w:tc>
        <w:tc>
          <w:tcPr>
            <w:tcW w:type="dxa" w:w="2304"/>
          </w:tcPr>
          <w:p>
            <w:pPr>
              <w:spacing w:after="20"/>
              <w:jc w:val="left"/>
            </w:pPr>
            <w:r>
              <w:rPr>
                <w:color w:val="1C3A36"/>
                <w:sz w:val="16"/>
              </w:rPr>
              <w:t>4.05 against a published bear of 2.90</w:t>
            </w:r>
          </w:p>
        </w:tc>
        <w:tc>
          <w:tcPr>
            <w:tcW w:type="dxa" w:w="1944"/>
          </w:tcPr>
          <w:p>
            <w:pPr>
              <w:spacing w:after="20"/>
              <w:jc w:val="right"/>
            </w:pPr>
            <w:r>
              <w:rPr>
                <w:color w:val="1C3A36"/>
                <w:sz w:val="16"/>
              </w:rPr>
              <w:t>1.14</w:t>
            </w:r>
          </w:p>
        </w:tc>
      </w:tr>
    </w:tbl>
    <w:p>
      <w:pPr>
        <w:spacing w:after="40"/>
      </w:pPr>
    </w:p>
    <w:p>
      <w:pPr>
        <w:spacing w:after="200" w:before="0"/>
      </w:pPr>
      <w:r>
        <w:rPr>
          <w:b w:val="0"/>
          <w:i/>
          <w:color w:val="6E7B77"/>
          <w:sz w:val="17"/>
        </w:rPr>
        <w:t>Ranked by single-row swing, the beta is the largest by a wide margin — larger than the operating crux, larger than the capital programme, larger than the tax exposure. That is worth reading precisely. The beta row is bounded by the disclosed composite at 0.690 and the top of the regression's own 90% interval at 1.621, so most of its width is measured statistical uncertainty; the width of the rate-anchor row is a judgement about the future that no amount of data settles. The first is uncertainty that has been quantified, the second is uncertainty that has not. The tax row deserves its own note: at a uniform 15% the value falls to AED 4.29, a loss of AED 1.10 a share, and that is the priced cost of the shipping relief being withdrawn. Every row is a full re-run of the unit build and the bridge, not a multiplier applied to a finished number.</w:t>
      </w:r>
    </w:p>
    <w:p>
      <w:pPr>
        <w:keepNext/>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804160"/>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400800" cy="2804160"/>
                    </a:xfrm>
                    <a:prstGeom prst="rect"/>
                  </pic:spPr>
                </pic:pic>
              </a:graphicData>
            </a:graphic>
          </wp:inline>
        </w:drawing>
      </w:r>
    </w:p>
    <w:p>
      <w:pPr>
        <w:spacing w:after="200" w:before="0"/>
      </w:pPr>
      <w:r>
        <w:rPr>
          <w:b w:val="0"/>
          <w:i/>
          <w:color w:val="6E7B77"/>
          <w:sz w:val="17"/>
        </w:rPr>
        <w:t>Figure 5 — price against the 20-, 50- and 200-session moving averages with the computed support and resistance ladder, to 2026-08-07.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656"/>
        <w:gridCol w:w="5904"/>
      </w:tblGrid>
      <w:tr>
        <w:trPr>
          <w:cantSplit/>
          <w:tblHeader/>
        </w:trPr>
        <w:tc>
          <w:tcPr>
            <w:tcW w:type="dxa" w:w="2520"/>
            <w:shd w:val="clear" w:color="auto" w:fill="EAF0EE"/>
          </w:tcPr>
          <w:p>
            <w:pPr>
              <w:spacing w:after="20"/>
            </w:pPr>
            <w:r>
              <w:rPr>
                <w:b/>
                <w:color w:val="1C3A36"/>
                <w:sz w:val="16"/>
              </w:rPr>
              <w:t>Marker</w:t>
            </w:r>
          </w:p>
        </w:tc>
        <w:tc>
          <w:tcPr>
            <w:tcW w:type="dxa" w:w="1656"/>
            <w:shd w:val="clear" w:color="auto" w:fill="EAF0EE"/>
          </w:tcPr>
          <w:p>
            <w:pPr>
              <w:spacing w:after="20"/>
            </w:pPr>
            <w:r>
              <w:rPr>
                <w:b/>
                <w:color w:val="1C3A36"/>
                <w:sz w:val="16"/>
              </w:rPr>
              <w:t>Level (AED)</w:t>
            </w:r>
          </w:p>
        </w:tc>
        <w:tc>
          <w:tcPr>
            <w:tcW w:type="dxa" w:w="5904"/>
            <w:shd w:val="clear" w:color="auto" w:fill="EAF0EE"/>
          </w:tcPr>
          <w:p>
            <w:pPr>
              <w:spacing w:after="20"/>
              <w:jc w:val="left"/>
            </w:pPr>
            <w:r>
              <w:rPr>
                <w:b/>
                <w:color w:val="1C3A36"/>
                <w:sz w:val="16"/>
              </w:rPr>
              <w:t>Reading</w:t>
            </w:r>
          </w:p>
        </w:tc>
      </w:tr>
      <w:tr>
        <w:trPr>
          <w:cantSplit/>
        </w:trPr>
        <w:tc>
          <w:tcPr>
            <w:tcW w:type="dxa" w:w="2520"/>
          </w:tcPr>
          <w:p>
            <w:pPr>
              <w:spacing w:after="20"/>
            </w:pPr>
            <w:r>
              <w:rPr>
                <w:color w:val="1C3A36"/>
                <w:sz w:val="16"/>
              </w:rPr>
              <w:t>Last close</w:t>
            </w:r>
          </w:p>
        </w:tc>
        <w:tc>
          <w:tcPr>
            <w:tcW w:type="dxa" w:w="1656"/>
          </w:tcPr>
          <w:p>
            <w:pPr>
              <w:spacing w:after="20"/>
              <w:jc w:val="right"/>
            </w:pPr>
            <w:r>
              <w:rPr>
                <w:color w:val="1C3A36"/>
                <w:sz w:val="16"/>
              </w:rPr>
              <w:t>6.16</w:t>
            </w:r>
          </w:p>
        </w:tc>
        <w:tc>
          <w:tcPr>
            <w:tcW w:type="dxa" w:w="5904"/>
          </w:tcPr>
          <w:p>
            <w:pPr>
              <w:spacing w:after="20"/>
              <w:jc w:val="left"/>
            </w:pPr>
            <w:r>
              <w:rPr>
                <w:color w:val="1C3A36"/>
                <w:sz w:val="16"/>
              </w:rPr>
              <w:t>the anchor for everything in this study</w:t>
            </w:r>
          </w:p>
        </w:tc>
      </w:tr>
      <w:tr>
        <w:trPr>
          <w:cantSplit/>
        </w:trPr>
        <w:tc>
          <w:tcPr>
            <w:tcW w:type="dxa" w:w="2520"/>
          </w:tcPr>
          <w:p>
            <w:pPr>
              <w:spacing w:after="20"/>
            </w:pPr>
            <w:r>
              <w:rPr>
                <w:color w:val="1C3A36"/>
                <w:sz w:val="16"/>
              </w:rPr>
              <w:t>20-session average</w:t>
            </w:r>
          </w:p>
        </w:tc>
        <w:tc>
          <w:tcPr>
            <w:tcW w:type="dxa" w:w="1656"/>
          </w:tcPr>
          <w:p>
            <w:pPr>
              <w:spacing w:after="20"/>
              <w:jc w:val="right"/>
            </w:pPr>
            <w:r>
              <w:rPr>
                <w:color w:val="1C3A36"/>
                <w:sz w:val="16"/>
              </w:rPr>
              <w:t>6.19</w:t>
            </w:r>
          </w:p>
        </w:tc>
        <w:tc>
          <w:tcPr>
            <w:tcW w:type="dxa" w:w="5904"/>
          </w:tcPr>
          <w:p>
            <w:pPr>
              <w:spacing w:after="20"/>
              <w:jc w:val="left"/>
            </w:pPr>
            <w:r>
              <w:rPr>
                <w:color w:val="1C3A36"/>
                <w:sz w:val="16"/>
              </w:rPr>
              <w:t>price is -0.5% against it; the average is rising</w:t>
            </w:r>
          </w:p>
        </w:tc>
      </w:tr>
      <w:tr>
        <w:trPr>
          <w:cantSplit/>
        </w:trPr>
        <w:tc>
          <w:tcPr>
            <w:tcW w:type="dxa" w:w="2520"/>
          </w:tcPr>
          <w:p>
            <w:pPr>
              <w:spacing w:after="20"/>
            </w:pPr>
            <w:r>
              <w:rPr>
                <w:color w:val="1C3A36"/>
                <w:sz w:val="16"/>
              </w:rPr>
              <w:t>50-session average</w:t>
            </w:r>
          </w:p>
        </w:tc>
        <w:tc>
          <w:tcPr>
            <w:tcW w:type="dxa" w:w="1656"/>
          </w:tcPr>
          <w:p>
            <w:pPr>
              <w:spacing w:after="20"/>
              <w:jc w:val="right"/>
            </w:pPr>
            <w:r>
              <w:rPr>
                <w:color w:val="1C3A36"/>
                <w:sz w:val="16"/>
              </w:rPr>
              <w:t>6.03</w:t>
            </w:r>
          </w:p>
        </w:tc>
        <w:tc>
          <w:tcPr>
            <w:tcW w:type="dxa" w:w="5904"/>
          </w:tcPr>
          <w:p>
            <w:pPr>
              <w:spacing w:after="20"/>
              <w:jc w:val="left"/>
            </w:pPr>
            <w:r>
              <w:rPr>
                <w:color w:val="1C3A36"/>
                <w:sz w:val="16"/>
              </w:rPr>
              <w:t>price is +2.1% against it; the average is rising</w:t>
            </w:r>
          </w:p>
        </w:tc>
      </w:tr>
      <w:tr>
        <w:trPr>
          <w:cantSplit/>
        </w:trPr>
        <w:tc>
          <w:tcPr>
            <w:tcW w:type="dxa" w:w="2520"/>
          </w:tcPr>
          <w:p>
            <w:pPr>
              <w:spacing w:after="20"/>
            </w:pPr>
            <w:r>
              <w:rPr>
                <w:color w:val="1C3A36"/>
                <w:sz w:val="16"/>
              </w:rPr>
              <w:t>200-session average</w:t>
            </w:r>
          </w:p>
        </w:tc>
        <w:tc>
          <w:tcPr>
            <w:tcW w:type="dxa" w:w="1656"/>
          </w:tcPr>
          <w:p>
            <w:pPr>
              <w:spacing w:after="20"/>
              <w:jc w:val="right"/>
            </w:pPr>
            <w:r>
              <w:rPr>
                <w:color w:val="1C3A36"/>
                <w:sz w:val="16"/>
              </w:rPr>
              <w:t>5.70</w:t>
            </w:r>
          </w:p>
        </w:tc>
        <w:tc>
          <w:tcPr>
            <w:tcW w:type="dxa" w:w="5904"/>
          </w:tcPr>
          <w:p>
            <w:pPr>
              <w:spacing w:after="20"/>
              <w:jc w:val="left"/>
            </w:pPr>
            <w:r>
              <w:rPr>
                <w:color w:val="1C3A36"/>
                <w:sz w:val="16"/>
              </w:rPr>
              <w:t>price is +8.0% against it; the average is flat</w:t>
            </w:r>
          </w:p>
        </w:tc>
      </w:tr>
      <w:tr>
        <w:trPr>
          <w:cantSplit/>
        </w:trPr>
        <w:tc>
          <w:tcPr>
            <w:tcW w:type="dxa" w:w="2520"/>
          </w:tcPr>
          <w:p>
            <w:pPr>
              <w:spacing w:after="20"/>
            </w:pPr>
            <w:r>
              <w:rPr>
                <w:color w:val="1C3A36"/>
                <w:sz w:val="16"/>
              </w:rPr>
              <w:t>Nearest resistance</w:t>
            </w:r>
          </w:p>
        </w:tc>
        <w:tc>
          <w:tcPr>
            <w:tcW w:type="dxa" w:w="1656"/>
          </w:tcPr>
          <w:p>
            <w:pPr>
              <w:spacing w:after="20"/>
              <w:jc w:val="right"/>
            </w:pPr>
            <w:r>
              <w:rPr>
                <w:color w:val="1C3A36"/>
                <w:sz w:val="16"/>
              </w:rPr>
              <w:t>6.30</w:t>
            </w:r>
          </w:p>
        </w:tc>
        <w:tc>
          <w:tcPr>
            <w:tcW w:type="dxa" w:w="5904"/>
          </w:tcPr>
          <w:p>
            <w:pPr>
              <w:spacing w:after="20"/>
              <w:jc w:val="left"/>
            </w:pPr>
            <w:r>
              <w:rPr>
                <w:color w:val="1C3A36"/>
                <w:sz w:val="16"/>
              </w:rPr>
              <w:t>then 6.43 and 6.60; levels are computed from recency-weighted pivot clusters, not drawn by hand</w:t>
            </w:r>
          </w:p>
        </w:tc>
      </w:tr>
      <w:tr>
        <w:trPr>
          <w:cantSplit/>
        </w:trPr>
        <w:tc>
          <w:tcPr>
            <w:tcW w:type="dxa" w:w="2520"/>
          </w:tcPr>
          <w:p>
            <w:pPr>
              <w:spacing w:after="20"/>
            </w:pPr>
            <w:r>
              <w:rPr>
                <w:color w:val="1C3A36"/>
                <w:sz w:val="16"/>
              </w:rPr>
              <w:t>Nearest support</w:t>
            </w:r>
          </w:p>
        </w:tc>
        <w:tc>
          <w:tcPr>
            <w:tcW w:type="dxa" w:w="1656"/>
          </w:tcPr>
          <w:p>
            <w:pPr>
              <w:spacing w:after="20"/>
              <w:jc w:val="right"/>
            </w:pPr>
            <w:r>
              <w:rPr>
                <w:color w:val="1C3A36"/>
                <w:sz w:val="16"/>
              </w:rPr>
              <w:t>5.93</w:t>
            </w:r>
          </w:p>
        </w:tc>
        <w:tc>
          <w:tcPr>
            <w:tcW w:type="dxa" w:w="5904"/>
          </w:tcPr>
          <w:p>
            <w:pPr>
              <w:spacing w:after="20"/>
              <w:jc w:val="left"/>
            </w:pPr>
            <w:r>
              <w:rPr>
                <w:color w:val="1C3A36"/>
                <w:sz w:val="16"/>
              </w:rPr>
              <w:t>then 5.56 and 5.26; the nearest support has been touched 12 times in the window</w:t>
            </w:r>
          </w:p>
        </w:tc>
      </w:tr>
      <w:tr>
        <w:trPr>
          <w:cantSplit/>
        </w:trPr>
        <w:tc>
          <w:tcPr>
            <w:tcW w:type="dxa" w:w="2520"/>
          </w:tcPr>
          <w:p>
            <w:pPr>
              <w:spacing w:after="20"/>
            </w:pPr>
            <w:r>
              <w:rPr>
                <w:color w:val="1C3A36"/>
                <w:sz w:val="16"/>
              </w:rPr>
              <w:t>52-week range</w:t>
            </w:r>
          </w:p>
        </w:tc>
        <w:tc>
          <w:tcPr>
            <w:tcW w:type="dxa" w:w="1656"/>
          </w:tcPr>
          <w:p>
            <w:pPr>
              <w:spacing w:after="20"/>
              <w:jc w:val="right"/>
            </w:pPr>
            <w:r>
              <w:rPr>
                <w:color w:val="1C3A36"/>
                <w:sz w:val="16"/>
              </w:rPr>
              <w:t>4.65 – 6.44</w:t>
            </w:r>
          </w:p>
        </w:tc>
        <w:tc>
          <w:tcPr>
            <w:tcW w:type="dxa" w:w="5904"/>
          </w:tcPr>
          <w:p>
            <w:pPr>
              <w:spacing w:after="20"/>
              <w:jc w:val="left"/>
            </w:pPr>
            <w:r>
              <w:rPr>
                <w:color w:val="1C3A36"/>
                <w:sz w:val="16"/>
              </w:rPr>
              <w:t>the close sits 4.3% below the high and 32.5% above the low</w:t>
            </w:r>
          </w:p>
        </w:tc>
      </w:tr>
      <w:tr>
        <w:trPr>
          <w:cantSplit/>
        </w:trPr>
        <w:tc>
          <w:tcPr>
            <w:tcW w:type="dxa" w:w="2520"/>
          </w:tcPr>
          <w:p>
            <w:pPr>
              <w:spacing w:after="20"/>
            </w:pPr>
            <w:r>
              <w:rPr>
                <w:color w:val="1C3A36"/>
                <w:sz w:val="16"/>
              </w:rPr>
              <w:t>Relative strength index (14)</w:t>
            </w:r>
          </w:p>
        </w:tc>
        <w:tc>
          <w:tcPr>
            <w:tcW w:type="dxa" w:w="1656"/>
          </w:tcPr>
          <w:p>
            <w:pPr>
              <w:spacing w:after="20"/>
              <w:jc w:val="right"/>
            </w:pPr>
            <w:r>
              <w:rPr>
                <w:color w:val="1C3A36"/>
                <w:sz w:val="16"/>
              </w:rPr>
              <w:t>51.91</w:t>
            </w:r>
          </w:p>
        </w:tc>
        <w:tc>
          <w:tcPr>
            <w:tcW w:type="dxa" w:w="5904"/>
          </w:tcPr>
          <w:p>
            <w:pPr>
              <w:spacing w:after="20"/>
              <w:jc w:val="left"/>
            </w:pPr>
            <w:r>
              <w:rPr>
                <w:color w:val="1C3A36"/>
                <w:sz w:val="16"/>
              </w:rPr>
              <w:t>neutral — neither stretched nor washed out</w:t>
            </w:r>
          </w:p>
        </w:tc>
      </w:tr>
      <w:tr>
        <w:trPr>
          <w:cantSplit/>
        </w:trPr>
        <w:tc>
          <w:tcPr>
            <w:tcW w:type="dxa" w:w="2520"/>
          </w:tcPr>
          <w:p>
            <w:pPr>
              <w:spacing w:after="20"/>
            </w:pPr>
            <w:r>
              <w:rPr>
                <w:color w:val="1C3A36"/>
                <w:sz w:val="16"/>
              </w:rPr>
              <w:t>Average true range (14)</w:t>
            </w:r>
          </w:p>
        </w:tc>
        <w:tc>
          <w:tcPr>
            <w:tcW w:type="dxa" w:w="1656"/>
          </w:tcPr>
          <w:p>
            <w:pPr>
              <w:spacing w:after="20"/>
              <w:jc w:val="right"/>
            </w:pPr>
            <w:r>
              <w:rPr>
                <w:color w:val="1C3A36"/>
                <w:sz w:val="16"/>
              </w:rPr>
              <w:t>0.11</w:t>
            </w:r>
          </w:p>
        </w:tc>
        <w:tc>
          <w:tcPr>
            <w:tcW w:type="dxa" w:w="5904"/>
          </w:tcPr>
          <w:p>
            <w:pPr>
              <w:spacing w:after="20"/>
              <w:jc w:val="left"/>
            </w:pPr>
            <w:r>
              <w:rPr>
                <w:color w:val="1C3A36"/>
                <w:sz w:val="16"/>
              </w:rPr>
              <w:t>about 1.9% of the price a session — a normal tape</w:t>
            </w:r>
          </w:p>
        </w:tc>
      </w:tr>
      <w:tr>
        <w:trPr>
          <w:cantSplit/>
        </w:trPr>
        <w:tc>
          <w:tcPr>
            <w:tcW w:type="dxa" w:w="2520"/>
          </w:tcPr>
          <w:p>
            <w:pPr>
              <w:spacing w:after="20"/>
            </w:pPr>
            <w:r>
              <w:rPr>
                <w:color w:val="1C3A36"/>
                <w:sz w:val="16"/>
              </w:rPr>
              <w:t>Moving-average crossover</w:t>
            </w:r>
          </w:p>
        </w:tc>
        <w:tc>
          <w:tcPr>
            <w:tcW w:type="dxa" w:w="1656"/>
          </w:tcPr>
          <w:p>
            <w:pPr>
              <w:spacing w:after="20"/>
              <w:jc w:val="right"/>
            </w:pPr>
            <w:r>
              <w:rPr>
                <w:color w:val="1C3A36"/>
                <w:sz w:val="16"/>
              </w:rPr>
              <w:t>40 sessions ago</w:t>
            </w:r>
          </w:p>
        </w:tc>
        <w:tc>
          <w:tcPr>
            <w:tcW w:type="dxa" w:w="5904"/>
          </w:tcPr>
          <w:p>
            <w:pPr>
              <w:spacing w:after="20"/>
              <w:jc w:val="left"/>
            </w:pPr>
            <w:r>
              <w:rPr>
                <w:color w:val="1C3A36"/>
                <w:sz w:val="16"/>
              </w:rPr>
              <w:t>the 50-session average crossed above the 200-session; the configuration has held since</w:t>
            </w:r>
          </w:p>
        </w:tc>
      </w:tr>
      <w:tr>
        <w:trPr>
          <w:cantSplit/>
        </w:trPr>
        <w:tc>
          <w:tcPr>
            <w:tcW w:type="dxa" w:w="2520"/>
          </w:tcPr>
          <w:p>
            <w:pPr>
              <w:spacing w:after="20"/>
            </w:pPr>
            <w:r>
              <w:rPr>
                <w:color w:val="1C3A36"/>
                <w:sz w:val="16"/>
              </w:rPr>
              <w:t>Annualised volatility</w:t>
            </w:r>
          </w:p>
        </w:tc>
        <w:tc>
          <w:tcPr>
            <w:tcW w:type="dxa" w:w="1656"/>
          </w:tcPr>
          <w:p>
            <w:pPr>
              <w:spacing w:after="20"/>
              <w:jc w:val="right"/>
            </w:pPr>
            <w:r>
              <w:rPr>
                <w:color w:val="1C3A36"/>
                <w:sz w:val="16"/>
              </w:rPr>
              <w:t>28.2%</w:t>
            </w:r>
          </w:p>
        </w:tc>
        <w:tc>
          <w:tcPr>
            <w:tcW w:type="dxa" w:w="5904"/>
          </w:tcPr>
          <w:p>
            <w:pPr>
              <w:spacing w:after="20"/>
              <w:jc w:val="left"/>
            </w:pPr>
            <w:r>
              <w:rPr>
                <w:color w:val="1C3A36"/>
                <w:sz w:val="16"/>
              </w:rPr>
              <w:t>the current state of the range-based volatility model, and the input that sets the width of the cone in section 3</w:t>
            </w:r>
          </w:p>
        </w:tc>
      </w:tr>
    </w:tbl>
    <w:p>
      <w:pPr>
        <w:spacing w:after="40"/>
      </w:pPr>
    </w:p>
    <w:p>
      <w:pPr>
        <w:spacing w:after="120" w:before="0"/>
      </w:pPr>
      <w:r>
        <w:rPr>
          <w:b w:val="0"/>
          <w:i w:val="0"/>
          <w:color w:val="1C3A36"/>
          <w:sz w:val="21"/>
        </w:rPr>
        <w:t>The price closed 6.16 above a rising 50-day (6.03) and a flat 200-day (5.70), but below a rising 20-day (6.19). Momentum is neutral: RSI(14) is ~52 and the daily ATR near 0.11 (~1.9%) points to a normal tape. MACD (12·26·9) is above zero but rolling over (+0.05 / +0.07 / −0.01). Over the last year it has ranged 4.65–6.44; the last close sits 4% below that high and 32% above that low.</w:t>
      </w:r>
    </w:p>
    <w:p>
      <w:pPr>
        <w:spacing w:after="200" w:before="0"/>
      </w:pPr>
      <w:r>
        <w:rPr>
          <w:b w:val="0"/>
          <w:i w:val="0"/>
          <w:color w:val="1C3A36"/>
          <w:sz w:val="21"/>
        </w:rPr>
        <w:t>The structure to watch is straightforward. A daily close back above 6.30 would clear the nearest resistance and open the 6.60 zone. A close below 5.93 would break the nearest support and open the 5.26 zone. None of this is a valuation argument — it is the price context the valuation has to be read against. It is worth noting where the fundamental estimates sit relative to this ladder: the central of AED 5.39 sits between the computed levels of 5.26 and 5.56, the cash-flow lens on its own, at AED 5.39, sits between the computed levels of 5.26 and 5.56, the equal-weight composite reading of AED 7.12 sits above every computed level, the highest of which is 6.60, and the asset lens at AED 3.93 sits below every computed level, the lowest of which is 5.26. A valuation and a level ladder are unrelated constructions and any agreement between them proves nothing; the placement is computed off the same ladder printed above rather than described, so it cannot go stale while the table beside it moves.</w:t>
      </w:r>
    </w:p>
    <w:p>
      <w:pPr>
        <w:keepNext/>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Fifty thousand price paths are simulated from a volatility model fitted to the daily high-low-open-close range, with a fat-tailed shock and a drift anchored to the cost of carry — the local deposit rate of 3.65% less the dividend yield of 2.75%, which is a cost of money and not a directional view.</w:t>
      </w:r>
    </w:p>
    <w:p>
      <w:pPr>
        <w:spacing w:after="120" w:before="0"/>
      </w:pPr>
      <w:r>
        <w:rPr>
          <w:b w:val="0"/>
          <w:i w:val="0"/>
          <w:color w:val="1C3A36"/>
          <w:sz w:val="21"/>
        </w:rPr>
        <w:t>The widths are tested rather than assumed, and the test is worth stating in plain terms. Over 8 independent non-overlapping three-month windows with origins from 2024-06-21 to 2026-03-24, each one forecast using only data available before it, outcomes fell across the distribution roughly evenly rather than bunching at one end: a uniformity test on where each outcome landed returns p = 0.64, and a second test of the same thing returns p = 0.53. Coverage was 38% inside the 50% band, 75% inside the 80% and 88% inside the 90% — close to advertised at the wide bands, light at the narrow one on a sample of only 8 windows. The one-month horizon has more windows and behaves better: 24 of them, coverage 67% / 88% / 96%, uniformity p = 0.48. Pooling 91 three-month windows that start on staggered dates and therefore overlap one another gives coverage of 52% / 84% / 96% — a larger sample, but one whose windows are not independent of each other, so it corroborates the picture rather than adding new evidence to it.</w:t>
      </w:r>
    </w:p>
    <w:p>
      <w:pPr>
        <w:spacing w:after="120" w:before="0"/>
      </w:pPr>
      <w:r>
        <w:rPr>
          <w:b w:val="0"/>
          <w:i w:val="0"/>
          <w:color w:val="1C3A36"/>
          <w:sz w:val="21"/>
        </w:rPr>
        <w:t>Two limitations belong here rather than in a footnote. First, the bands are about 18% wider than the benchmark's, which is a real cost and means the model buys its accuracy partly with width. Second, this share listed in June 2023, so the cleaned series spans 3.2 years and a five-year set of origins does not exist for it — the width setting rests on the wider market panel of 18 Abu Dhabi names and 261 windows, which scored +0.68% against the benchmark with a 90% interval of -0.1% to +1.4%. On both the individual share and the panel the honest summary is the same: the model is level with or modestly ahead of a random walk and its stated probabilities are close to true, which is what this map claims and no more.</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804160"/>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400800" cy="2804160"/>
                    </a:xfrm>
                    <a:prstGeom prst="rect"/>
                  </pic:spPr>
                </pic:pic>
              </a:graphicData>
            </a:graphic>
          </wp:inline>
        </w:drawing>
      </w:r>
    </w:p>
    <w:p>
      <w:pPr>
        <w:spacing w:after="200" w:before="0"/>
      </w:pPr>
      <w:r>
        <w:rPr>
          <w:b w:val="0"/>
          <w:i/>
          <w:color w:val="6E7B77"/>
          <w:sz w:val="17"/>
        </w:rPr>
        <w:t>Figure 6 — the forward price cone to three months. The dashed lines are the two fundamental centrals: AED 5.39 on the beta measured against the published index, and AED 7.12 on the equal-weight composite.</w:t>
      </w:r>
    </w:p>
    <w:p>
      <w:pPr>
        <w:keepNext/>
        <w:spacing w:after="80" w:before="200"/>
      </w:pPr>
      <w:r>
        <w:rPr>
          <w:b/>
          <w:i w:val="0"/>
          <w:color w:val="1C3A36"/>
          <w:sz w:val="24"/>
        </w:rPr>
        <w:t>Percentile map (AED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rPr>
          <w:cantSplit/>
          <w:tblHeader/>
        </w:trP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Above the price today</w:t>
            </w:r>
          </w:p>
        </w:tc>
      </w:tr>
      <w:tr>
        <w:trPr>
          <w:cantSplit/>
        </w:trPr>
        <w:tc>
          <w:tcPr>
            <w:tcW w:type="dxa" w:w="2520"/>
          </w:tcPr>
          <w:p>
            <w:pPr>
              <w:spacing w:after="20"/>
            </w:pPr>
            <w:r>
              <w:rPr>
                <w:color w:val="1C3A36"/>
                <w:sz w:val="17"/>
              </w:rPr>
              <w:t>1 month (to 2026-09-07)</w:t>
            </w:r>
          </w:p>
        </w:tc>
        <w:tc>
          <w:tcPr>
            <w:tcW w:type="dxa" w:w="1152"/>
          </w:tcPr>
          <w:p>
            <w:pPr>
              <w:spacing w:after="20"/>
              <w:jc w:val="right"/>
            </w:pPr>
            <w:r>
              <w:rPr>
                <w:color w:val="1C3A36"/>
                <w:sz w:val="17"/>
              </w:rPr>
              <w:t>5.47</w:t>
            </w:r>
          </w:p>
        </w:tc>
        <w:tc>
          <w:tcPr>
            <w:tcW w:type="dxa" w:w="1152"/>
          </w:tcPr>
          <w:p>
            <w:pPr>
              <w:spacing w:after="20"/>
              <w:jc w:val="right"/>
            </w:pPr>
            <w:r>
              <w:rPr>
                <w:color w:val="1C3A36"/>
                <w:sz w:val="17"/>
              </w:rPr>
              <w:t>5.89</w:t>
            </w:r>
          </w:p>
        </w:tc>
        <w:tc>
          <w:tcPr>
            <w:tcW w:type="dxa" w:w="1152"/>
          </w:tcPr>
          <w:p>
            <w:pPr>
              <w:spacing w:after="20"/>
              <w:jc w:val="right"/>
            </w:pPr>
            <w:r>
              <w:rPr>
                <w:color w:val="1C3A36"/>
                <w:sz w:val="17"/>
              </w:rPr>
              <w:t>6.16</w:t>
            </w:r>
          </w:p>
        </w:tc>
        <w:tc>
          <w:tcPr>
            <w:tcW w:type="dxa" w:w="1152"/>
          </w:tcPr>
          <w:p>
            <w:pPr>
              <w:spacing w:after="20"/>
              <w:jc w:val="right"/>
            </w:pPr>
            <w:r>
              <w:rPr>
                <w:color w:val="1C3A36"/>
                <w:sz w:val="17"/>
              </w:rPr>
              <w:t>6.45</w:t>
            </w:r>
          </w:p>
        </w:tc>
        <w:tc>
          <w:tcPr>
            <w:tcW w:type="dxa" w:w="1152"/>
          </w:tcPr>
          <w:p>
            <w:pPr>
              <w:spacing w:after="20"/>
              <w:jc w:val="right"/>
            </w:pPr>
            <w:r>
              <w:rPr>
                <w:color w:val="1C3A36"/>
                <w:sz w:val="17"/>
              </w:rPr>
              <w:t>6.93</w:t>
            </w:r>
          </w:p>
        </w:tc>
        <w:tc>
          <w:tcPr>
            <w:tcW w:type="dxa" w:w="1800"/>
          </w:tcPr>
          <w:p>
            <w:pPr>
              <w:spacing w:after="20"/>
              <w:jc w:val="right"/>
            </w:pPr>
            <w:r>
              <w:rPr>
                <w:color w:val="1C3A36"/>
                <w:sz w:val="17"/>
              </w:rPr>
              <w:t>50%</w:t>
            </w:r>
          </w:p>
        </w:tc>
      </w:tr>
      <w:tr>
        <w:trPr>
          <w:cantSplit/>
        </w:trPr>
        <w:tc>
          <w:tcPr>
            <w:tcW w:type="dxa" w:w="2520"/>
          </w:tcPr>
          <w:p>
            <w:pPr>
              <w:spacing w:after="20"/>
            </w:pPr>
            <w:r>
              <w:rPr>
                <w:color w:val="1C3A36"/>
                <w:sz w:val="17"/>
              </w:rPr>
              <w:t>3 months (to 2026-11-09)</w:t>
            </w:r>
          </w:p>
        </w:tc>
        <w:tc>
          <w:tcPr>
            <w:tcW w:type="dxa" w:w="1152"/>
          </w:tcPr>
          <w:p>
            <w:pPr>
              <w:spacing w:after="20"/>
              <w:jc w:val="right"/>
            </w:pPr>
            <w:r>
              <w:rPr>
                <w:color w:val="1C3A36"/>
                <w:sz w:val="17"/>
              </w:rPr>
              <w:t>4.95</w:t>
            </w:r>
          </w:p>
        </w:tc>
        <w:tc>
          <w:tcPr>
            <w:tcW w:type="dxa" w:w="1152"/>
          </w:tcPr>
          <w:p>
            <w:pPr>
              <w:spacing w:after="20"/>
              <w:jc w:val="right"/>
            </w:pPr>
            <w:r>
              <w:rPr>
                <w:color w:val="1C3A36"/>
                <w:sz w:val="17"/>
              </w:rPr>
              <w:t>5.67</w:t>
            </w:r>
          </w:p>
        </w:tc>
        <w:tc>
          <w:tcPr>
            <w:tcW w:type="dxa" w:w="1152"/>
          </w:tcPr>
          <w:p>
            <w:pPr>
              <w:spacing w:after="20"/>
              <w:jc w:val="right"/>
            </w:pPr>
            <w:r>
              <w:rPr>
                <w:color w:val="1C3A36"/>
                <w:sz w:val="17"/>
              </w:rPr>
              <w:t>6.18</w:t>
            </w:r>
          </w:p>
        </w:tc>
        <w:tc>
          <w:tcPr>
            <w:tcW w:type="dxa" w:w="1152"/>
          </w:tcPr>
          <w:p>
            <w:pPr>
              <w:spacing w:after="20"/>
              <w:jc w:val="right"/>
            </w:pPr>
            <w:r>
              <w:rPr>
                <w:color w:val="1C3A36"/>
                <w:sz w:val="17"/>
              </w:rPr>
              <w:t>6.73</w:t>
            </w:r>
          </w:p>
        </w:tc>
        <w:tc>
          <w:tcPr>
            <w:tcW w:type="dxa" w:w="1152"/>
          </w:tcPr>
          <w:p>
            <w:pPr>
              <w:spacing w:after="20"/>
              <w:jc w:val="right"/>
            </w:pPr>
            <w:r>
              <w:rPr>
                <w:color w:val="1C3A36"/>
                <w:sz w:val="17"/>
              </w:rPr>
              <w:t>7.73</w:t>
            </w:r>
          </w:p>
        </w:tc>
        <w:tc>
          <w:tcPr>
            <w:tcW w:type="dxa" w:w="1800"/>
          </w:tcPr>
          <w:p>
            <w:pPr>
              <w:spacing w:after="20"/>
              <w:jc w:val="right"/>
            </w:pPr>
            <w:r>
              <w:rPr>
                <w:color w:val="1C3A36"/>
                <w:sz w:val="17"/>
              </w:rPr>
              <w:t>51%</w:t>
            </w:r>
          </w:p>
        </w:tc>
      </w:tr>
    </w:tbl>
    <w:p>
      <w:pPr>
        <w:spacing w:after="40"/>
      </w:pPr>
    </w:p>
    <w:p>
      <w:pPr>
        <w:spacing w:after="200" w:before="0"/>
      </w:pPr>
      <w:r>
        <w:rPr>
          <w:b w:val="0"/>
          <w:i/>
          <w:color w:val="6E7B77"/>
          <w:sz w:val="17"/>
        </w:rPr>
        <w:t>The check dates are calendar dates fixed when the map is struck: one month and three months from 2026-08-07, rolled forward to the exchange's first real trading session. The median barely moves from the price today because the drift is a carry, not a view.</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5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one-month outcome distribution.</w:t>
      </w:r>
    </w:p>
    <w:p>
      <w:pPr>
        <w:spacing w:after="40"/>
        <w:jc w:val="center"/>
      </w:pPr>
      <w:r>
        <w:drawing>
          <wp:inline xmlns:a="http://schemas.openxmlformats.org/drawingml/2006/main" xmlns:pic="http://schemas.openxmlformats.org/drawingml/2006/picture">
            <wp:extent cx="4846320" cy="2423160"/>
            <wp:docPr id="8" name="Picture 8"/>
            <wp:cNvGraphicFramePr>
              <a:graphicFrameLocks noChangeAspect="1"/>
            </wp:cNvGraphicFramePr>
            <a:graphic>
              <a:graphicData uri="http://schemas.openxmlformats.org/drawingml/2006/picture">
                <pic:pic>
                  <pic:nvPicPr>
                    <pic:cNvPr id="0" name="fig6_dist.png"/>
                    <pic:cNvPicPr/>
                  </pic:nvPicPr>
                  <pic:blipFill>
                    <a:blip r:embed="rId16"/>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8 — the three-month outcome distribution.</w:t>
      </w:r>
    </w:p>
    <w:p>
      <w:pPr>
        <w:keepNext/>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rPr>
          <w:cantSplit/>
          <w:tblHeader/>
        </w:trP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rPr>
          <w:cantSplit/>
        </w:trPr>
        <w:tc>
          <w:tcPr>
            <w:tcW w:type="dxa" w:w="4752"/>
          </w:tcPr>
          <w:p>
            <w:pPr>
              <w:spacing w:after="20"/>
            </w:pPr>
            <w:r>
              <w:rPr>
                <w:color w:val="1C3A36"/>
                <w:sz w:val="17"/>
              </w:rPr>
              <w:t>Finishes 10% or more above the price today</w:t>
            </w:r>
          </w:p>
        </w:tc>
        <w:tc>
          <w:tcPr>
            <w:tcW w:type="dxa" w:w="1944"/>
          </w:tcPr>
          <w:p>
            <w:pPr>
              <w:spacing w:after="20"/>
              <w:jc w:val="right"/>
            </w:pPr>
            <w:r>
              <w:rPr>
                <w:color w:val="1C3A36"/>
                <w:sz w:val="17"/>
              </w:rPr>
              <w:t>9%</w:t>
            </w:r>
          </w:p>
        </w:tc>
        <w:tc>
          <w:tcPr>
            <w:tcW w:type="dxa" w:w="1944"/>
          </w:tcPr>
          <w:p>
            <w:pPr>
              <w:spacing w:after="20"/>
              <w:jc w:val="right"/>
            </w:pPr>
            <w:r>
              <w:rPr>
                <w:color w:val="1C3A36"/>
                <w:sz w:val="17"/>
              </w:rPr>
              <w:t>23%</w:t>
            </w:r>
          </w:p>
        </w:tc>
      </w:tr>
      <w:tr>
        <w:trPr>
          <w:cantSplit/>
        </w:trPr>
        <w:tc>
          <w:tcPr>
            <w:tcW w:type="dxa" w:w="4752"/>
          </w:tcPr>
          <w:p>
            <w:pPr>
              <w:spacing w:after="20"/>
            </w:pPr>
            <w:r>
              <w:rPr>
                <w:color w:val="1C3A36"/>
                <w:sz w:val="17"/>
              </w:rPr>
              <w:t>Finishes 10% or more below the price today</w:t>
            </w:r>
          </w:p>
        </w:tc>
        <w:tc>
          <w:tcPr>
            <w:tcW w:type="dxa" w:w="1944"/>
          </w:tcPr>
          <w:p>
            <w:pPr>
              <w:spacing w:after="20"/>
              <w:jc w:val="right"/>
            </w:pPr>
            <w:r>
              <w:rPr>
                <w:color w:val="1C3A36"/>
                <w:sz w:val="17"/>
              </w:rPr>
              <w:t>7%</w:t>
            </w:r>
          </w:p>
        </w:tc>
        <w:tc>
          <w:tcPr>
            <w:tcW w:type="dxa" w:w="1944"/>
          </w:tcPr>
          <w:p>
            <w:pPr>
              <w:spacing w:after="20"/>
              <w:jc w:val="right"/>
            </w:pPr>
            <w:r>
              <w:rPr>
                <w:color w:val="1C3A36"/>
                <w:sz w:val="17"/>
              </w:rPr>
              <w:t>20%</w:t>
            </w:r>
          </w:p>
        </w:tc>
      </w:tr>
      <w:tr>
        <w:trPr>
          <w:cantSplit/>
        </w:trPr>
        <w:tc>
          <w:tcPr>
            <w:tcW w:type="dxa" w:w="4752"/>
          </w:tcPr>
          <w:p>
            <w:pPr>
              <w:spacing w:after="20"/>
            </w:pPr>
            <w:r>
              <w:rPr>
                <w:color w:val="1C3A36"/>
                <w:sz w:val="17"/>
              </w:rPr>
              <w:t>Touches 10% above at any point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42%</w:t>
            </w:r>
          </w:p>
        </w:tc>
      </w:tr>
      <w:tr>
        <w:trPr>
          <w:cantSplit/>
        </w:trPr>
        <w:tc>
          <w:tcPr>
            <w:tcW w:type="dxa" w:w="4752"/>
          </w:tcPr>
          <w:p>
            <w:pPr>
              <w:spacing w:after="20"/>
            </w:pPr>
            <w:r>
              <w:rPr>
                <w:color w:val="1C3A36"/>
                <w:sz w:val="17"/>
              </w:rPr>
              <w:t>Touches 10% below at any point</w:t>
            </w:r>
          </w:p>
        </w:tc>
        <w:tc>
          <w:tcPr>
            <w:tcW w:type="dxa" w:w="1944"/>
          </w:tcPr>
          <w:p>
            <w:pPr>
              <w:spacing w:after="20"/>
              <w:jc w:val="right"/>
            </w:pPr>
            <w:r>
              <w:rPr>
                <w:color w:val="1C3A36"/>
                <w:sz w:val="17"/>
              </w:rPr>
              <w:t>11%</w:t>
            </w:r>
          </w:p>
        </w:tc>
        <w:tc>
          <w:tcPr>
            <w:tcW w:type="dxa" w:w="1944"/>
          </w:tcPr>
          <w:p>
            <w:pPr>
              <w:spacing w:after="20"/>
              <w:jc w:val="right"/>
            </w:pPr>
            <w:r>
              <w:rPr>
                <w:color w:val="1C3A36"/>
                <w:sz w:val="17"/>
              </w:rPr>
              <w:t>36%</w:t>
            </w:r>
          </w:p>
        </w:tc>
      </w:tr>
    </w:tbl>
    <w:p>
      <w:pPr>
        <w:spacing w:after="40"/>
      </w:pPr>
    </w:p>
    <w:p>
      <w:pPr>
        <w:spacing w:after="200" w:before="0"/>
      </w:pPr>
      <w:r>
        <w:rPr>
          <w:b w:val="0"/>
          <w:i/>
          <w:color w:val="6E7B77"/>
          <w:sz w:val="17"/>
        </w:rPr>
        <w:t>Touch probabilities exceed finish probabilities because a path can visit a level and come back. The distinction matters for anyone thinking about a level rather than a date.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952"/>
        <w:gridCol w:w="4464"/>
      </w:tblGrid>
      <w:tr>
        <w:trPr>
          <w:cantSplit/>
          <w:tblHeader/>
        </w:trPr>
        <w:tc>
          <w:tcPr>
            <w:tcW w:type="dxa" w:w="2664"/>
            <w:shd w:val="clear" w:color="auto" w:fill="EAF0EE"/>
          </w:tcPr>
          <w:p>
            <w:pPr>
              <w:spacing w:after="20"/>
            </w:pPr>
            <w:r>
              <w:rPr>
                <w:b/>
                <w:color w:val="1C3A36"/>
                <w:sz w:val="16"/>
              </w:rPr>
              <w:t>Read</w:t>
            </w:r>
          </w:p>
        </w:tc>
        <w:tc>
          <w:tcPr>
            <w:tcW w:type="dxa" w:w="2952"/>
            <w:shd w:val="clear" w:color="auto" w:fill="EAF0EE"/>
          </w:tcPr>
          <w:p>
            <w:pPr>
              <w:spacing w:after="20"/>
            </w:pPr>
            <w:r>
              <w:rPr>
                <w:b/>
                <w:color w:val="1C3A36"/>
                <w:sz w:val="16"/>
              </w:rPr>
              <w:t>What it says</w:t>
            </w:r>
          </w:p>
        </w:tc>
        <w:tc>
          <w:tcPr>
            <w:tcW w:type="dxa" w:w="4464"/>
            <w:shd w:val="clear" w:color="auto" w:fill="EAF0EE"/>
          </w:tcPr>
          <w:p>
            <w:pPr>
              <w:spacing w:after="20"/>
            </w:pPr>
            <w:r>
              <w:rPr>
                <w:b/>
                <w:color w:val="1C3A36"/>
                <w:sz w:val="16"/>
              </w:rPr>
              <w:t>What it assumes</w:t>
            </w:r>
          </w:p>
        </w:tc>
      </w:tr>
      <w:tr>
        <w:trPr>
          <w:cantSplit/>
        </w:trPr>
        <w:tc>
          <w:tcPr>
            <w:tcW w:type="dxa" w:w="2664"/>
          </w:tcPr>
          <w:p>
            <w:pPr>
              <w:spacing w:after="20"/>
            </w:pPr>
            <w:r>
              <w:rPr>
                <w:color w:val="1C3A36"/>
                <w:sz w:val="16"/>
              </w:rPr>
              <w:t>Fundamental — published index</w:t>
            </w:r>
          </w:p>
        </w:tc>
        <w:tc>
          <w:tcPr>
            <w:tcW w:type="dxa" w:w="2952"/>
          </w:tcPr>
          <w:p>
            <w:pPr>
              <w:spacing w:after="20"/>
            </w:pPr>
            <w:r>
              <w:rPr>
                <w:color w:val="1C3A36"/>
                <w:sz w:val="16"/>
              </w:rPr>
              <w:t>AED 5.39, -21%</w:t>
            </w:r>
          </w:p>
        </w:tc>
        <w:tc>
          <w:tcPr>
            <w:tcW w:type="dxa" w:w="4464"/>
          </w:tcPr>
          <w:p>
            <w:pPr>
              <w:spacing w:after="20"/>
            </w:pPr>
            <w:r>
              <w:rPr>
                <w:color w:val="1C3A36"/>
                <w:sz w:val="16"/>
              </w:rPr>
              <w:t>that the share's own listed history, measured against its exchange's published index, describes its risk, and that the tanker fleet reverts to its FY2024-FY2025 average rate</w:t>
            </w:r>
          </w:p>
        </w:tc>
      </w:tr>
      <w:tr>
        <w:trPr>
          <w:cantSplit/>
        </w:trPr>
        <w:tc>
          <w:tcPr>
            <w:tcW w:type="dxa" w:w="2664"/>
          </w:tcPr>
          <w:p>
            <w:pPr>
              <w:spacing w:after="20"/>
            </w:pPr>
            <w:r>
              <w:rPr>
                <w:color w:val="1C3A36"/>
                <w:sz w:val="16"/>
              </w:rPr>
              <w:t>Fundamental — equal-weight composite</w:t>
            </w:r>
          </w:p>
        </w:tc>
        <w:tc>
          <w:tcPr>
            <w:tcW w:type="dxa" w:w="2952"/>
          </w:tcPr>
          <w:p>
            <w:pPr>
              <w:spacing w:after="20"/>
            </w:pPr>
            <w:r>
              <w:rPr>
                <w:color w:val="1C3A36"/>
                <w:sz w:val="16"/>
              </w:rPr>
              <w:t>AED 7.12, +5%</w:t>
            </w:r>
          </w:p>
        </w:tc>
        <w:tc>
          <w:tcPr>
            <w:tcW w:type="dxa" w:w="4464"/>
          </w:tcPr>
          <w:p>
            <w:pPr>
              <w:spacing w:after="20"/>
            </w:pPr>
            <w:r>
              <w:rPr>
                <w:color w:val="1C3A36"/>
                <w:sz w:val="16"/>
              </w:rPr>
              <w:t>that the market is better represented by an equal-weight composite of the exchange's names than by its published index, with the same operating forecast</w:t>
            </w:r>
          </w:p>
        </w:tc>
      </w:tr>
      <w:tr>
        <w:trPr>
          <w:cantSplit/>
        </w:trPr>
        <w:tc>
          <w:tcPr>
            <w:tcW w:type="dxa" w:w="2664"/>
          </w:tcPr>
          <w:p>
            <w:pPr>
              <w:spacing w:after="20"/>
            </w:pPr>
            <w:r>
              <w:rPr>
                <w:color w:val="1C3A36"/>
                <w:sz w:val="16"/>
              </w:rPr>
              <w:t>Cash flow alone, published index</w:t>
            </w:r>
          </w:p>
        </w:tc>
        <w:tc>
          <w:tcPr>
            <w:tcW w:type="dxa" w:w="2952"/>
          </w:tcPr>
          <w:p>
            <w:pPr>
              <w:spacing w:after="20"/>
            </w:pPr>
            <w:r>
              <w:rPr>
                <w:color w:val="1C3A36"/>
                <w:sz w:val="16"/>
              </w:rPr>
              <w:t>AED 5.39, -21%</w:t>
            </w:r>
          </w:p>
        </w:tc>
        <w:tc>
          <w:tcPr>
            <w:tcW w:type="dxa" w:w="4464"/>
          </w:tcPr>
          <w:p>
            <w:pPr>
              <w:spacing w:after="20"/>
            </w:pPr>
            <w:r>
              <w:rPr>
                <w:color w:val="1C3A36"/>
                <w:sz w:val="16"/>
              </w:rPr>
              <w:t>a cost of capital gliding 8.66% to 8.6%</w:t>
            </w:r>
          </w:p>
        </w:tc>
      </w:tr>
      <w:tr>
        <w:trPr>
          <w:cantSplit/>
        </w:trPr>
        <w:tc>
          <w:tcPr>
            <w:tcW w:type="dxa" w:w="2664"/>
          </w:tcPr>
          <w:p>
            <w:pPr>
              <w:spacing w:after="20"/>
            </w:pPr>
            <w:r>
              <w:rPr>
                <w:color w:val="1C3A36"/>
                <w:sz w:val="16"/>
              </w:rPr>
              <w:t>Cash flow alone, equal-weight composite</w:t>
            </w:r>
          </w:p>
        </w:tc>
        <w:tc>
          <w:tcPr>
            <w:tcW w:type="dxa" w:w="2952"/>
          </w:tcPr>
          <w:p>
            <w:pPr>
              <w:spacing w:after="20"/>
            </w:pPr>
            <w:r>
              <w:rPr>
                <w:color w:val="1C3A36"/>
                <w:sz w:val="16"/>
              </w:rPr>
              <w:t>AED 7.12, +5%</w:t>
            </w:r>
          </w:p>
        </w:tc>
        <w:tc>
          <w:tcPr>
            <w:tcW w:type="dxa" w:w="4464"/>
          </w:tcPr>
          <w:p>
            <w:pPr>
              <w:spacing w:after="20"/>
            </w:pPr>
            <w:r>
              <w:rPr>
                <w:color w:val="1C3A36"/>
                <w:sz w:val="16"/>
              </w:rPr>
              <w:t>the same, gliding 7.20% to 7.2%</w:t>
            </w:r>
          </w:p>
        </w:tc>
      </w:tr>
      <w:tr>
        <w:trPr>
          <w:cantSplit/>
        </w:trPr>
        <w:tc>
          <w:tcPr>
            <w:tcW w:type="dxa" w:w="2664"/>
          </w:tcPr>
          <w:p>
            <w:pPr>
              <w:spacing w:after="20"/>
            </w:pPr>
            <w:r>
              <w:rPr>
                <w:color w:val="1C3A36"/>
                <w:sz w:val="16"/>
              </w:rPr>
              <w:t>Multiples, blended</w:t>
            </w:r>
          </w:p>
        </w:tc>
        <w:tc>
          <w:tcPr>
            <w:tcW w:type="dxa" w:w="2952"/>
          </w:tcPr>
          <w:p>
            <w:pPr>
              <w:spacing w:after="20"/>
            </w:pPr>
            <w:r>
              <w:rPr>
                <w:color w:val="1C3A36"/>
                <w:sz w:val="16"/>
              </w:rPr>
              <w:t>AED 12.21, +80%</w:t>
            </w:r>
          </w:p>
        </w:tc>
        <w:tc>
          <w:tcPr>
            <w:tcW w:type="dxa" w:w="4464"/>
          </w:tcPr>
          <w:p>
            <w:pPr>
              <w:spacing w:after="20"/>
            </w:pPr>
            <w:r>
              <w:rPr>
                <w:color w:val="1C3A36"/>
                <w:sz w:val="16"/>
              </w:rPr>
              <w:t>that a contracted shipowner's multiple and a spot owner's multiple, blended on this company's own disclosed spot exposure, describe it</w:t>
            </w:r>
          </w:p>
        </w:tc>
      </w:tr>
      <w:tr>
        <w:trPr>
          <w:cantSplit/>
        </w:trPr>
        <w:tc>
          <w:tcPr>
            <w:tcW w:type="dxa" w:w="2664"/>
          </w:tcPr>
          <w:p>
            <w:pPr>
              <w:spacing w:after="20"/>
            </w:pPr>
            <w:r>
              <w:rPr>
                <w:color w:val="1C3A36"/>
                <w:sz w:val="16"/>
              </w:rPr>
              <w:t>Sum of the parts</w:t>
            </w:r>
          </w:p>
        </w:tc>
        <w:tc>
          <w:tcPr>
            <w:tcW w:type="dxa" w:w="2952"/>
          </w:tcPr>
          <w:p>
            <w:pPr>
              <w:spacing w:after="20"/>
            </w:pPr>
            <w:r>
              <w:rPr>
                <w:color w:val="1C3A36"/>
                <w:sz w:val="16"/>
              </w:rPr>
              <w:t>AED 13.53, +99%</w:t>
            </w:r>
          </w:p>
        </w:tc>
        <w:tc>
          <w:tcPr>
            <w:tcW w:type="dxa" w:w="4464"/>
          </w:tcPr>
          <w:p>
            <w:pPr>
              <w:spacing w:after="20"/>
            </w:pPr>
            <w:r>
              <w:rPr>
                <w:color w:val="1C3A36"/>
                <w:sz w:val="16"/>
              </w:rPr>
              <w:t>the same two multiples applied where each belongs rather than to the group</w:t>
            </w:r>
          </w:p>
        </w:tc>
      </w:tr>
      <w:tr>
        <w:trPr>
          <w:cantSplit/>
        </w:trPr>
        <w:tc>
          <w:tcPr>
            <w:tcW w:type="dxa" w:w="2664"/>
          </w:tcPr>
          <w:p>
            <w:pPr>
              <w:spacing w:after="20"/>
            </w:pPr>
            <w:r>
              <w:rPr>
                <w:color w:val="1C3A36"/>
                <w:sz w:val="16"/>
              </w:rPr>
              <w:t>Rates hold near current levels</w:t>
            </w:r>
          </w:p>
        </w:tc>
        <w:tc>
          <w:tcPr>
            <w:tcW w:type="dxa" w:w="2952"/>
          </w:tcPr>
          <w:p>
            <w:pPr>
              <w:spacing w:after="20"/>
            </w:pPr>
            <w:r>
              <w:rPr>
                <w:color w:val="1C3A36"/>
                <w:sz w:val="16"/>
              </w:rPr>
              <w:t>AED 7.53, +11%</w:t>
            </w:r>
          </w:p>
        </w:tc>
        <w:tc>
          <w:tcPr>
            <w:tcW w:type="dxa" w:w="4464"/>
          </w:tcPr>
          <w:p>
            <w:pPr>
              <w:spacing w:after="20"/>
            </w:pPr>
            <w:r>
              <w:rPr>
                <w:color w:val="1C3A36"/>
                <w:sz w:val="16"/>
              </w:rPr>
              <w:t>that the fleet settles well above its own recent average — the direction the company's guidance points</w:t>
            </w:r>
          </w:p>
        </w:tc>
      </w:tr>
      <w:tr>
        <w:trPr>
          <w:cantSplit/>
        </w:trPr>
        <w:tc>
          <w:tcPr>
            <w:tcW w:type="dxa" w:w="2664"/>
          </w:tcPr>
          <w:p>
            <w:pPr>
              <w:spacing w:after="20"/>
            </w:pPr>
            <w:r>
              <w:rPr>
                <w:color w:val="1C3A36"/>
                <w:sz w:val="16"/>
              </w:rPr>
              <w:t>The market</w:t>
            </w:r>
          </w:p>
        </w:tc>
        <w:tc>
          <w:tcPr>
            <w:tcW w:type="dxa" w:w="2952"/>
          </w:tcPr>
          <w:p>
            <w:pPr>
              <w:spacing w:after="20"/>
            </w:pPr>
            <w:r>
              <w:rPr>
                <w:color w:val="1C3A36"/>
                <w:sz w:val="16"/>
              </w:rPr>
              <w:t>6.80</w:t>
            </w:r>
          </w:p>
        </w:tc>
        <w:tc>
          <w:tcPr>
            <w:tcW w:type="dxa" w:w="4464"/>
          </w:tcPr>
          <w:p>
            <w:pPr>
              <w:spacing w:after="20"/>
            </w:pPr>
            <w:r>
              <w:rPr>
                <w:color w:val="1C3A36"/>
                <w:sz w:val="16"/>
              </w:rPr>
              <w:t>revealed preference of the marginal buyer</w:t>
            </w:r>
          </w:p>
        </w:tc>
      </w:tr>
      <w:tr>
        <w:trPr>
          <w:cantSplit/>
        </w:trPr>
        <w:tc>
          <w:tcPr>
            <w:tcW w:type="dxa" w:w="2664"/>
          </w:tcPr>
          <w:p>
            <w:pPr>
              <w:spacing w:after="20"/>
            </w:pPr>
            <w:r>
              <w:rPr>
                <w:color w:val="1C3A36"/>
                <w:sz w:val="16"/>
              </w:rPr>
              <w:t>Three-month price map</w:t>
            </w:r>
          </w:p>
        </w:tc>
        <w:tc>
          <w:tcPr>
            <w:tcW w:type="dxa" w:w="2952"/>
          </w:tcPr>
          <w:p>
            <w:pPr>
              <w:spacing w:after="20"/>
            </w:pPr>
            <w:r>
              <w:rPr>
                <w:color w:val="1C3A36"/>
                <w:sz w:val="16"/>
              </w:rPr>
              <w:t>median 6.18, 51% chance of finishing above the price today</w:t>
            </w:r>
          </w:p>
        </w:tc>
        <w:tc>
          <w:tcPr>
            <w:tcW w:type="dxa" w:w="4464"/>
          </w:tcPr>
          <w:p>
            <w:pPr>
              <w:spacing w:after="20"/>
            </w:pPr>
            <w:r>
              <w:rPr>
                <w:color w:val="1C3A36"/>
                <w:sz w:val="16"/>
              </w:rPr>
              <w:t>that volatility persists as it has; no view on value at all</w:t>
            </w:r>
          </w:p>
        </w:tc>
      </w:tr>
    </w:tbl>
    <w:p>
      <w:pPr>
        <w:spacing w:after="40"/>
      </w:pPr>
    </w:p>
    <w:p>
      <w:pPr>
        <w:spacing w:after="120" w:before="0"/>
      </w:pPr>
      <w:r>
        <w:rPr>
          <w:b w:val="0"/>
          <w:i w:val="0"/>
          <w:color w:val="1C3A36"/>
          <w:sz w:val="21"/>
        </w:rPr>
        <w:t>Read down that table and the striking thing is how little room there is between the reads that stay closest to the company's own reported cash. The cash-flow lens lands at AED 5.39, 21% below the market price; the expert panel in Appendix C, which prices mid-cycle earnings and capitalises no terminal value at all, centres at AED 8.01, 18% above the market price. Two constructions that share no machinery land within AED 2.62 of each other and both within a few per cent of the screen. The two multiple lenses land materially higher, but they import their cost of capital from comparators rather than state one — and they import the same three multiples as each other, so they are one piece of evidence about relative pricing rather than two independent answers (section 1.5). The asset lens lands materially lower, on carrying values the company's own vessel sale says are understated. Read together, the evidence brackets the screen price rather than pointing away from it.</w:t>
      </w:r>
    </w:p>
    <w:p>
      <w:pPr>
        <w:spacing w:after="120" w:before="0"/>
      </w:pPr>
      <w:r>
        <w:rPr>
          <w:b w:val="0"/>
          <w:i w:val="0"/>
          <w:color w:val="1C3A36"/>
          <w:sz w:val="21"/>
        </w:rPr>
        <w:t>This is a weaker claim than the study previously made, and the reason is worth stating plainly. The cash-flow lens rests on a beta of 1.103, measured on 159 weekly observations against the FTSE ADX General Index — the published index of the share's own exchange. The economic prior for a fleet owner has always been that it carries the risk of the market its ships trade in whoever signs the charter, and that prior and the regression now say the same thing. Measure the market instead as an equal-weight composite of the same exchange's names and the beta falls to 0.690 and the central rises to AED 7.12 — a difference of AED 1.73 a share that turns entirely on index weighting. Both numbers are in this document at full size and neither is hidden inside an average, but the adopted one is the published index, and on it this share is close to fairly priced rather than materially cheap. The composite reading should be read with one further fact attached to it, and it is not the fact the previous edition attached. At 0.690 it now sits inside the adopted estimate's own 90% interval of [0.586, 1.621] — the interval widened when the beta was re-measured, and it is now wide enough to contain the composite, which the narrower interval of the last edition was not. So the composite is not a bolder number than the statistics support; it is a different definition of the market, and the question it raises is which market this share should be measured against rather than how aggressive a discount rate one is willing to take.</w:t>
      </w:r>
    </w:p>
    <w:p>
      <w:pPr>
        <w:spacing w:after="200" w:before="0"/>
      </w:pPr>
      <w:r>
        <w:rPr>
          <w:b w:val="0"/>
          <w:i w:val="0"/>
          <w:color w:val="1C3A36"/>
          <w:sz w:val="21"/>
        </w:rPr>
        <w:t>No recommendation and no forecast of the share price is expressed here or anywhere else in this document. The output is a range and a distribution.</w:t>
      </w:r>
    </w:p>
    <w:p>
      <w:pPr>
        <w:keepNext/>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3888"/>
      </w:tblGrid>
      <w:tr>
        <w:trPr>
          <w:cantSplit/>
          <w:tblHeader/>
        </w:trPr>
        <w:tc>
          <w:tcPr>
            <w:tcW w:type="dxa" w:w="2232"/>
            <w:shd w:val="clear" w:color="auto" w:fill="EAF0EE"/>
          </w:tcPr>
          <w:p>
            <w:pPr>
              <w:spacing w:after="20"/>
            </w:pPr>
            <w:r>
              <w:rPr>
                <w:b/>
                <w:color w:val="1C3A36"/>
                <w:sz w:val="16"/>
              </w:rPr>
              <w:t>Catalyst</w:t>
            </w:r>
          </w:p>
        </w:tc>
        <w:tc>
          <w:tcPr>
            <w:tcW w:type="dxa" w:w="3960"/>
            <w:shd w:val="clear" w:color="auto" w:fill="EAF0EE"/>
          </w:tcPr>
          <w:p>
            <w:pPr>
              <w:spacing w:after="20"/>
            </w:pPr>
            <w:r>
              <w:rPr>
                <w:b/>
                <w:color w:val="1C3A36"/>
                <w:sz w:val="16"/>
              </w:rPr>
              <w:t>Why it matters</w:t>
            </w:r>
          </w:p>
        </w:tc>
        <w:tc>
          <w:tcPr>
            <w:tcW w:type="dxa" w:w="3888"/>
            <w:shd w:val="clear" w:color="auto" w:fill="EAF0EE"/>
          </w:tcPr>
          <w:p>
            <w:pPr>
              <w:spacing w:after="20"/>
            </w:pPr>
            <w:r>
              <w:rPr>
                <w:b/>
                <w:color w:val="1C3A36"/>
                <w:sz w:val="16"/>
              </w:rPr>
              <w:t>What to watch</w:t>
            </w:r>
          </w:p>
        </w:tc>
      </w:tr>
      <w:tr>
        <w:trPr>
          <w:cantSplit/>
        </w:trPr>
        <w:tc>
          <w:tcPr>
            <w:tcW w:type="dxa" w:w="2232"/>
          </w:tcPr>
          <w:p>
            <w:pPr>
              <w:spacing w:after="20"/>
            </w:pPr>
            <w:r>
              <w:rPr>
                <w:color w:val="1C3A36"/>
                <w:sz w:val="16"/>
              </w:rPr>
              <w:t>Second-quarter and half-year results</w:t>
            </w:r>
          </w:p>
        </w:tc>
        <w:tc>
          <w:tcPr>
            <w:tcW w:type="dxa" w:w="3960"/>
          </w:tcPr>
          <w:p>
            <w:pPr>
              <w:spacing w:after="20"/>
            </w:pPr>
            <w:r>
              <w:rPr>
                <w:color w:val="1C3A36"/>
                <w:sz w:val="16"/>
              </w:rPr>
              <w:t>the second-quarter published rate of USD 291,145 a day for the largest class was an indication given on a call, not a reported figure; the half-year statement is the first hard confirmation</w:t>
            </w:r>
          </w:p>
        </w:tc>
        <w:tc>
          <w:tcPr>
            <w:tcW w:type="dxa" w:w="3888"/>
          </w:tcPr>
          <w:p>
            <w:pPr>
              <w:spacing w:after="20"/>
            </w:pPr>
            <w:r>
              <w:rPr>
                <w:color w:val="1C3A36"/>
                <w:sz w:val="16"/>
              </w:rPr>
              <w:t>the reported time-charter equivalent by class against the indicated levels, and whether the third quarter is being framed up or down</w:t>
            </w:r>
          </w:p>
        </w:tc>
      </w:tr>
      <w:tr>
        <w:trPr>
          <w:cantSplit/>
        </w:trPr>
        <w:tc>
          <w:tcPr>
            <w:tcW w:type="dxa" w:w="2232"/>
          </w:tcPr>
          <w:p>
            <w:pPr>
              <w:spacing w:after="20"/>
            </w:pPr>
            <w:r>
              <w:rPr>
                <w:color w:val="1C3A36"/>
                <w:sz w:val="16"/>
              </w:rPr>
              <w:t>Where rates settle, not where they peak</w:t>
            </w:r>
          </w:p>
        </w:tc>
        <w:tc>
          <w:tcPr>
            <w:tcW w:type="dxa" w:w="3960"/>
          </w:tcPr>
          <w:p>
            <w:pPr>
              <w:spacing w:after="20"/>
            </w:pPr>
            <w:r>
              <w:rPr>
                <w:color w:val="1C3A36"/>
                <w:sz w:val="16"/>
              </w:rPr>
              <w:t>the base case reverts to the mid-cycle anchor over four years; the whole AED 2.86 of the rate sensitivity sits in that path</w:t>
            </w:r>
          </w:p>
        </w:tc>
        <w:tc>
          <w:tcPr>
            <w:tcW w:type="dxa" w:w="3888"/>
          </w:tcPr>
          <w:p>
            <w:pPr>
              <w:spacing w:after="20"/>
            </w:pPr>
            <w:r>
              <w:rPr>
                <w:color w:val="1C3A36"/>
                <w:sz w:val="16"/>
              </w:rPr>
              <w:t>one-year time-charter fixtures rather than spot prints — a forward commitment is the market pricing duration, which is what this model needs</w:t>
            </w:r>
          </w:p>
        </w:tc>
      </w:tr>
      <w:tr>
        <w:trPr>
          <w:cantSplit/>
        </w:trPr>
        <w:tc>
          <w:tcPr>
            <w:tcW w:type="dxa" w:w="2232"/>
          </w:tcPr>
          <w:p>
            <w:pPr>
              <w:spacing w:after="20"/>
            </w:pPr>
            <w:r>
              <w:rPr>
                <w:color w:val="1C3A36"/>
                <w:sz w:val="16"/>
              </w:rPr>
              <w:t>Tanker supply</w:t>
            </w:r>
          </w:p>
        </w:tc>
        <w:tc>
          <w:tcPr>
            <w:tcW w:type="dxa" w:w="3960"/>
          </w:tcPr>
          <w:p>
            <w:pPr>
              <w:spacing w:after="20"/>
            </w:pPr>
            <w:r>
              <w:rPr>
                <w:color w:val="1C3A36"/>
                <w:sz w:val="16"/>
              </w:rPr>
              <w:t>an order book near 27% of the trading fleet is the mechanism by which the cycle ends</w:t>
            </w:r>
          </w:p>
        </w:tc>
        <w:tc>
          <w:tcPr>
            <w:tcW w:type="dxa" w:w="3888"/>
          </w:tcPr>
          <w:p>
            <w:pPr>
              <w:spacing w:after="20"/>
            </w:pPr>
            <w:r>
              <w:rPr>
                <w:color w:val="1C3A36"/>
                <w:sz w:val="16"/>
              </w:rPr>
              <w:t>deliveries against scrapping, and whether ordering continues at these rates</w:t>
            </w:r>
          </w:p>
        </w:tc>
      </w:tr>
      <w:tr>
        <w:trPr>
          <w:cantSplit/>
        </w:trPr>
        <w:tc>
          <w:tcPr>
            <w:tcW w:type="dxa" w:w="2232"/>
          </w:tcPr>
          <w:p>
            <w:pPr>
              <w:spacing w:after="20"/>
            </w:pPr>
            <w:r>
              <w:rPr>
                <w:color w:val="1C3A36"/>
                <w:sz w:val="16"/>
              </w:rPr>
              <w:t>The contracted expansion delivering</w:t>
            </w:r>
          </w:p>
        </w:tc>
        <w:tc>
          <w:tcPr>
            <w:tcW w:type="dxa" w:w="3960"/>
          </w:tcPr>
          <w:p>
            <w:pPr>
              <w:spacing w:after="20"/>
            </w:pPr>
            <w:r>
              <w:rPr>
                <w:color w:val="1C3A36"/>
                <w:sz w:val="16"/>
              </w:rPr>
              <w:t>gas carrier vessel-years rise from 12.0 in 2026 to 30.0 by 2029, which is what takes spot exposure down from 31% to 23% of earnings</w:t>
            </w:r>
          </w:p>
        </w:tc>
        <w:tc>
          <w:tcPr>
            <w:tcW w:type="dxa" w:w="3888"/>
          </w:tcPr>
          <w:p>
            <w:pPr>
              <w:spacing w:after="20"/>
            </w:pPr>
            <w:r>
              <w:rPr>
                <w:color w:val="1C3A36"/>
                <w:sz w:val="16"/>
              </w:rPr>
              <w:t>on-time delivery of the ethane and Ruwais carriers, and new long-term charters</w:t>
            </w:r>
          </w:p>
        </w:tc>
      </w:tr>
      <w:tr>
        <w:trPr>
          <w:cantSplit/>
        </w:trPr>
        <w:tc>
          <w:tcPr>
            <w:tcW w:type="dxa" w:w="2232"/>
          </w:tcPr>
          <w:p>
            <w:pPr>
              <w:spacing w:after="20"/>
            </w:pPr>
            <w:r>
              <w:rPr>
                <w:color w:val="1C3A36"/>
                <w:sz w:val="16"/>
              </w:rPr>
              <w:t>Capital allocation, because the model runs to net cash</w:t>
            </w:r>
          </w:p>
        </w:tc>
        <w:tc>
          <w:tcPr>
            <w:tcW w:type="dxa" w:w="3960"/>
          </w:tcPr>
          <w:p>
            <w:pPr>
              <w:spacing w:after="20"/>
            </w:pPr>
            <w:r>
              <w:rPr>
                <w:color w:val="1C3A36"/>
                <w:sz w:val="16"/>
              </w:rPr>
              <w:t>on this build net debt falls from 0.56× earnings in 2026E to net cash by 2028E, against a stated target of 2.0× to 2.5×. The company will not sit there — and the purchase announced on 7 Aug 2026 is the first evidence of that, USD 1.3 billion of it, committed within days of the balance sheet this study values</w:t>
            </w:r>
          </w:p>
        </w:tc>
        <w:tc>
          <w:tcPr>
            <w:tcW w:type="dxa" w:w="3888"/>
          </w:tcPr>
          <w:p>
            <w:pPr>
              <w:spacing w:after="20"/>
            </w:pPr>
            <w:r>
              <w:rPr>
                <w:color w:val="1C3A36"/>
                <w:sz w:val="16"/>
              </w:rPr>
              <w:t>further acquisitions, a step-up in distributions beyond the stated 5% a year, or a larger newbuild programme — see section 7</w:t>
            </w:r>
          </w:p>
        </w:tc>
      </w:tr>
      <w:tr>
        <w:trPr>
          <w:cantSplit/>
        </w:trPr>
        <w:tc>
          <w:tcPr>
            <w:tcW w:type="dxa" w:w="2232"/>
          </w:tcPr>
          <w:p>
            <w:pPr>
              <w:spacing w:after="20"/>
            </w:pPr>
            <w:r>
              <w:rPr>
                <w:color w:val="1C3A36"/>
                <w:sz w:val="16"/>
              </w:rPr>
              <w:t>The tax relief on international shipping</w:t>
            </w:r>
          </w:p>
        </w:tc>
        <w:tc>
          <w:tcPr>
            <w:tcW w:type="dxa" w:w="3960"/>
          </w:tcPr>
          <w:p>
            <w:pPr>
              <w:spacing w:after="20"/>
            </w:pPr>
            <w:r>
              <w:rPr>
                <w:color w:val="1C3A36"/>
                <w:sz w:val="16"/>
              </w:rPr>
              <w:t>the shipping units bore about 1% in FY2025; a uniform 15% would cost AED 1.10 a share</w:t>
            </w:r>
          </w:p>
        </w:tc>
        <w:tc>
          <w:tcPr>
            <w:tcW w:type="dxa" w:w="3888"/>
          </w:tcPr>
          <w:p>
            <w:pPr>
              <w:spacing w:after="20"/>
            </w:pPr>
            <w:r>
              <w:rPr>
                <w:color w:val="1C3A36"/>
                <w:sz w:val="16"/>
              </w:rPr>
              <w:t>any change to the exclusion of international shipping income from the domestic minimum top-up tax</w:t>
            </w:r>
          </w:p>
        </w:tc>
      </w:tr>
      <w:tr>
        <w:trPr>
          <w:cantSplit/>
        </w:trPr>
        <w:tc>
          <w:tcPr>
            <w:tcW w:type="dxa" w:w="2232"/>
          </w:tcPr>
          <w:p>
            <w:pPr>
              <w:spacing w:after="20"/>
            </w:pPr>
            <w:r>
              <w:rPr>
                <w:color w:val="1C3A36"/>
                <w:sz w:val="16"/>
              </w:rPr>
              <w:t>Offshore Projects</w:t>
            </w:r>
          </w:p>
        </w:tc>
        <w:tc>
          <w:tcPr>
            <w:tcW w:type="dxa" w:w="3960"/>
          </w:tcPr>
          <w:p>
            <w:pPr>
              <w:spacing w:after="20"/>
            </w:pPr>
            <w:r>
              <w:rPr>
                <w:color w:val="1C3A36"/>
                <w:sz w:val="16"/>
              </w:rPr>
              <w:t>the least visible line in the model: FY2025 revenue of USD 531 million falls to a guided USD 4 million in 2026E after the large island project completed</w:t>
            </w:r>
          </w:p>
        </w:tc>
        <w:tc>
          <w:tcPr>
            <w:tcW w:type="dxa" w:w="3888"/>
          </w:tcPr>
          <w:p>
            <w:pPr>
              <w:spacing w:after="20"/>
            </w:pPr>
            <w:r>
              <w:rPr>
                <w:color w:val="1C3A36"/>
                <w:sz w:val="16"/>
              </w:rPr>
              <w:t>new engineering and construction awards replacing the completed work</w:t>
            </w:r>
          </w:p>
        </w:tc>
      </w:tr>
      <w:tr>
        <w:trPr>
          <w:cantSplit/>
        </w:trPr>
        <w:tc>
          <w:tcPr>
            <w:tcW w:type="dxa" w:w="2232"/>
          </w:tcPr>
          <w:p>
            <w:pPr>
              <w:spacing w:after="20"/>
            </w:pPr>
            <w:r>
              <w:rPr>
                <w:color w:val="1C3A36"/>
                <w:sz w:val="16"/>
              </w:rPr>
              <w:t>The perpetual capital securities</w:t>
            </w:r>
          </w:p>
        </w:tc>
        <w:tc>
          <w:tcPr>
            <w:tcW w:type="dxa" w:w="3960"/>
          </w:tcPr>
          <w:p>
            <w:pPr>
              <w:spacing w:after="20"/>
            </w:pPr>
            <w:r>
              <w:rPr>
                <w:color w:val="1C3A36"/>
                <w:sz w:val="16"/>
              </w:rPr>
              <w:t>USD 2.0 billion ranking ahead of the ordinary shares, worth AED 0.42 a share between the two treatments</w:t>
            </w:r>
          </w:p>
        </w:tc>
        <w:tc>
          <w:tcPr>
            <w:tcW w:type="dxa" w:w="3888"/>
          </w:tcPr>
          <w:p>
            <w:pPr>
              <w:spacing w:after="20"/>
            </w:pPr>
            <w:r>
              <w:rPr>
                <w:color w:val="1C3A36"/>
                <w:sz w:val="16"/>
              </w:rPr>
              <w:t>any call, refinancing or reset of the coupon</w:t>
            </w:r>
          </w:p>
        </w:tc>
      </w:tr>
    </w:tbl>
    <w:p>
      <w:pPr>
        <w:spacing w:after="40"/>
      </w:pPr>
    </w:p>
    <w:p>
      <w:pPr>
        <w:keepNext/>
        <w:spacing w:after="120" w:before="280"/>
      </w:pPr>
      <w:r>
        <w:rPr>
          <w:b/>
          <w:i w:val="0"/>
          <w:color w:val="1C3A36"/>
          <w:sz w:val="30"/>
        </w:rPr>
        <w:t>6  Reading the probability zones</w:t>
      </w:r>
    </w:p>
    <w:p>
      <w:pPr>
        <w:spacing w:after="120" w:before="0"/>
      </w:pPr>
      <w:r>
        <w:rPr>
          <w:b w:val="0"/>
          <w:i w:val="0"/>
          <w:color w:val="1C3A36"/>
          <w:sz w:val="21"/>
        </w:rPr>
        <w:t>The three-month distribution has a median of AED 6.18 and a 5th-to-95th span of 4.95 to 7.73. Read that honestly: the model treats a -27% move and a +14% move as equally unremarkable tail outcomes over a single quarter. Anyone who finds that range uncomfortably wide is reacting to the volatility of the share, which has run near 28% annualised,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2448"/>
        <w:gridCol w:w="5040"/>
      </w:tblGrid>
      <w:tr>
        <w:trPr>
          <w:cantSplit/>
          <w:tblHeader/>
        </w:trPr>
        <w:tc>
          <w:tcPr>
            <w:tcW w:type="dxa" w:w="2592"/>
            <w:shd w:val="clear" w:color="auto" w:fill="EAF0EE"/>
          </w:tcPr>
          <w:p>
            <w:pPr>
              <w:spacing w:after="20"/>
            </w:pPr>
            <w:r>
              <w:rPr>
                <w:b/>
                <w:color w:val="1C3A36"/>
                <w:sz w:val="16"/>
              </w:rPr>
              <w:t>Zone</w:t>
            </w:r>
          </w:p>
        </w:tc>
        <w:tc>
          <w:tcPr>
            <w:tcW w:type="dxa" w:w="2448"/>
            <w:shd w:val="clear" w:color="auto" w:fill="EAF0EE"/>
          </w:tcPr>
          <w:p>
            <w:pPr>
              <w:spacing w:after="20"/>
            </w:pPr>
            <w:r>
              <w:rPr>
                <w:b/>
                <w:color w:val="1C3A36"/>
                <w:sz w:val="16"/>
              </w:rPr>
              <w:t>Three-month range (AED)</w:t>
            </w:r>
          </w:p>
        </w:tc>
        <w:tc>
          <w:tcPr>
            <w:tcW w:type="dxa" w:w="5040"/>
            <w:shd w:val="clear" w:color="auto" w:fill="EAF0EE"/>
          </w:tcPr>
          <w:p>
            <w:pPr>
              <w:spacing w:after="20"/>
              <w:jc w:val="left"/>
            </w:pPr>
            <w:r>
              <w:rPr>
                <w:b/>
                <w:color w:val="1C3A36"/>
                <w:sz w:val="16"/>
              </w:rPr>
              <w:t>How to read it</w:t>
            </w:r>
          </w:p>
        </w:tc>
      </w:tr>
      <w:tr>
        <w:trPr>
          <w:cantSplit/>
        </w:trPr>
        <w:tc>
          <w:tcPr>
            <w:tcW w:type="dxa" w:w="2592"/>
          </w:tcPr>
          <w:p>
            <w:pPr>
              <w:spacing w:after="20"/>
            </w:pPr>
            <w:r>
              <w:rPr>
                <w:color w:val="1C3A36"/>
                <w:sz w:val="16"/>
              </w:rPr>
              <w:t>Lower tail</w:t>
            </w:r>
          </w:p>
        </w:tc>
        <w:tc>
          <w:tcPr>
            <w:tcW w:type="dxa" w:w="2448"/>
          </w:tcPr>
          <w:p>
            <w:pPr>
              <w:spacing w:after="20"/>
              <w:jc w:val="right"/>
            </w:pPr>
            <w:r>
              <w:rPr>
                <w:color w:val="1C3A36"/>
                <w:sz w:val="16"/>
              </w:rPr>
              <w:t>below 4.95</w:t>
            </w:r>
          </w:p>
        </w:tc>
        <w:tc>
          <w:tcPr>
            <w:tcW w:type="dxa" w:w="5040"/>
          </w:tcPr>
          <w:p>
            <w:pPr>
              <w:spacing w:after="20"/>
              <w:jc w:val="left"/>
            </w:pPr>
            <w:r>
              <w:rPr>
                <w:color w:val="1C3A36"/>
                <w:sz w:val="16"/>
              </w:rPr>
              <w:t>a 1-in-20 outcome; would need a genuine shock — a rate collapse faster than any in the recent record, or a change in the contracted relationship with the parent</w:t>
            </w:r>
          </w:p>
        </w:tc>
      </w:tr>
      <w:tr>
        <w:trPr>
          <w:cantSplit/>
        </w:trPr>
        <w:tc>
          <w:tcPr>
            <w:tcW w:type="dxa" w:w="2592"/>
          </w:tcPr>
          <w:p>
            <w:pPr>
              <w:spacing w:after="20"/>
            </w:pPr>
            <w:r>
              <w:rPr>
                <w:color w:val="1C3A36"/>
                <w:sz w:val="16"/>
              </w:rPr>
              <w:t>Lower half of the central band</w:t>
            </w:r>
          </w:p>
        </w:tc>
        <w:tc>
          <w:tcPr>
            <w:tcW w:type="dxa" w:w="2448"/>
          </w:tcPr>
          <w:p>
            <w:pPr>
              <w:spacing w:after="20"/>
              <w:jc w:val="right"/>
            </w:pPr>
            <w:r>
              <w:rPr>
                <w:color w:val="1C3A36"/>
                <w:sz w:val="16"/>
              </w:rPr>
              <w:t>5.67 – 6.18</w:t>
            </w:r>
          </w:p>
        </w:tc>
        <w:tc>
          <w:tcPr>
            <w:tcW w:type="dxa" w:w="5040"/>
          </w:tcPr>
          <w:p>
            <w:pPr>
              <w:spacing w:after="20"/>
              <w:jc w:val="left"/>
            </w:pPr>
            <w:r>
              <w:rPr>
                <w:color w:val="1C3A36"/>
                <w:sz w:val="16"/>
              </w:rPr>
              <w:t>ordinary drift lower; the asset lens sits well below this zone and no other fundamental read in the study reaches down into it</w:t>
            </w:r>
          </w:p>
        </w:tc>
      </w:tr>
      <w:tr>
        <w:trPr>
          <w:cantSplit/>
        </w:trPr>
        <w:tc>
          <w:tcPr>
            <w:tcW w:type="dxa" w:w="2592"/>
          </w:tcPr>
          <w:p>
            <w:pPr>
              <w:spacing w:after="20"/>
            </w:pPr>
            <w:r>
              <w:rPr>
                <w:color w:val="1C3A36"/>
                <w:sz w:val="16"/>
              </w:rPr>
              <w:t>Upper half of the central band</w:t>
            </w:r>
          </w:p>
        </w:tc>
        <w:tc>
          <w:tcPr>
            <w:tcW w:type="dxa" w:w="2448"/>
          </w:tcPr>
          <w:p>
            <w:pPr>
              <w:spacing w:after="20"/>
              <w:jc w:val="right"/>
            </w:pPr>
            <w:r>
              <w:rPr>
                <w:color w:val="1C3A36"/>
                <w:sz w:val="16"/>
              </w:rPr>
              <w:t>6.18 – 6.73</w:t>
            </w:r>
          </w:p>
        </w:tc>
        <w:tc>
          <w:tcPr>
            <w:tcW w:type="dxa" w:w="5040"/>
          </w:tcPr>
          <w:p>
            <w:pPr>
              <w:spacing w:after="20"/>
              <w:jc w:val="left"/>
            </w:pPr>
            <w:r>
              <w:rPr>
                <w:color w:val="1C3A36"/>
                <w:sz w:val="16"/>
              </w:rPr>
              <w:t>ordinary drift higher; the cash-flow lens on its own sits inside this zone, so no repricing of the business is needed to reach it</w:t>
            </w:r>
          </w:p>
        </w:tc>
      </w:tr>
      <w:tr>
        <w:trPr>
          <w:cantSplit/>
        </w:trPr>
        <w:tc>
          <w:tcPr>
            <w:tcW w:type="dxa" w:w="2592"/>
          </w:tcPr>
          <w:p>
            <w:pPr>
              <w:spacing w:after="20"/>
            </w:pPr>
            <w:r>
              <w:rPr>
                <w:color w:val="1C3A36"/>
                <w:sz w:val="16"/>
              </w:rPr>
              <w:t>Upper tail</w:t>
            </w:r>
          </w:p>
        </w:tc>
        <w:tc>
          <w:tcPr>
            <w:tcW w:type="dxa" w:w="2448"/>
          </w:tcPr>
          <w:p>
            <w:pPr>
              <w:spacing w:after="20"/>
              <w:jc w:val="right"/>
            </w:pPr>
            <w:r>
              <w:rPr>
                <w:color w:val="1C3A36"/>
                <w:sz w:val="16"/>
              </w:rPr>
              <w:t>above 7.73</w:t>
            </w:r>
          </w:p>
        </w:tc>
        <w:tc>
          <w:tcPr>
            <w:tcW w:type="dxa" w:w="5040"/>
          </w:tcPr>
          <w:p>
            <w:pPr>
              <w:spacing w:after="20"/>
              <w:jc w:val="left"/>
            </w:pPr>
            <w:r>
              <w:rPr>
                <w:color w:val="1C3A36"/>
                <w:sz w:val="16"/>
              </w:rPr>
              <w:t>a 1-in-20 outcome; the zone in which the market would be pricing the rate strength as durable, or the equal-weight reading of the discount rate</w:t>
            </w:r>
          </w:p>
        </w:tc>
      </w:tr>
      <w:tr>
        <w:trPr>
          <w:cantSplit/>
        </w:trPr>
        <w:tc>
          <w:tcPr>
            <w:tcW w:type="dxa" w:w="2592"/>
          </w:tcPr>
          <w:p>
            <w:pPr>
              <w:spacing w:after="20"/>
            </w:pPr>
            <w:r>
              <w:rPr>
                <w:color w:val="1C3A36"/>
                <w:sz w:val="16"/>
              </w:rPr>
              <w:t>Where the central sits</w:t>
            </w:r>
          </w:p>
        </w:tc>
        <w:tc>
          <w:tcPr>
            <w:tcW w:type="dxa" w:w="2448"/>
          </w:tcPr>
          <w:p>
            <w:pPr>
              <w:spacing w:after="20"/>
              <w:jc w:val="right"/>
            </w:pPr>
            <w:r>
              <w:rPr>
                <w:color w:val="1C3A36"/>
                <w:sz w:val="16"/>
              </w:rPr>
              <w:t>5.39</w:t>
            </w:r>
          </w:p>
        </w:tc>
        <w:tc>
          <w:tcPr>
            <w:tcW w:type="dxa" w:w="5040"/>
          </w:tcPr>
          <w:p>
            <w:pPr>
              <w:spacing w:after="20"/>
              <w:jc w:val="left"/>
            </w:pPr>
            <w:r>
              <w:rPr>
                <w:color w:val="1C3A36"/>
                <w:sz w:val="16"/>
              </w:rPr>
              <w:t>between the 5th and 25th percentile of the three-month distribution. Reaching it inside a quarter is an ordinary outcome rather than a repricing</w:t>
            </w:r>
          </w:p>
        </w:tc>
      </w:tr>
      <w:tr>
        <w:trPr>
          <w:cantSplit/>
        </w:trPr>
        <w:tc>
          <w:tcPr>
            <w:tcW w:type="dxa" w:w="2592"/>
          </w:tcPr>
          <w:p>
            <w:pPr>
              <w:spacing w:after="20"/>
            </w:pPr>
            <w:r>
              <w:rPr>
                <w:color w:val="1C3A36"/>
                <w:sz w:val="16"/>
              </w:rPr>
              <w:t>Where the cash-flow lens alone sits</w:t>
            </w:r>
          </w:p>
        </w:tc>
        <w:tc>
          <w:tcPr>
            <w:tcW w:type="dxa" w:w="2448"/>
          </w:tcPr>
          <w:p>
            <w:pPr>
              <w:spacing w:after="20"/>
              <w:jc w:val="right"/>
            </w:pPr>
            <w:r>
              <w:rPr>
                <w:color w:val="1C3A36"/>
                <w:sz w:val="16"/>
              </w:rPr>
              <w:t>5.39</w:t>
            </w:r>
          </w:p>
        </w:tc>
        <w:tc>
          <w:tcPr>
            <w:tcW w:type="dxa" w:w="5040"/>
          </w:tcPr>
          <w:p>
            <w:pPr>
              <w:spacing w:after="20"/>
              <w:jc w:val="left"/>
            </w:pPr>
            <w:r>
              <w:rPr>
                <w:color w:val="1C3A36"/>
                <w:sz w:val="16"/>
              </w:rPr>
              <w:t>between the 5th and 25th percentile of the three-month distribution — close enough to the price today that the distribution treats the two as the same place</w:t>
            </w:r>
          </w:p>
        </w:tc>
      </w:tr>
      <w:tr>
        <w:trPr>
          <w:cantSplit/>
        </w:trPr>
        <w:tc>
          <w:tcPr>
            <w:tcW w:type="dxa" w:w="2592"/>
          </w:tcPr>
          <w:p>
            <w:pPr>
              <w:spacing w:after="20"/>
            </w:pPr>
            <w:r>
              <w:rPr>
                <w:color w:val="1C3A36"/>
                <w:sz w:val="16"/>
              </w:rPr>
              <w:t>Where the expert panel centres</w:t>
            </w:r>
          </w:p>
        </w:tc>
        <w:tc>
          <w:tcPr>
            <w:tcW w:type="dxa" w:w="2448"/>
          </w:tcPr>
          <w:p>
            <w:pPr>
              <w:spacing w:after="20"/>
              <w:jc w:val="right"/>
            </w:pPr>
            <w:r>
              <w:rPr>
                <w:color w:val="1C3A36"/>
                <w:sz w:val="16"/>
              </w:rPr>
              <w:t>8.01</w:t>
            </w:r>
          </w:p>
        </w:tc>
        <w:tc>
          <w:tcPr>
            <w:tcW w:type="dxa" w:w="5040"/>
          </w:tcPr>
          <w:p>
            <w:pPr>
              <w:spacing w:after="20"/>
              <w:jc w:val="left"/>
            </w:pPr>
            <w:r>
              <w:rPr>
                <w:color w:val="1C3A36"/>
                <w:sz w:val="16"/>
              </w:rPr>
              <w:t>above the 95th percentile of the three-month distribution. Three methods that share no machinery with the cash-flow model land essentially on the screen price</w:t>
            </w:r>
          </w:p>
        </w:tc>
      </w:tr>
      <w:tr>
        <w:trPr>
          <w:cantSplit/>
        </w:trPr>
        <w:tc>
          <w:tcPr>
            <w:tcW w:type="dxa" w:w="2592"/>
          </w:tcPr>
          <w:p>
            <w:pPr>
              <w:spacing w:after="20"/>
            </w:pPr>
            <w:r>
              <w:rPr>
                <w:color w:val="1C3A36"/>
                <w:sz w:val="16"/>
              </w:rPr>
              <w:t>Where the equal-weight composite central sits</w:t>
            </w:r>
          </w:p>
        </w:tc>
        <w:tc>
          <w:tcPr>
            <w:tcW w:type="dxa" w:w="2448"/>
          </w:tcPr>
          <w:p>
            <w:pPr>
              <w:spacing w:after="20"/>
              <w:jc w:val="right"/>
            </w:pPr>
            <w:r>
              <w:rPr>
                <w:color w:val="1C3A36"/>
                <w:sz w:val="16"/>
              </w:rPr>
              <w:t>7.12</w:t>
            </w:r>
          </w:p>
        </w:tc>
        <w:tc>
          <w:tcPr>
            <w:tcW w:type="dxa" w:w="5040"/>
          </w:tcPr>
          <w:p>
            <w:pPr>
              <w:spacing w:after="20"/>
              <w:jc w:val="left"/>
            </w:pPr>
            <w:r>
              <w:rPr>
                <w:color w:val="1C3A36"/>
                <w:sz w:val="16"/>
              </w:rPr>
              <w:t>between the 75th and 95th percentile of the three-month distribution</w:t>
            </w:r>
          </w:p>
        </w:tc>
      </w:tr>
      <w:tr>
        <w:trPr>
          <w:cantSplit/>
        </w:trPr>
        <w:tc>
          <w:tcPr>
            <w:tcW w:type="dxa" w:w="2592"/>
          </w:tcPr>
          <w:p>
            <w:pPr>
              <w:spacing w:after="20"/>
            </w:pPr>
            <w:r>
              <w:rPr>
                <w:color w:val="1C3A36"/>
                <w:sz w:val="16"/>
              </w:rPr>
              <w:t>Where the asset lens sits</w:t>
            </w:r>
          </w:p>
        </w:tc>
        <w:tc>
          <w:tcPr>
            <w:tcW w:type="dxa" w:w="2448"/>
          </w:tcPr>
          <w:p>
            <w:pPr>
              <w:spacing w:after="20"/>
              <w:jc w:val="right"/>
            </w:pPr>
            <w:r>
              <w:rPr>
                <w:color w:val="1C3A36"/>
                <w:sz w:val="16"/>
              </w:rPr>
              <w:t>3.93</w:t>
            </w:r>
          </w:p>
        </w:tc>
        <w:tc>
          <w:tcPr>
            <w:tcW w:type="dxa" w:w="5040"/>
          </w:tcPr>
          <w:p>
            <w:pPr>
              <w:spacing w:after="20"/>
              <w:jc w:val="left"/>
            </w:pPr>
            <w:r>
              <w:rPr>
                <w:color w:val="1C3A36"/>
                <w:sz w:val="16"/>
              </w:rPr>
              <w:t>below the 5th percentile of the three-month distribution — the one fundamental read the three-month distribution treats as a tail outcome</w:t>
            </w:r>
          </w:p>
        </w:tc>
      </w:tr>
    </w:tbl>
    <w:p>
      <w:pPr>
        <w:spacing w:after="40"/>
      </w:pPr>
    </w:p>
    <w:p>
      <w:pPr>
        <w:keepNext/>
        <w:spacing w:after="120" w:before="280"/>
      </w:pPr>
      <w:r>
        <w:rPr>
          <w:b/>
          <w:i w:val="0"/>
          <w:color w:val="1C3A36"/>
          <w:sz w:val="30"/>
        </w:rPr>
        <w:t>7  Caveats and what would change our mind</w:t>
      </w:r>
    </w:p>
    <w:p>
      <w:pPr>
        <w:pStyle w:val="ListBullet"/>
        <w:spacing w:after="60"/>
      </w:pPr>
      <w:r>
        <w:rPr>
          <w:b/>
          <w:color w:val="1C3A36"/>
          <w:sz w:val="21"/>
        </w:rPr>
        <w:t xml:space="preserve">The beta moves the answer more than anything else, and it is measured less precisely than the last edition of this study implied. </w:t>
      </w:r>
      <w:r>
        <w:rPr>
          <w:color w:val="1C3A36"/>
          <w:sz w:val="21"/>
        </w:rPr>
        <w:t>Regressed against the FTSE ADX General Index, the beta is 1.103; regressed against an equal-weight composite of the same exchange's names it is 0.690, worth AED 1.73 a share on the cash-flow lens. Across the beta range tested in section 1.9 the swing is AED 3.07, still the widest single sensitivity in the study. One part of this argument has closed: it is no longer an unresolved dispute between a regression and an economic prior, because the published index of the share's own exchange is the right yardstick and the two now agree. The other part has WIDENED. Re-measured on the exchange's own trading week, the same regression carries a standard error of 0.315 on 3.1 years of history and a 90% interval of [0.586, 1.621], against [0.758, 1.412] in the previous edition. The bear and bull cases take those bounds at full width rather than narrowing them, so the published range is wider than it was and it should be. A longer history is the only thing that tightens this, and the share is a constituent of the index it is measured against, which pulls the estimate up rather than down (section 1.8).</w:t>
      </w:r>
    </w:p>
    <w:p>
      <w:pPr>
        <w:pStyle w:val="ListBullet"/>
        <w:spacing w:after="60"/>
      </w:pPr>
      <w:r>
        <w:rPr>
          <w:b/>
          <w:color w:val="1C3A36"/>
          <w:sz w:val="21"/>
        </w:rPr>
        <w:t xml:space="preserve">The terminal value is most of the answer. </w:t>
      </w:r>
      <w:r>
        <w:rPr>
          <w:color w:val="1C3A36"/>
          <w:sz w:val="21"/>
        </w:rPr>
        <w:t>63% of the cash-flow model's enterprise value is the terminal value on the adopted construction, 69% on the equal-weight composite. That is high, and it is the arithmetic consequence of discounting a business whose explicit years are depressed by a heavy capital programme — capital expenditure runs USD 1,375 million in 2026E against earnings of USD 2,716 million. The terminal assumptions are stressed across the cost of capital, growth and the rate anchor in section 1.9, and the growth in the perpetuity is paid for through an explicit reinvestment rate rather than assumed free.</w:t>
      </w:r>
    </w:p>
    <w:p>
      <w:pPr>
        <w:pStyle w:val="ListBullet"/>
        <w:spacing w:after="60"/>
      </w:pPr>
      <w:r>
        <w:rPr>
          <w:b/>
          <w:color w:val="1C3A36"/>
          <w:sz w:val="21"/>
        </w:rPr>
        <w:t xml:space="preserve">The build sits above the company's own guidance, on purpose. </w:t>
      </w:r>
      <w:r>
        <w:rPr>
          <w:color w:val="1C3A36"/>
          <w:sz w:val="21"/>
        </w:rPr>
        <w:t>The 2026E build is +9% above the guided group earnings midpoint — +13% in Shipping. Management states that its shipping assumptions are set well below prevailing spot rates and its logistics guidance at minimum activity levels. This build marks the fleet to the rates the company itself reported and indicated. Both numbers are in section 1.6 and the gap is not reconciled anywhere below; a reader who prefers the guided figures should scale the first forecast year accordingly.</w:t>
      </w:r>
    </w:p>
    <w:p>
      <w:pPr>
        <w:pStyle w:val="ListBullet"/>
        <w:spacing w:after="60"/>
      </w:pPr>
      <w:r>
        <w:rPr>
          <w:b/>
          <w:color w:val="1C3A36"/>
          <w:sz w:val="21"/>
        </w:rPr>
        <w:t xml:space="preserve">The modelled balance sheet goes to net cash, and the company will not allow that. </w:t>
      </w:r>
      <w:r>
        <w:rPr>
          <w:color w:val="1C3A36"/>
          <w:sz w:val="21"/>
        </w:rPr>
        <w:t>On this build net debt falls from 0.56× earnings in 2026E to -0.28× in 2028E and turns to net cash of USD 3,114 million by 2030E, against a stated medium-term target of 2.0× to 2.5×. At the low end of that target the 2030E balance sheet would carry about USD 3,760 million of net debt, so the modelled path leaves roughly USD 6,874 million of unused capacity, on top of an undrawn committed revolving facility of USD 2.0 billion. The company will either lever up for acquisitions or return more capital, and on 7 Aug 2026 it did the first: USD 1.3 billion of vessels, committed within days of the balance sheet this study values, and now carried in the model. This does not change the answer, and the reason is worth being explicit about: free cash flow to the firm is struck before financing, so the enterprise value is indifferent to the mix of debt, dividends and buybacks. What the choice changes is the shape of the return to shareholders and the risk profile of the equity — not what the operating business is worth.</w:t>
      </w:r>
    </w:p>
    <w:p>
      <w:pPr>
        <w:pStyle w:val="ListBullet"/>
        <w:spacing w:after="60"/>
      </w:pPr>
      <w:r>
        <w:rPr>
          <w:b/>
          <w:color w:val="1C3A36"/>
          <w:sz w:val="21"/>
        </w:rPr>
        <w:t xml:space="preserve">There is no net-asset-value lens, which is the sector standard for a shipowner. </w:t>
      </w:r>
      <w:r>
        <w:rPr>
          <w:color w:val="1C3A36"/>
          <w:sz w:val="21"/>
        </w:rPr>
        <w:t>The conventional way to value a fleet owner is vessel by vessel at independent broker valuations, bridged to equity. Those valuations are not obtainable from this research environment, so the book-value read stands in for them AS A DISCLOSED FLOOR rather than as a weighted lens — an earlier edition gave it 15% of a blend. The only direct evidence on the gap between carrying value and market value is the January 2026 sale of a 2017-built very large crude carrier for USD 111 million against a carrying value of USD 83 million — 1.34× book, on one vessel, in a strong market. It says the book lens is biased conservative, but one transaction is not a fleet valuation and it is not extrapolated into the numbers.</w:t>
      </w:r>
    </w:p>
    <w:p>
      <w:pPr>
        <w:pStyle w:val="ListBullet"/>
        <w:spacing w:after="60"/>
      </w:pPr>
      <w:r>
        <w:rPr>
          <w:b/>
          <w:color w:val="1C3A36"/>
          <w:sz w:val="21"/>
        </w:rPr>
        <w:t xml:space="preserve">The second-quarter rate is an indication, not a reported figure. </w:t>
      </w:r>
      <w:r>
        <w:rPr>
          <w:color w:val="1C3A36"/>
          <w:sz w:val="21"/>
        </w:rPr>
        <w:t>The published USD 291,145 a day for the largest class in the second quarter of 2026 is the level the company indicated on its first-quarter call, not an audited or reported outcome. It is one of the four quarters that sets the 2026E rate, so an error there flows into the first forecast year. The reported half-year will settle it.</w:t>
      </w:r>
    </w:p>
    <w:p>
      <w:pPr>
        <w:pStyle w:val="ListBullet"/>
        <w:spacing w:after="60"/>
      </w:pPr>
      <w:r>
        <w:rPr>
          <w:b/>
          <w:color w:val="1C3A36"/>
          <w:sz w:val="21"/>
        </w:rPr>
        <w:t xml:space="preserve">One rate substitution is still carried in the fleet build, and a second has been replaced. </w:t>
      </w:r>
      <w:r>
        <w:rPr>
          <w:color w:val="1C3A36"/>
          <w:sz w:val="21"/>
        </w:rPr>
        <w:t>Quarterly rates for the medium-range class are not disclosed for FY2024, so the FY2025 average stands in. That one remains, and it is labelled as a substitution wherever it appears. The second has gone: an earlier edition carried the handysize vessels, which are not broken out in any published rate table, at the medium-range rate unadjusted. That was not merely imprecise — it had the sign wrong. The company said on the first-quarter call that handysize rates were SOFTER while medium range was UP, so the two smallest classes were moving in opposite directions and the substitution was importing a rise into a class that was falling. They are now carried at 0.79× the medium-range rate, which is the relative move the company itself disclosed rather than a stand-in. The two classes together are 18 of 52 vessels and the lowest earners in the fleet, so neither is large — but a substitution that points the wrong way is a different kind of error from one that is merely approximate, and it is corrected rather than re-flagged.</w:t>
      </w:r>
    </w:p>
    <w:p>
      <w:pPr>
        <w:pStyle w:val="ListBullet"/>
        <w:spacing w:after="60"/>
      </w:pPr>
      <w:r>
        <w:rPr>
          <w:b/>
          <w:color w:val="1C3A36"/>
          <w:sz w:val="21"/>
        </w:rPr>
        <w:t xml:space="preserve">The vessels bought on the anchor date are announced, not delivered. </w:t>
      </w:r>
      <w:r>
        <w:rPr>
          <w:color w:val="1C3A36"/>
          <w:sz w:val="21"/>
        </w:rPr>
        <w:t>The USD 1.3 billion purchase of 11 vessels was announced on 7 Aug 2026 and none of them had been delivered when this study was struck. The model carries them from their announced delivery dates and adds the announced price to net debt, which is the only treatment that keeps the fair value and the market price on the same set of assets — the market price this study is compared against was set on the day of the announcement. What is assumed is that the vessels arrive on the announced schedule at the announced price, and that they trade on the same rate path as the rest of the class. A delayed delivery would take earnings out of 2026E while leaving the debt in; a price different from the one announced would move the bridge directly. The half-year and full-year statements are the first confirmation of either.</w:t>
      </w:r>
    </w:p>
    <w:p>
      <w:pPr>
        <w:pStyle w:val="ListBullet"/>
        <w:spacing w:after="60"/>
      </w:pPr>
      <w:r>
        <w:rPr>
          <w:b/>
          <w:color w:val="1C3A36"/>
          <w:sz w:val="21"/>
        </w:rPr>
        <w:t xml:space="preserve">The open-market rate is solved out of a published average, and that construction has a load-bearing assumption inside it. </w:t>
      </w:r>
      <w:r>
        <w:rPr>
          <w:color w:val="1C3A36"/>
          <w:sz w:val="21"/>
        </w:rPr>
        <w:t>The company publishes one rate per vessel class per quarter and states that it is blended across the whole class. This study takes the 12 vessels on charter out at their own disclosed rates and solves the rest out of that average, which gives USD 151,440 a day for the largest class in the first quarter of 2026 against a published USD 145,000. The arithmetic is exact only if the published average is a straight vessel-day average of the whole class. If the company weights it differently, or if a vessel was off-hire for part of the quarter, the solved rate is too high by the same amount the average is understated. The check available is that where a class has no vessel on charter out the two figures come out identical, which they do. The half-year statement, which reports the second quarter rather than indicating it, is the first outside test of the construction.</w:t>
      </w:r>
    </w:p>
    <w:p>
      <w:pPr>
        <w:pStyle w:val="ListBullet"/>
        <w:spacing w:after="60"/>
      </w:pPr>
      <w:r>
        <w:rPr>
          <w:b/>
          <w:color w:val="1C3A36"/>
          <w:sz w:val="21"/>
        </w:rPr>
        <w:t xml:space="preserve">The fade in the asset lens is a judgement with nothing observable behind it. </w:t>
      </w:r>
      <w:r>
        <w:rPr>
          <w:color w:val="1C3A36"/>
          <w:sz w:val="21"/>
        </w:rPr>
        <w:t>Residual income beyond the fifth year is carried as a remainder decaying at 10% a year, worth USD -390 million of the USD 7,924 million this lens produces. The economic argument for a fade is solid — a fleet has to be replaced at market prices rather than at the value it is carried at, so a return above the cost of equity cannot persist unchanged — but the speed is chosen, not measured. A slower fade raises this lens and a faster one lowers it. THE READ CARRIES NO WEIGHT IN THE ANSWER, which is partly for this reason; an earlier edition gave it 15%.</w:t>
      </w:r>
    </w:p>
    <w:p>
      <w:pPr>
        <w:pStyle w:val="ListBullet"/>
        <w:spacing w:after="60"/>
      </w:pPr>
      <w:r>
        <w:rPr>
          <w:b/>
          <w:color w:val="1C3A36"/>
          <w:sz w:val="21"/>
        </w:rPr>
        <w:t xml:space="preserve">Three unit inputs are solved rather than sourced. </w:t>
      </w:r>
      <w:r>
        <w:rPr>
          <w:color w:val="1C3A36"/>
          <w:sz w:val="21"/>
        </w:rPr>
        <w:t>The tanker cost stack is two of them: a fixed base of USD 530 million a year and a variable component of 1.05× for every dollar of the owned fleet's charter-equivalent revenue, solved TOGETHER from two disclosed periods — the audited FY2025 year and the reviewed six months to 30 June 2026. The reviewed six months to 30 June 2025 are held out and the stack reproduces their earnings to within 10.7%, understating them. The third is the gas carrier day rate of USD 61,573, solved from reported FY2025 revenue over consolidated vessel-years; the same solve on the reviewed half gives USD 108,552 and is NOT adopted, because its denominator counts CONTRACTED vessels while its numerator is the whole unit's revenue, so between the two periods the ratio rose for a reason that is a MIX rather than a rate. None of the three is disclosed at a finer level anywhere in the filings. All are labelled as solved wherever they appear, and all are anchored on reported outcomes rather than assumed.</w:t>
      </w:r>
    </w:p>
    <w:p>
      <w:pPr>
        <w:pStyle w:val="ListBullet"/>
        <w:spacing w:after="60"/>
      </w:pPr>
      <w:r>
        <w:rPr>
          <w:b/>
          <w:color w:val="1C3A36"/>
          <w:sz w:val="21"/>
        </w:rPr>
        <w:t xml:space="preserve">The revenue gross-up for the tanker fleet is presentational at the earnings line — and an earlier edition of this study said it could not reach the valuation, which was wrong. </w:t>
      </w:r>
      <w:r>
        <w:rPr>
          <w:color w:val="1C3A36"/>
          <w:sz w:val="21"/>
        </w:rPr>
        <w:t>Reported Tankers revenue was 2.73× the owned fleet's own charter-equivalent revenue in FY2025, because of chartered-in and relet trading that carries almost no margin. The forecast sets that ratio at 2.61× from 2026E, on the evidence of the first quarter, where revenue fell year on year while the rate earned per vessel more than doubled. The earlier edition printed this caveat with a claim attached: that the ratio moves the revenue line and never the earnings line, SO IT CANNOT AFFECT THE VALUATION. The first half of that is true and the conclusion does not follow, and the correction is printed here rather than the sentence being quietly dropped. Revenue is not only an output — it is the denominator the working-capital cycle is expressed in. Receivable days were calibrated on FY2025 revenue, which carries the 2.73× gross-up, and then applied to a forecast revenue line built at 2.61×. Two different conventions on the two sides of one ratio understate the receivable balance, and the change in working capital is a line in the free-cash-flow waterfall. Re-based onto the revenue the forecast actually produces, 108.4 days becomes 110.1 — and that reaches the valuation, through working capital, by exactly the route the earlier caveat said did not exist. A study that quietly drops a claim it has made is worse than one that says the claim was wrong. Separately and still true: a reader comparing this study's revenue forecast with a broker's should know the two may be on different conventions.</w:t>
      </w:r>
    </w:p>
    <w:p>
      <w:pPr>
        <w:pStyle w:val="ListBullet"/>
        <w:spacing w:after="60"/>
      </w:pPr>
      <w:r>
        <w:rPr>
          <w:b/>
          <w:color w:val="1C3A36"/>
          <w:sz w:val="21"/>
        </w:rPr>
        <w:t xml:space="preserve">The cross-checks are less independent of one another than four separate reads sound. </w:t>
      </w:r>
      <w:r>
        <w:rPr>
          <w:color w:val="1C3A36"/>
          <w:sz w:val="21"/>
        </w:rPr>
        <w:t>The relative lens and the normalised lens apply the SAME three multiples to two different earnings denominators — the first forecast year in one, the five-year average of the same forecast in the other. An earlier edition weighted them 45% of its blended central, SO THAT MUCH OF THE HEADLINE RESTED ON ONE METHOD PRESENTED AS TWO READS. Neither carries any of the answer now, which removes the overlap from the central without removing the reads from the page. Both denominators are legitimate questions and neither read is redundant on its own terms, so nothing has been dropped — but the overlap is not neutral in direction. Those two lenses are the two that sit highest; collapsing them to one would move the central toward the cash-flow and asset lenses, which sit lower. This is the largest single item the reviews raised that has been left open rather than acted on, and it is stated here so that a reader weighs the field knowing it.</w:t>
      </w:r>
    </w:p>
    <w:p>
      <w:pPr>
        <w:pStyle w:val="ListBullet"/>
        <w:spacing w:after="60"/>
      </w:pPr>
      <w:r>
        <w:rPr>
          <w:b/>
          <w:color w:val="1C3A36"/>
          <w:sz w:val="21"/>
        </w:rPr>
        <w:t xml:space="preserve">The tax relief on international shipping is a policy, not a right. </w:t>
      </w:r>
      <w:r>
        <w:rPr>
          <w:color w:val="1C3A36"/>
          <w:sz w:val="21"/>
        </w:rPr>
        <w:t>The model taxes each unit at its own disclosed FY2025 effective rate, which is about 1% in shipping because international shipping income is excluded from the UAE's domestic minimum top-up tax rules. That exclusion is a policy choice. Priced at a uniform 15% across the group, fair value falls to AED 4.29.</w:t>
      </w:r>
    </w:p>
    <w:p>
      <w:pPr>
        <w:pStyle w:val="ListBullet"/>
        <w:spacing w:after="60"/>
      </w:pPr>
      <w:r>
        <w:rPr>
          <w:b/>
          <w:color w:val="1C3A36"/>
          <w:sz w:val="21"/>
        </w:rPr>
        <w:t xml:space="preserve">The price history is short, and it is short in a specific way. </w:t>
      </w:r>
      <w:r>
        <w:rPr>
          <w:color w:val="1C3A36"/>
          <w:sz w:val="21"/>
        </w:rPr>
        <w:t>The share listed in June 2023, so the cleaned series spans 3.2 years. That is short for a beta and too short for a five-year test of the price map, which is why the map's width setting rests on the wider Abu Dhabi panel and why the beta is set out against three separate market series in section 1.8 rather than accepted at face value. One further limit belongs here: the index series supplied ends 2026-07-24, before the share's last session used elsewhere in this study, so 2 weekly observations sit outside the regression. The window was stopped where the index stops rather than pairing the share against a stale index level.</w:t>
      </w:r>
    </w:p>
    <w:p>
      <w:pPr>
        <w:pStyle w:val="ListBullet"/>
        <w:spacing w:after="60"/>
      </w:pPr>
      <w:r>
        <w:rPr>
          <w:b/>
          <w:color w:val="1C3A36"/>
          <w:sz w:val="21"/>
        </w:rPr>
        <w:t xml:space="preserve">What would change our mind, specifically. </w:t>
      </w:r>
      <w:r>
        <w:rPr>
          <w:color w:val="1C3A36"/>
          <w:sz w:val="21"/>
        </w:rPr>
        <w:t>Upward: one-year time-charter fixtures settling durably above the mid-cycle anchor used here; the contracted gas programme delivering on time and taking spot exposure below the disclosed 23%; a longer price history that settles the beta toward the lower end of its interval as the contracted programme comes in, which would lift the cash-flow lens directly. Downward: the same history settling it toward the upper end; rates reverting faster than the four-year glide assumed here; the shipping tax relief being withdrawn; a capital programme that grows without a matching contracted return; or evidence that the contracted relationship with the parent is repriced rather than renewed.</w:t>
      </w:r>
    </w:p>
    <w:p>
      <w:pPr>
        <w:spacing w:after="160" w:before="0"/>
      </w:pPr>
      <w:r>
        <w:rPr>
          <w:b w:val="0"/>
          <w:i w:val="0"/>
          <w:color w:val="1C3A36"/>
          <w:sz w:val="21"/>
        </w:rPr>
      </w:r>
    </w:p>
    <w:p>
      <w:pPr>
        <w:keepNext/>
        <w:spacing w:after="120" w:before="280"/>
      </w:pPr>
      <w:r>
        <w:rPr>
          <w:b/>
          <w:i w:val="0"/>
          <w:color w:val="1C3A36"/>
          <w:sz w:val="30"/>
        </w:rPr>
        <w:t>What changed in these editions, and why</w:t>
      </w:r>
    </w:p>
    <w:p>
      <w:pPr>
        <w:spacing w:after="120" w:before="0"/>
      </w:pPr>
      <w:r>
        <w:rPr>
          <w:b w:val="0"/>
          <w:i w:val="0"/>
          <w:color w:val="1C3A36"/>
          <w:sz w:val="21"/>
        </w:rPr>
        <w:t>This study has been through two rounds of external review. 4 independent readers raised 166 findings between them. Every one was priced — what would it move the answer by, if it were right — and then adjudicated on its own evidence rather than on its confidence. Many were rejected with the receipt that rejects them; the ones that survived are below. None of this is presented as refinement: several were errors, and they are called errors here. A study that has been corrected and does not say so is worse than one that was right the first time, because the reader has no way of telling which they are holding.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2232"/>
        <w:gridCol w:w="2304"/>
        <w:gridCol w:w="2232"/>
      </w:tblGrid>
      <w:tr>
        <w:trPr>
          <w:cantSplit/>
          <w:tblHeader/>
        </w:trPr>
        <w:tc>
          <w:tcPr>
            <w:tcW w:type="dxa" w:w="3312"/>
            <w:shd w:val="clear" w:color="auto" w:fill="EAF0EE"/>
          </w:tcPr>
          <w:p>
            <w:pPr>
              <w:spacing w:after="20"/>
            </w:pPr>
            <w:r>
              <w:rPr>
                <w:b/>
                <w:color w:val="1C3A36"/>
                <w:sz w:val="17"/>
              </w:rPr>
              <w:t>Edition</w:t>
            </w:r>
          </w:p>
        </w:tc>
        <w:tc>
          <w:tcPr>
            <w:tcW w:type="dxa" w:w="2232"/>
            <w:shd w:val="clear" w:color="auto" w:fill="EAF0EE"/>
          </w:tcPr>
          <w:p>
            <w:pPr>
              <w:spacing w:after="20"/>
            </w:pPr>
            <w:r>
              <w:rPr>
                <w:b/>
                <w:color w:val="1C3A36"/>
                <w:sz w:val="17"/>
              </w:rPr>
              <w:t>Cash-flow lens (AED)</w:t>
            </w:r>
          </w:p>
        </w:tc>
        <w:tc>
          <w:tcPr>
            <w:tcW w:type="dxa" w:w="2304"/>
            <w:shd w:val="clear" w:color="auto" w:fill="EAF0EE"/>
          </w:tcPr>
          <w:p>
            <w:pPr>
              <w:spacing w:after="20"/>
            </w:pPr>
            <w:r>
              <w:rPr>
                <w:b/>
                <w:color w:val="1C3A36"/>
                <w:sz w:val="17"/>
              </w:rPr>
              <w:t>Central (AED)</w:t>
            </w:r>
          </w:p>
        </w:tc>
        <w:tc>
          <w:tcPr>
            <w:tcW w:type="dxa" w:w="2232"/>
            <w:shd w:val="clear" w:color="auto" w:fill="EAF0EE"/>
          </w:tcPr>
          <w:p>
            <w:pPr>
              <w:spacing w:after="20"/>
            </w:pPr>
            <w:r>
              <w:rPr>
                <w:b/>
                <w:color w:val="1C3A36"/>
                <w:sz w:val="17"/>
              </w:rPr>
              <w:t>Against the market price of 6.80</w:t>
            </w:r>
          </w:p>
        </w:tc>
      </w:tr>
      <w:tr>
        <w:trPr>
          <w:cantSplit/>
        </w:trPr>
        <w:tc>
          <w:tcPr>
            <w:tcW w:type="dxa" w:w="3312"/>
          </w:tcPr>
          <w:p>
            <w:pPr>
              <w:spacing w:after="20"/>
            </w:pPr>
            <w:r>
              <w:rPr>
                <w:color w:val="1C3A36"/>
                <w:sz w:val="17"/>
              </w:rPr>
              <w:t>As first issued</w:t>
            </w:r>
          </w:p>
        </w:tc>
        <w:tc>
          <w:tcPr>
            <w:tcW w:type="dxa" w:w="2232"/>
          </w:tcPr>
          <w:p>
            <w:pPr>
              <w:spacing w:after="20"/>
              <w:jc w:val="right"/>
            </w:pPr>
            <w:r>
              <w:rPr>
                <w:color w:val="1C3A36"/>
                <w:sz w:val="17"/>
              </w:rPr>
              <w:t>5.69</w:t>
            </w:r>
          </w:p>
        </w:tc>
        <w:tc>
          <w:tcPr>
            <w:tcW w:type="dxa" w:w="2304"/>
          </w:tcPr>
          <w:p>
            <w:pPr>
              <w:spacing w:after="20"/>
              <w:jc w:val="right"/>
            </w:pPr>
            <w:r>
              <w:rPr>
                <w:color w:val="1C3A36"/>
                <w:sz w:val="17"/>
              </w:rPr>
              <w:t>6.60</w:t>
            </w:r>
          </w:p>
        </w:tc>
        <w:tc>
          <w:tcPr>
            <w:tcW w:type="dxa" w:w="2232"/>
          </w:tcPr>
          <w:p>
            <w:pPr>
              <w:spacing w:after="20"/>
              <w:jc w:val="right"/>
            </w:pPr>
            <w:r>
              <w:rPr>
                <w:color w:val="1C3A36"/>
                <w:sz w:val="17"/>
              </w:rPr>
              <w:t>-3%</w:t>
            </w:r>
          </w:p>
        </w:tc>
      </w:tr>
      <w:tr>
        <w:trPr>
          <w:cantSplit/>
        </w:trPr>
        <w:tc>
          <w:tcPr>
            <w:tcW w:type="dxa" w:w="3312"/>
          </w:tcPr>
          <w:p>
            <w:pPr>
              <w:spacing w:after="20"/>
            </w:pPr>
            <w:r>
              <w:rPr>
                <w:color w:val="1C3A36"/>
                <w:sz w:val="17"/>
              </w:rPr>
              <w:t>After the first round of corrections</w:t>
            </w:r>
          </w:p>
        </w:tc>
        <w:tc>
          <w:tcPr>
            <w:tcW w:type="dxa" w:w="2232"/>
          </w:tcPr>
          <w:p>
            <w:pPr>
              <w:spacing w:after="20"/>
              <w:jc w:val="right"/>
            </w:pPr>
            <w:r>
              <w:rPr>
                <w:color w:val="1C3A36"/>
                <w:sz w:val="17"/>
              </w:rPr>
              <w:t>6.03</w:t>
            </w:r>
          </w:p>
        </w:tc>
        <w:tc>
          <w:tcPr>
            <w:tcW w:type="dxa" w:w="2304"/>
          </w:tcPr>
          <w:p>
            <w:pPr>
              <w:spacing w:after="20"/>
              <w:jc w:val="right"/>
            </w:pPr>
            <w:r>
              <w:rPr>
                <w:color w:val="1C3A36"/>
                <w:sz w:val="17"/>
              </w:rPr>
              <w:t>6.58</w:t>
            </w:r>
          </w:p>
        </w:tc>
        <w:tc>
          <w:tcPr>
            <w:tcW w:type="dxa" w:w="2232"/>
          </w:tcPr>
          <w:p>
            <w:pPr>
              <w:spacing w:after="20"/>
              <w:jc w:val="right"/>
            </w:pPr>
            <w:r>
              <w:rPr>
                <w:color w:val="1C3A36"/>
                <w:sz w:val="17"/>
              </w:rPr>
              <w:t>-3%</w:t>
            </w:r>
          </w:p>
        </w:tc>
      </w:tr>
      <w:tr>
        <w:trPr>
          <w:cantSplit/>
        </w:trPr>
        <w:tc>
          <w:tcPr>
            <w:tcW w:type="dxa" w:w="3312"/>
            <w:shd w:val="clear" w:color="auto" w:fill="F6F1E6"/>
          </w:tcPr>
          <w:p>
            <w:pPr>
              <w:spacing w:after="20"/>
            </w:pPr>
            <w:r>
              <w:rPr>
                <w:b/>
                <w:color w:val="1C3A36"/>
                <w:sz w:val="17"/>
              </w:rPr>
              <w:t>This edition, after the second round</w:t>
            </w:r>
          </w:p>
        </w:tc>
        <w:tc>
          <w:tcPr>
            <w:tcW w:type="dxa" w:w="2232"/>
            <w:shd w:val="clear" w:color="auto" w:fill="F6F1E6"/>
          </w:tcPr>
          <w:p>
            <w:pPr>
              <w:spacing w:after="20"/>
              <w:jc w:val="right"/>
            </w:pPr>
            <w:r>
              <w:rPr>
                <w:b/>
                <w:color w:val="1C3A36"/>
                <w:sz w:val="17"/>
              </w:rPr>
              <w:t>5.39</w:t>
            </w:r>
          </w:p>
        </w:tc>
        <w:tc>
          <w:tcPr>
            <w:tcW w:type="dxa" w:w="2304"/>
            <w:shd w:val="clear" w:color="auto" w:fill="F6F1E6"/>
          </w:tcPr>
          <w:p>
            <w:pPr>
              <w:spacing w:after="20"/>
              <w:jc w:val="right"/>
            </w:pPr>
            <w:r>
              <w:rPr>
                <w:b/>
                <w:color w:val="1C3A36"/>
                <w:sz w:val="17"/>
              </w:rPr>
              <w:t>5.39</w:t>
            </w:r>
          </w:p>
        </w:tc>
        <w:tc>
          <w:tcPr>
            <w:tcW w:type="dxa" w:w="2232"/>
            <w:shd w:val="clear" w:color="auto" w:fill="F6F1E6"/>
          </w:tcPr>
          <w:p>
            <w:pPr>
              <w:spacing w:after="20"/>
              <w:jc w:val="right"/>
            </w:pPr>
            <w:r>
              <w:rPr>
                <w:b/>
                <w:color w:val="1C3A36"/>
                <w:sz w:val="17"/>
              </w:rPr>
              <w:t>-21%</w:t>
            </w:r>
          </w:p>
        </w:tc>
      </w:tr>
    </w:tbl>
    <w:p>
      <w:pPr>
        <w:spacing w:after="40"/>
      </w:pPr>
    </w:p>
    <w:p>
      <w:pPr>
        <w:spacing w:after="200" w:before="0"/>
      </w:pPr>
      <w:r>
        <w:rPr>
          <w:b w:val="0"/>
          <w:i/>
          <w:color w:val="6E7B77"/>
          <w:sz w:val="17"/>
        </w:rPr>
        <w:t>Read the two rounds together and the headline has moved less than the work behind it. The first round changed the central by AED -0.02 — essentially nothing — while replacing the tanker build, the cost of capital, the asset lens and the treatment of the joint ventures, because the corrections ran in both directions and very nearly cancelled. The second round moved it AED -1.19, and almost all of that is one item: a vessel purchase the first edition did not know about. The composition of the answer has changed far more than the answer has, which is the honest summary of both rounds.</w:t>
      </w:r>
    </w:p>
    <w:p>
      <w:pPr>
        <w:keepNext/>
        <w:spacing w:after="80" w:before="200"/>
      </w:pPr>
      <w:r>
        <w:rPr>
          <w:b/>
          <w:i w:val="0"/>
          <w:color w:val="1C3A36"/>
          <w:sz w:val="24"/>
        </w:rPr>
        <w:t>Round one — the corrections made in the previous edition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30"/>
        <w:gridCol w:w="2966"/>
        <w:gridCol w:w="2966"/>
        <w:gridCol w:w="2218"/>
      </w:tblGrid>
      <w:tr>
        <w:trPr>
          <w:cantSplit/>
          <w:tblHeader/>
        </w:trPr>
        <w:tc>
          <w:tcPr>
            <w:tcW w:type="dxa" w:w="1930"/>
            <w:shd w:val="clear" w:color="auto" w:fill="EAF0EE"/>
          </w:tcPr>
          <w:p>
            <w:pPr>
              <w:spacing w:after="20"/>
            </w:pPr>
            <w:r>
              <w:rPr>
                <w:b/>
                <w:color w:val="1C3A36"/>
                <w:sz w:val="15"/>
              </w:rPr>
              <w:t>What changed</w:t>
            </w:r>
          </w:p>
        </w:tc>
        <w:tc>
          <w:tcPr>
            <w:tcW w:type="dxa" w:w="2966"/>
            <w:shd w:val="clear" w:color="auto" w:fill="EAF0EE"/>
          </w:tcPr>
          <w:p>
            <w:pPr>
              <w:spacing w:after="20"/>
            </w:pPr>
            <w:r>
              <w:rPr>
                <w:b/>
                <w:color w:val="1C3A36"/>
                <w:sz w:val="15"/>
              </w:rPr>
              <w:t>What was wrong before</w:t>
            </w:r>
          </w:p>
        </w:tc>
        <w:tc>
          <w:tcPr>
            <w:tcW w:type="dxa" w:w="2966"/>
            <w:shd w:val="clear" w:color="auto" w:fill="EAF0EE"/>
          </w:tcPr>
          <w:p>
            <w:pPr>
              <w:spacing w:after="20"/>
            </w:pPr>
            <w:r>
              <w:rPr>
                <w:b/>
                <w:color w:val="1C3A36"/>
                <w:sz w:val="15"/>
              </w:rPr>
              <w:t>What it is now</w:t>
            </w:r>
          </w:p>
        </w:tc>
        <w:tc>
          <w:tcPr>
            <w:tcW w:type="dxa" w:w="2218"/>
            <w:shd w:val="clear" w:color="auto" w:fill="EAF0EE"/>
          </w:tcPr>
          <w:p>
            <w:pPr>
              <w:spacing w:after="20"/>
            </w:pPr>
            <w:r>
              <w:rPr>
                <w:b/>
                <w:color w:val="1C3A36"/>
                <w:sz w:val="15"/>
              </w:rPr>
              <w:t>Which way it moved the answer</w:t>
            </w:r>
          </w:p>
        </w:tc>
      </w:tr>
      <w:tr>
        <w:trPr>
          <w:cantSplit/>
        </w:trPr>
        <w:tc>
          <w:tcPr>
            <w:tcW w:type="dxa" w:w="1930"/>
          </w:tcPr>
          <w:p>
            <w:pPr>
              <w:spacing w:after="20"/>
            </w:pPr>
            <w:r>
              <w:rPr>
                <w:color w:val="1C3A36"/>
                <w:sz w:val="15"/>
              </w:rPr>
              <w:t>The tanker fleet is built vessel by vessel</w:t>
            </w:r>
          </w:p>
        </w:tc>
        <w:tc>
          <w:tcPr>
            <w:tcW w:type="dxa" w:w="2966"/>
          </w:tcPr>
          <w:p>
            <w:pPr>
              <w:spacing w:after="20"/>
            </w:pPr>
            <w:r>
              <w:rPr>
                <w:color w:val="1C3A36"/>
                <w:sz w:val="15"/>
              </w:rPr>
              <w:t>The company publishes one rate per vessel class per quarter, and that rate is a blend across the whole class — the chief financial officer said so in terms on the first-quarter call. The earlier edition read it as the open-market rate AND then added the vessels on charter out separately at their own lower rates, so the drag of the charters was charged twice.</w:t>
            </w:r>
          </w:p>
        </w:tc>
        <w:tc>
          <w:tcPr>
            <w:tcW w:type="dxa" w:w="2966"/>
          </w:tcPr>
          <w:p>
            <w:pPr>
              <w:spacing w:after="20"/>
            </w:pPr>
            <w:r>
              <w:rPr>
                <w:color w:val="1C3A36"/>
                <w:sz w:val="15"/>
              </w:rPr>
              <w:t>Each of the 12 vessels chartered out earns its own disclosed rate for exactly the days its own contract runs, and the open-market rate is solved out of the published blend rather than assumed. For the largest class in the first quarter of 2026 that gives USD 151,440 a day against a published USD 145,000. Section 1.7.</w:t>
            </w:r>
          </w:p>
        </w:tc>
        <w:tc>
          <w:tcPr>
            <w:tcW w:type="dxa" w:w="2218"/>
          </w:tcPr>
          <w:p>
            <w:pPr>
              <w:spacing w:after="20"/>
            </w:pPr>
            <w:r>
              <w:rPr>
                <w:color w:val="1C3A36"/>
                <w:sz w:val="15"/>
              </w:rPr>
              <w:t>UP. The fleet starts from a higher rate, and the same reversion judgement applied to a higher starting point produces a higher value.</w:t>
            </w:r>
          </w:p>
        </w:tc>
      </w:tr>
      <w:tr>
        <w:trPr>
          <w:cantSplit/>
        </w:trPr>
        <w:tc>
          <w:tcPr>
            <w:tcW w:type="dxa" w:w="1930"/>
          </w:tcPr>
          <w:p>
            <w:pPr>
              <w:spacing w:after="20"/>
            </w:pPr>
            <w:r>
              <w:rPr>
                <w:color w:val="1C3A36"/>
                <w:sz w:val="15"/>
              </w:rPr>
              <w:t>The perpetual capital securities are priced in the cost of capital</w:t>
            </w:r>
          </w:p>
        </w:tc>
        <w:tc>
          <w:tcPr>
            <w:tcW w:type="dxa" w:w="2966"/>
          </w:tcPr>
          <w:p>
            <w:pPr>
              <w:spacing w:after="20"/>
            </w:pPr>
            <w:r>
              <w:rPr>
                <w:color w:val="1C3A36"/>
                <w:sz w:val="15"/>
              </w:rPr>
              <w:t>They were deducted in the bridge as a claim ranking ahead of the ordinary shares but left out of the weights in the cost of capital, on the ground that including them would charge for them twice. That was a non-sequitur, and two of the four reviews said so independently: deducting a claim from value and pricing the capital it supplies are different operations, and doing only the first removes a cheap tranche of funding from the enterprise without letting it lower the rate.</w:t>
            </w:r>
          </w:p>
        </w:tc>
        <w:tc>
          <w:tcPr>
            <w:tcW w:type="dxa" w:w="2966"/>
          </w:tcPr>
          <w:p>
            <w:pPr>
              <w:spacing w:after="20"/>
            </w:pPr>
            <w:r>
              <w:rPr>
                <w:color w:val="1C3A36"/>
                <w:sz w:val="15"/>
              </w:rPr>
              <w:t>They now carry a weight of 12.0% at their own coupon of 4.90%, beside ordinary equity at 83.1% and debt at 4.9%, and that cost normalises with the risk-free rate in the terminal because the coupon floats. The cost of capital falls from 9.17% to 8.66% and the terminal rate from 9.08% to 8.62%. Section 1.8.</w:t>
            </w:r>
          </w:p>
        </w:tc>
        <w:tc>
          <w:tcPr>
            <w:tcW w:type="dxa" w:w="2218"/>
          </w:tcPr>
          <w:p>
            <w:pPr>
              <w:spacing w:after="20"/>
            </w:pPr>
            <w:r>
              <w:rPr>
                <w:color w:val="1C3A36"/>
                <w:sz w:val="15"/>
              </w:rPr>
              <w:t>UP, and this is the largest of the five. A lower discount rate raises a valuation in which most of the value sits beyond the fifth year.</w:t>
            </w:r>
          </w:p>
        </w:tc>
      </w:tr>
      <w:tr>
        <w:trPr>
          <w:cantSplit/>
        </w:trPr>
        <w:tc>
          <w:tcPr>
            <w:tcW w:type="dxa" w:w="1930"/>
          </w:tcPr>
          <w:p>
            <w:pPr>
              <w:spacing w:after="20"/>
            </w:pPr>
            <w:r>
              <w:rPr>
                <w:color w:val="1C3A36"/>
                <w:sz w:val="15"/>
              </w:rPr>
              <w:t>The joint ventures are counted once</w:t>
            </w:r>
          </w:p>
        </w:tc>
        <w:tc>
          <w:tcPr>
            <w:tcW w:type="dxa" w:w="2966"/>
          </w:tcPr>
          <w:p>
            <w:pPr>
              <w:spacing w:after="20"/>
            </w:pPr>
            <w:r>
              <w:rPr>
                <w:color w:val="1C3A36"/>
                <w:sz w:val="15"/>
              </w:rPr>
              <w:t>The earnings the company discloses for each business unit already include the group's share of its equity-accounted joint ventures — USD 21 million inside Gas Carriers and USD 16 million inside Services in FY2025, both visible in the segment note. The earlier edition forecast those earnings inside the units AND added the stakes again at carrying value in the bridge.</w:t>
            </w:r>
          </w:p>
        </w:tc>
        <w:tc>
          <w:tcPr>
            <w:tcW w:type="dxa" w:w="2966"/>
          </w:tcPr>
          <w:p>
            <w:pPr>
              <w:spacing w:after="20"/>
            </w:pPr>
            <w:r>
              <w:rPr>
                <w:color w:val="1C3A36"/>
                <w:sz w:val="15"/>
              </w:rPr>
              <w:t>The joint-venture share is taken out of the unit earnings before the forecast starts. The stakes are still added in the bridge at their reviewed book value of USD 523 million, which is now the only place they appear. Sections 1.1 and 1.6.</w:t>
            </w:r>
          </w:p>
        </w:tc>
        <w:tc>
          <w:tcPr>
            <w:tcW w:type="dxa" w:w="2218"/>
          </w:tcPr>
          <w:p>
            <w:pPr>
              <w:spacing w:after="20"/>
            </w:pPr>
            <w:r>
              <w:rPr>
                <w:color w:val="1C3A36"/>
                <w:sz w:val="15"/>
              </w:rPr>
              <w:t>DOWN. Forecast earnings are lower in both affected units, and the terminal value carries that reduction forward.</w:t>
            </w:r>
          </w:p>
        </w:tc>
      </w:tr>
      <w:tr>
        <w:trPr>
          <w:cantSplit/>
        </w:trPr>
        <w:tc>
          <w:tcPr>
            <w:tcW w:type="dxa" w:w="1930"/>
          </w:tcPr>
          <w:p>
            <w:pPr>
              <w:spacing w:after="20"/>
            </w:pPr>
            <w:r>
              <w:rPr>
                <w:color w:val="1C3A36"/>
                <w:sz w:val="15"/>
              </w:rPr>
              <w:t>The asset lens is residual income, not a justified price-to-book</w:t>
            </w:r>
          </w:p>
        </w:tc>
        <w:tc>
          <w:tcPr>
            <w:tcW w:type="dxa" w:w="2966"/>
          </w:tcPr>
          <w:p>
            <w:pPr>
              <w:spacing w:after="20"/>
            </w:pPr>
            <w:r>
              <w:rPr>
                <w:color w:val="1C3A36"/>
                <w:sz w:val="15"/>
              </w:rPr>
              <w:t>A justified price-to-book multiple assumes a steady state in which the company pays out everything it does not need to fund its growth — at this company's returns, 90% of earnings. It pays out 16% to 36% and compounds its book faster than its own cost of equity, which is the region in which that formula is not merely inaccurate but undefined.</w:t>
            </w:r>
          </w:p>
        </w:tc>
        <w:tc>
          <w:tcPr>
            <w:tcW w:type="dxa" w:w="2966"/>
          </w:tcPr>
          <w:p>
            <w:pPr>
              <w:spacing w:after="20"/>
            </w:pPr>
            <w:r>
              <w:rPr>
                <w:color w:val="1C3A36"/>
                <w:sz w:val="15"/>
              </w:rPr>
              <w:t>Opening ordinary book, plus five years of returns earned above the cost of equity on that book, discounted, plus a remainder fading at 10% a year. Section 1.2.</w:t>
            </w:r>
          </w:p>
        </w:tc>
        <w:tc>
          <w:tcPr>
            <w:tcW w:type="dxa" w:w="2218"/>
          </w:tcPr>
          <w:p>
            <w:pPr>
              <w:spacing w:after="20"/>
            </w:pPr>
            <w:r>
              <w:rPr>
                <w:color w:val="1C3A36"/>
                <w:sz w:val="15"/>
              </w:rPr>
              <w:t>DOWN, and by more than any other single change. On the same returns, the same cost of equity and the same growth, the justified-multiple form gives 2.43× book, or AED 7.09 a share; residual income gives AED 3.93. The difference no longer reaches the answer at all — at the 15% weight an earlier edition gave this read it was worth about AED 0.47 of the published figure.</w:t>
            </w:r>
          </w:p>
        </w:tc>
      </w:tr>
      <w:tr>
        <w:trPr>
          <w:cantSplit/>
        </w:trPr>
        <w:tc>
          <w:tcPr>
            <w:tcW w:type="dxa" w:w="1930"/>
          </w:tcPr>
          <w:p>
            <w:pPr>
              <w:spacing w:after="20"/>
            </w:pPr>
            <w:r>
              <w:rPr>
                <w:color w:val="1C3A36"/>
                <w:sz w:val="15"/>
              </w:rPr>
              <w:t>Earnings per share is struck after the perpetual coupon</w:t>
            </w:r>
          </w:p>
        </w:tc>
        <w:tc>
          <w:tcPr>
            <w:tcW w:type="dxa" w:w="2966"/>
          </w:tcPr>
          <w:p>
            <w:pPr>
              <w:spacing w:after="20"/>
            </w:pPr>
            <w:r>
              <w:rPr>
                <w:color w:val="1C3A36"/>
                <w:sz w:val="15"/>
              </w:rPr>
              <w:t>Forecast earnings per share was profit attributable to ordinary AND perpetual holders divided by the ordinary shares. The coupon ranks ahead of the ordinary shares, so that figure belongs to somebody else.</w:t>
            </w:r>
          </w:p>
        </w:tc>
        <w:tc>
          <w:tcPr>
            <w:tcW w:type="dxa" w:w="2966"/>
          </w:tcPr>
          <w:p>
            <w:pPr>
              <w:spacing w:after="20"/>
            </w:pPr>
            <w:r>
              <w:rPr>
                <w:color w:val="1C3A36"/>
                <w:sz w:val="15"/>
              </w:rPr>
              <w:t>Earnings per share is now profit after the USD 97 million annual coupon, over the ordinary shares. The figure before the coupon is kept as a memorandum line so the two reconcile. Appendix A.1.</w:t>
            </w:r>
          </w:p>
        </w:tc>
        <w:tc>
          <w:tcPr>
            <w:tcW w:type="dxa" w:w="2218"/>
          </w:tcPr>
          <w:p>
            <w:pPr>
              <w:spacing w:after="20"/>
            </w:pPr>
            <w:r>
              <w:rPr>
                <w:color w:val="1C3A36"/>
                <w:sz w:val="15"/>
              </w:rPr>
              <w:t>DOWN by about 5.2% on the per-share earnings, which feeds the earnings-multiple leg of the comparison and normalised lenses.</w:t>
            </w:r>
          </w:p>
        </w:tc>
      </w:tr>
      <w:tr>
        <w:trPr>
          <w:cantSplit/>
        </w:trPr>
        <w:tc>
          <w:tcPr>
            <w:tcW w:type="dxa" w:w="1930"/>
          </w:tcPr>
          <w:p>
            <w:pPr>
              <w:spacing w:after="20"/>
            </w:pPr>
            <w:r>
              <w:rPr>
                <w:color w:val="1C3A36"/>
                <w:sz w:val="15"/>
              </w:rPr>
              <w:t>Two smaller corrections, carried for completeness</w:t>
            </w:r>
          </w:p>
        </w:tc>
        <w:tc>
          <w:tcPr>
            <w:tcW w:type="dxa" w:w="2966"/>
          </w:tcPr>
          <w:p>
            <w:pPr>
              <w:spacing w:after="20"/>
            </w:pPr>
            <w:r>
              <w:rPr>
                <w:color w:val="1C3A36"/>
                <w:sz w:val="15"/>
              </w:rPr>
              <w:t>The fleet was counted at the FY2025 year end, at 53 owned tankers, after a very large crude carrier had already been sold in January 2026. And the minority interests were deducted at book value with no explanation of why book was the right measure when the minorities take 4.5% of profit.</w:t>
            </w:r>
          </w:p>
        </w:tc>
        <w:tc>
          <w:tcPr>
            <w:tcW w:type="dxa" w:w="2966"/>
          </w:tcPr>
          <w:p>
            <w:pPr>
              <w:spacing w:after="20"/>
            </w:pPr>
            <w:r>
              <w:rPr>
                <w:color w:val="1C3A36"/>
                <w:sz w:val="15"/>
              </w:rPr>
              <w:t>The fleet is 52 owned tankers at the valuation date. The minorities are deducted at USD 317 million: the USD 252 million arising on the tanker combination stays at book because that stake is contracted for purchase in mid-2027 at a price already deducted as deferred consideration, and only the remaining USD 37 million is lifted to its share of value. Sections 1.1 and 1.7.</w:t>
            </w:r>
          </w:p>
        </w:tc>
        <w:tc>
          <w:tcPr>
            <w:tcW w:type="dxa" w:w="2218"/>
          </w:tcPr>
          <w:p>
            <w:pPr>
              <w:spacing w:after="20"/>
            </w:pPr>
            <w:r>
              <w:rPr>
                <w:color w:val="1C3A36"/>
                <w:sz w:val="15"/>
              </w:rPr>
              <w:t>DOWN, marginally, on both. The minority treatment costs AED 0.01 a share, not the AED 0.11 that applying the profit share to the whole equity value would have cost — the criticism was right about the premise and wrong about the conclusion.</w:t>
            </w:r>
          </w:p>
        </w:tc>
      </w:tr>
    </w:tbl>
    <w:p>
      <w:pPr>
        <w:spacing w:after="40"/>
      </w:pPr>
    </w:p>
    <w:p>
      <w:pPr>
        <w:keepNext/>
        <w:spacing w:after="80" w:before="200"/>
      </w:pPr>
      <w:r>
        <w:rPr>
          <w:b/>
          <w:i w:val="0"/>
          <w:color w:val="1C3A36"/>
          <w:sz w:val="24"/>
        </w:rPr>
        <w:t>Round two — the corrections made in this edition</w:t>
      </w:r>
    </w:p>
    <w:p>
      <w:pPr>
        <w:spacing w:after="120" w:before="0"/>
      </w:pPr>
      <w:r>
        <w:rPr>
          <w:b w:val="0"/>
          <w:i w:val="0"/>
          <w:color w:val="1C3A36"/>
          <w:sz w:val="21"/>
        </w:rPr>
        <w:t>The second round of review produced one finding that moves the answer materially and several that do not move it at all but damage the document — a table that does not foot, a claim that contradicts the model behind it, two conventions spliced into one series. The second kind is easy to wave through precisely because it costs nothing. They are corrected here on the same terms as the first kind.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30"/>
        <w:gridCol w:w="2966"/>
        <w:gridCol w:w="2966"/>
        <w:gridCol w:w="2218"/>
      </w:tblGrid>
      <w:tr>
        <w:trPr>
          <w:cantSplit/>
          <w:tblHeader/>
        </w:trPr>
        <w:tc>
          <w:tcPr>
            <w:tcW w:type="dxa" w:w="1930"/>
            <w:shd w:val="clear" w:color="auto" w:fill="EAF0EE"/>
          </w:tcPr>
          <w:p>
            <w:pPr>
              <w:spacing w:after="20"/>
            </w:pPr>
            <w:r>
              <w:rPr>
                <w:b/>
                <w:color w:val="1C3A36"/>
                <w:sz w:val="15"/>
              </w:rPr>
              <w:t>What changed</w:t>
            </w:r>
          </w:p>
        </w:tc>
        <w:tc>
          <w:tcPr>
            <w:tcW w:type="dxa" w:w="2966"/>
            <w:shd w:val="clear" w:color="auto" w:fill="EAF0EE"/>
          </w:tcPr>
          <w:p>
            <w:pPr>
              <w:spacing w:after="20"/>
            </w:pPr>
            <w:r>
              <w:rPr>
                <w:b/>
                <w:color w:val="1C3A36"/>
                <w:sz w:val="15"/>
              </w:rPr>
              <w:t>What was wrong before</w:t>
            </w:r>
          </w:p>
        </w:tc>
        <w:tc>
          <w:tcPr>
            <w:tcW w:type="dxa" w:w="2966"/>
            <w:shd w:val="clear" w:color="auto" w:fill="EAF0EE"/>
          </w:tcPr>
          <w:p>
            <w:pPr>
              <w:spacing w:after="20"/>
            </w:pPr>
            <w:r>
              <w:rPr>
                <w:b/>
                <w:color w:val="1C3A36"/>
                <w:sz w:val="15"/>
              </w:rPr>
              <w:t>What it is now</w:t>
            </w:r>
          </w:p>
        </w:tc>
        <w:tc>
          <w:tcPr>
            <w:tcW w:type="dxa" w:w="2218"/>
            <w:shd w:val="clear" w:color="auto" w:fill="EAF0EE"/>
          </w:tcPr>
          <w:p>
            <w:pPr>
              <w:spacing w:after="20"/>
            </w:pPr>
            <w:r>
              <w:rPr>
                <w:b/>
                <w:color w:val="1C3A36"/>
                <w:sz w:val="15"/>
              </w:rPr>
              <w:t>Which way it moved the answer</w:t>
            </w:r>
          </w:p>
        </w:tc>
      </w:tr>
      <w:tr>
        <w:trPr>
          <w:cantSplit/>
        </w:trPr>
        <w:tc>
          <w:tcPr>
            <w:tcW w:type="dxa" w:w="1930"/>
          </w:tcPr>
          <w:p>
            <w:pPr>
              <w:spacing w:after="20"/>
            </w:pPr>
            <w:r>
              <w:rPr>
                <w:color w:val="1C3A36"/>
                <w:sz w:val="15"/>
              </w:rPr>
              <w:t>A USD 1.3 billion vessel purchase is in the model</w:t>
            </w:r>
          </w:p>
        </w:tc>
        <w:tc>
          <w:tcPr>
            <w:tcW w:type="dxa" w:w="2966"/>
          </w:tcPr>
          <w:p>
            <w:pPr>
              <w:spacing w:after="20"/>
            </w:pPr>
            <w:r>
              <w:rPr>
                <w:color w:val="1C3A36"/>
                <w:sz w:val="15"/>
              </w:rPr>
              <w:t>On 7 Aug 2026 — the anchor date of this study — the company announced the purchase of 11 vessels for about USD 1.3 billion. The previous edition omitted it entirely. That is not a modelling choice: it compared a fair value that excluded the vessels with a market price that already included them.</w:t>
            </w:r>
          </w:p>
        </w:tc>
        <w:tc>
          <w:tcPr>
            <w:tcW w:type="dxa" w:w="2966"/>
          </w:tcPr>
          <w:p>
            <w:pPr>
              <w:spacing w:after="20"/>
            </w:pPr>
            <w:r>
              <w:rPr>
                <w:color w:val="1C3A36"/>
                <w:sz w:val="15"/>
              </w:rPr>
              <w:t>6 very large crude carriers and 5 gas carriers join the fleet on their announced delivery dates and earn from those dates; the USD 1.3 billion is added to net debt in the bridge and to the depreciating asset base. It also independently confirms the fleet count corrected in round one: the company says the purchase takes it to 14 crude carriers, and the corrected valuation-date count of 8 plus 6 is 14. Headline, company overview, section 1.1 and section 1.7.</w:t>
            </w:r>
          </w:p>
        </w:tc>
        <w:tc>
          <w:tcPr>
            <w:tcW w:type="dxa" w:w="2218"/>
          </w:tcPr>
          <w:p>
            <w:pPr>
              <w:spacing w:after="20"/>
            </w:pPr>
            <w:r>
              <w:rPr>
                <w:color w:val="1C3A36"/>
                <w:sz w:val="15"/>
              </w:rPr>
              <w:t>UP, and it is nearly the whole of the second round. The earning fleet grows by more than the debt costs, on the rate path this study already assumed.</w:t>
            </w:r>
          </w:p>
        </w:tc>
      </w:tr>
      <w:tr>
        <w:trPr>
          <w:cantSplit/>
        </w:trPr>
        <w:tc>
          <w:tcPr>
            <w:tcW w:type="dxa" w:w="1930"/>
          </w:tcPr>
          <w:p>
            <w:pPr>
              <w:spacing w:after="20"/>
            </w:pPr>
            <w:r>
              <w:rPr>
                <w:color w:val="1C3A36"/>
                <w:sz w:val="15"/>
              </w:rPr>
              <w:t>The smallest tankers are no longer carried at a rate that moved the opposite way</w:t>
            </w:r>
          </w:p>
        </w:tc>
        <w:tc>
          <w:tcPr>
            <w:tcW w:type="dxa" w:w="2966"/>
          </w:tcPr>
          <w:p>
            <w:pPr>
              <w:spacing w:after="20"/>
            </w:pPr>
            <w:r>
              <w:rPr>
                <w:color w:val="1C3A36"/>
                <w:sz w:val="15"/>
              </w:rPr>
              <w:t>The handysize class is not broken out in any published rate table, so the previous edition carried it at the medium-range rate unadjusted. On the first-quarter call the company said handysize rates were SOFTER while medium range was UP — the two classes moved in opposite directions, so the substitution had the sign wrong, not merely the magnitude.</w:t>
            </w:r>
          </w:p>
        </w:tc>
        <w:tc>
          <w:tcPr>
            <w:tcW w:type="dxa" w:w="2966"/>
          </w:tcPr>
          <w:p>
            <w:pPr>
              <w:spacing w:after="20"/>
            </w:pPr>
            <w:r>
              <w:rPr>
                <w:color w:val="1C3A36"/>
                <w:sz w:val="15"/>
              </w:rPr>
              <w:t>Carried at 0.79× the medium-range rate, the relative move the company itself disclosed. Section 1.7.</w:t>
            </w:r>
          </w:p>
        </w:tc>
        <w:tc>
          <w:tcPr>
            <w:tcW w:type="dxa" w:w="2218"/>
          </w:tcPr>
          <w:p>
            <w:pPr>
              <w:spacing w:after="20"/>
            </w:pPr>
            <w:r>
              <w:rPr>
                <w:color w:val="1C3A36"/>
                <w:sz w:val="15"/>
              </w:rPr>
              <w:t>DOWN, and small: 2 of 52 owned tankers and the lowest earners in the fleet. A substitution that points the wrong way is still worth correcting.</w:t>
            </w:r>
          </w:p>
        </w:tc>
      </w:tr>
      <w:tr>
        <w:trPr>
          <w:cantSplit/>
        </w:trPr>
        <w:tc>
          <w:tcPr>
            <w:tcW w:type="dxa" w:w="1930"/>
          </w:tcPr>
          <w:p>
            <w:pPr>
              <w:spacing w:after="20"/>
            </w:pPr>
            <w:r>
              <w:rPr>
                <w:color w:val="1C3A36"/>
                <w:sz w:val="15"/>
              </w:rPr>
              <w:t>Receivable days are re-based onto the revenue the forecast is built at</w:t>
            </w:r>
          </w:p>
        </w:tc>
        <w:tc>
          <w:tcPr>
            <w:tcW w:type="dxa" w:w="2966"/>
          </w:tcPr>
          <w:p>
            <w:pPr>
              <w:spacing w:after="20"/>
            </w:pPr>
            <w:r>
              <w:rPr>
                <w:color w:val="1C3A36"/>
                <w:sz w:val="15"/>
              </w:rPr>
              <w:t>Receivable days were calibrated on FY2025 revenue, which carries a 2.73× gross-up over the owned fleet's own charter-equivalent revenue, and then applied to a forecast revenue line built at 2.61×. Two conventions on the two sides of one ratio.</w:t>
            </w:r>
          </w:p>
        </w:tc>
        <w:tc>
          <w:tcPr>
            <w:tcW w:type="dxa" w:w="2966"/>
          </w:tcPr>
          <w:p>
            <w:pPr>
              <w:spacing w:after="20"/>
            </w:pPr>
            <w:r>
              <w:rPr>
                <w:color w:val="1C3A36"/>
                <w:sz w:val="15"/>
              </w:rPr>
              <w:t>Re-based onto the basis the forecast uses: 108.4 days becomes 110.1. Section 1.1.</w:t>
            </w:r>
          </w:p>
        </w:tc>
        <w:tc>
          <w:tcPr>
            <w:tcW w:type="dxa" w:w="2218"/>
          </w:tcPr>
          <w:p>
            <w:pPr>
              <w:spacing w:after="20"/>
            </w:pPr>
            <w:r>
              <w:rPr>
                <w:color w:val="1C3A36"/>
                <w:sz w:val="15"/>
              </w:rPr>
              <w:t>DOWN. A larger receivable balance means a larger build in working capital, and the change in working capital is a line in the cash-flow waterfall. This is also what falsified a caveat the previous edition printed — see section 7.</w:t>
            </w:r>
          </w:p>
        </w:tc>
      </w:tr>
      <w:tr>
        <w:trPr>
          <w:cantSplit/>
        </w:trPr>
        <w:tc>
          <w:tcPr>
            <w:tcW w:type="dxa" w:w="1930"/>
          </w:tcPr>
          <w:p>
            <w:pPr>
              <w:spacing w:after="20"/>
            </w:pPr>
            <w:r>
              <w:rPr>
                <w:color w:val="1C3A36"/>
                <w:sz w:val="15"/>
              </w:rPr>
              <w:t>The cost of debt is described as the average it is</w:t>
            </w:r>
          </w:p>
        </w:tc>
        <w:tc>
          <w:tcPr>
            <w:tcW w:type="dxa" w:w="2966"/>
          </w:tcPr>
          <w:p>
            <w:pPr>
              <w:spacing w:after="20"/>
            </w:pPr>
            <w:r>
              <w:rPr>
                <w:color w:val="1C3A36"/>
                <w:sz w:val="15"/>
              </w:rPr>
              <w:t>The previous edition called the adopted pre-tax cost of debt a figure “weighted across the drawn book”. It is not weighted. It is the plain average of three constructions, one of which happens to be the balance-weighted one.</w:t>
            </w:r>
          </w:p>
        </w:tc>
        <w:tc>
          <w:tcPr>
            <w:tcW w:type="dxa" w:w="2966"/>
          </w:tcPr>
          <w:p>
            <w:pPr>
              <w:spacing w:after="20"/>
            </w:pPr>
            <w:r>
              <w:rPr>
                <w:color w:val="1C3A36"/>
                <w:sz w:val="15"/>
              </w:rPr>
              <w:t>Published as an average, at 6.35%, with the genuinely balance-weighted construction shown beside it at 6.35%. Section 1.8.</w:t>
            </w:r>
          </w:p>
        </w:tc>
        <w:tc>
          <w:tcPr>
            <w:tcW w:type="dxa" w:w="2218"/>
          </w:tcPr>
          <w:p>
            <w:pPr>
              <w:spacing w:after="20"/>
            </w:pPr>
            <w:r>
              <w:rPr>
                <w:color w:val="1C3A36"/>
                <w:sz w:val="15"/>
              </w:rPr>
              <w:t>NO MOVEMENT — the figure did not change, only the description of it. The two constructions are 0 basis points apart on a tranche that is 4.9% of capital.</w:t>
            </w:r>
          </w:p>
        </w:tc>
      </w:tr>
      <w:tr>
        <w:trPr>
          <w:cantSplit/>
        </w:trPr>
        <w:tc>
          <w:tcPr>
            <w:tcW w:type="dxa" w:w="1930"/>
          </w:tcPr>
          <w:p>
            <w:pPr>
              <w:spacing w:after="20"/>
            </w:pPr>
            <w:r>
              <w:rPr>
                <w:color w:val="1C3A36"/>
                <w:sz w:val="15"/>
              </w:rPr>
              <w:t>The depreciation rate is kept, and now carries its evidence</w:t>
            </w:r>
          </w:p>
        </w:tc>
        <w:tc>
          <w:tcPr>
            <w:tcW w:type="dxa" w:w="2966"/>
          </w:tcPr>
          <w:p>
            <w:pPr>
              <w:spacing w:after="20"/>
            </w:pPr>
            <w:r>
              <w:rPr>
                <w:color w:val="1C3A36"/>
                <w:sz w:val="15"/>
              </w:rPr>
              <w:t>A reviewer proposed replacing the rate used with the FY2025 realised rate of 6.75%. The previous edition gave no evidence either way, which made the choice look arbitrary.</w:t>
            </w:r>
          </w:p>
        </w:tc>
        <w:tc>
          <w:tcPr>
            <w:tcW w:type="dxa" w:w="2966"/>
          </w:tcPr>
          <w:p>
            <w:pPr>
              <w:spacing w:after="20"/>
            </w:pPr>
            <w:r>
              <w:rPr>
                <w:color w:val="1C3A36"/>
                <w:sz w:val="15"/>
              </w:rPr>
              <w:t>The disclosed useful lives, the realised rate and the rate used are now shown together. Both candidates sit ABOVE what the stated lives imply for the fleet, because dry-docking components are written off over a few years; the rate used, 5.91%, is the LOWER — the more conservative of the two forward bases. Section 1.1.</w:t>
            </w:r>
          </w:p>
        </w:tc>
        <w:tc>
          <w:tcPr>
            <w:tcW w:type="dxa" w:w="2218"/>
          </w:tcPr>
          <w:p>
            <w:pPr>
              <w:spacing w:after="20"/>
            </w:pPr>
            <w:r>
              <w:rPr>
                <w:color w:val="1C3A36"/>
                <w:sz w:val="15"/>
              </w:rPr>
              <w:t>NO MOVEMENT. The rate is unchanged; the reader can now see why, and disagree on the evidence rather than on assertion.</w:t>
            </w:r>
          </w:p>
        </w:tc>
      </w:tr>
      <w:tr>
        <w:trPr>
          <w:cantSplit/>
        </w:trPr>
        <w:tc>
          <w:tcPr>
            <w:tcW w:type="dxa" w:w="1930"/>
          </w:tcPr>
          <w:p>
            <w:pPr>
              <w:spacing w:after="20"/>
            </w:pPr>
            <w:r>
              <w:rPr>
                <w:color w:val="1C3A36"/>
                <w:sz w:val="15"/>
              </w:rPr>
              <w:t>The earnings multiple is published on both bases</w:t>
            </w:r>
          </w:p>
        </w:tc>
        <w:tc>
          <w:tcPr>
            <w:tcW w:type="dxa" w:w="2966"/>
          </w:tcPr>
          <w:p>
            <w:pPr>
              <w:spacing w:after="20"/>
            </w:pPr>
            <w:r>
              <w:rPr>
                <w:color w:val="1C3A36"/>
                <w:sz w:val="15"/>
              </w:rPr>
              <w:t>The previous edition applied the peers' FORWARD multiple to forward earnings, which is right, but quoted the company's own multiple on a TRAILING basis in the table beside peers shown forward.</w:t>
            </w:r>
          </w:p>
        </w:tc>
        <w:tc>
          <w:tcPr>
            <w:tcW w:type="dxa" w:w="2966"/>
          </w:tcPr>
          <w:p>
            <w:pPr>
              <w:spacing w:after="20"/>
            </w:pPr>
            <w:r>
              <w:rPr>
                <w:color w:val="1C3A36"/>
                <w:sz w:val="15"/>
              </w:rPr>
              <w:t>Both bases are published throughout: the blend is 11.64× forward and 12.86× trailing, and the company is shown at 7.78× forward beside 17.63× trailing. Section 1.3.</w:t>
            </w:r>
          </w:p>
        </w:tc>
        <w:tc>
          <w:tcPr>
            <w:tcW w:type="dxa" w:w="2218"/>
          </w:tcPr>
          <w:p>
            <w:pPr>
              <w:spacing w:after="20"/>
            </w:pPr>
            <w:r>
              <w:rPr>
                <w:color w:val="1C3A36"/>
                <w:sz w:val="15"/>
              </w:rPr>
              <w:t>NO MOVEMENT on the lens, which always used the forward blend. It removes a comparison that was not like for like.</w:t>
            </w:r>
          </w:p>
        </w:tc>
      </w:tr>
      <w:tr>
        <w:trPr>
          <w:cantSplit/>
        </w:trPr>
        <w:tc>
          <w:tcPr>
            <w:tcW w:type="dxa" w:w="1930"/>
          </w:tcPr>
          <w:p>
            <w:pPr>
              <w:spacing w:after="20"/>
            </w:pPr>
            <w:r>
              <w:rPr>
                <w:color w:val="1C3A36"/>
                <w:sz w:val="15"/>
              </w:rPr>
              <w:t>Several tables that did not foot, or described themselves wrongly</w:t>
            </w:r>
          </w:p>
        </w:tc>
        <w:tc>
          <w:tcPr>
            <w:tcW w:type="dxa" w:w="2966"/>
          </w:tcPr>
          <w:p>
            <w:pPr>
              <w:spacing w:after="20"/>
            </w:pPr>
            <w:r>
              <w:rPr>
                <w:color w:val="1C3A36"/>
                <w:sz w:val="15"/>
              </w:rPr>
              <w:t>The bridge from enterprise value to equity did not add up once the purchase above was in the model. The guidance reconciliation did not foot and called the study's own conversion of directional guidance “the midpoint of the ranges the company published”. Return on equity ran on closing equity in the reported years and average equity in the forecast years, inside one row and one sentence. The leverage ratio ran on two different earnings definitions in the same row. The price-to-book memorandum was struck on a wider book than the multiple printed above it. The published bear-to-bull range was described as the beta's own interval when it also moves the rate anchor and the capital programme.</w:t>
            </w:r>
          </w:p>
        </w:tc>
        <w:tc>
          <w:tcPr>
            <w:tcW w:type="dxa" w:w="2966"/>
          </w:tcPr>
          <w:p>
            <w:pPr>
              <w:spacing w:after="20"/>
            </w:pPr>
            <w:r>
              <w:rPr>
                <w:color w:val="1C3A36"/>
                <w:sz w:val="15"/>
              </w:rPr>
              <w:t>Each is corrected in place and the superseded description is named rather than removed. Sections 1.1, 1.2, 1.3, 1.5, 1.6, 1.8, 1.9 and Appendix A.2.</w:t>
            </w:r>
          </w:p>
        </w:tc>
        <w:tc>
          <w:tcPr>
            <w:tcW w:type="dxa" w:w="2218"/>
          </w:tcPr>
          <w:p>
            <w:pPr>
              <w:spacing w:after="20"/>
            </w:pPr>
            <w:r>
              <w:rPr>
                <w:color w:val="1C3A36"/>
                <w:sz w:val="15"/>
              </w:rPr>
              <w:t>NO MOVEMENT on any fair value. Every one of them was a defect in what the document says about itself, which is the class of finding that gets waved through because it prices at zero.</w:t>
            </w:r>
          </w:p>
        </w:tc>
      </w:tr>
    </w:tbl>
    <w:p>
      <w:pPr>
        <w:spacing w:after="40"/>
      </w:pPr>
    </w:p>
    <w:p>
      <w:pPr>
        <w:spacing w:after="120" w:before="0"/>
      </w:pPr>
      <w:r>
        <w:rPr>
          <w:b w:val="0"/>
          <w:i w:val="0"/>
          <w:color w:val="1C3A36"/>
          <w:sz w:val="21"/>
        </w:rPr>
        <w:t>One thing did not change and is worth saying so. The reversion judgement in section 1.7 — that the fleet glides over four years to the average of what it earned in FY2024 and FY2025 — is the same judgement it was, and it remains the largest open question in the study. The corrections above changed what the fleet is reverting FROM, not the view about where it settles.</w:t>
      </w:r>
    </w:p>
    <w:p>
      <w:pPr>
        <w:keepNext/>
        <w:spacing w:after="80" w:before="200"/>
      </w:pPr>
      <w:r>
        <w:rPr>
          <w:b/>
          <w:i w:val="0"/>
          <w:color w:val="1C3A36"/>
          <w:sz w:val="24"/>
        </w:rPr>
        <w:t>Since the second round — the beta re-measured</w:t>
      </w:r>
    </w:p>
    <w:p>
      <w:pPr>
        <w:spacing w:after="120" w:before="0"/>
      </w:pPr>
      <w:r>
        <w:rPr>
          <w:b w:val="0"/>
          <w:i w:val="0"/>
          <w:color w:val="1C3A36"/>
          <w:sz w:val="21"/>
        </w:rPr>
        <w:t>One further change has been made since the corrections above, and it comes from method rather than from a reviewer. The beta is now produced by the same standard routine used for every share covered on this desk, which resolves the market series from the exchange the share is listed on, screens both series for data quality before pairing them, and measures the weekly returns on that exchange's own trading week. The market series it resolved is the one this study was already using — the FTSE ADX General Index — so nothing about WHICH market the share is measured against has changed. What changed is the grid the returns are measured on and the screening applied before they are paired, and on 159 weekly observations that moves the measured slope from 1.085 to 1.103 and widens its 90% interval from [0.758, 1.412] to [0.586, 1.621].</w:t>
      </w:r>
    </w:p>
    <w:p>
      <w:pPr>
        <w:spacing w:after="120" w:before="0"/>
      </w:pPr>
      <w:r>
        <w:rPr>
          <w:b w:val="0"/>
          <w:i w:val="0"/>
          <w:color w:val="1C3A36"/>
          <w:sz w:val="21"/>
        </w:rPr>
        <w:t>Two consequences, both of which make this document say LESS than the last one rather than more. The cash-flow lens falls to AED 5.39 and the central with it — they are the same number, the central being that lens rather than a blend of several — because a higher beta discounts harder. And the bear and bull cases widen, because they are taken from that interval directly rather than chosen: the published range on the cash-flow lens is now AED 2.90 to AED 9.49. An interval that widens on re-measurement is information about how much a three-year price history can settle, and the answer is: less than the previous edition implied. The equal-weight composite reading of 0.690 continues to be published beside the adopted figure at full size throughout, and one thing said about it in the last edition is no longer true: it sits inside the adopted estimate's own 90% interval, where against the narrower interval of the last edition it sat outside it.</w:t>
      </w:r>
    </w:p>
    <w:p>
      <w:pPr>
        <w:spacing w:after="200" w:before="0"/>
      </w:pPr>
      <w:r>
        <w:rPr>
          <w:b w:val="0"/>
          <w:i w:val="0"/>
          <w:color w:val="1C3A36"/>
          <w:sz w:val="21"/>
        </w:rPr>
        <w:t>And one finding has been left open rather than acted on, which a reader should know before weighing the field. The relative lens and the normalised lens share all three multiples and the same weighting between the enterprise and earnings readings; what differs between them is only the earnings denominator those multiples are applied to. An earlier edition weighted them 45% of a blended central, so that much of the headline rested on one method presented as two reads. THE ARCHITECTURE RATHER THAN THE READS IS WHAT CHANGED: neither carries any of the answer now, and both are published beside it, so the overlap is visible instead of compounded. Both denominators remain legitimate questions and neither read is redundant on its own terms. It is not neutral in direction — those are the two reads that sit highest — and that is now something a reader can see rather than something buried in a weight. Section 1.5 and section 7 both carry it.</w:t>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reported and five years forecast (consolidated, USD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rPr>
          <w:cantSplit/>
          <w:tblHeader/>
        </w:trPr>
        <w:tc>
          <w:tcPr>
            <w:tcW w:type="dxa" w:w="2477"/>
            <w:shd w:val="clear" w:color="auto" w:fill="EAF0EE"/>
          </w:tcPr>
          <w:p>
            <w:pPr>
              <w:spacing w:after="20"/>
            </w:pPr>
            <w:r>
              <w:rPr>
                <w:b/>
                <w:color w:val="1C3A36"/>
                <w:sz w:val="15"/>
              </w:rPr>
              <w:t>USD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rPr>
          <w:cantSplit/>
        </w:trPr>
        <w:tc>
          <w:tcPr>
            <w:tcW w:type="dxa" w:w="2477"/>
          </w:tcPr>
          <w:p>
            <w:pPr>
              <w:spacing w:after="20"/>
            </w:pPr>
            <w:r>
              <w:rPr>
                <w:color w:val="1C3A36"/>
                <w:sz w:val="15"/>
              </w:rPr>
              <w:t>Revenue</w:t>
            </w:r>
          </w:p>
        </w:tc>
        <w:tc>
          <w:tcPr>
            <w:tcW w:type="dxa" w:w="950"/>
          </w:tcPr>
          <w:p>
            <w:pPr>
              <w:spacing w:after="20"/>
              <w:jc w:val="right"/>
            </w:pPr>
            <w:r>
              <w:rPr>
                <w:color w:val="1C3A36"/>
                <w:sz w:val="15"/>
              </w:rPr>
              <w:t>2,755</w:t>
            </w:r>
          </w:p>
        </w:tc>
        <w:tc>
          <w:tcPr>
            <w:tcW w:type="dxa" w:w="950"/>
          </w:tcPr>
          <w:p>
            <w:pPr>
              <w:spacing w:after="20"/>
              <w:jc w:val="right"/>
            </w:pPr>
            <w:r>
              <w:rPr>
                <w:color w:val="1C3A36"/>
                <w:sz w:val="15"/>
              </w:rPr>
              <w:t>3,549</w:t>
            </w:r>
          </w:p>
        </w:tc>
        <w:tc>
          <w:tcPr>
            <w:tcW w:type="dxa" w:w="950"/>
          </w:tcPr>
          <w:p>
            <w:pPr>
              <w:spacing w:after="20"/>
              <w:jc w:val="right"/>
            </w:pPr>
            <w:r>
              <w:rPr>
                <w:color w:val="1C3A36"/>
                <w:sz w:val="15"/>
              </w:rPr>
              <w:t>5,016</w:t>
            </w:r>
          </w:p>
        </w:tc>
        <w:tc>
          <w:tcPr>
            <w:tcW w:type="dxa" w:w="950"/>
          </w:tcPr>
          <w:p>
            <w:pPr>
              <w:spacing w:after="20"/>
              <w:jc w:val="right"/>
            </w:pPr>
            <w:r>
              <w:rPr>
                <w:color w:val="1C3A36"/>
                <w:sz w:val="15"/>
              </w:rPr>
              <w:t>6,982</w:t>
            </w:r>
          </w:p>
        </w:tc>
        <w:tc>
          <w:tcPr>
            <w:tcW w:type="dxa" w:w="950"/>
          </w:tcPr>
          <w:p>
            <w:pPr>
              <w:spacing w:after="20"/>
              <w:jc w:val="right"/>
            </w:pPr>
            <w:r>
              <w:rPr>
                <w:color w:val="1C3A36"/>
                <w:sz w:val="15"/>
              </w:rPr>
              <w:t>7,690</w:t>
            </w:r>
          </w:p>
        </w:tc>
        <w:tc>
          <w:tcPr>
            <w:tcW w:type="dxa" w:w="950"/>
          </w:tcPr>
          <w:p>
            <w:pPr>
              <w:spacing w:after="20"/>
              <w:jc w:val="right"/>
            </w:pPr>
            <w:r>
              <w:rPr>
                <w:color w:val="1C3A36"/>
                <w:sz w:val="15"/>
              </w:rPr>
              <w:t>7,447</w:t>
            </w:r>
          </w:p>
        </w:tc>
        <w:tc>
          <w:tcPr>
            <w:tcW w:type="dxa" w:w="950"/>
          </w:tcPr>
          <w:p>
            <w:pPr>
              <w:spacing w:after="20"/>
              <w:jc w:val="right"/>
            </w:pPr>
            <w:r>
              <w:rPr>
                <w:color w:val="1C3A36"/>
                <w:sz w:val="15"/>
              </w:rPr>
              <w:t>6,716</w:t>
            </w:r>
          </w:p>
        </w:tc>
        <w:tc>
          <w:tcPr>
            <w:tcW w:type="dxa" w:w="950"/>
          </w:tcPr>
          <w:p>
            <w:pPr>
              <w:spacing w:after="20"/>
              <w:jc w:val="right"/>
            </w:pPr>
            <w:r>
              <w:rPr>
                <w:color w:val="1C3A36"/>
                <w:sz w:val="15"/>
              </w:rPr>
              <w:t>5,890</w:t>
            </w:r>
          </w:p>
        </w:tc>
      </w:tr>
      <w:tr>
        <w:trPr>
          <w:cantSplit/>
        </w:trPr>
        <w:tc>
          <w:tcPr>
            <w:tcW w:type="dxa" w:w="2477"/>
          </w:tcPr>
          <w:p>
            <w:pPr>
              <w:spacing w:after="20"/>
            </w:pPr>
            <w:r>
              <w:rPr>
                <w:color w:val="1C3A36"/>
                <w:sz w:val="15"/>
              </w:rPr>
              <w:t>Direct and operating costs</w:t>
            </w:r>
          </w:p>
        </w:tc>
        <w:tc>
          <w:tcPr>
            <w:tcW w:type="dxa" w:w="950"/>
          </w:tcPr>
          <w:p>
            <w:pPr>
              <w:spacing w:after="20"/>
              <w:jc w:val="right"/>
            </w:pPr>
            <w:r>
              <w:rPr>
                <w:color w:val="1C3A36"/>
                <w:sz w:val="15"/>
              </w:rPr>
              <w:t>(2,003)</w:t>
            </w:r>
          </w:p>
        </w:tc>
        <w:tc>
          <w:tcPr>
            <w:tcW w:type="dxa" w:w="950"/>
          </w:tcPr>
          <w:p>
            <w:pPr>
              <w:spacing w:after="20"/>
              <w:jc w:val="right"/>
            </w:pPr>
            <w:r>
              <w:rPr>
                <w:color w:val="1C3A36"/>
                <w:sz w:val="15"/>
              </w:rPr>
              <w:t>(2,609)</w:t>
            </w:r>
          </w:p>
        </w:tc>
        <w:tc>
          <w:tcPr>
            <w:tcW w:type="dxa" w:w="950"/>
          </w:tcPr>
          <w:p>
            <w:pPr>
              <w:spacing w:after="20"/>
              <w:jc w:val="right"/>
            </w:pPr>
            <w:r>
              <w:rPr>
                <w:color w:val="1C3A36"/>
                <w:sz w:val="15"/>
              </w:rPr>
              <w:t>(3,908)</w:t>
            </w:r>
          </w:p>
        </w:tc>
        <w:tc>
          <w:tcPr>
            <w:tcW w:type="dxa" w:w="950"/>
          </w:tcPr>
          <w:p>
            <w:pPr>
              <w:spacing w:after="20"/>
              <w:jc w:val="right"/>
            </w:pPr>
            <w:r>
              <w:rPr>
                <w:color w:val="1C3A36"/>
                <w:sz w:val="15"/>
              </w:rPr>
              <w:t>(4,266)</w:t>
            </w:r>
          </w:p>
        </w:tc>
        <w:tc>
          <w:tcPr>
            <w:tcW w:type="dxa" w:w="950"/>
          </w:tcPr>
          <w:p>
            <w:pPr>
              <w:spacing w:after="20"/>
              <w:jc w:val="right"/>
            </w:pPr>
            <w:r>
              <w:rPr>
                <w:color w:val="1C3A36"/>
                <w:sz w:val="15"/>
              </w:rPr>
              <w:t>(4,550)</w:t>
            </w:r>
          </w:p>
        </w:tc>
        <w:tc>
          <w:tcPr>
            <w:tcW w:type="dxa" w:w="950"/>
          </w:tcPr>
          <w:p>
            <w:pPr>
              <w:spacing w:after="20"/>
              <w:jc w:val="right"/>
            </w:pPr>
            <w:r>
              <w:rPr>
                <w:color w:val="1C3A36"/>
                <w:sz w:val="15"/>
              </w:rPr>
              <w:t>(4,523)</w:t>
            </w:r>
          </w:p>
        </w:tc>
        <w:tc>
          <w:tcPr>
            <w:tcW w:type="dxa" w:w="950"/>
          </w:tcPr>
          <w:p>
            <w:pPr>
              <w:spacing w:after="20"/>
              <w:jc w:val="right"/>
            </w:pPr>
            <w:r>
              <w:rPr>
                <w:color w:val="1C3A36"/>
                <w:sz w:val="15"/>
              </w:rPr>
              <w:t>(4,290)</w:t>
            </w:r>
          </w:p>
        </w:tc>
        <w:tc>
          <w:tcPr>
            <w:tcW w:type="dxa" w:w="950"/>
          </w:tcPr>
          <w:p>
            <w:pPr>
              <w:spacing w:after="20"/>
              <w:jc w:val="right"/>
            </w:pPr>
            <w:r>
              <w:rPr>
                <w:color w:val="1C3A36"/>
                <w:sz w:val="15"/>
              </w:rPr>
              <w:t>(4,010)</w:t>
            </w:r>
          </w:p>
        </w:tc>
      </w:tr>
      <w:tr>
        <w:trPr>
          <w:cantSplit/>
        </w:trPr>
        <w:tc>
          <w:tcPr>
            <w:tcW w:type="dxa" w:w="2477"/>
          </w:tcPr>
          <w:p>
            <w:pPr>
              <w:spacing w:after="20"/>
            </w:pPr>
            <w:r>
              <w:rPr>
                <w:color w:val="1C3A36"/>
                <w:sz w:val="15"/>
              </w:rPr>
              <w:t>Gross profit</w:t>
            </w:r>
          </w:p>
        </w:tc>
        <w:tc>
          <w:tcPr>
            <w:tcW w:type="dxa" w:w="950"/>
          </w:tcPr>
          <w:p>
            <w:pPr>
              <w:spacing w:after="20"/>
              <w:jc w:val="right"/>
            </w:pPr>
            <w:r>
              <w:rPr>
                <w:color w:val="1C3A36"/>
                <w:sz w:val="15"/>
              </w:rPr>
              <w:t>752</w:t>
            </w:r>
          </w:p>
        </w:tc>
        <w:tc>
          <w:tcPr>
            <w:tcW w:type="dxa" w:w="950"/>
          </w:tcPr>
          <w:p>
            <w:pPr>
              <w:spacing w:after="20"/>
              <w:jc w:val="right"/>
            </w:pPr>
            <w:r>
              <w:rPr>
                <w:color w:val="1C3A36"/>
                <w:sz w:val="15"/>
              </w:rPr>
              <w:t>941</w:t>
            </w:r>
          </w:p>
        </w:tc>
        <w:tc>
          <w:tcPr>
            <w:tcW w:type="dxa" w:w="950"/>
          </w:tcPr>
          <w:p>
            <w:pPr>
              <w:spacing w:after="20"/>
              <w:jc w:val="right"/>
            </w:pPr>
            <w:r>
              <w:rPr>
                <w:color w:val="1C3A36"/>
                <w:sz w:val="15"/>
              </w:rPr>
              <w:t>1,108</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General and administrative</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(142)</w:t>
            </w:r>
          </w:p>
        </w:tc>
        <w:tc>
          <w:tcPr>
            <w:tcW w:type="dxa" w:w="950"/>
          </w:tcPr>
          <w:p>
            <w:pPr>
              <w:spacing w:after="20"/>
              <w:jc w:val="right"/>
            </w:pPr>
            <w:r>
              <w:rPr>
                <w:color w:val="1C3A36"/>
                <w:sz w:val="15"/>
              </w:rPr>
              <w:t>(205)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Other income and charges</w:t>
            </w:r>
          </w:p>
        </w:tc>
        <w:tc>
          <w:tcPr>
            <w:tcW w:type="dxa" w:w="950"/>
          </w:tcPr>
          <w:p>
            <w:pPr>
              <w:spacing w:after="20"/>
              <w:jc w:val="right"/>
            </w:pPr>
            <w:r>
              <w:rPr>
                <w:color w:val="1C3A36"/>
                <w:sz w:val="15"/>
              </w:rPr>
              <w:t>8</w:t>
            </w:r>
          </w:p>
        </w:tc>
        <w:tc>
          <w:tcPr>
            <w:tcW w:type="dxa" w:w="950"/>
          </w:tcPr>
          <w:p>
            <w:pPr>
              <w:spacing w:after="20"/>
              <w:jc w:val="right"/>
            </w:pPr>
            <w:r>
              <w:rPr>
                <w:color w:val="1C3A36"/>
                <w:sz w:val="15"/>
              </w:rPr>
              <w:t>18</w:t>
            </w:r>
          </w:p>
        </w:tc>
        <w:tc>
          <w:tcPr>
            <w:tcW w:type="dxa" w:w="950"/>
          </w:tcPr>
          <w:p>
            <w:pPr>
              <w:spacing w:after="20"/>
              <w:jc w:val="right"/>
            </w:pPr>
            <w:r>
              <w:rPr>
                <w:color w:val="1C3A36"/>
                <w:sz w:val="15"/>
              </w:rPr>
              <w:t>41</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shd w:val="clear" w:color="auto" w:fill="F6F1E6"/>
          </w:tcPr>
          <w:p>
            <w:pPr>
              <w:spacing w:after="20"/>
            </w:pPr>
            <w:r>
              <w:rPr>
                <w:b/>
                <w:color w:val="1C3A36"/>
                <w:sz w:val="15"/>
              </w:rPr>
              <w:t>Earnings before interest, tax, depreciation and amortisation</w:t>
            </w:r>
          </w:p>
        </w:tc>
        <w:tc>
          <w:tcPr>
            <w:tcW w:type="dxa" w:w="950"/>
            <w:shd w:val="clear" w:color="auto" w:fill="F6F1E6"/>
          </w:tcPr>
          <w:p>
            <w:pPr>
              <w:spacing w:after="20"/>
              <w:jc w:val="right"/>
            </w:pPr>
            <w:r>
              <w:rPr>
                <w:b/>
                <w:color w:val="1C3A36"/>
                <w:sz w:val="15"/>
              </w:rPr>
              <w:t>862</w:t>
            </w:r>
          </w:p>
        </w:tc>
        <w:tc>
          <w:tcPr>
            <w:tcW w:type="dxa" w:w="950"/>
            <w:shd w:val="clear" w:color="auto" w:fill="F6F1E6"/>
          </w:tcPr>
          <w:p>
            <w:pPr>
              <w:spacing w:after="20"/>
              <w:jc w:val="right"/>
            </w:pPr>
            <w:r>
              <w:rPr>
                <w:b/>
                <w:color w:val="1C3A36"/>
                <w:sz w:val="15"/>
              </w:rPr>
              <w:t>1,135</w:t>
            </w:r>
          </w:p>
        </w:tc>
        <w:tc>
          <w:tcPr>
            <w:tcW w:type="dxa" w:w="950"/>
            <w:shd w:val="clear" w:color="auto" w:fill="F6F1E6"/>
          </w:tcPr>
          <w:p>
            <w:pPr>
              <w:spacing w:after="20"/>
              <w:jc w:val="right"/>
            </w:pPr>
            <w:r>
              <w:rPr>
                <w:b/>
                <w:color w:val="1C3A36"/>
                <w:sz w:val="15"/>
              </w:rPr>
              <w:t>1,469</w:t>
            </w:r>
          </w:p>
        </w:tc>
        <w:tc>
          <w:tcPr>
            <w:tcW w:type="dxa" w:w="950"/>
            <w:shd w:val="clear" w:color="auto" w:fill="F6F1E6"/>
          </w:tcPr>
          <w:p>
            <w:pPr>
              <w:spacing w:after="20"/>
              <w:jc w:val="right"/>
            </w:pPr>
            <w:r>
              <w:rPr>
                <w:b/>
                <w:color w:val="1C3A36"/>
                <w:sz w:val="15"/>
              </w:rPr>
              <w:t>2,716</w:t>
            </w:r>
          </w:p>
        </w:tc>
        <w:tc>
          <w:tcPr>
            <w:tcW w:type="dxa" w:w="950"/>
            <w:shd w:val="clear" w:color="auto" w:fill="F6F1E6"/>
          </w:tcPr>
          <w:p>
            <w:pPr>
              <w:spacing w:after="20"/>
              <w:jc w:val="right"/>
            </w:pPr>
            <w:r>
              <w:rPr>
                <w:b/>
                <w:color w:val="1C3A36"/>
                <w:sz w:val="15"/>
              </w:rPr>
              <w:t>3,140</w:t>
            </w:r>
          </w:p>
        </w:tc>
        <w:tc>
          <w:tcPr>
            <w:tcW w:type="dxa" w:w="950"/>
            <w:shd w:val="clear" w:color="auto" w:fill="F6F1E6"/>
          </w:tcPr>
          <w:p>
            <w:pPr>
              <w:spacing w:after="20"/>
              <w:jc w:val="right"/>
            </w:pPr>
            <w:r>
              <w:rPr>
                <w:b/>
                <w:color w:val="1C3A36"/>
                <w:sz w:val="15"/>
              </w:rPr>
              <w:t>2,924</w:t>
            </w:r>
          </w:p>
        </w:tc>
        <w:tc>
          <w:tcPr>
            <w:tcW w:type="dxa" w:w="950"/>
            <w:shd w:val="clear" w:color="auto" w:fill="F6F1E6"/>
          </w:tcPr>
          <w:p>
            <w:pPr>
              <w:spacing w:after="20"/>
              <w:jc w:val="right"/>
            </w:pPr>
            <w:r>
              <w:rPr>
                <w:b/>
                <w:color w:val="1C3A36"/>
                <w:sz w:val="15"/>
              </w:rPr>
              <w:t>2,426</w:t>
            </w:r>
          </w:p>
        </w:tc>
        <w:tc>
          <w:tcPr>
            <w:tcW w:type="dxa" w:w="950"/>
            <w:shd w:val="clear" w:color="auto" w:fill="F6F1E6"/>
          </w:tcPr>
          <w:p>
            <w:pPr>
              <w:spacing w:after="20"/>
              <w:jc w:val="right"/>
            </w:pPr>
            <w:r>
              <w:rPr>
                <w:b/>
                <w:color w:val="1C3A36"/>
                <w:sz w:val="15"/>
              </w:rPr>
              <w:t>1,880</w:t>
            </w:r>
          </w:p>
        </w:tc>
      </w:tr>
      <w:tr>
        <w:trPr>
          <w:cantSplit/>
        </w:trPr>
        <w:tc>
          <w:tcPr>
            <w:tcW w:type="dxa" w:w="2477"/>
          </w:tcPr>
          <w:p>
            <w:pPr>
              <w:spacing w:after="20"/>
            </w:pPr>
            <w:r>
              <w:rPr>
                <w:color w:val="1C3A36"/>
                <w:sz w:val="15"/>
              </w:rPr>
              <w:t xml:space="preserve">  margin</w:t>
            </w:r>
          </w:p>
        </w:tc>
        <w:tc>
          <w:tcPr>
            <w:tcW w:type="dxa" w:w="950"/>
          </w:tcPr>
          <w:p>
            <w:pPr>
              <w:spacing w:after="20"/>
              <w:jc w:val="right"/>
            </w:pPr>
            <w:r>
              <w:rPr>
                <w:color w:val="1C3A36"/>
                <w:sz w:val="15"/>
              </w:rPr>
              <w:t>31.3%</w:t>
            </w:r>
          </w:p>
        </w:tc>
        <w:tc>
          <w:tcPr>
            <w:tcW w:type="dxa" w:w="950"/>
          </w:tcPr>
          <w:p>
            <w:pPr>
              <w:spacing w:after="20"/>
              <w:jc w:val="right"/>
            </w:pPr>
            <w:r>
              <w:rPr>
                <w:color w:val="1C3A36"/>
                <w:sz w:val="15"/>
              </w:rPr>
              <w:t>32.0%</w:t>
            </w:r>
          </w:p>
        </w:tc>
        <w:tc>
          <w:tcPr>
            <w:tcW w:type="dxa" w:w="950"/>
          </w:tcPr>
          <w:p>
            <w:pPr>
              <w:spacing w:after="20"/>
              <w:jc w:val="right"/>
            </w:pPr>
            <w:r>
              <w:rPr>
                <w:color w:val="1C3A36"/>
                <w:sz w:val="15"/>
              </w:rPr>
              <w:t>29.3%</w:t>
            </w:r>
          </w:p>
        </w:tc>
        <w:tc>
          <w:tcPr>
            <w:tcW w:type="dxa" w:w="950"/>
          </w:tcPr>
          <w:p>
            <w:pPr>
              <w:spacing w:after="20"/>
              <w:jc w:val="right"/>
            </w:pPr>
            <w:r>
              <w:rPr>
                <w:color w:val="1C3A36"/>
                <w:sz w:val="15"/>
              </w:rPr>
              <w:t>38.9%</w:t>
            </w:r>
          </w:p>
        </w:tc>
        <w:tc>
          <w:tcPr>
            <w:tcW w:type="dxa" w:w="950"/>
          </w:tcPr>
          <w:p>
            <w:pPr>
              <w:spacing w:after="20"/>
              <w:jc w:val="right"/>
            </w:pPr>
            <w:r>
              <w:rPr>
                <w:color w:val="1C3A36"/>
                <w:sz w:val="15"/>
              </w:rPr>
              <w:t>40.8%</w:t>
            </w:r>
          </w:p>
        </w:tc>
        <w:tc>
          <w:tcPr>
            <w:tcW w:type="dxa" w:w="950"/>
          </w:tcPr>
          <w:p>
            <w:pPr>
              <w:spacing w:after="20"/>
              <w:jc w:val="right"/>
            </w:pPr>
            <w:r>
              <w:rPr>
                <w:color w:val="1C3A36"/>
                <w:sz w:val="15"/>
              </w:rPr>
              <w:t>39.3%</w:t>
            </w:r>
          </w:p>
        </w:tc>
        <w:tc>
          <w:tcPr>
            <w:tcW w:type="dxa" w:w="950"/>
          </w:tcPr>
          <w:p>
            <w:pPr>
              <w:spacing w:after="20"/>
              <w:jc w:val="right"/>
            </w:pPr>
            <w:r>
              <w:rPr>
                <w:color w:val="1C3A36"/>
                <w:sz w:val="15"/>
              </w:rPr>
              <w:t>36.1%</w:t>
            </w:r>
          </w:p>
        </w:tc>
        <w:tc>
          <w:tcPr>
            <w:tcW w:type="dxa" w:w="950"/>
          </w:tcPr>
          <w:p>
            <w:pPr>
              <w:spacing w:after="20"/>
              <w:jc w:val="right"/>
            </w:pPr>
            <w:r>
              <w:rPr>
                <w:color w:val="1C3A36"/>
                <w:sz w:val="15"/>
              </w:rPr>
              <w:t>31.9%</w:t>
            </w:r>
          </w:p>
        </w:tc>
      </w:tr>
      <w:tr>
        <w:trPr>
          <w:cantSplit/>
        </w:trP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(249)</w:t>
            </w:r>
          </w:p>
        </w:tc>
        <w:tc>
          <w:tcPr>
            <w:tcW w:type="dxa" w:w="950"/>
          </w:tcPr>
          <w:p>
            <w:pPr>
              <w:spacing w:after="20"/>
              <w:jc w:val="right"/>
            </w:pPr>
            <w:r>
              <w:rPr>
                <w:color w:val="1C3A36"/>
                <w:sz w:val="15"/>
              </w:rPr>
              <w:t>(317)</w:t>
            </w:r>
          </w:p>
        </w:tc>
        <w:tc>
          <w:tcPr>
            <w:tcW w:type="dxa" w:w="950"/>
          </w:tcPr>
          <w:p>
            <w:pPr>
              <w:spacing w:after="20"/>
              <w:jc w:val="right"/>
            </w:pPr>
            <w:r>
              <w:rPr>
                <w:color w:val="1C3A36"/>
                <w:sz w:val="15"/>
              </w:rPr>
              <w:t>(525)</w:t>
            </w:r>
          </w:p>
        </w:tc>
        <w:tc>
          <w:tcPr>
            <w:tcW w:type="dxa" w:w="950"/>
          </w:tcPr>
          <w:p>
            <w:pPr>
              <w:spacing w:after="20"/>
              <w:jc w:val="right"/>
            </w:pPr>
            <w:r>
              <w:rPr>
                <w:color w:val="1C3A36"/>
                <w:sz w:val="15"/>
              </w:rPr>
              <w:t>(587)</w:t>
            </w:r>
          </w:p>
        </w:tc>
        <w:tc>
          <w:tcPr>
            <w:tcW w:type="dxa" w:w="950"/>
          </w:tcPr>
          <w:p>
            <w:pPr>
              <w:spacing w:after="20"/>
              <w:jc w:val="right"/>
            </w:pPr>
            <w:r>
              <w:rPr>
                <w:color w:val="1C3A36"/>
                <w:sz w:val="15"/>
              </w:rPr>
              <w:t>(675)</w:t>
            </w:r>
          </w:p>
        </w:tc>
        <w:tc>
          <w:tcPr>
            <w:tcW w:type="dxa" w:w="950"/>
          </w:tcPr>
          <w:p>
            <w:pPr>
              <w:spacing w:after="20"/>
              <w:jc w:val="right"/>
            </w:pPr>
            <w:r>
              <w:rPr>
                <w:color w:val="1C3A36"/>
                <w:sz w:val="15"/>
              </w:rPr>
              <w:t>(717)</w:t>
            </w:r>
          </w:p>
        </w:tc>
        <w:tc>
          <w:tcPr>
            <w:tcW w:type="dxa" w:w="950"/>
          </w:tcPr>
          <w:p>
            <w:pPr>
              <w:spacing w:after="20"/>
              <w:jc w:val="right"/>
            </w:pPr>
            <w:r>
              <w:rPr>
                <w:color w:val="1C3A36"/>
                <w:sz w:val="15"/>
              </w:rPr>
              <w:t>(741)</w:t>
            </w:r>
          </w:p>
        </w:tc>
        <w:tc>
          <w:tcPr>
            <w:tcW w:type="dxa" w:w="950"/>
          </w:tcPr>
          <w:p>
            <w:pPr>
              <w:spacing w:after="20"/>
              <w:jc w:val="right"/>
            </w:pPr>
            <w:r>
              <w:rPr>
                <w:color w:val="1C3A36"/>
                <w:sz w:val="15"/>
              </w:rPr>
              <w:t>(747)</w:t>
            </w:r>
          </w:p>
        </w:tc>
      </w:tr>
      <w:tr>
        <w:trPr>
          <w:cantSplit/>
        </w:trPr>
        <w:tc>
          <w:tcPr>
            <w:tcW w:type="dxa" w:w="2477"/>
          </w:tcPr>
          <w:p>
            <w:pPr>
              <w:spacing w:after="20"/>
            </w:pPr>
            <w:r>
              <w:rPr>
                <w:color w:val="1C3A36"/>
                <w:sz w:val="15"/>
              </w:rPr>
              <w:t>Earnings before interest and tax</w:t>
            </w:r>
          </w:p>
        </w:tc>
        <w:tc>
          <w:tcPr>
            <w:tcW w:type="dxa" w:w="950"/>
          </w:tcPr>
          <w:p>
            <w:pPr>
              <w:spacing w:after="20"/>
              <w:jc w:val="right"/>
            </w:pPr>
            <w:r>
              <w:rPr>
                <w:color w:val="1C3A36"/>
                <w:sz w:val="15"/>
              </w:rPr>
              <w:t>614</w:t>
            </w:r>
          </w:p>
        </w:tc>
        <w:tc>
          <w:tcPr>
            <w:tcW w:type="dxa" w:w="950"/>
          </w:tcPr>
          <w:p>
            <w:pPr>
              <w:spacing w:after="20"/>
              <w:jc w:val="right"/>
            </w:pPr>
            <w:r>
              <w:rPr>
                <w:color w:val="1C3A36"/>
                <w:sz w:val="15"/>
              </w:rPr>
              <w:t>817</w:t>
            </w:r>
          </w:p>
        </w:tc>
        <w:tc>
          <w:tcPr>
            <w:tcW w:type="dxa" w:w="950"/>
          </w:tcPr>
          <w:p>
            <w:pPr>
              <w:spacing w:after="20"/>
              <w:jc w:val="right"/>
            </w:pPr>
            <w:r>
              <w:rPr>
                <w:color w:val="1C3A36"/>
                <w:sz w:val="15"/>
              </w:rPr>
              <w:t>944</w:t>
            </w:r>
          </w:p>
        </w:tc>
        <w:tc>
          <w:tcPr>
            <w:tcW w:type="dxa" w:w="950"/>
          </w:tcPr>
          <w:p>
            <w:pPr>
              <w:spacing w:after="20"/>
              <w:jc w:val="right"/>
            </w:pPr>
            <w:r>
              <w:rPr>
                <w:color w:val="1C3A36"/>
                <w:sz w:val="15"/>
              </w:rPr>
              <w:t>2,129</w:t>
            </w:r>
          </w:p>
        </w:tc>
        <w:tc>
          <w:tcPr>
            <w:tcW w:type="dxa" w:w="950"/>
          </w:tcPr>
          <w:p>
            <w:pPr>
              <w:spacing w:after="20"/>
              <w:jc w:val="right"/>
            </w:pPr>
            <w:r>
              <w:rPr>
                <w:color w:val="1C3A36"/>
                <w:sz w:val="15"/>
              </w:rPr>
              <w:t>2,465</w:t>
            </w:r>
          </w:p>
        </w:tc>
        <w:tc>
          <w:tcPr>
            <w:tcW w:type="dxa" w:w="950"/>
          </w:tcPr>
          <w:p>
            <w:pPr>
              <w:spacing w:after="20"/>
              <w:jc w:val="right"/>
            </w:pPr>
            <w:r>
              <w:rPr>
                <w:color w:val="1C3A36"/>
                <w:sz w:val="15"/>
              </w:rPr>
              <w:t>2,207</w:t>
            </w:r>
          </w:p>
        </w:tc>
        <w:tc>
          <w:tcPr>
            <w:tcW w:type="dxa" w:w="950"/>
          </w:tcPr>
          <w:p>
            <w:pPr>
              <w:spacing w:after="20"/>
              <w:jc w:val="right"/>
            </w:pPr>
            <w:r>
              <w:rPr>
                <w:color w:val="1C3A36"/>
                <w:sz w:val="15"/>
              </w:rPr>
              <w:t>1,685</w:t>
            </w:r>
          </w:p>
        </w:tc>
        <w:tc>
          <w:tcPr>
            <w:tcW w:type="dxa" w:w="950"/>
          </w:tcPr>
          <w:p>
            <w:pPr>
              <w:spacing w:after="20"/>
              <w:jc w:val="right"/>
            </w:pPr>
            <w:r>
              <w:rPr>
                <w:color w:val="1C3A36"/>
                <w:sz w:val="15"/>
              </w:rPr>
              <w:t>1,134</w:t>
            </w:r>
          </w:p>
        </w:tc>
      </w:tr>
      <w:tr>
        <w:trPr>
          <w:cantSplit/>
        </w:trPr>
        <w:tc>
          <w:tcPr>
            <w:tcW w:type="dxa" w:w="2477"/>
          </w:tcPr>
          <w:p>
            <w:pPr>
              <w:spacing w:after="20"/>
            </w:pPr>
            <w:r>
              <w:rPr>
                <w:color w:val="1C3A36"/>
                <w:sz w:val="15"/>
              </w:rPr>
              <w:t>Share of joint ventures and associates</w:t>
            </w:r>
          </w:p>
        </w:tc>
        <w:tc>
          <w:tcPr>
            <w:tcW w:type="dxa" w:w="950"/>
          </w:tcPr>
          <w:p>
            <w:pPr>
              <w:spacing w:after="20"/>
              <w:jc w:val="right"/>
            </w:pPr>
            <w:r>
              <w:rPr>
                <w:color w:val="1C3A36"/>
                <w:sz w:val="15"/>
              </w:rPr>
              <w:t>14</w:t>
            </w:r>
          </w:p>
        </w:tc>
        <w:tc>
          <w:tcPr>
            <w:tcW w:type="dxa" w:w="950"/>
          </w:tcPr>
          <w:p>
            <w:pPr>
              <w:spacing w:after="20"/>
              <w:jc w:val="right"/>
            </w:pPr>
            <w:r>
              <w:rPr>
                <w:color w:val="1C3A36"/>
                <w:sz w:val="15"/>
              </w:rPr>
              <w:t>14</w:t>
            </w:r>
          </w:p>
        </w:tc>
        <w:tc>
          <w:tcPr>
            <w:tcW w:type="dxa" w:w="950"/>
          </w:tcPr>
          <w:p>
            <w:pPr>
              <w:spacing w:after="20"/>
              <w:jc w:val="right"/>
            </w:pPr>
            <w:r>
              <w:rPr>
                <w:color w:val="1C3A36"/>
                <w:sz w:val="15"/>
              </w:rPr>
              <w:t>37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Net finance cost</w:t>
            </w:r>
          </w:p>
        </w:tc>
        <w:tc>
          <w:tcPr>
            <w:tcW w:type="dxa" w:w="950"/>
          </w:tcPr>
          <w:p>
            <w:pPr>
              <w:spacing w:after="20"/>
              <w:jc w:val="right"/>
            </w:pPr>
            <w:r>
              <w:rPr>
                <w:color w:val="1C3A36"/>
                <w:sz w:val="15"/>
              </w:rPr>
              <w:t>(5)</w:t>
            </w:r>
          </w:p>
        </w:tc>
        <w:tc>
          <w:tcPr>
            <w:tcW w:type="dxa" w:w="950"/>
          </w:tcPr>
          <w:p>
            <w:pPr>
              <w:spacing w:after="20"/>
              <w:jc w:val="right"/>
            </w:pPr>
            <w:r>
              <w:rPr>
                <w:color w:val="1C3A36"/>
                <w:sz w:val="15"/>
              </w:rPr>
              <w:t>(2)</w:t>
            </w:r>
          </w:p>
        </w:tc>
        <w:tc>
          <w:tcPr>
            <w:tcW w:type="dxa" w:w="950"/>
          </w:tcPr>
          <w:p>
            <w:pPr>
              <w:spacing w:after="20"/>
              <w:jc w:val="right"/>
            </w:pPr>
            <w:r>
              <w:rPr>
                <w:color w:val="1C3A36"/>
                <w:sz w:val="15"/>
              </w:rPr>
              <w:t>(68)</w:t>
            </w:r>
          </w:p>
        </w:tc>
        <w:tc>
          <w:tcPr>
            <w:tcW w:type="dxa" w:w="950"/>
          </w:tcPr>
          <w:p>
            <w:pPr>
              <w:spacing w:after="20"/>
              <w:jc w:val="right"/>
            </w:pPr>
            <w:r>
              <w:rPr>
                <w:color w:val="1C3A36"/>
                <w:sz w:val="15"/>
              </w:rPr>
              <w:t>(133)</w:t>
            </w:r>
          </w:p>
        </w:tc>
        <w:tc>
          <w:tcPr>
            <w:tcW w:type="dxa" w:w="950"/>
          </w:tcPr>
          <w:p>
            <w:pPr>
              <w:spacing w:after="20"/>
              <w:jc w:val="right"/>
            </w:pPr>
            <w:r>
              <w:rPr>
                <w:color w:val="1C3A36"/>
                <w:sz w:val="15"/>
              </w:rPr>
              <w:t>(111)</w:t>
            </w:r>
          </w:p>
        </w:tc>
        <w:tc>
          <w:tcPr>
            <w:tcW w:type="dxa" w:w="950"/>
          </w:tcPr>
          <w:p>
            <w:pPr>
              <w:spacing w:after="20"/>
              <w:jc w:val="right"/>
            </w:pPr>
            <w:r>
              <w:rPr>
                <w:color w:val="1C3A36"/>
                <w:sz w:val="15"/>
              </w:rPr>
              <w:t>(38)</w:t>
            </w:r>
          </w:p>
        </w:tc>
        <w:tc>
          <w:tcPr>
            <w:tcW w:type="dxa" w:w="950"/>
          </w:tcPr>
          <w:p>
            <w:pPr>
              <w:spacing w:after="20"/>
              <w:jc w:val="right"/>
            </w:pPr>
            <w:r>
              <w:rPr>
                <w:color w:val="1C3A36"/>
                <w:sz w:val="15"/>
              </w:rPr>
              <w:t>(-37)</w:t>
            </w:r>
          </w:p>
        </w:tc>
        <w:tc>
          <w:tcPr>
            <w:tcW w:type="dxa" w:w="950"/>
          </w:tcPr>
          <w:p>
            <w:pPr>
              <w:spacing w:after="20"/>
              <w:jc w:val="right"/>
            </w:pPr>
            <w:r>
              <w:rPr>
                <w:color w:val="1C3A36"/>
                <w:sz w:val="15"/>
              </w:rPr>
              <w:t>(-124)</w:t>
            </w:r>
          </w:p>
        </w:tc>
      </w:tr>
      <w:tr>
        <w:trPr>
          <w:cantSplit/>
        </w:trPr>
        <w:tc>
          <w:tcPr>
            <w:tcW w:type="dxa" w:w="2477"/>
          </w:tcPr>
          <w:p>
            <w:pPr>
              <w:spacing w:after="20"/>
            </w:pPr>
            <w:r>
              <w:rPr>
                <w:color w:val="1C3A36"/>
                <w:sz w:val="15"/>
              </w:rPr>
              <w:t>Profit before tax</w:t>
            </w:r>
          </w:p>
        </w:tc>
        <w:tc>
          <w:tcPr>
            <w:tcW w:type="dxa" w:w="950"/>
          </w:tcPr>
          <w:p>
            <w:pPr>
              <w:spacing w:after="20"/>
              <w:jc w:val="right"/>
            </w:pPr>
            <w:r>
              <w:rPr>
                <w:color w:val="1C3A36"/>
                <w:sz w:val="15"/>
              </w:rPr>
              <w:t>622</w:t>
            </w:r>
          </w:p>
        </w:tc>
        <w:tc>
          <w:tcPr>
            <w:tcW w:type="dxa" w:w="950"/>
          </w:tcPr>
          <w:p>
            <w:pPr>
              <w:spacing w:after="20"/>
              <w:jc w:val="right"/>
            </w:pPr>
            <w:r>
              <w:rPr>
                <w:color w:val="1C3A36"/>
                <w:sz w:val="15"/>
              </w:rPr>
              <w:t>829</w:t>
            </w:r>
          </w:p>
        </w:tc>
        <w:tc>
          <w:tcPr>
            <w:tcW w:type="dxa" w:w="950"/>
          </w:tcPr>
          <w:p>
            <w:pPr>
              <w:spacing w:after="20"/>
              <w:jc w:val="right"/>
            </w:pPr>
            <w:r>
              <w:rPr>
                <w:color w:val="1C3A36"/>
                <w:sz w:val="15"/>
              </w:rPr>
              <w:t>922</w:t>
            </w:r>
          </w:p>
        </w:tc>
        <w:tc>
          <w:tcPr>
            <w:tcW w:type="dxa" w:w="950"/>
          </w:tcPr>
          <w:p>
            <w:pPr>
              <w:spacing w:after="20"/>
              <w:jc w:val="right"/>
            </w:pPr>
            <w:r>
              <w:rPr>
                <w:color w:val="1C3A36"/>
                <w:sz w:val="15"/>
              </w:rPr>
              <w:t>1,996</w:t>
            </w:r>
          </w:p>
        </w:tc>
        <w:tc>
          <w:tcPr>
            <w:tcW w:type="dxa" w:w="950"/>
          </w:tcPr>
          <w:p>
            <w:pPr>
              <w:spacing w:after="20"/>
              <w:jc w:val="right"/>
            </w:pPr>
            <w:r>
              <w:rPr>
                <w:color w:val="1C3A36"/>
                <w:sz w:val="15"/>
              </w:rPr>
              <w:t>2,354</w:t>
            </w:r>
          </w:p>
        </w:tc>
        <w:tc>
          <w:tcPr>
            <w:tcW w:type="dxa" w:w="950"/>
          </w:tcPr>
          <w:p>
            <w:pPr>
              <w:spacing w:after="20"/>
              <w:jc w:val="right"/>
            </w:pPr>
            <w:r>
              <w:rPr>
                <w:color w:val="1C3A36"/>
                <w:sz w:val="15"/>
              </w:rPr>
              <w:t>2,169</w:t>
            </w:r>
          </w:p>
        </w:tc>
        <w:tc>
          <w:tcPr>
            <w:tcW w:type="dxa" w:w="950"/>
          </w:tcPr>
          <w:p>
            <w:pPr>
              <w:spacing w:after="20"/>
              <w:jc w:val="right"/>
            </w:pPr>
            <w:r>
              <w:rPr>
                <w:color w:val="1C3A36"/>
                <w:sz w:val="15"/>
              </w:rPr>
              <w:t>1,722</w:t>
            </w:r>
          </w:p>
        </w:tc>
        <w:tc>
          <w:tcPr>
            <w:tcW w:type="dxa" w:w="950"/>
          </w:tcPr>
          <w:p>
            <w:pPr>
              <w:spacing w:after="20"/>
              <w:jc w:val="right"/>
            </w:pPr>
            <w:r>
              <w:rPr>
                <w:color w:val="1C3A36"/>
                <w:sz w:val="15"/>
              </w:rPr>
              <w:t>1,257</w:t>
            </w:r>
          </w:p>
        </w:tc>
      </w:tr>
      <w:tr>
        <w:trPr>
          <w:cantSplit/>
        </w:trPr>
        <w:tc>
          <w:tcPr>
            <w:tcW w:type="dxa" w:w="2477"/>
          </w:tcPr>
          <w:p>
            <w:pPr>
              <w:spacing w:after="20"/>
            </w:pPr>
            <w:r>
              <w:rPr>
                <w:color w:val="1C3A36"/>
                <w:sz w:val="15"/>
              </w:rPr>
              <w:t>Income tax</w:t>
            </w:r>
          </w:p>
        </w:tc>
        <w:tc>
          <w:tcPr>
            <w:tcW w:type="dxa" w:w="950"/>
          </w:tcPr>
          <w:p>
            <w:pPr>
              <w:spacing w:after="20"/>
              <w:jc w:val="right"/>
            </w:pPr>
            <w:r>
              <w:rPr>
                <w:color w:val="1C3A36"/>
                <w:sz w:val="15"/>
              </w:rPr>
              <w:t>(2)</w:t>
            </w:r>
          </w:p>
        </w:tc>
        <w:tc>
          <w:tcPr>
            <w:tcW w:type="dxa" w:w="950"/>
          </w:tcPr>
          <w:p>
            <w:pPr>
              <w:spacing w:after="20"/>
              <w:jc w:val="right"/>
            </w:pPr>
            <w:r>
              <w:rPr>
                <w:color w:val="1C3A36"/>
                <w:sz w:val="15"/>
              </w:rPr>
              <w:t>(73)</w:t>
            </w:r>
          </w:p>
        </w:tc>
        <w:tc>
          <w:tcPr>
            <w:tcW w:type="dxa" w:w="950"/>
          </w:tcPr>
          <w:p>
            <w:pPr>
              <w:spacing w:after="20"/>
              <w:jc w:val="right"/>
            </w:pPr>
            <w:r>
              <w:rPr>
                <w:color w:val="1C3A36"/>
                <w:sz w:val="15"/>
              </w:rPr>
              <w:t>(59)</w:t>
            </w:r>
          </w:p>
        </w:tc>
        <w:tc>
          <w:tcPr>
            <w:tcW w:type="dxa" w:w="950"/>
          </w:tcPr>
          <w:p>
            <w:pPr>
              <w:spacing w:after="20"/>
              <w:jc w:val="right"/>
            </w:pPr>
            <w:r>
              <w:rPr>
                <w:color w:val="1C3A36"/>
                <w:sz w:val="15"/>
              </w:rPr>
              <w:t>(49)</w:t>
            </w:r>
          </w:p>
        </w:tc>
        <w:tc>
          <w:tcPr>
            <w:tcW w:type="dxa" w:w="950"/>
          </w:tcPr>
          <w:p>
            <w:pPr>
              <w:spacing w:after="20"/>
              <w:jc w:val="right"/>
            </w:pPr>
            <w:r>
              <w:rPr>
                <w:color w:val="1C3A36"/>
                <w:sz w:val="15"/>
              </w:rPr>
              <w:t>(57)</w:t>
            </w:r>
          </w:p>
        </w:tc>
        <w:tc>
          <w:tcPr>
            <w:tcW w:type="dxa" w:w="950"/>
          </w:tcPr>
          <w:p>
            <w:pPr>
              <w:spacing w:after="20"/>
              <w:jc w:val="right"/>
            </w:pPr>
            <w:r>
              <w:rPr>
                <w:color w:val="1C3A36"/>
                <w:sz w:val="15"/>
              </w:rPr>
              <w:t>(58)</w:t>
            </w:r>
          </w:p>
        </w:tc>
        <w:tc>
          <w:tcPr>
            <w:tcW w:type="dxa" w:w="950"/>
          </w:tcPr>
          <w:p>
            <w:pPr>
              <w:spacing w:after="20"/>
              <w:jc w:val="right"/>
            </w:pPr>
            <w:r>
              <w:rPr>
                <w:color w:val="1C3A36"/>
                <w:sz w:val="15"/>
              </w:rPr>
              <w:t>(56)</w:t>
            </w:r>
          </w:p>
        </w:tc>
        <w:tc>
          <w:tcPr>
            <w:tcW w:type="dxa" w:w="950"/>
          </w:tcPr>
          <w:p>
            <w:pPr>
              <w:spacing w:after="20"/>
              <w:jc w:val="right"/>
            </w:pPr>
            <w:r>
              <w:rPr>
                <w:color w:val="1C3A36"/>
                <w:sz w:val="15"/>
              </w:rPr>
              <w:t>(58)</w:t>
            </w:r>
          </w:p>
        </w:tc>
      </w:tr>
      <w:tr>
        <w:trPr>
          <w:cantSplit/>
        </w:trPr>
        <w:tc>
          <w:tcPr>
            <w:tcW w:type="dxa" w:w="2477"/>
          </w:tcPr>
          <w:p>
            <w:pPr>
              <w:spacing w:after="20"/>
            </w:pPr>
            <w:r>
              <w:rPr>
                <w:color w:val="1C3A36"/>
                <w:sz w:val="15"/>
              </w:rPr>
              <w:t>Profit for the year</w:t>
            </w:r>
          </w:p>
        </w:tc>
        <w:tc>
          <w:tcPr>
            <w:tcW w:type="dxa" w:w="950"/>
          </w:tcPr>
          <w:p>
            <w:pPr>
              <w:spacing w:after="20"/>
              <w:jc w:val="right"/>
            </w:pPr>
            <w:r>
              <w:rPr>
                <w:color w:val="1C3A36"/>
                <w:sz w:val="15"/>
              </w:rPr>
              <w:t>620</w:t>
            </w:r>
          </w:p>
        </w:tc>
        <w:tc>
          <w:tcPr>
            <w:tcW w:type="dxa" w:w="950"/>
          </w:tcPr>
          <w:p>
            <w:pPr>
              <w:spacing w:after="20"/>
              <w:jc w:val="right"/>
            </w:pPr>
            <w:r>
              <w:rPr>
                <w:color w:val="1C3A36"/>
                <w:sz w:val="15"/>
              </w:rPr>
              <w:t>756</w:t>
            </w:r>
          </w:p>
        </w:tc>
        <w:tc>
          <w:tcPr>
            <w:tcW w:type="dxa" w:w="950"/>
          </w:tcPr>
          <w:p>
            <w:pPr>
              <w:spacing w:after="20"/>
              <w:jc w:val="right"/>
            </w:pPr>
            <w:r>
              <w:rPr>
                <w:color w:val="1C3A36"/>
                <w:sz w:val="15"/>
              </w:rPr>
              <w:t>863</w:t>
            </w:r>
          </w:p>
        </w:tc>
        <w:tc>
          <w:tcPr>
            <w:tcW w:type="dxa" w:w="950"/>
          </w:tcPr>
          <w:p>
            <w:pPr>
              <w:spacing w:after="20"/>
              <w:jc w:val="right"/>
            </w:pPr>
            <w:r>
              <w:rPr>
                <w:color w:val="1C3A36"/>
                <w:sz w:val="15"/>
              </w:rPr>
              <w:t>1,947</w:t>
            </w:r>
          </w:p>
        </w:tc>
        <w:tc>
          <w:tcPr>
            <w:tcW w:type="dxa" w:w="950"/>
          </w:tcPr>
          <w:p>
            <w:pPr>
              <w:spacing w:after="20"/>
              <w:jc w:val="right"/>
            </w:pPr>
            <w:r>
              <w:rPr>
                <w:color w:val="1C3A36"/>
                <w:sz w:val="15"/>
              </w:rPr>
              <w:t>2,297</w:t>
            </w:r>
          </w:p>
        </w:tc>
        <w:tc>
          <w:tcPr>
            <w:tcW w:type="dxa" w:w="950"/>
          </w:tcPr>
          <w:p>
            <w:pPr>
              <w:spacing w:after="20"/>
              <w:jc w:val="right"/>
            </w:pPr>
            <w:r>
              <w:rPr>
                <w:color w:val="1C3A36"/>
                <w:sz w:val="15"/>
              </w:rPr>
              <w:t>2,112</w:t>
            </w:r>
          </w:p>
        </w:tc>
        <w:tc>
          <w:tcPr>
            <w:tcW w:type="dxa" w:w="950"/>
          </w:tcPr>
          <w:p>
            <w:pPr>
              <w:spacing w:after="20"/>
              <w:jc w:val="right"/>
            </w:pPr>
            <w:r>
              <w:rPr>
                <w:color w:val="1C3A36"/>
                <w:sz w:val="15"/>
              </w:rPr>
              <w:t>1,666</w:t>
            </w:r>
          </w:p>
        </w:tc>
        <w:tc>
          <w:tcPr>
            <w:tcW w:type="dxa" w:w="950"/>
          </w:tcPr>
          <w:p>
            <w:pPr>
              <w:spacing w:after="20"/>
              <w:jc w:val="right"/>
            </w:pPr>
            <w:r>
              <w:rPr>
                <w:color w:val="1C3A36"/>
                <w:sz w:val="15"/>
              </w:rPr>
              <w:t>1,199</w:t>
            </w:r>
          </w:p>
        </w:tc>
      </w:tr>
      <w:tr>
        <w:trPr>
          <w:cantSplit/>
        </w:trPr>
        <w:tc>
          <w:tcPr>
            <w:tcW w:type="dxa" w:w="2477"/>
          </w:tcPr>
          <w:p>
            <w:pPr>
              <w:spacing w:after="20"/>
            </w:pPr>
            <w:r>
              <w:rPr>
                <w:color w:val="1C3A36"/>
                <w:sz w:val="15"/>
              </w:rPr>
              <w:t>Non-controlling interests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(24)</w:t>
            </w:r>
          </w:p>
        </w:tc>
        <w:tc>
          <w:tcPr>
            <w:tcW w:type="dxa" w:w="950"/>
          </w:tcPr>
          <w:p>
            <w:pPr>
              <w:spacing w:after="20"/>
              <w:jc w:val="right"/>
            </w:pPr>
            <w:r>
              <w:rPr>
                <w:color w:val="1C3A36"/>
                <w:sz w:val="15"/>
              </w:rPr>
              <w:t>(88)</w:t>
            </w:r>
          </w:p>
        </w:tc>
        <w:tc>
          <w:tcPr>
            <w:tcW w:type="dxa" w:w="950"/>
          </w:tcPr>
          <w:p>
            <w:pPr>
              <w:spacing w:after="20"/>
              <w:jc w:val="right"/>
            </w:pPr>
            <w:r>
              <w:rPr>
                <w:color w:val="1C3A36"/>
                <w:sz w:val="15"/>
              </w:rPr>
              <w:t>(104)</w:t>
            </w:r>
          </w:p>
        </w:tc>
        <w:tc>
          <w:tcPr>
            <w:tcW w:type="dxa" w:w="950"/>
          </w:tcPr>
          <w:p>
            <w:pPr>
              <w:spacing w:after="20"/>
              <w:jc w:val="right"/>
            </w:pPr>
            <w:r>
              <w:rPr>
                <w:color w:val="1C3A36"/>
                <w:sz w:val="15"/>
              </w:rPr>
              <w:t>(96)</w:t>
            </w:r>
          </w:p>
        </w:tc>
        <w:tc>
          <w:tcPr>
            <w:tcW w:type="dxa" w:w="950"/>
          </w:tcPr>
          <w:p>
            <w:pPr>
              <w:spacing w:after="20"/>
              <w:jc w:val="right"/>
            </w:pPr>
            <w:r>
              <w:rPr>
                <w:color w:val="1C3A36"/>
                <w:sz w:val="15"/>
              </w:rPr>
              <w:t>(76)</w:t>
            </w:r>
          </w:p>
        </w:tc>
        <w:tc>
          <w:tcPr>
            <w:tcW w:type="dxa" w:w="950"/>
          </w:tcPr>
          <w:p>
            <w:pPr>
              <w:spacing w:after="20"/>
              <w:jc w:val="right"/>
            </w:pPr>
            <w:r>
              <w:rPr>
                <w:color w:val="1C3A36"/>
                <w:sz w:val="15"/>
              </w:rPr>
              <w:t>(54)</w:t>
            </w:r>
          </w:p>
        </w:tc>
      </w:tr>
      <w:tr>
        <w:trPr>
          <w:cantSplit/>
        </w:trPr>
        <w:tc>
          <w:tcPr>
            <w:tcW w:type="dxa" w:w="2477"/>
            <w:shd w:val="clear" w:color="auto" w:fill="F6F1E6"/>
          </w:tcPr>
          <w:p>
            <w:pPr>
              <w:spacing w:after="20"/>
            </w:pPr>
            <w:r>
              <w:rPr>
                <w:b/>
                <w:color w:val="1C3A36"/>
                <w:sz w:val="15"/>
              </w:rPr>
              <w:t>Attributable to ordinary and hybrid holders</w:t>
            </w:r>
          </w:p>
        </w:tc>
        <w:tc>
          <w:tcPr>
            <w:tcW w:type="dxa" w:w="950"/>
            <w:shd w:val="clear" w:color="auto" w:fill="F6F1E6"/>
          </w:tcPr>
          <w:p>
            <w:pPr>
              <w:spacing w:after="20"/>
              <w:jc w:val="right"/>
            </w:pPr>
            <w:r>
              <w:rPr>
                <w:b/>
                <w:color w:val="1C3A36"/>
                <w:sz w:val="15"/>
              </w:rPr>
              <w:t>620</w:t>
            </w:r>
          </w:p>
        </w:tc>
        <w:tc>
          <w:tcPr>
            <w:tcW w:type="dxa" w:w="950"/>
            <w:shd w:val="clear" w:color="auto" w:fill="F6F1E6"/>
          </w:tcPr>
          <w:p>
            <w:pPr>
              <w:spacing w:after="20"/>
              <w:jc w:val="right"/>
            </w:pPr>
            <w:r>
              <w:rPr>
                <w:b/>
                <w:color w:val="1C3A36"/>
                <w:sz w:val="15"/>
              </w:rPr>
              <w:t>756</w:t>
            </w:r>
          </w:p>
        </w:tc>
        <w:tc>
          <w:tcPr>
            <w:tcW w:type="dxa" w:w="950"/>
            <w:shd w:val="clear" w:color="auto" w:fill="F6F1E6"/>
          </w:tcPr>
          <w:p>
            <w:pPr>
              <w:spacing w:after="20"/>
              <w:jc w:val="right"/>
            </w:pPr>
            <w:r>
              <w:rPr>
                <w:b/>
                <w:color w:val="1C3A36"/>
                <w:sz w:val="15"/>
              </w:rPr>
              <w:t>839</w:t>
            </w:r>
          </w:p>
        </w:tc>
        <w:tc>
          <w:tcPr>
            <w:tcW w:type="dxa" w:w="950"/>
            <w:shd w:val="clear" w:color="auto" w:fill="F6F1E6"/>
          </w:tcPr>
          <w:p>
            <w:pPr>
              <w:spacing w:after="20"/>
              <w:jc w:val="right"/>
            </w:pPr>
            <w:r>
              <w:rPr>
                <w:b/>
                <w:color w:val="1C3A36"/>
                <w:sz w:val="15"/>
              </w:rPr>
              <w:t>1,859</w:t>
            </w:r>
          </w:p>
        </w:tc>
        <w:tc>
          <w:tcPr>
            <w:tcW w:type="dxa" w:w="950"/>
            <w:shd w:val="clear" w:color="auto" w:fill="F6F1E6"/>
          </w:tcPr>
          <w:p>
            <w:pPr>
              <w:spacing w:after="20"/>
              <w:jc w:val="right"/>
            </w:pPr>
            <w:r>
              <w:rPr>
                <w:b/>
                <w:color w:val="1C3A36"/>
                <w:sz w:val="15"/>
              </w:rPr>
              <w:t>2,193</w:t>
            </w:r>
          </w:p>
        </w:tc>
        <w:tc>
          <w:tcPr>
            <w:tcW w:type="dxa" w:w="950"/>
            <w:shd w:val="clear" w:color="auto" w:fill="F6F1E6"/>
          </w:tcPr>
          <w:p>
            <w:pPr>
              <w:spacing w:after="20"/>
              <w:jc w:val="right"/>
            </w:pPr>
            <w:r>
              <w:rPr>
                <w:b/>
                <w:color w:val="1C3A36"/>
                <w:sz w:val="15"/>
              </w:rPr>
              <w:t>2,016</w:t>
            </w:r>
          </w:p>
        </w:tc>
        <w:tc>
          <w:tcPr>
            <w:tcW w:type="dxa" w:w="950"/>
            <w:shd w:val="clear" w:color="auto" w:fill="F6F1E6"/>
          </w:tcPr>
          <w:p>
            <w:pPr>
              <w:spacing w:after="20"/>
              <w:jc w:val="right"/>
            </w:pPr>
            <w:r>
              <w:rPr>
                <w:b/>
                <w:color w:val="1C3A36"/>
                <w:sz w:val="15"/>
              </w:rPr>
              <w:t>1,590</w:t>
            </w:r>
          </w:p>
        </w:tc>
        <w:tc>
          <w:tcPr>
            <w:tcW w:type="dxa" w:w="950"/>
            <w:shd w:val="clear" w:color="auto" w:fill="F6F1E6"/>
          </w:tcPr>
          <w:p>
            <w:pPr>
              <w:spacing w:after="20"/>
              <w:jc w:val="right"/>
            </w:pPr>
            <w:r>
              <w:rPr>
                <w:b/>
                <w:color w:val="1C3A36"/>
                <w:sz w:val="15"/>
              </w:rPr>
              <w:t>1,145</w:t>
            </w:r>
          </w:p>
        </w:tc>
      </w:tr>
      <w:tr>
        <w:trPr>
          <w:cantSplit/>
        </w:trPr>
        <w:tc>
          <w:tcPr>
            <w:tcW w:type="dxa" w:w="2477"/>
          </w:tcPr>
          <w:p>
            <w:pPr>
              <w:spacing w:after="20"/>
            </w:pPr>
            <w:r>
              <w:rPr>
                <w:color w:val="1C3A36"/>
                <w:sz w:val="15"/>
              </w:rPr>
              <w:t>Perpetual securities coupon</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(61)</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r>
      <w:tr>
        <w:trPr>
          <w:cantSplit/>
        </w:trPr>
        <w:tc>
          <w:tcPr>
            <w:tcW w:type="dxa" w:w="2477"/>
          </w:tcPr>
          <w:p>
            <w:pPr>
              <w:spacing w:after="20"/>
            </w:pPr>
            <w:r>
              <w:rPr>
                <w:color w:val="1C3A36"/>
                <w:sz w:val="15"/>
              </w:rPr>
              <w:t>Attributable to ordinary shareholders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777</w:t>
            </w:r>
          </w:p>
        </w:tc>
        <w:tc>
          <w:tcPr>
            <w:tcW w:type="dxa" w:w="950"/>
          </w:tcPr>
          <w:p>
            <w:pPr>
              <w:spacing w:after="20"/>
              <w:jc w:val="right"/>
            </w:pPr>
            <w:r>
              <w:rPr>
                <w:color w:val="1C3A36"/>
                <w:sz w:val="15"/>
              </w:rPr>
              <w:t>1,762</w:t>
            </w:r>
          </w:p>
        </w:tc>
        <w:tc>
          <w:tcPr>
            <w:tcW w:type="dxa" w:w="950"/>
          </w:tcPr>
          <w:p>
            <w:pPr>
              <w:spacing w:after="20"/>
              <w:jc w:val="right"/>
            </w:pPr>
            <w:r>
              <w:rPr>
                <w:color w:val="1C3A36"/>
                <w:sz w:val="15"/>
              </w:rPr>
              <w:t>2,096</w:t>
            </w:r>
          </w:p>
        </w:tc>
        <w:tc>
          <w:tcPr>
            <w:tcW w:type="dxa" w:w="950"/>
          </w:tcPr>
          <w:p>
            <w:pPr>
              <w:spacing w:after="20"/>
              <w:jc w:val="right"/>
            </w:pPr>
            <w:r>
              <w:rPr>
                <w:color w:val="1C3A36"/>
                <w:sz w:val="15"/>
              </w:rPr>
              <w:t>1,919</w:t>
            </w:r>
          </w:p>
        </w:tc>
        <w:tc>
          <w:tcPr>
            <w:tcW w:type="dxa" w:w="950"/>
          </w:tcPr>
          <w:p>
            <w:pPr>
              <w:spacing w:after="20"/>
              <w:jc w:val="right"/>
            </w:pPr>
            <w:r>
              <w:rPr>
                <w:color w:val="1C3A36"/>
                <w:sz w:val="15"/>
              </w:rPr>
              <w:t>1,493</w:t>
            </w:r>
          </w:p>
        </w:tc>
        <w:tc>
          <w:tcPr>
            <w:tcW w:type="dxa" w:w="950"/>
          </w:tcPr>
          <w:p>
            <w:pPr>
              <w:spacing w:after="20"/>
              <w:jc w:val="right"/>
            </w:pPr>
            <w:r>
              <w:rPr>
                <w:color w:val="1C3A36"/>
                <w:sz w:val="15"/>
              </w:rPr>
              <w:t>1,048</w:t>
            </w:r>
          </w:p>
        </w:tc>
      </w:tr>
      <w:tr>
        <w:trPr>
          <w:cantSplit/>
        </w:trPr>
        <w:tc>
          <w:tcPr>
            <w:tcW w:type="dxa" w:w="2477"/>
            <w:shd w:val="clear" w:color="auto" w:fill="F6F1E6"/>
          </w:tcPr>
          <w:p>
            <w:pPr>
              <w:spacing w:after="20"/>
            </w:pPr>
            <w:r>
              <w:rPr>
                <w:b/>
                <w:color w:val="1C3A36"/>
                <w:sz w:val="15"/>
              </w:rPr>
              <w:t>Earnings per share (USD)</w:t>
            </w:r>
          </w:p>
        </w:tc>
        <w:tc>
          <w:tcPr>
            <w:tcW w:type="dxa" w:w="950"/>
            <w:shd w:val="clear" w:color="auto" w:fill="F6F1E6"/>
          </w:tcPr>
          <w:p>
            <w:pPr>
              <w:spacing w:after="20"/>
              <w:jc w:val="right"/>
            </w:pPr>
            <w:r>
              <w:rPr>
                <w:b/>
                <w:color w:val="1C3A36"/>
                <w:sz w:val="15"/>
              </w:rPr>
              <w:t>0.080</w:t>
            </w:r>
          </w:p>
        </w:tc>
        <w:tc>
          <w:tcPr>
            <w:tcW w:type="dxa" w:w="950"/>
            <w:shd w:val="clear" w:color="auto" w:fill="F6F1E6"/>
          </w:tcPr>
          <w:p>
            <w:pPr>
              <w:spacing w:after="20"/>
              <w:jc w:val="right"/>
            </w:pPr>
            <w:r>
              <w:rPr>
                <w:b/>
                <w:color w:val="1C3A36"/>
                <w:sz w:val="15"/>
              </w:rPr>
              <w:t>0.100</w:t>
            </w:r>
          </w:p>
        </w:tc>
        <w:tc>
          <w:tcPr>
            <w:tcW w:type="dxa" w:w="950"/>
            <w:shd w:val="clear" w:color="auto" w:fill="F6F1E6"/>
          </w:tcPr>
          <w:p>
            <w:pPr>
              <w:spacing w:after="20"/>
              <w:jc w:val="right"/>
            </w:pPr>
            <w:r>
              <w:rPr>
                <w:b/>
                <w:color w:val="1C3A36"/>
                <w:sz w:val="15"/>
              </w:rPr>
              <w:t>0.110</w:t>
            </w:r>
          </w:p>
        </w:tc>
        <w:tc>
          <w:tcPr>
            <w:tcW w:type="dxa" w:w="950"/>
            <w:shd w:val="clear" w:color="auto" w:fill="F6F1E6"/>
          </w:tcPr>
          <w:p>
            <w:pPr>
              <w:spacing w:after="20"/>
              <w:jc w:val="right"/>
            </w:pPr>
            <w:r>
              <w:rPr>
                <w:b/>
                <w:color w:val="1C3A36"/>
                <w:sz w:val="15"/>
              </w:rPr>
              <w:t>0.238</w:t>
            </w:r>
          </w:p>
        </w:tc>
        <w:tc>
          <w:tcPr>
            <w:tcW w:type="dxa" w:w="950"/>
            <w:shd w:val="clear" w:color="auto" w:fill="F6F1E6"/>
          </w:tcPr>
          <w:p>
            <w:pPr>
              <w:spacing w:after="20"/>
              <w:jc w:val="right"/>
            </w:pPr>
            <w:r>
              <w:rPr>
                <w:b/>
                <w:color w:val="1C3A36"/>
                <w:sz w:val="15"/>
              </w:rPr>
              <w:t>0.283</w:t>
            </w:r>
          </w:p>
        </w:tc>
        <w:tc>
          <w:tcPr>
            <w:tcW w:type="dxa" w:w="950"/>
            <w:shd w:val="clear" w:color="auto" w:fill="F6F1E6"/>
          </w:tcPr>
          <w:p>
            <w:pPr>
              <w:spacing w:after="20"/>
              <w:jc w:val="right"/>
            </w:pPr>
            <w:r>
              <w:rPr>
                <w:b/>
                <w:color w:val="1C3A36"/>
                <w:sz w:val="15"/>
              </w:rPr>
              <w:t>0.259</w:t>
            </w:r>
          </w:p>
        </w:tc>
        <w:tc>
          <w:tcPr>
            <w:tcW w:type="dxa" w:w="950"/>
            <w:shd w:val="clear" w:color="auto" w:fill="F6F1E6"/>
          </w:tcPr>
          <w:p>
            <w:pPr>
              <w:spacing w:after="20"/>
              <w:jc w:val="right"/>
            </w:pPr>
            <w:r>
              <w:rPr>
                <w:b/>
                <w:color w:val="1C3A36"/>
                <w:sz w:val="15"/>
              </w:rPr>
              <w:t>0.202</w:t>
            </w:r>
          </w:p>
        </w:tc>
        <w:tc>
          <w:tcPr>
            <w:tcW w:type="dxa" w:w="950"/>
            <w:shd w:val="clear" w:color="auto" w:fill="F6F1E6"/>
          </w:tcPr>
          <w:p>
            <w:pPr>
              <w:spacing w:after="20"/>
              <w:jc w:val="right"/>
            </w:pPr>
            <w:r>
              <w:rPr>
                <w:b/>
                <w:color w:val="1C3A36"/>
                <w:sz w:val="15"/>
              </w:rPr>
              <w:t>0.142</w:t>
            </w:r>
          </w:p>
        </w:tc>
      </w:tr>
      <w:tr>
        <w:trPr>
          <w:cantSplit/>
        </w:trPr>
        <w:tc>
          <w:tcPr>
            <w:tcW w:type="dxa" w:w="2477"/>
          </w:tcPr>
          <w:p>
            <w:pPr>
              <w:spacing w:after="20"/>
            </w:pPr>
            <w:r>
              <w:rPr>
                <w:color w:val="1C3A36"/>
                <w:sz w:val="15"/>
              </w:rPr>
              <w:t xml:space="preserve">  memorandum — before the perpetual coupon (USD)</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0.251</w:t>
            </w:r>
          </w:p>
        </w:tc>
        <w:tc>
          <w:tcPr>
            <w:tcW w:type="dxa" w:w="950"/>
          </w:tcPr>
          <w:p>
            <w:pPr>
              <w:spacing w:after="20"/>
              <w:jc w:val="right"/>
            </w:pPr>
            <w:r>
              <w:rPr>
                <w:color w:val="1C3A36"/>
                <w:sz w:val="15"/>
              </w:rPr>
              <w:t>0.296</w:t>
            </w:r>
          </w:p>
        </w:tc>
        <w:tc>
          <w:tcPr>
            <w:tcW w:type="dxa" w:w="950"/>
          </w:tcPr>
          <w:p>
            <w:pPr>
              <w:spacing w:after="20"/>
              <w:jc w:val="right"/>
            </w:pPr>
            <w:r>
              <w:rPr>
                <w:color w:val="1C3A36"/>
                <w:sz w:val="15"/>
              </w:rPr>
              <w:t>0.272</w:t>
            </w:r>
          </w:p>
        </w:tc>
        <w:tc>
          <w:tcPr>
            <w:tcW w:type="dxa" w:w="950"/>
          </w:tcPr>
          <w:p>
            <w:pPr>
              <w:spacing w:after="20"/>
              <w:jc w:val="right"/>
            </w:pPr>
            <w:r>
              <w:rPr>
                <w:color w:val="1C3A36"/>
                <w:sz w:val="15"/>
              </w:rPr>
              <w:t>0.215</w:t>
            </w:r>
          </w:p>
        </w:tc>
        <w:tc>
          <w:tcPr>
            <w:tcW w:type="dxa" w:w="950"/>
          </w:tcPr>
          <w:p>
            <w:pPr>
              <w:spacing w:after="20"/>
              <w:jc w:val="right"/>
            </w:pPr>
            <w:r>
              <w:rPr>
                <w:color w:val="1C3A36"/>
                <w:sz w:val="15"/>
              </w:rPr>
              <w:t>0.155</w:t>
            </w:r>
          </w:p>
        </w:tc>
      </w:tr>
    </w:tbl>
    <w:p>
      <w:pPr>
        <w:spacing w:after="40"/>
      </w:pPr>
    </w:p>
    <w:p>
      <w:pPr>
        <w:spacing w:after="200" w:before="0"/>
      </w:pPr>
      <w:r>
        <w:rPr>
          <w:b w:val="0"/>
          <w:i/>
          <w:color w:val="6E7B77"/>
          <w:sz w:val="17"/>
        </w:rPr>
        <w:t>Every reported line is taken directly from the company's audited consolidated statements. Two rows are house derivations and are labelled: earnings before interest, tax, depreciation and amortisation is earnings before interest and tax plus depreciation and amortisation — the audited statements carry no such line, and the company's own reported figure (USD 1,515 million in FY2025 against the USD 1,469 million used here) adds the share of joint ventures and one-off items; and forecast earnings per share is profit attributable to the ORDINARY shareholders over shares outstanding — that is, after the perpetual securities coupon of USD 97 million a year, which ranks ahead of them. An earlier edition struck it before that coupon, which overstated it by about 5.5%; the figure before the coupon is kept as the memorandum line so the two can be reconciled. The reported earnings per share in the first three columns are the company's own published basic figures and are not restated here. Forecast profit is struck after interest on the modelled debt path and after tax at each unit's own rate, so it differs from the free-cash-flow waterfall in section 1.1, which is a pre-financing measure by construction.</w:t>
      </w:r>
    </w:p>
    <w:p>
      <w:pPr>
        <w:keepNext/>
        <w:spacing w:after="80" w:before="200"/>
      </w:pPr>
      <w:r>
        <w:rPr>
          <w:b/>
          <w:i w:val="0"/>
          <w:color w:val="1C3A36"/>
          <w:sz w:val="24"/>
        </w:rPr>
        <w:t>A.2  Balance sheet — condensed house layout (consolidated, USD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rPr>
          <w:cantSplit/>
          <w:tblHeader/>
        </w:trPr>
        <w:tc>
          <w:tcPr>
            <w:tcW w:type="dxa" w:w="2477"/>
            <w:shd w:val="clear" w:color="auto" w:fill="EAF0EE"/>
          </w:tcPr>
          <w:p>
            <w:pPr>
              <w:spacing w:after="20"/>
            </w:pPr>
            <w:r>
              <w:rPr>
                <w:b/>
                <w:color w:val="1C3A36"/>
                <w:sz w:val="15"/>
              </w:rPr>
              <w:t>USD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rPr>
          <w:cantSplit/>
        </w:trPr>
        <w:tc>
          <w:tcPr>
            <w:tcW w:type="dxa" w:w="2477"/>
          </w:tcPr>
          <w:p>
            <w:pPr>
              <w:spacing w:after="20"/>
            </w:pPr>
            <w:r>
              <w:rPr>
                <w:color w:val="1C3A36"/>
                <w:sz w:val="15"/>
              </w:rPr>
              <w:t>Property, plant and equipment</w:t>
            </w:r>
          </w:p>
        </w:tc>
        <w:tc>
          <w:tcPr>
            <w:tcW w:type="dxa" w:w="950"/>
          </w:tcPr>
          <w:p>
            <w:pPr>
              <w:spacing w:after="20"/>
              <w:jc w:val="right"/>
            </w:pPr>
            <w:r>
              <w:rPr>
                <w:color w:val="1C3A36"/>
                <w:sz w:val="15"/>
              </w:rPr>
              <w:t>3,807</w:t>
            </w:r>
          </w:p>
        </w:tc>
        <w:tc>
          <w:tcPr>
            <w:tcW w:type="dxa" w:w="950"/>
          </w:tcPr>
          <w:p>
            <w:pPr>
              <w:spacing w:after="20"/>
              <w:jc w:val="right"/>
            </w:pPr>
            <w:r>
              <w:rPr>
                <w:color w:val="1C3A36"/>
                <w:sz w:val="15"/>
              </w:rPr>
              <w:t>4,543</w:t>
            </w:r>
          </w:p>
        </w:tc>
        <w:tc>
          <w:tcPr>
            <w:tcW w:type="dxa" w:w="950"/>
          </w:tcPr>
          <w:p>
            <w:pPr>
              <w:spacing w:after="20"/>
              <w:jc w:val="right"/>
            </w:pPr>
            <w:r>
              <w:rPr>
                <w:color w:val="1C3A36"/>
                <w:sz w:val="15"/>
              </w:rPr>
              <w:t>6,884</w:t>
            </w:r>
          </w:p>
        </w:tc>
        <w:tc>
          <w:tcPr>
            <w:tcW w:type="dxa" w:w="950"/>
          </w:tcPr>
          <w:p>
            <w:pPr>
              <w:spacing w:after="20"/>
              <w:jc w:val="right"/>
            </w:pPr>
            <w:r>
              <w:rPr>
                <w:color w:val="1C3A36"/>
                <w:sz w:val="15"/>
              </w:rPr>
              <w:t>9,088</w:t>
            </w:r>
          </w:p>
        </w:tc>
        <w:tc>
          <w:tcPr>
            <w:tcW w:type="dxa" w:w="950"/>
          </w:tcPr>
          <w:p>
            <w:pPr>
              <w:spacing w:after="20"/>
              <w:jc w:val="right"/>
            </w:pPr>
            <w:r>
              <w:rPr>
                <w:color w:val="1C3A36"/>
                <w:sz w:val="15"/>
              </w:rPr>
              <w:t>9,776</w:t>
            </w:r>
          </w:p>
        </w:tc>
        <w:tc>
          <w:tcPr>
            <w:tcW w:type="dxa" w:w="950"/>
          </w:tcPr>
          <w:p>
            <w:pPr>
              <w:spacing w:after="20"/>
              <w:jc w:val="right"/>
            </w:pPr>
            <w:r>
              <w:rPr>
                <w:color w:val="1C3A36"/>
                <w:sz w:val="15"/>
              </w:rPr>
              <w:t>10,424</w:t>
            </w:r>
          </w:p>
        </w:tc>
        <w:tc>
          <w:tcPr>
            <w:tcW w:type="dxa" w:w="950"/>
          </w:tcPr>
          <w:p>
            <w:pPr>
              <w:spacing w:after="20"/>
              <w:jc w:val="right"/>
            </w:pPr>
            <w:r>
              <w:rPr>
                <w:color w:val="1C3A36"/>
                <w:sz w:val="15"/>
              </w:rPr>
              <w:t>10,506</w:t>
            </w:r>
          </w:p>
        </w:tc>
        <w:tc>
          <w:tcPr>
            <w:tcW w:type="dxa" w:w="950"/>
          </w:tcPr>
          <w:p>
            <w:pPr>
              <w:spacing w:after="20"/>
              <w:jc w:val="right"/>
            </w:pPr>
            <w:r>
              <w:rPr>
                <w:color w:val="1C3A36"/>
                <w:sz w:val="15"/>
              </w:rPr>
              <w:t>10,535</w:t>
            </w:r>
          </w:p>
        </w:tc>
      </w:tr>
      <w:tr>
        <w:trPr>
          <w:cantSplit/>
        </w:trPr>
        <w:tc>
          <w:tcPr>
            <w:tcW w:type="dxa" w:w="2477"/>
          </w:tcPr>
          <w:p>
            <w:pPr>
              <w:spacing w:after="20"/>
            </w:pPr>
            <w:r>
              <w:rPr>
                <w:color w:val="1C3A36"/>
                <w:sz w:val="15"/>
              </w:rPr>
              <w:t>Right-of-use assets</w:t>
            </w:r>
          </w:p>
        </w:tc>
        <w:tc>
          <w:tcPr>
            <w:tcW w:type="dxa" w:w="950"/>
          </w:tcPr>
          <w:p>
            <w:pPr>
              <w:spacing w:after="20"/>
              <w:jc w:val="right"/>
            </w:pPr>
            <w:r>
              <w:rPr>
                <w:color w:val="1C3A36"/>
                <w:sz w:val="15"/>
              </w:rPr>
              <w:t>148</w:t>
            </w:r>
          </w:p>
        </w:tc>
        <w:tc>
          <w:tcPr>
            <w:tcW w:type="dxa" w:w="950"/>
          </w:tcPr>
          <w:p>
            <w:pPr>
              <w:spacing w:after="20"/>
              <w:jc w:val="right"/>
            </w:pPr>
            <w:r>
              <w:rPr>
                <w:color w:val="1C3A36"/>
                <w:sz w:val="15"/>
              </w:rPr>
              <w:t>162</w:t>
            </w:r>
          </w:p>
        </w:tc>
        <w:tc>
          <w:tcPr>
            <w:tcW w:type="dxa" w:w="950"/>
          </w:tcPr>
          <w:p>
            <w:pPr>
              <w:spacing w:after="20"/>
              <w:jc w:val="right"/>
            </w:pPr>
            <w:r>
              <w:rPr>
                <w:color w:val="1C3A36"/>
                <w:sz w:val="15"/>
              </w:rPr>
              <w:t>225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Joint ventures and associates</w:t>
            </w:r>
          </w:p>
        </w:tc>
        <w:tc>
          <w:tcPr>
            <w:tcW w:type="dxa" w:w="950"/>
          </w:tcPr>
          <w:p>
            <w:pPr>
              <w:spacing w:after="20"/>
              <w:jc w:val="right"/>
            </w:pPr>
            <w:r>
              <w:rPr>
                <w:color w:val="1C3A36"/>
                <w:sz w:val="15"/>
              </w:rPr>
              <w:t>77</w:t>
            </w:r>
          </w:p>
        </w:tc>
        <w:tc>
          <w:tcPr>
            <w:tcW w:type="dxa" w:w="950"/>
          </w:tcPr>
          <w:p>
            <w:pPr>
              <w:spacing w:after="20"/>
              <w:jc w:val="right"/>
            </w:pPr>
            <w:r>
              <w:rPr>
                <w:color w:val="1C3A36"/>
                <w:sz w:val="15"/>
              </w:rPr>
              <w:t>268</w:t>
            </w:r>
          </w:p>
        </w:tc>
        <w:tc>
          <w:tcPr>
            <w:tcW w:type="dxa" w:w="950"/>
          </w:tcPr>
          <w:p>
            <w:pPr>
              <w:spacing w:after="20"/>
              <w:jc w:val="right"/>
            </w:pPr>
            <w:r>
              <w:rPr>
                <w:color w:val="1C3A36"/>
                <w:sz w:val="15"/>
              </w:rPr>
              <w:t>578</w:t>
            </w:r>
          </w:p>
        </w:tc>
        <w:tc>
          <w:tcPr>
            <w:tcW w:type="dxa" w:w="950"/>
          </w:tcPr>
          <w:p>
            <w:pPr>
              <w:spacing w:after="20"/>
              <w:jc w:val="right"/>
            </w:pPr>
            <w:r>
              <w:rPr>
                <w:color w:val="1C3A36"/>
                <w:sz w:val="15"/>
              </w:rPr>
              <w:t>523</w:t>
            </w:r>
          </w:p>
        </w:tc>
        <w:tc>
          <w:tcPr>
            <w:tcW w:type="dxa" w:w="950"/>
          </w:tcPr>
          <w:p>
            <w:pPr>
              <w:spacing w:after="20"/>
              <w:jc w:val="right"/>
            </w:pPr>
            <w:r>
              <w:rPr>
                <w:color w:val="1C3A36"/>
                <w:sz w:val="15"/>
              </w:rPr>
              <w:t>523</w:t>
            </w:r>
          </w:p>
        </w:tc>
        <w:tc>
          <w:tcPr>
            <w:tcW w:type="dxa" w:w="950"/>
          </w:tcPr>
          <w:p>
            <w:pPr>
              <w:spacing w:after="20"/>
              <w:jc w:val="right"/>
            </w:pPr>
            <w:r>
              <w:rPr>
                <w:color w:val="1C3A36"/>
                <w:sz w:val="15"/>
              </w:rPr>
              <w:t>523</w:t>
            </w:r>
          </w:p>
        </w:tc>
        <w:tc>
          <w:tcPr>
            <w:tcW w:type="dxa" w:w="950"/>
          </w:tcPr>
          <w:p>
            <w:pPr>
              <w:spacing w:after="20"/>
              <w:jc w:val="right"/>
            </w:pPr>
            <w:r>
              <w:rPr>
                <w:color w:val="1C3A36"/>
                <w:sz w:val="15"/>
              </w:rPr>
              <w:t>523</w:t>
            </w:r>
          </w:p>
        </w:tc>
        <w:tc>
          <w:tcPr>
            <w:tcW w:type="dxa" w:w="950"/>
          </w:tcPr>
          <w:p>
            <w:pPr>
              <w:spacing w:after="20"/>
              <w:jc w:val="right"/>
            </w:pPr>
            <w:r>
              <w:rPr>
                <w:color w:val="1C3A36"/>
                <w:sz w:val="15"/>
              </w:rPr>
              <w:t>523</w:t>
            </w:r>
          </w:p>
        </w:tc>
      </w:tr>
      <w:tr>
        <w:trPr>
          <w:cantSplit/>
        </w:trPr>
        <w:tc>
          <w:tcPr>
            <w:tcW w:type="dxa" w:w="2477"/>
          </w:tcPr>
          <w:p>
            <w:pPr>
              <w:spacing w:after="20"/>
            </w:pPr>
            <w:r>
              <w:rPr>
                <w:color w:val="1C3A36"/>
                <w:sz w:val="15"/>
              </w:rPr>
              <w:t>Intangibles and goodwill</w:t>
            </w:r>
          </w:p>
        </w:tc>
        <w:tc>
          <w:tcPr>
            <w:tcW w:type="dxa" w:w="950"/>
          </w:tcPr>
          <w:p>
            <w:pPr>
              <w:spacing w:after="20"/>
              <w:jc w:val="right"/>
            </w:pPr>
            <w:r>
              <w:rPr>
                <w:color w:val="1C3A36"/>
                <w:sz w:val="15"/>
              </w:rPr>
              <w:t>63</w:t>
            </w:r>
          </w:p>
        </w:tc>
        <w:tc>
          <w:tcPr>
            <w:tcW w:type="dxa" w:w="950"/>
          </w:tcPr>
          <w:p>
            <w:pPr>
              <w:spacing w:after="20"/>
              <w:jc w:val="right"/>
            </w:pPr>
            <w:r>
              <w:rPr>
                <w:color w:val="1C3A36"/>
                <w:sz w:val="15"/>
              </w:rPr>
              <w:t>62</w:t>
            </w:r>
          </w:p>
        </w:tc>
        <w:tc>
          <w:tcPr>
            <w:tcW w:type="dxa" w:w="950"/>
          </w:tcPr>
          <w:p>
            <w:pPr>
              <w:spacing w:after="20"/>
              <w:jc w:val="right"/>
            </w:pPr>
            <w:r>
              <w:rPr>
                <w:color w:val="1C3A36"/>
                <w:sz w:val="15"/>
              </w:rPr>
              <w:t>71</w:t>
            </w:r>
          </w:p>
        </w:tc>
        <w:tc>
          <w:tcPr>
            <w:tcW w:type="dxa" w:w="950"/>
          </w:tcPr>
          <w:p>
            <w:pPr>
              <w:spacing w:after="20"/>
              <w:jc w:val="right"/>
            </w:pPr>
            <w:r>
              <w:rPr>
                <w:color w:val="1C3A36"/>
                <w:sz w:val="15"/>
              </w:rPr>
              <w:t>68</w:t>
            </w:r>
          </w:p>
        </w:tc>
        <w:tc>
          <w:tcPr>
            <w:tcW w:type="dxa" w:w="950"/>
          </w:tcPr>
          <w:p>
            <w:pPr>
              <w:spacing w:after="20"/>
              <w:jc w:val="right"/>
            </w:pPr>
            <w:r>
              <w:rPr>
                <w:color w:val="1C3A36"/>
                <w:sz w:val="15"/>
              </w:rPr>
              <w:t>68</w:t>
            </w:r>
          </w:p>
        </w:tc>
        <w:tc>
          <w:tcPr>
            <w:tcW w:type="dxa" w:w="950"/>
          </w:tcPr>
          <w:p>
            <w:pPr>
              <w:spacing w:after="20"/>
              <w:jc w:val="right"/>
            </w:pPr>
            <w:r>
              <w:rPr>
                <w:color w:val="1C3A36"/>
                <w:sz w:val="15"/>
              </w:rPr>
              <w:t>68</w:t>
            </w:r>
          </w:p>
        </w:tc>
        <w:tc>
          <w:tcPr>
            <w:tcW w:type="dxa" w:w="950"/>
          </w:tcPr>
          <w:p>
            <w:pPr>
              <w:spacing w:after="20"/>
              <w:jc w:val="right"/>
            </w:pPr>
            <w:r>
              <w:rPr>
                <w:color w:val="1C3A36"/>
                <w:sz w:val="15"/>
              </w:rPr>
              <w:t>68</w:t>
            </w:r>
          </w:p>
        </w:tc>
        <w:tc>
          <w:tcPr>
            <w:tcW w:type="dxa" w:w="950"/>
          </w:tcPr>
          <w:p>
            <w:pPr>
              <w:spacing w:after="20"/>
              <w:jc w:val="right"/>
            </w:pPr>
            <w:r>
              <w:rPr>
                <w:color w:val="1C3A36"/>
                <w:sz w:val="15"/>
              </w:rPr>
              <w:t>68</w:t>
            </w:r>
          </w:p>
        </w:tc>
      </w:tr>
      <w:tr>
        <w:trPr>
          <w:cantSplit/>
        </w:trPr>
        <w:tc>
          <w:tcPr>
            <w:tcW w:type="dxa" w:w="2477"/>
          </w:tcPr>
          <w:p>
            <w:pPr>
              <w:spacing w:after="20"/>
            </w:pPr>
            <w:r>
              <w:rPr>
                <w:color w:val="1C3A36"/>
                <w:sz w:val="15"/>
              </w:rPr>
              <w:t>Inventories</w:t>
            </w:r>
          </w:p>
        </w:tc>
        <w:tc>
          <w:tcPr>
            <w:tcW w:type="dxa" w:w="950"/>
          </w:tcPr>
          <w:p>
            <w:pPr>
              <w:spacing w:after="20"/>
              <w:jc w:val="right"/>
            </w:pPr>
            <w:r>
              <w:rPr>
                <w:color w:val="1C3A36"/>
                <w:sz w:val="15"/>
              </w:rPr>
              <w:t>121</w:t>
            </w:r>
          </w:p>
        </w:tc>
        <w:tc>
          <w:tcPr>
            <w:tcW w:type="dxa" w:w="950"/>
          </w:tcPr>
          <w:p>
            <w:pPr>
              <w:spacing w:after="20"/>
              <w:jc w:val="right"/>
            </w:pPr>
            <w:r>
              <w:rPr>
                <w:color w:val="1C3A36"/>
                <w:sz w:val="15"/>
              </w:rPr>
              <w:t>133</w:t>
            </w:r>
          </w:p>
        </w:tc>
        <w:tc>
          <w:tcPr>
            <w:tcW w:type="dxa" w:w="950"/>
          </w:tcPr>
          <w:p>
            <w:pPr>
              <w:spacing w:after="20"/>
              <w:jc w:val="right"/>
            </w:pPr>
            <w:r>
              <w:rPr>
                <w:color w:val="1C3A36"/>
                <w:sz w:val="15"/>
              </w:rPr>
              <w:t>137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Receivables and amounts due from related parties</w:t>
            </w:r>
          </w:p>
        </w:tc>
        <w:tc>
          <w:tcPr>
            <w:tcW w:type="dxa" w:w="950"/>
          </w:tcPr>
          <w:p>
            <w:pPr>
              <w:spacing w:after="20"/>
              <w:jc w:val="right"/>
            </w:pPr>
            <w:r>
              <w:rPr>
                <w:color w:val="1C3A36"/>
                <w:sz w:val="15"/>
              </w:rPr>
              <w:t>1,131</w:t>
            </w:r>
          </w:p>
        </w:tc>
        <w:tc>
          <w:tcPr>
            <w:tcW w:type="dxa" w:w="950"/>
          </w:tcPr>
          <w:p>
            <w:pPr>
              <w:spacing w:after="20"/>
              <w:jc w:val="right"/>
            </w:pPr>
            <w:r>
              <w:rPr>
                <w:color w:val="1C3A36"/>
                <w:sz w:val="15"/>
              </w:rPr>
              <w:t>1,285</w:t>
            </w:r>
          </w:p>
        </w:tc>
        <w:tc>
          <w:tcPr>
            <w:tcW w:type="dxa" w:w="950"/>
          </w:tcPr>
          <w:p>
            <w:pPr>
              <w:spacing w:after="20"/>
              <w:jc w:val="right"/>
            </w:pPr>
            <w:r>
              <w:rPr>
                <w:color w:val="1C3A36"/>
                <w:sz w:val="15"/>
              </w:rPr>
              <w:t>1,490</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Payables and amounts due to related parties</w:t>
            </w:r>
          </w:p>
        </w:tc>
        <w:tc>
          <w:tcPr>
            <w:tcW w:type="dxa" w:w="950"/>
          </w:tcPr>
          <w:p>
            <w:pPr>
              <w:spacing w:after="20"/>
              <w:jc w:val="right"/>
            </w:pPr>
            <w:r>
              <w:rPr>
                <w:color w:val="1C3A36"/>
                <w:sz w:val="15"/>
              </w:rPr>
              <w:t>(962)</w:t>
            </w:r>
          </w:p>
        </w:tc>
        <w:tc>
          <w:tcPr>
            <w:tcW w:type="dxa" w:w="950"/>
          </w:tcPr>
          <w:p>
            <w:pPr>
              <w:spacing w:after="20"/>
              <w:jc w:val="right"/>
            </w:pPr>
            <w:r>
              <w:rPr>
                <w:color w:val="1C3A36"/>
                <w:sz w:val="15"/>
              </w:rPr>
              <w:t>(1,228)</w:t>
            </w:r>
          </w:p>
        </w:tc>
        <w:tc>
          <w:tcPr>
            <w:tcW w:type="dxa" w:w="950"/>
          </w:tcPr>
          <w:p>
            <w:pPr>
              <w:spacing w:after="20"/>
              <w:jc w:val="right"/>
            </w:pPr>
            <w:r>
              <w:rPr>
                <w:color w:val="1C3A36"/>
                <w:sz w:val="15"/>
              </w:rPr>
              <w:t>(1,280)</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shd w:val="clear" w:color="auto" w:fill="F6F1E6"/>
          </w:tcPr>
          <w:p>
            <w:pPr>
              <w:spacing w:after="20"/>
            </w:pPr>
            <w:r>
              <w:rPr>
                <w:b/>
                <w:color w:val="1C3A36"/>
                <w:sz w:val="15"/>
              </w:rPr>
              <w:t>Net working capital</w:t>
            </w:r>
          </w:p>
        </w:tc>
        <w:tc>
          <w:tcPr>
            <w:tcW w:type="dxa" w:w="950"/>
            <w:shd w:val="clear" w:color="auto" w:fill="F6F1E6"/>
          </w:tcPr>
          <w:p>
            <w:pPr>
              <w:spacing w:after="20"/>
              <w:jc w:val="right"/>
            </w:pPr>
            <w:r>
              <w:rPr>
                <w:b/>
                <w:color w:val="1C3A36"/>
                <w:sz w:val="15"/>
              </w:rPr>
              <w:t>290</w:t>
            </w:r>
          </w:p>
        </w:tc>
        <w:tc>
          <w:tcPr>
            <w:tcW w:type="dxa" w:w="950"/>
            <w:shd w:val="clear" w:color="auto" w:fill="F6F1E6"/>
          </w:tcPr>
          <w:p>
            <w:pPr>
              <w:spacing w:after="20"/>
              <w:jc w:val="right"/>
            </w:pPr>
            <w:r>
              <w:rPr>
                <w:b/>
                <w:color w:val="1C3A36"/>
                <w:sz w:val="15"/>
              </w:rPr>
              <w:t>190</w:t>
            </w:r>
          </w:p>
        </w:tc>
        <w:tc>
          <w:tcPr>
            <w:tcW w:type="dxa" w:w="950"/>
            <w:shd w:val="clear" w:color="auto" w:fill="F6F1E6"/>
          </w:tcPr>
          <w:p>
            <w:pPr>
              <w:spacing w:after="20"/>
              <w:jc w:val="right"/>
            </w:pPr>
            <w:r>
              <w:rPr>
                <w:b/>
                <w:color w:val="1C3A36"/>
                <w:sz w:val="15"/>
              </w:rPr>
              <w:t>346</w:t>
            </w:r>
          </w:p>
        </w:tc>
        <w:tc>
          <w:tcPr>
            <w:tcW w:type="dxa" w:w="950"/>
            <w:shd w:val="clear" w:color="auto" w:fill="F6F1E6"/>
          </w:tcPr>
          <w:p>
            <w:pPr>
              <w:spacing w:after="20"/>
              <w:jc w:val="right"/>
            </w:pPr>
            <w:r>
              <w:rPr>
                <w:b/>
                <w:color w:val="1C3A36"/>
                <w:sz w:val="15"/>
              </w:rPr>
              <w:t>732</w:t>
            </w:r>
          </w:p>
        </w:tc>
        <w:tc>
          <w:tcPr>
            <w:tcW w:type="dxa" w:w="950"/>
            <w:shd w:val="clear" w:color="auto" w:fill="F6F1E6"/>
          </w:tcPr>
          <w:p>
            <w:pPr>
              <w:spacing w:after="20"/>
              <w:jc w:val="right"/>
            </w:pPr>
            <w:r>
              <w:rPr>
                <w:b/>
                <w:color w:val="1C3A36"/>
                <w:sz w:val="15"/>
              </w:rPr>
              <w:t>854</w:t>
            </w:r>
          </w:p>
        </w:tc>
        <w:tc>
          <w:tcPr>
            <w:tcW w:type="dxa" w:w="950"/>
            <w:shd w:val="clear" w:color="auto" w:fill="F6F1E6"/>
          </w:tcPr>
          <w:p>
            <w:pPr>
              <w:spacing w:after="20"/>
              <w:jc w:val="right"/>
            </w:pPr>
            <w:r>
              <w:rPr>
                <w:b/>
                <w:color w:val="1C3A36"/>
                <w:sz w:val="15"/>
              </w:rPr>
              <w:t>789</w:t>
            </w:r>
          </w:p>
        </w:tc>
        <w:tc>
          <w:tcPr>
            <w:tcW w:type="dxa" w:w="950"/>
            <w:shd w:val="clear" w:color="auto" w:fill="F6F1E6"/>
          </w:tcPr>
          <w:p>
            <w:pPr>
              <w:spacing w:after="20"/>
              <w:jc w:val="right"/>
            </w:pPr>
            <w:r>
              <w:rPr>
                <w:b/>
                <w:color w:val="1C3A36"/>
                <w:sz w:val="15"/>
              </w:rPr>
              <w:t>644</w:t>
            </w:r>
          </w:p>
        </w:tc>
        <w:tc>
          <w:tcPr>
            <w:tcW w:type="dxa" w:w="950"/>
            <w:shd w:val="clear" w:color="auto" w:fill="F6F1E6"/>
          </w:tcPr>
          <w:p>
            <w:pPr>
              <w:spacing w:after="20"/>
              <w:jc w:val="right"/>
            </w:pPr>
            <w:r>
              <w:rPr>
                <w:b/>
                <w:color w:val="1C3A36"/>
                <w:sz w:val="15"/>
              </w:rPr>
              <w:t>485</w:t>
            </w:r>
          </w:p>
        </w:tc>
      </w:tr>
      <w:tr>
        <w:trPr>
          <w:cantSplit/>
        </w:trPr>
        <w:tc>
          <w:tcPr>
            <w:tcW w:type="dxa" w:w="2477"/>
          </w:tcPr>
          <w:p>
            <w:pPr>
              <w:spacing w:after="20"/>
            </w:pPr>
            <w:r>
              <w:rPr>
                <w:color w:val="1C3A36"/>
                <w:sz w:val="15"/>
              </w:rPr>
              <w:t>Cash and cash equivalents</w:t>
            </w:r>
          </w:p>
        </w:tc>
        <w:tc>
          <w:tcPr>
            <w:tcW w:type="dxa" w:w="950"/>
          </w:tcPr>
          <w:p>
            <w:pPr>
              <w:spacing w:after="20"/>
              <w:jc w:val="right"/>
            </w:pPr>
            <w:r>
              <w:rPr>
                <w:color w:val="1C3A36"/>
                <w:sz w:val="15"/>
              </w:rPr>
              <w:t>216</w:t>
            </w:r>
          </w:p>
        </w:tc>
        <w:tc>
          <w:tcPr>
            <w:tcW w:type="dxa" w:w="950"/>
          </w:tcPr>
          <w:p>
            <w:pPr>
              <w:spacing w:after="20"/>
              <w:jc w:val="right"/>
            </w:pPr>
            <w:r>
              <w:rPr>
                <w:color w:val="1C3A36"/>
                <w:sz w:val="15"/>
              </w:rPr>
              <w:t>199</w:t>
            </w:r>
          </w:p>
        </w:tc>
        <w:tc>
          <w:tcPr>
            <w:tcW w:type="dxa" w:w="950"/>
          </w:tcPr>
          <w:p>
            <w:pPr>
              <w:spacing w:after="20"/>
              <w:jc w:val="right"/>
            </w:pPr>
            <w:r>
              <w:rPr>
                <w:color w:val="1C3A36"/>
                <w:sz w:val="15"/>
              </w:rPr>
              <w:t>338</w:t>
            </w:r>
          </w:p>
        </w:tc>
        <w:tc>
          <w:tcPr>
            <w:tcW w:type="dxa" w:w="950"/>
          </w:tcPr>
          <w:p>
            <w:pPr>
              <w:spacing w:after="20"/>
              <w:jc w:val="right"/>
            </w:pPr>
            <w:r>
              <w:rPr>
                <w:color w:val="1C3A36"/>
                <w:sz w:val="15"/>
              </w:rPr>
              <w:t>543</w:t>
            </w:r>
          </w:p>
        </w:tc>
        <w:tc>
          <w:tcPr>
            <w:tcW w:type="dxa" w:w="950"/>
          </w:tcPr>
          <w:p>
            <w:pPr>
              <w:spacing w:after="20"/>
              <w:jc w:val="right"/>
            </w:pPr>
            <w:r>
              <w:rPr>
                <w:color w:val="1C3A36"/>
                <w:sz w:val="15"/>
              </w:rPr>
              <w:t>543</w:t>
            </w:r>
          </w:p>
        </w:tc>
        <w:tc>
          <w:tcPr>
            <w:tcW w:type="dxa" w:w="950"/>
          </w:tcPr>
          <w:p>
            <w:pPr>
              <w:spacing w:after="20"/>
              <w:jc w:val="right"/>
            </w:pPr>
            <w:r>
              <w:rPr>
                <w:color w:val="1C3A36"/>
                <w:sz w:val="15"/>
              </w:rPr>
              <w:t>543</w:t>
            </w:r>
          </w:p>
        </w:tc>
        <w:tc>
          <w:tcPr>
            <w:tcW w:type="dxa" w:w="950"/>
          </w:tcPr>
          <w:p>
            <w:pPr>
              <w:spacing w:after="20"/>
              <w:jc w:val="right"/>
            </w:pPr>
            <w:r>
              <w:rPr>
                <w:color w:val="1C3A36"/>
                <w:sz w:val="15"/>
              </w:rPr>
              <w:t>543</w:t>
            </w:r>
          </w:p>
        </w:tc>
        <w:tc>
          <w:tcPr>
            <w:tcW w:type="dxa" w:w="950"/>
          </w:tcPr>
          <w:p>
            <w:pPr>
              <w:spacing w:after="20"/>
              <w:jc w:val="right"/>
            </w:pPr>
            <w:r>
              <w:rPr>
                <w:color w:val="1C3A36"/>
                <w:sz w:val="15"/>
              </w:rPr>
              <w:t>543</w:t>
            </w:r>
          </w:p>
        </w:tc>
      </w:tr>
      <w:tr>
        <w:trPr>
          <w:cantSplit/>
        </w:trPr>
        <w:tc>
          <w:tcPr>
            <w:tcW w:type="dxa" w:w="2477"/>
          </w:tcPr>
          <w:p>
            <w:pPr>
              <w:spacing w:after="20"/>
            </w:pPr>
            <w:r>
              <w:rPr>
                <w:color w:val="1C3A36"/>
                <w:sz w:val="15"/>
              </w:rPr>
              <w:t>Total assets</w:t>
            </w:r>
          </w:p>
        </w:tc>
        <w:tc>
          <w:tcPr>
            <w:tcW w:type="dxa" w:w="950"/>
          </w:tcPr>
          <w:p>
            <w:pPr>
              <w:spacing w:after="20"/>
              <w:jc w:val="right"/>
            </w:pPr>
            <w:r>
              <w:rPr>
                <w:color w:val="1C3A36"/>
                <w:sz w:val="15"/>
              </w:rPr>
              <w:t>5,746</w:t>
            </w:r>
          </w:p>
        </w:tc>
        <w:tc>
          <w:tcPr>
            <w:tcW w:type="dxa" w:w="950"/>
          </w:tcPr>
          <w:p>
            <w:pPr>
              <w:spacing w:after="20"/>
              <w:jc w:val="right"/>
            </w:pPr>
            <w:r>
              <w:rPr>
                <w:color w:val="1C3A36"/>
                <w:sz w:val="15"/>
              </w:rPr>
              <w:t>7,003</w:t>
            </w:r>
          </w:p>
        </w:tc>
        <w:tc>
          <w:tcPr>
            <w:tcW w:type="dxa" w:w="950"/>
          </w:tcPr>
          <w:p>
            <w:pPr>
              <w:spacing w:after="20"/>
              <w:jc w:val="right"/>
            </w:pPr>
            <w:r>
              <w:rPr>
                <w:color w:val="1C3A36"/>
                <w:sz w:val="15"/>
              </w:rPr>
              <w:t>9,965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Gross debt</w:t>
            </w:r>
          </w:p>
        </w:tc>
        <w:tc>
          <w:tcPr>
            <w:tcW w:type="dxa" w:w="950"/>
          </w:tcPr>
          <w:p>
            <w:pPr>
              <w:spacing w:after="20"/>
              <w:jc w:val="right"/>
            </w:pPr>
            <w:r>
              <w:rPr>
                <w:color w:val="1C3A36"/>
                <w:sz w:val="15"/>
              </w:rPr>
              <w:t>290</w:t>
            </w:r>
          </w:p>
        </w:tc>
        <w:tc>
          <w:tcPr>
            <w:tcW w:type="dxa" w:w="950"/>
          </w:tcPr>
          <w:p>
            <w:pPr>
              <w:spacing w:after="20"/>
              <w:jc w:val="right"/>
            </w:pPr>
            <w:r>
              <w:rPr>
                <w:color w:val="1C3A36"/>
                <w:sz w:val="15"/>
              </w:rPr>
              <w:t>739</w:t>
            </w:r>
          </w:p>
        </w:tc>
        <w:tc>
          <w:tcPr>
            <w:tcW w:type="dxa" w:w="950"/>
          </w:tcPr>
          <w:p>
            <w:pPr>
              <w:spacing w:after="20"/>
              <w:jc w:val="right"/>
            </w:pPr>
            <w:r>
              <w:rPr>
                <w:color w:val="1C3A36"/>
                <w:sz w:val="15"/>
              </w:rPr>
              <w:t>1,032</w:t>
            </w:r>
          </w:p>
        </w:tc>
        <w:tc>
          <w:tcPr>
            <w:tcW w:type="dxa" w:w="950"/>
          </w:tcPr>
          <w:p>
            <w:pPr>
              <w:spacing w:after="20"/>
              <w:jc w:val="right"/>
            </w:pPr>
            <w:r>
              <w:rPr>
                <w:color w:val="1C3A36"/>
                <w:sz w:val="15"/>
              </w:rPr>
              <w:t>2,404</w:t>
            </w:r>
          </w:p>
        </w:tc>
        <w:tc>
          <w:tcPr>
            <w:tcW w:type="dxa" w:w="950"/>
          </w:tcPr>
          <w:p>
            <w:pPr>
              <w:spacing w:after="20"/>
              <w:jc w:val="right"/>
            </w:pPr>
            <w:r>
              <w:rPr>
                <w:color w:val="1C3A36"/>
                <w:sz w:val="15"/>
              </w:rPr>
              <w:t>2,060</w:t>
            </w:r>
          </w:p>
        </w:tc>
        <w:tc>
          <w:tcPr>
            <w:tcW w:type="dxa" w:w="950"/>
          </w:tcPr>
          <w:p>
            <w:pPr>
              <w:spacing w:after="20"/>
              <w:jc w:val="right"/>
            </w:pPr>
            <w:r>
              <w:rPr>
                <w:color w:val="1C3A36"/>
                <w:sz w:val="15"/>
              </w:rPr>
              <w:t>903</w:t>
            </w:r>
          </w:p>
        </w:tc>
        <w:tc>
          <w:tcPr>
            <w:tcW w:type="dxa" w:w="950"/>
          </w:tcPr>
          <w:p>
            <w:pPr>
              <w:spacing w:after="20"/>
              <w:jc w:val="right"/>
            </w:pPr>
            <w:r>
              <w:rPr>
                <w:color w:val="1C3A36"/>
                <w:sz w:val="15"/>
              </w:rPr>
              <w:t>-275</w:t>
            </w:r>
          </w:p>
        </w:tc>
        <w:tc>
          <w:tcPr>
            <w:tcW w:type="dxa" w:w="950"/>
          </w:tcPr>
          <w:p>
            <w:pPr>
              <w:spacing w:after="20"/>
              <w:jc w:val="right"/>
            </w:pPr>
            <w:r>
              <w:rPr>
                <w:color w:val="1C3A36"/>
                <w:sz w:val="15"/>
              </w:rPr>
              <w:t>-1,633</w:t>
            </w:r>
          </w:p>
        </w:tc>
      </w:tr>
      <w:tr>
        <w:trPr>
          <w:cantSplit/>
        </w:trPr>
        <w:tc>
          <w:tcPr>
            <w:tcW w:type="dxa" w:w="2477"/>
          </w:tcPr>
          <w:p>
            <w:pPr>
              <w:spacing w:after="20"/>
            </w:pPr>
            <w:r>
              <w:rPr>
                <w:color w:val="1C3A36"/>
                <w:sz w:val="15"/>
              </w:rPr>
              <w:t>Net debt</w:t>
            </w:r>
          </w:p>
        </w:tc>
        <w:tc>
          <w:tcPr>
            <w:tcW w:type="dxa" w:w="950"/>
          </w:tcPr>
          <w:p>
            <w:pPr>
              <w:spacing w:after="20"/>
              <w:jc w:val="right"/>
            </w:pPr>
            <w:r>
              <w:rPr>
                <w:color w:val="1C3A36"/>
                <w:sz w:val="15"/>
              </w:rPr>
              <w:t>74</w:t>
            </w:r>
          </w:p>
        </w:tc>
        <w:tc>
          <w:tcPr>
            <w:tcW w:type="dxa" w:w="950"/>
          </w:tcPr>
          <w:p>
            <w:pPr>
              <w:spacing w:after="20"/>
              <w:jc w:val="right"/>
            </w:pPr>
            <w:r>
              <w:rPr>
                <w:color w:val="1C3A36"/>
                <w:sz w:val="15"/>
              </w:rPr>
              <w:t>540</w:t>
            </w:r>
          </w:p>
        </w:tc>
        <w:tc>
          <w:tcPr>
            <w:tcW w:type="dxa" w:w="950"/>
          </w:tcPr>
          <w:p>
            <w:pPr>
              <w:spacing w:after="20"/>
              <w:jc w:val="right"/>
            </w:pPr>
            <w:r>
              <w:rPr>
                <w:color w:val="1C3A36"/>
                <w:sz w:val="15"/>
              </w:rPr>
              <w:t>694</w:t>
            </w:r>
          </w:p>
        </w:tc>
        <w:tc>
          <w:tcPr>
            <w:tcW w:type="dxa" w:w="950"/>
          </w:tcPr>
          <w:p>
            <w:pPr>
              <w:spacing w:after="20"/>
              <w:jc w:val="right"/>
            </w:pPr>
            <w:r>
              <w:rPr>
                <w:color w:val="1C3A36"/>
                <w:sz w:val="15"/>
              </w:rPr>
              <w:t>1,517</w:t>
            </w:r>
          </w:p>
        </w:tc>
        <w:tc>
          <w:tcPr>
            <w:tcW w:type="dxa" w:w="950"/>
          </w:tcPr>
          <w:p>
            <w:pPr>
              <w:spacing w:after="20"/>
              <w:jc w:val="right"/>
            </w:pPr>
            <w:r>
              <w:rPr>
                <w:color w:val="1C3A36"/>
                <w:sz w:val="15"/>
              </w:rPr>
              <w:t>360</w:t>
            </w:r>
          </w:p>
        </w:tc>
        <w:tc>
          <w:tcPr>
            <w:tcW w:type="dxa" w:w="950"/>
          </w:tcPr>
          <w:p>
            <w:pPr>
              <w:spacing w:after="20"/>
              <w:jc w:val="right"/>
            </w:pPr>
            <w:r>
              <w:rPr>
                <w:color w:val="1C3A36"/>
                <w:sz w:val="15"/>
              </w:rPr>
              <w:t>(818)</w:t>
            </w:r>
          </w:p>
        </w:tc>
        <w:tc>
          <w:tcPr>
            <w:tcW w:type="dxa" w:w="950"/>
          </w:tcPr>
          <w:p>
            <w:pPr>
              <w:spacing w:after="20"/>
              <w:jc w:val="right"/>
            </w:pPr>
            <w:r>
              <w:rPr>
                <w:color w:val="1C3A36"/>
                <w:sz w:val="15"/>
              </w:rPr>
              <w:t>(2,176)</w:t>
            </w:r>
          </w:p>
        </w:tc>
        <w:tc>
          <w:tcPr>
            <w:tcW w:type="dxa" w:w="950"/>
          </w:tcPr>
          <w:p>
            <w:pPr>
              <w:spacing w:after="20"/>
              <w:jc w:val="right"/>
            </w:pPr>
            <w:r>
              <w:rPr>
                <w:color w:val="1C3A36"/>
                <w:sz w:val="15"/>
              </w:rPr>
              <w:t>(3,114)</w:t>
            </w:r>
          </w:p>
        </w:tc>
      </w:tr>
      <w:tr>
        <w:trPr>
          <w:cantSplit/>
        </w:trPr>
        <w:tc>
          <w:tcPr>
            <w:tcW w:type="dxa" w:w="2477"/>
          </w:tcPr>
          <w:p>
            <w:pPr>
              <w:spacing w:after="20"/>
            </w:pPr>
            <w:r>
              <w:rPr>
                <w:color w:val="1C3A36"/>
                <w:sz w:val="15"/>
              </w:rPr>
              <w:t>Perpetual capital securities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r>
      <w:tr>
        <w:trPr>
          <w:cantSplit/>
        </w:trPr>
        <w:tc>
          <w:tcPr>
            <w:tcW w:type="dxa" w:w="2477"/>
          </w:tcPr>
          <w:p>
            <w:pPr>
              <w:spacing w:after="20"/>
            </w:pPr>
            <w:r>
              <w:rPr>
                <w:color w:val="1C3A36"/>
                <w:sz w:val="15"/>
              </w:rPr>
              <w:t>Non-controlling interests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265</w:t>
            </w:r>
          </w:p>
        </w:tc>
        <w:tc>
          <w:tcPr>
            <w:tcW w:type="dxa" w:w="950"/>
          </w:tcPr>
          <w:p>
            <w:pPr>
              <w:spacing w:after="20"/>
              <w:jc w:val="right"/>
            </w:pPr>
            <w:r>
              <w:rPr>
                <w:color w:val="1C3A36"/>
                <w:sz w:val="15"/>
              </w:rPr>
              <w:t>289</w:t>
            </w:r>
          </w:p>
        </w:tc>
        <w:tc>
          <w:tcPr>
            <w:tcW w:type="dxa" w:w="950"/>
          </w:tcPr>
          <w:p>
            <w:pPr>
              <w:spacing w:after="20"/>
              <w:jc w:val="right"/>
            </w:pPr>
            <w:r>
              <w:rPr>
                <w:color w:val="1C3A36"/>
                <w:sz w:val="15"/>
              </w:rPr>
              <w:t>289</w:t>
            </w:r>
          </w:p>
        </w:tc>
        <w:tc>
          <w:tcPr>
            <w:tcW w:type="dxa" w:w="950"/>
          </w:tcPr>
          <w:p>
            <w:pPr>
              <w:spacing w:after="20"/>
              <w:jc w:val="right"/>
            </w:pPr>
            <w:r>
              <w:rPr>
                <w:color w:val="1C3A36"/>
                <w:sz w:val="15"/>
              </w:rPr>
              <w:t>289</w:t>
            </w:r>
          </w:p>
        </w:tc>
        <w:tc>
          <w:tcPr>
            <w:tcW w:type="dxa" w:w="950"/>
          </w:tcPr>
          <w:p>
            <w:pPr>
              <w:spacing w:after="20"/>
              <w:jc w:val="right"/>
            </w:pPr>
            <w:r>
              <w:rPr>
                <w:color w:val="1C3A36"/>
                <w:sz w:val="15"/>
              </w:rPr>
              <w:t>289</w:t>
            </w:r>
          </w:p>
        </w:tc>
        <w:tc>
          <w:tcPr>
            <w:tcW w:type="dxa" w:w="950"/>
          </w:tcPr>
          <w:p>
            <w:pPr>
              <w:spacing w:after="20"/>
              <w:jc w:val="right"/>
            </w:pPr>
            <w:r>
              <w:rPr>
                <w:color w:val="1C3A36"/>
                <w:sz w:val="15"/>
              </w:rPr>
              <w:t>289</w:t>
            </w:r>
          </w:p>
        </w:tc>
      </w:tr>
      <w:tr>
        <w:trPr>
          <w:cantSplit/>
        </w:trPr>
        <w:tc>
          <w:tcPr>
            <w:tcW w:type="dxa" w:w="2477"/>
            <w:shd w:val="clear" w:color="auto" w:fill="F6F1E6"/>
          </w:tcPr>
          <w:p>
            <w:pPr>
              <w:spacing w:after="20"/>
            </w:pPr>
            <w:r>
              <w:rPr>
                <w:b/>
                <w:color w:val="1C3A36"/>
                <w:sz w:val="15"/>
              </w:rPr>
              <w:t>Equity attributable to ordinary shareholders</w:t>
            </w:r>
          </w:p>
        </w:tc>
        <w:tc>
          <w:tcPr>
            <w:tcW w:type="dxa" w:w="950"/>
            <w:shd w:val="clear" w:color="auto" w:fill="F6F1E6"/>
          </w:tcPr>
          <w:p>
            <w:pPr>
              <w:spacing w:after="20"/>
              <w:jc w:val="right"/>
            </w:pPr>
            <w:r>
              <w:rPr>
                <w:b/>
                <w:color w:val="1C3A36"/>
                <w:sz w:val="15"/>
              </w:rPr>
              <w:t>4,406</w:t>
            </w:r>
          </w:p>
        </w:tc>
        <w:tc>
          <w:tcPr>
            <w:tcW w:type="dxa" w:w="950"/>
            <w:shd w:val="clear" w:color="auto" w:fill="F6F1E6"/>
          </w:tcPr>
          <w:p>
            <w:pPr>
              <w:spacing w:after="20"/>
              <w:jc w:val="right"/>
            </w:pPr>
            <w:r>
              <w:rPr>
                <w:b/>
                <w:color w:val="1C3A36"/>
                <w:sz w:val="15"/>
              </w:rPr>
              <w:t>4,895</w:t>
            </w:r>
          </w:p>
        </w:tc>
        <w:tc>
          <w:tcPr>
            <w:tcW w:type="dxa" w:w="950"/>
            <w:shd w:val="clear" w:color="auto" w:fill="F6F1E6"/>
          </w:tcPr>
          <w:p>
            <w:pPr>
              <w:spacing w:after="20"/>
              <w:jc w:val="right"/>
            </w:pPr>
            <w:r>
              <w:rPr>
                <w:b/>
                <w:color w:val="1C3A36"/>
                <w:sz w:val="15"/>
              </w:rPr>
              <w:t>4,982</w:t>
            </w:r>
          </w:p>
        </w:tc>
        <w:tc>
          <w:tcPr>
            <w:tcW w:type="dxa" w:w="950"/>
            <w:shd w:val="clear" w:color="auto" w:fill="F6F1E6"/>
          </w:tcPr>
          <w:p>
            <w:pPr>
              <w:spacing w:after="20"/>
              <w:jc w:val="right"/>
            </w:pPr>
            <w:r>
              <w:rPr>
                <w:b/>
                <w:color w:val="1C3A36"/>
                <w:sz w:val="15"/>
              </w:rPr>
              <w:t>7,304</w:t>
            </w:r>
          </w:p>
        </w:tc>
        <w:tc>
          <w:tcPr>
            <w:tcW w:type="dxa" w:w="950"/>
            <w:shd w:val="clear" w:color="auto" w:fill="F6F1E6"/>
          </w:tcPr>
          <w:p>
            <w:pPr>
              <w:spacing w:after="20"/>
              <w:jc w:val="right"/>
            </w:pPr>
            <w:r>
              <w:rPr>
                <w:b/>
                <w:color w:val="1C3A36"/>
                <w:sz w:val="15"/>
              </w:rPr>
              <w:t>9,041</w:t>
            </w:r>
          </w:p>
        </w:tc>
        <w:tc>
          <w:tcPr>
            <w:tcW w:type="dxa" w:w="950"/>
            <w:shd w:val="clear" w:color="auto" w:fill="F6F1E6"/>
          </w:tcPr>
          <w:p>
            <w:pPr>
              <w:spacing w:after="20"/>
              <w:jc w:val="right"/>
            </w:pPr>
            <w:r>
              <w:rPr>
                <w:b/>
                <w:color w:val="1C3A36"/>
                <w:sz w:val="15"/>
              </w:rPr>
              <w:t>10,584</w:t>
            </w:r>
          </w:p>
        </w:tc>
        <w:tc>
          <w:tcPr>
            <w:tcW w:type="dxa" w:w="950"/>
            <w:shd w:val="clear" w:color="auto" w:fill="F6F1E6"/>
          </w:tcPr>
          <w:p>
            <w:pPr>
              <w:spacing w:after="20"/>
              <w:jc w:val="right"/>
            </w:pPr>
            <w:r>
              <w:rPr>
                <w:b/>
                <w:color w:val="1C3A36"/>
                <w:sz w:val="15"/>
              </w:rPr>
              <w:t>11,683</w:t>
            </w:r>
          </w:p>
        </w:tc>
        <w:tc>
          <w:tcPr>
            <w:tcW w:type="dxa" w:w="950"/>
            <w:shd w:val="clear" w:color="auto" w:fill="F6F1E6"/>
          </w:tcPr>
          <w:p>
            <w:pPr>
              <w:spacing w:after="20"/>
              <w:jc w:val="right"/>
            </w:pPr>
            <w:r>
              <w:rPr>
                <w:b/>
                <w:color w:val="1C3A36"/>
                <w:sz w:val="15"/>
              </w:rPr>
              <w:t>12,316</w:t>
            </w:r>
          </w:p>
        </w:tc>
      </w:tr>
      <w:tr>
        <w:trPr>
          <w:cantSplit/>
        </w:trPr>
        <w:tc>
          <w:tcPr>
            <w:tcW w:type="dxa" w:w="2477"/>
          </w:tcPr>
          <w:p>
            <w:pPr>
              <w:spacing w:after="20"/>
            </w:pPr>
            <w:r>
              <w:rPr>
                <w:color w:val="1C3A36"/>
                <w:sz w:val="15"/>
              </w:rPr>
              <w:t>Book value per share (USD)</w:t>
            </w:r>
          </w:p>
        </w:tc>
        <w:tc>
          <w:tcPr>
            <w:tcW w:type="dxa" w:w="950"/>
          </w:tcPr>
          <w:p>
            <w:pPr>
              <w:spacing w:after="20"/>
              <w:jc w:val="right"/>
            </w:pPr>
            <w:r>
              <w:rPr>
                <w:color w:val="1C3A36"/>
                <w:sz w:val="15"/>
              </w:rPr>
              <w:t>0.5955</w:t>
            </w:r>
          </w:p>
        </w:tc>
        <w:tc>
          <w:tcPr>
            <w:tcW w:type="dxa" w:w="950"/>
          </w:tcPr>
          <w:p>
            <w:pPr>
              <w:spacing w:after="20"/>
              <w:jc w:val="right"/>
            </w:pPr>
            <w:r>
              <w:rPr>
                <w:color w:val="1C3A36"/>
                <w:sz w:val="15"/>
              </w:rPr>
              <w:t>0.6616</w:t>
            </w:r>
          </w:p>
        </w:tc>
        <w:tc>
          <w:tcPr>
            <w:tcW w:type="dxa" w:w="950"/>
          </w:tcPr>
          <w:p>
            <w:pPr>
              <w:spacing w:after="20"/>
              <w:jc w:val="right"/>
            </w:pPr>
            <w:r>
              <w:rPr>
                <w:color w:val="1C3A36"/>
                <w:sz w:val="15"/>
              </w:rPr>
              <w:t>0.6734</w:t>
            </w:r>
          </w:p>
        </w:tc>
        <w:tc>
          <w:tcPr>
            <w:tcW w:type="dxa" w:w="950"/>
          </w:tcPr>
          <w:p>
            <w:pPr>
              <w:spacing w:after="20"/>
              <w:jc w:val="right"/>
            </w:pPr>
            <w:r>
              <w:rPr>
                <w:color w:val="1C3A36"/>
                <w:sz w:val="15"/>
              </w:rPr>
              <w:t>0.9872</w:t>
            </w:r>
          </w:p>
        </w:tc>
        <w:tc>
          <w:tcPr>
            <w:tcW w:type="dxa" w:w="950"/>
          </w:tcPr>
          <w:p>
            <w:pPr>
              <w:spacing w:after="20"/>
              <w:jc w:val="right"/>
            </w:pPr>
            <w:r>
              <w:rPr>
                <w:color w:val="1C3A36"/>
                <w:sz w:val="15"/>
              </w:rPr>
              <w:t>1.2220</w:t>
            </w:r>
          </w:p>
        </w:tc>
        <w:tc>
          <w:tcPr>
            <w:tcW w:type="dxa" w:w="950"/>
          </w:tcPr>
          <w:p>
            <w:pPr>
              <w:spacing w:after="20"/>
              <w:jc w:val="right"/>
            </w:pPr>
            <w:r>
              <w:rPr>
                <w:color w:val="1C3A36"/>
                <w:sz w:val="15"/>
              </w:rPr>
              <w:t>1.4306</w:t>
            </w:r>
          </w:p>
        </w:tc>
        <w:tc>
          <w:tcPr>
            <w:tcW w:type="dxa" w:w="950"/>
          </w:tcPr>
          <w:p>
            <w:pPr>
              <w:spacing w:after="20"/>
              <w:jc w:val="right"/>
            </w:pPr>
            <w:r>
              <w:rPr>
                <w:color w:val="1C3A36"/>
                <w:sz w:val="15"/>
              </w:rPr>
              <w:t>1.5791</w:t>
            </w:r>
          </w:p>
        </w:tc>
        <w:tc>
          <w:tcPr>
            <w:tcW w:type="dxa" w:w="950"/>
          </w:tcPr>
          <w:p>
            <w:pPr>
              <w:spacing w:after="20"/>
              <w:jc w:val="right"/>
            </w:pPr>
            <w:r>
              <w:rPr>
                <w:color w:val="1C3A36"/>
                <w:sz w:val="15"/>
              </w:rPr>
              <w:t>1.6646</w:t>
            </w:r>
          </w:p>
        </w:tc>
      </w:tr>
      <w:tr>
        <w:trPr>
          <w:cantSplit/>
        </w:trPr>
        <w:tc>
          <w:tcPr>
            <w:tcW w:type="dxa" w:w="2477"/>
          </w:tcPr>
          <w:p>
            <w:pPr>
              <w:spacing w:after="20"/>
            </w:pPr>
            <w:r>
              <w:rPr>
                <w:color w:val="1C3A36"/>
                <w:sz w:val="15"/>
              </w:rPr>
              <w:t>Net debt / earnings</w:t>
            </w:r>
          </w:p>
        </w:tc>
        <w:tc>
          <w:tcPr>
            <w:tcW w:type="dxa" w:w="950"/>
          </w:tcPr>
          <w:p>
            <w:pPr>
              <w:spacing w:after="20"/>
              <w:jc w:val="right"/>
            </w:pPr>
            <w:r>
              <w:rPr>
                <w:color w:val="1C3A36"/>
                <w:sz w:val="15"/>
              </w:rPr>
              <w:t>0.09×</w:t>
            </w:r>
          </w:p>
        </w:tc>
        <w:tc>
          <w:tcPr>
            <w:tcW w:type="dxa" w:w="950"/>
          </w:tcPr>
          <w:p>
            <w:pPr>
              <w:spacing w:after="20"/>
              <w:jc w:val="right"/>
            </w:pPr>
            <w:r>
              <w:rPr>
                <w:color w:val="1C3A36"/>
                <w:sz w:val="15"/>
              </w:rPr>
              <w:t>0.48×</w:t>
            </w:r>
          </w:p>
        </w:tc>
        <w:tc>
          <w:tcPr>
            <w:tcW w:type="dxa" w:w="950"/>
          </w:tcPr>
          <w:p>
            <w:pPr>
              <w:spacing w:after="20"/>
              <w:jc w:val="right"/>
            </w:pPr>
            <w:r>
              <w:rPr>
                <w:color w:val="1C3A36"/>
                <w:sz w:val="15"/>
              </w:rPr>
              <w:t>0.47×</w:t>
            </w:r>
          </w:p>
        </w:tc>
        <w:tc>
          <w:tcPr>
            <w:tcW w:type="dxa" w:w="950"/>
          </w:tcPr>
          <w:p>
            <w:pPr>
              <w:spacing w:after="20"/>
              <w:jc w:val="right"/>
            </w:pPr>
            <w:r>
              <w:rPr>
                <w:color w:val="1C3A36"/>
                <w:sz w:val="15"/>
              </w:rPr>
              <w:t>0.56×</w:t>
            </w:r>
          </w:p>
        </w:tc>
        <w:tc>
          <w:tcPr>
            <w:tcW w:type="dxa" w:w="950"/>
          </w:tcPr>
          <w:p>
            <w:pPr>
              <w:spacing w:after="20"/>
              <w:jc w:val="right"/>
            </w:pPr>
            <w:r>
              <w:rPr>
                <w:color w:val="1C3A36"/>
                <w:sz w:val="15"/>
              </w:rPr>
              <w:t>0.11×</w:t>
            </w:r>
          </w:p>
        </w:tc>
        <w:tc>
          <w:tcPr>
            <w:tcW w:type="dxa" w:w="950"/>
          </w:tcPr>
          <w:p>
            <w:pPr>
              <w:spacing w:after="20"/>
              <w:jc w:val="right"/>
            </w:pPr>
            <w:r>
              <w:rPr>
                <w:color w:val="1C3A36"/>
                <w:sz w:val="15"/>
              </w:rPr>
              <w:t>-0.28×</w:t>
            </w:r>
          </w:p>
        </w:tc>
        <w:tc>
          <w:tcPr>
            <w:tcW w:type="dxa" w:w="950"/>
          </w:tcPr>
          <w:p>
            <w:pPr>
              <w:spacing w:after="20"/>
              <w:jc w:val="right"/>
            </w:pPr>
            <w:r>
              <w:rPr>
                <w:color w:val="1C3A36"/>
                <w:sz w:val="15"/>
              </w:rPr>
              <w:t>-0.90×</w:t>
            </w:r>
          </w:p>
        </w:tc>
        <w:tc>
          <w:tcPr>
            <w:tcW w:type="dxa" w:w="950"/>
          </w:tcPr>
          <w:p>
            <w:pPr>
              <w:spacing w:after="20"/>
              <w:jc w:val="right"/>
            </w:pPr>
            <w:r>
              <w:rPr>
                <w:color w:val="1C3A36"/>
                <w:sz w:val="15"/>
              </w:rPr>
              <w:t>-1.66×</w:t>
            </w:r>
          </w:p>
        </w:tc>
      </w:tr>
      <w:tr>
        <w:trPr>
          <w:cantSplit/>
        </w:trPr>
        <w:tc>
          <w:tcPr>
            <w:tcW w:type="dxa" w:w="2477"/>
          </w:tcPr>
          <w:p>
            <w:pPr>
              <w:spacing w:after="20"/>
            </w:pPr>
            <w:r>
              <w:rPr>
                <w:color w:val="1C3A36"/>
                <w:sz w:val="15"/>
              </w:rPr>
              <w:t>Return on equity</w:t>
            </w:r>
          </w:p>
        </w:tc>
        <w:tc>
          <w:tcPr>
            <w:tcW w:type="dxa" w:w="950"/>
          </w:tcPr>
          <w:p>
            <w:pPr>
              <w:spacing w:after="20"/>
              <w:jc w:val="right"/>
            </w:pPr>
            <w:r>
              <w:rPr>
                <w:color w:val="1C3A36"/>
                <w:sz w:val="15"/>
              </w:rPr>
              <w:t>14.1%</w:t>
            </w:r>
          </w:p>
        </w:tc>
        <w:tc>
          <w:tcPr>
            <w:tcW w:type="dxa" w:w="950"/>
          </w:tcPr>
          <w:p>
            <w:pPr>
              <w:spacing w:after="20"/>
              <w:jc w:val="right"/>
            </w:pPr>
            <w:r>
              <w:rPr>
                <w:color w:val="1C3A36"/>
                <w:sz w:val="15"/>
              </w:rPr>
              <w:t>15.4%</w:t>
            </w:r>
          </w:p>
        </w:tc>
        <w:tc>
          <w:tcPr>
            <w:tcW w:type="dxa" w:w="950"/>
          </w:tcPr>
          <w:p>
            <w:pPr>
              <w:spacing w:after="20"/>
              <w:jc w:val="right"/>
            </w:pPr>
            <w:r>
              <w:rPr>
                <w:color w:val="1C3A36"/>
                <w:sz w:val="15"/>
              </w:rPr>
              <w:t>16.8%</w:t>
            </w:r>
          </w:p>
        </w:tc>
        <w:tc>
          <w:tcPr>
            <w:tcW w:type="dxa" w:w="950"/>
          </w:tcPr>
          <w:p>
            <w:pPr>
              <w:spacing w:after="20"/>
              <w:jc w:val="right"/>
            </w:pPr>
            <w:r>
              <w:rPr>
                <w:color w:val="1C3A36"/>
                <w:sz w:val="15"/>
              </w:rPr>
              <w:t>25.4%</w:t>
            </w:r>
          </w:p>
        </w:tc>
        <w:tc>
          <w:tcPr>
            <w:tcW w:type="dxa" w:w="950"/>
          </w:tcPr>
          <w:p>
            <w:pPr>
              <w:spacing w:after="20"/>
              <w:jc w:val="right"/>
            </w:pPr>
            <w:r>
              <w:rPr>
                <w:color w:val="1C3A36"/>
                <w:sz w:val="15"/>
              </w:rPr>
              <w:t>24.3%</w:t>
            </w:r>
          </w:p>
        </w:tc>
        <w:tc>
          <w:tcPr>
            <w:tcW w:type="dxa" w:w="950"/>
          </w:tcPr>
          <w:p>
            <w:pPr>
              <w:spacing w:after="20"/>
              <w:jc w:val="right"/>
            </w:pPr>
            <w:r>
              <w:rPr>
                <w:color w:val="1C3A36"/>
                <w:sz w:val="15"/>
              </w:rPr>
              <w:t>19.0%</w:t>
            </w:r>
          </w:p>
        </w:tc>
        <w:tc>
          <w:tcPr>
            <w:tcW w:type="dxa" w:w="950"/>
          </w:tcPr>
          <w:p>
            <w:pPr>
              <w:spacing w:after="20"/>
              <w:jc w:val="right"/>
            </w:pPr>
            <w:r>
              <w:rPr>
                <w:color w:val="1C3A36"/>
                <w:sz w:val="15"/>
              </w:rPr>
              <w:t>13.6%</w:t>
            </w:r>
          </w:p>
        </w:tc>
        <w:tc>
          <w:tcPr>
            <w:tcW w:type="dxa" w:w="950"/>
          </w:tcPr>
          <w:p>
            <w:pPr>
              <w:spacing w:after="20"/>
              <w:jc w:val="right"/>
            </w:pPr>
            <w:r>
              <w:rPr>
                <w:color w:val="1C3A36"/>
                <w:sz w:val="15"/>
              </w:rPr>
              <w:t>9.3%</w:t>
            </w:r>
          </w:p>
        </w:tc>
      </w:tr>
    </w:tbl>
    <w:p>
      <w:pPr>
        <w:spacing w:after="40"/>
      </w:pPr>
    </w:p>
    <w:p>
      <w:pPr>
        <w:spacing w:after="200" w:before="0"/>
      </w:pPr>
      <w:r>
        <w:rPr>
          <w:b w:val="0"/>
          <w:i/>
          <w:color w:val="6E7B77"/>
          <w:sz w:val="17"/>
        </w:rPr>
        <w:t>All three reported years are audited; every line is the closing figure from the company's own consolidated statements, with no roll-forward. The forecast columns are a condensed layout carrying only the lines the model actually rolls forward — the fleet, working capital, the funding and the equity account — and lines that are not modelled are shown as unavailable rather than estimated. Book value per share excludes the perpetual capital securities, which the accounts include inside total equity. The perpetual securities are the reason total equity jumped from USD 4,895 million to USD 7,225 million in FY2025 while equity attributable to ordinary shareholders barely moved. Two ratio rows carry one definition each, end to end, and both were spliced in an earlier edition. Return on equity is attributable profit over CLOSING equity attributable to ordinary shareholders in every column; the forecast years were previously shown over AVERAGE equity, which is a different measure and made the series read as a rise where a consistent basis shows a fall. On the average-equity convention the same forecast years are 28.2% · 26.8% · 20.5% · 14.3% · 9.5%, and the residual-income lens in section 1.2 uses a third convention — OPENING book — which is the right one for that construction and is named there. Net debt to earnings is on the operating earnings definition used throughout this study in every column; the reported years were previously shown against the company's own wider reported earnings figure, which is a different denominator from the one the forecast columns use.</w:t>
      </w:r>
    </w:p>
    <w:p>
      <w:pPr>
        <w:keepNext/>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Capital expenditure</w:t>
            </w:r>
          </w:p>
        </w:tc>
        <w:tc>
          <w:tcPr>
            <w:tcW w:type="dxa" w:w="1382"/>
          </w:tcPr>
          <w:p>
            <w:pPr>
              <w:spacing w:after="20"/>
              <w:jc w:val="right"/>
            </w:pPr>
            <w:r>
              <w:rPr>
                <w:color w:val="1C3A36"/>
                <w:sz w:val="16"/>
              </w:rPr>
              <w:t>(1,375)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(700)</w:t>
            </w:r>
          </w:p>
        </w:tc>
        <w:tc>
          <w:tcPr>
            <w:tcW w:type="dxa" w:w="1382"/>
          </w:tcPr>
          <w:p>
            <w:pPr>
              <w:spacing w:after="20"/>
              <w:jc w:val="right"/>
            </w:pPr>
            <w:r>
              <w:rPr>
                <w:color w:val="1C3A36"/>
                <w:sz w:val="16"/>
              </w:rPr>
              <w:t>(650)</w:t>
            </w:r>
          </w:p>
        </w:tc>
      </w:tr>
      <w:tr>
        <w:trPr>
          <w:cantSplit/>
        </w:trPr>
        <w:tc>
          <w:tcPr>
            <w:tcW w:type="dxa" w:w="3168"/>
          </w:tcPr>
          <w:p>
            <w:pPr>
              <w:spacing w:after="20"/>
            </w:pPr>
            <w:r>
              <w:rPr>
                <w:color w:val="1C3A36"/>
                <w:sz w:val="16"/>
              </w:rPr>
              <w:t>Change in working capital</w:t>
            </w:r>
          </w:p>
        </w:tc>
        <w:tc>
          <w:tcPr>
            <w:tcW w:type="dxa" w:w="1382"/>
          </w:tcPr>
          <w:p>
            <w:pPr>
              <w:spacing w:after="20"/>
              <w:jc w:val="right"/>
            </w:pPr>
            <w:r>
              <w:rPr>
                <w:color w:val="1C3A36"/>
                <w:sz w:val="16"/>
              </w:rPr>
              <w:t>(385)</w:t>
            </w:r>
          </w:p>
        </w:tc>
        <w:tc>
          <w:tcPr>
            <w:tcW w:type="dxa" w:w="1382"/>
          </w:tcPr>
          <w:p>
            <w:pPr>
              <w:spacing w:after="20"/>
              <w:jc w:val="right"/>
            </w:pPr>
            <w:r>
              <w:rPr>
                <w:color w:val="1C3A36"/>
                <w:sz w:val="16"/>
              </w:rPr>
              <w:t>(122)</w:t>
            </w:r>
          </w:p>
        </w:tc>
        <w:tc>
          <w:tcPr>
            <w:tcW w:type="dxa" w:w="1382"/>
          </w:tcPr>
          <w:p>
            <w:pPr>
              <w:spacing w:after="20"/>
              <w:jc w:val="right"/>
            </w:pPr>
            <w:r>
              <w:rPr>
                <w:color w:val="1C3A36"/>
                <w:sz w:val="16"/>
              </w:rPr>
              <w:t>65</w:t>
            </w:r>
          </w:p>
        </w:tc>
        <w:tc>
          <w:tcPr>
            <w:tcW w:type="dxa" w:w="1382"/>
          </w:tcPr>
          <w:p>
            <w:pPr>
              <w:spacing w:after="20"/>
              <w:jc w:val="right"/>
            </w:pPr>
            <w:r>
              <w:rPr>
                <w:color w:val="1C3A36"/>
                <w:sz w:val="16"/>
              </w:rPr>
              <w:t>145</w:t>
            </w:r>
          </w:p>
        </w:tc>
        <w:tc>
          <w:tcPr>
            <w:tcW w:type="dxa" w:w="1382"/>
          </w:tcPr>
          <w:p>
            <w:pPr>
              <w:spacing w:after="20"/>
              <w:jc w:val="right"/>
            </w:pPr>
            <w:r>
              <w:rPr>
                <w:color w:val="1C3A36"/>
                <w:sz w:val="16"/>
              </w:rPr>
              <w:t>159</w:t>
            </w:r>
          </w:p>
        </w:tc>
      </w:tr>
      <w:tr>
        <w:trPr>
          <w:cantSplit/>
        </w:trPr>
        <w:tc>
          <w:tcPr>
            <w:tcW w:type="dxa" w:w="3168"/>
            <w:shd w:val="clear" w:color="auto" w:fill="F6F1E6"/>
          </w:tcPr>
          <w:p>
            <w:pPr>
              <w:spacing w:after="20"/>
            </w:pPr>
            <w:r>
              <w:rPr>
                <w:b/>
                <w:color w:val="1C3A36"/>
                <w:sz w:val="16"/>
              </w:rPr>
              <w:t>Free cash flow to the firm</w:t>
            </w:r>
          </w:p>
        </w:tc>
        <w:tc>
          <w:tcPr>
            <w:tcW w:type="dxa" w:w="1382"/>
            <w:shd w:val="clear" w:color="auto" w:fill="F6F1E6"/>
          </w:tcPr>
          <w:p>
            <w:pPr>
              <w:spacing w:after="20"/>
              <w:jc w:val="right"/>
            </w:pPr>
            <w:r>
              <w:rPr>
                <w:b/>
                <w:color w:val="1C3A36"/>
                <w:sz w:val="16"/>
              </w:rPr>
              <w:t>903</w:t>
            </w:r>
          </w:p>
        </w:tc>
        <w:tc>
          <w:tcPr>
            <w:tcW w:type="dxa" w:w="1382"/>
            <w:shd w:val="clear" w:color="auto" w:fill="F6F1E6"/>
          </w:tcPr>
          <w:p>
            <w:pPr>
              <w:spacing w:after="20"/>
              <w:jc w:val="right"/>
            </w:pPr>
            <w:r>
              <w:rPr>
                <w:b/>
                <w:color w:val="1C3A36"/>
                <w:sz w:val="16"/>
              </w:rPr>
              <w:t>1,713</w:t>
            </w:r>
          </w:p>
        </w:tc>
        <w:tc>
          <w:tcPr>
            <w:tcW w:type="dxa" w:w="1382"/>
            <w:shd w:val="clear" w:color="auto" w:fill="F6F1E6"/>
          </w:tcPr>
          <w:p>
            <w:pPr>
              <w:spacing w:after="20"/>
              <w:jc w:val="right"/>
            </w:pPr>
            <w:r>
              <w:rPr>
                <w:b/>
                <w:color w:val="1C3A36"/>
                <w:sz w:val="16"/>
              </w:rPr>
              <w:t>1,685</w:t>
            </w:r>
          </w:p>
        </w:tc>
        <w:tc>
          <w:tcPr>
            <w:tcW w:type="dxa" w:w="1382"/>
            <w:shd w:val="clear" w:color="auto" w:fill="F6F1E6"/>
          </w:tcPr>
          <w:p>
            <w:pPr>
              <w:spacing w:after="20"/>
              <w:jc w:val="right"/>
            </w:pPr>
            <w:r>
              <w:rPr>
                <w:b/>
                <w:color w:val="1C3A36"/>
                <w:sz w:val="16"/>
              </w:rPr>
              <w:t>1,816</w:t>
            </w:r>
          </w:p>
        </w:tc>
        <w:tc>
          <w:tcPr>
            <w:tcW w:type="dxa" w:w="1382"/>
            <w:shd w:val="clear" w:color="auto" w:fill="F6F1E6"/>
          </w:tcPr>
          <w:p>
            <w:pPr>
              <w:spacing w:after="20"/>
              <w:jc w:val="right"/>
            </w:pPr>
            <w:r>
              <w:rPr>
                <w:b/>
                <w:color w:val="1C3A36"/>
                <w:sz w:val="16"/>
              </w:rPr>
              <w:t>1,337</w:t>
            </w:r>
          </w:p>
        </w:tc>
      </w:tr>
      <w:tr>
        <w:trPr>
          <w:cantSplit/>
        </w:trPr>
        <w:tc>
          <w:tcPr>
            <w:tcW w:type="dxa" w:w="3168"/>
          </w:tcPr>
          <w:p>
            <w:pPr>
              <w:spacing w:after="20"/>
            </w:pPr>
            <w:r>
              <w:rPr>
                <w:color w:val="1C3A36"/>
                <w:sz w:val="16"/>
              </w:rPr>
              <w:t>Interest on the modelled debt</w:t>
            </w:r>
          </w:p>
        </w:tc>
        <w:tc>
          <w:tcPr>
            <w:tcW w:type="dxa" w:w="1382"/>
          </w:tcPr>
          <w:p>
            <w:pPr>
              <w:spacing w:after="20"/>
              <w:jc w:val="right"/>
            </w:pPr>
            <w:r>
              <w:rPr>
                <w:color w:val="1C3A36"/>
                <w:sz w:val="16"/>
              </w:rPr>
              <w:t>(153)</w:t>
            </w:r>
          </w:p>
        </w:tc>
        <w:tc>
          <w:tcPr>
            <w:tcW w:type="dxa" w:w="1382"/>
          </w:tcPr>
          <w:p>
            <w:pPr>
              <w:spacing w:after="20"/>
              <w:jc w:val="right"/>
            </w:pPr>
            <w:r>
              <w:rPr>
                <w:color w:val="1C3A36"/>
                <w:sz w:val="16"/>
              </w:rPr>
              <w:t>(131)</w:t>
            </w:r>
          </w:p>
        </w:tc>
        <w:tc>
          <w:tcPr>
            <w:tcW w:type="dxa" w:w="1382"/>
          </w:tcPr>
          <w:p>
            <w:pPr>
              <w:spacing w:after="20"/>
              <w:jc w:val="right"/>
            </w:pPr>
            <w:r>
              <w:rPr>
                <w:color w:val="1C3A36"/>
                <w:sz w:val="16"/>
              </w:rPr>
              <w:t>(57)</w:t>
            </w:r>
          </w:p>
        </w:tc>
        <w:tc>
          <w:tcPr>
            <w:tcW w:type="dxa" w:w="1382"/>
          </w:tcPr>
          <w:p>
            <w:pPr>
              <w:spacing w:after="20"/>
              <w:jc w:val="right"/>
            </w:pPr>
            <w:r>
              <w:rPr>
                <w:color w:val="1C3A36"/>
                <w:sz w:val="16"/>
              </w:rPr>
              <w:t>(-17)</w:t>
            </w:r>
          </w:p>
        </w:tc>
        <w:tc>
          <w:tcPr>
            <w:tcW w:type="dxa" w:w="1382"/>
          </w:tcPr>
          <w:p>
            <w:pPr>
              <w:spacing w:after="20"/>
              <w:jc w:val="right"/>
            </w:pPr>
            <w:r>
              <w:rPr>
                <w:color w:val="1C3A36"/>
                <w:sz w:val="16"/>
              </w:rPr>
              <w:t>(-104)</w:t>
            </w:r>
          </w:p>
        </w:tc>
      </w:tr>
      <w:tr>
        <w:trPr>
          <w:cantSplit/>
        </w:trPr>
        <w:tc>
          <w:tcPr>
            <w:tcW w:type="dxa" w:w="3168"/>
          </w:tcPr>
          <w:p>
            <w:pPr>
              <w:spacing w:after="20"/>
            </w:pPr>
            <w:r>
              <w:rPr>
                <w:color w:val="1C3A36"/>
                <w:sz w:val="16"/>
              </w:rPr>
              <w:t>Perpetual securities coupon</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r>
      <w:tr>
        <w:trPr>
          <w:cantSplit/>
        </w:trPr>
        <w:tc>
          <w:tcPr>
            <w:tcW w:type="dxa" w:w="3168"/>
          </w:tcPr>
          <w:p>
            <w:pPr>
              <w:spacing w:after="20"/>
            </w:pPr>
            <w:r>
              <w:rPr>
                <w:color w:val="1C3A36"/>
                <w:sz w:val="16"/>
              </w:rPr>
              <w:t>Ordinary distributions</w:t>
            </w:r>
          </w:p>
        </w:tc>
        <w:tc>
          <w:tcPr>
            <w:tcW w:type="dxa" w:w="1382"/>
          </w:tcPr>
          <w:p>
            <w:pPr>
              <w:spacing w:after="20"/>
              <w:jc w:val="right"/>
            </w:pPr>
            <w:r>
              <w:rPr>
                <w:color w:val="1C3A36"/>
                <w:sz w:val="16"/>
              </w:rPr>
              <w:t>(341)</w:t>
            </w:r>
          </w:p>
        </w:tc>
        <w:tc>
          <w:tcPr>
            <w:tcW w:type="dxa" w:w="1382"/>
          </w:tcPr>
          <w:p>
            <w:pPr>
              <w:spacing w:after="20"/>
              <w:jc w:val="right"/>
            </w:pPr>
            <w:r>
              <w:rPr>
                <w:color w:val="1C3A36"/>
                <w:sz w:val="16"/>
              </w:rPr>
              <w:t>(358)</w:t>
            </w:r>
          </w:p>
        </w:tc>
        <w:tc>
          <w:tcPr>
            <w:tcW w:type="dxa" w:w="1382"/>
          </w:tcPr>
          <w:p>
            <w:pPr>
              <w:spacing w:after="20"/>
              <w:jc w:val="right"/>
            </w:pPr>
            <w:r>
              <w:rPr>
                <w:color w:val="1C3A36"/>
                <w:sz w:val="16"/>
              </w:rPr>
              <w:t>(376)</w:t>
            </w:r>
          </w:p>
        </w:tc>
        <w:tc>
          <w:tcPr>
            <w:tcW w:type="dxa" w:w="1382"/>
          </w:tcPr>
          <w:p>
            <w:pPr>
              <w:spacing w:after="20"/>
              <w:jc w:val="right"/>
            </w:pPr>
            <w:r>
              <w:rPr>
                <w:color w:val="1C3A36"/>
                <w:sz w:val="16"/>
              </w:rPr>
              <w:t>(395)</w:t>
            </w:r>
          </w:p>
        </w:tc>
        <w:tc>
          <w:tcPr>
            <w:tcW w:type="dxa" w:w="1382"/>
          </w:tcPr>
          <w:p>
            <w:pPr>
              <w:spacing w:after="20"/>
              <w:jc w:val="right"/>
            </w:pPr>
            <w:r>
              <w:rPr>
                <w:color w:val="1C3A36"/>
                <w:sz w:val="16"/>
              </w:rPr>
              <w:t>(414)</w:t>
            </w:r>
          </w:p>
        </w:tc>
      </w:tr>
      <w:tr>
        <w:trPr>
          <w:cantSplit/>
        </w:trPr>
        <w:tc>
          <w:tcPr>
            <w:tcW w:type="dxa" w:w="3168"/>
          </w:tcPr>
          <w:p>
            <w:pPr>
              <w:spacing w:after="20"/>
            </w:pPr>
            <w:r>
              <w:rPr>
                <w:color w:val="1C3A36"/>
                <w:sz w:val="16"/>
              </w:rPr>
              <w:t>Payout ratio on attributable profit</w:t>
            </w:r>
          </w:p>
        </w:tc>
        <w:tc>
          <w:tcPr>
            <w:tcW w:type="dxa" w:w="1382"/>
          </w:tcPr>
          <w:p>
            <w:pPr>
              <w:spacing w:after="20"/>
              <w:jc w:val="right"/>
            </w:pPr>
            <w:r>
              <w:rPr>
                <w:color w:val="1C3A36"/>
                <w:sz w:val="16"/>
              </w:rPr>
              <w:t>18%</w:t>
            </w:r>
          </w:p>
        </w:tc>
        <w:tc>
          <w:tcPr>
            <w:tcW w:type="dxa" w:w="1382"/>
          </w:tcPr>
          <w:p>
            <w:pPr>
              <w:spacing w:after="20"/>
              <w:jc w:val="right"/>
            </w:pPr>
            <w:r>
              <w:rPr>
                <w:color w:val="1C3A36"/>
                <w:sz w:val="16"/>
              </w:rPr>
              <w:t>16%</w:t>
            </w:r>
          </w:p>
        </w:tc>
        <w:tc>
          <w:tcPr>
            <w:tcW w:type="dxa" w:w="1382"/>
          </w:tcPr>
          <w:p>
            <w:pPr>
              <w:spacing w:after="20"/>
              <w:jc w:val="right"/>
            </w:pPr>
            <w:r>
              <w:rPr>
                <w:color w:val="1C3A36"/>
                <w:sz w:val="16"/>
              </w:rPr>
              <w:t>19%</w:t>
            </w:r>
          </w:p>
        </w:tc>
        <w:tc>
          <w:tcPr>
            <w:tcW w:type="dxa" w:w="1382"/>
          </w:tcPr>
          <w:p>
            <w:pPr>
              <w:spacing w:after="20"/>
              <w:jc w:val="right"/>
            </w:pPr>
            <w:r>
              <w:rPr>
                <w:color w:val="1C3A36"/>
                <w:sz w:val="16"/>
              </w:rPr>
              <w:t>25%</w:t>
            </w:r>
          </w:p>
        </w:tc>
        <w:tc>
          <w:tcPr>
            <w:tcW w:type="dxa" w:w="1382"/>
          </w:tcPr>
          <w:p>
            <w:pPr>
              <w:spacing w:after="20"/>
              <w:jc w:val="right"/>
            </w:pPr>
            <w:r>
              <w:rPr>
                <w:color w:val="1C3A36"/>
                <w:sz w:val="16"/>
              </w:rPr>
              <w:t>36%</w:t>
            </w:r>
          </w:p>
        </w:tc>
      </w:tr>
      <w:tr>
        <w:trPr>
          <w:cantSplit/>
        </w:trPr>
        <w:tc>
          <w:tcPr>
            <w:tcW w:type="dxa" w:w="3168"/>
          </w:tcPr>
          <w:p>
            <w:pPr>
              <w:spacing w:after="20"/>
            </w:pPr>
            <w:r>
              <w:rPr>
                <w:color w:val="1C3A36"/>
                <w:sz w:val="16"/>
              </w:rPr>
              <w:t>Gross debt</w:t>
            </w:r>
          </w:p>
        </w:tc>
        <w:tc>
          <w:tcPr>
            <w:tcW w:type="dxa" w:w="1382"/>
          </w:tcPr>
          <w:p>
            <w:pPr>
              <w:spacing w:after="20"/>
              <w:jc w:val="right"/>
            </w:pPr>
            <w:r>
              <w:rPr>
                <w:color w:val="1C3A36"/>
                <w:sz w:val="16"/>
              </w:rPr>
              <w:t>2,404</w:t>
            </w:r>
          </w:p>
        </w:tc>
        <w:tc>
          <w:tcPr>
            <w:tcW w:type="dxa" w:w="1382"/>
          </w:tcPr>
          <w:p>
            <w:pPr>
              <w:spacing w:after="20"/>
              <w:jc w:val="right"/>
            </w:pPr>
            <w:r>
              <w:rPr>
                <w:color w:val="1C3A36"/>
                <w:sz w:val="16"/>
              </w:rPr>
              <w:t>2,060</w:t>
            </w:r>
          </w:p>
        </w:tc>
        <w:tc>
          <w:tcPr>
            <w:tcW w:type="dxa" w:w="1382"/>
          </w:tcPr>
          <w:p>
            <w:pPr>
              <w:spacing w:after="20"/>
              <w:jc w:val="right"/>
            </w:pPr>
            <w:r>
              <w:rPr>
                <w:color w:val="1C3A36"/>
                <w:sz w:val="16"/>
              </w:rPr>
              <w:t>903</w:t>
            </w:r>
          </w:p>
        </w:tc>
        <w:tc>
          <w:tcPr>
            <w:tcW w:type="dxa" w:w="1382"/>
          </w:tcPr>
          <w:p>
            <w:pPr>
              <w:spacing w:after="20"/>
              <w:jc w:val="right"/>
            </w:pPr>
            <w:r>
              <w:rPr>
                <w:color w:val="1C3A36"/>
                <w:sz w:val="16"/>
              </w:rPr>
              <w:t>-275</w:t>
            </w:r>
          </w:p>
        </w:tc>
        <w:tc>
          <w:tcPr>
            <w:tcW w:type="dxa" w:w="1382"/>
          </w:tcPr>
          <w:p>
            <w:pPr>
              <w:spacing w:after="20"/>
              <w:jc w:val="right"/>
            </w:pPr>
            <w:r>
              <w:rPr>
                <w:color w:val="1C3A36"/>
                <w:sz w:val="16"/>
              </w:rPr>
              <w:t>-1,633</w:t>
            </w:r>
          </w:p>
        </w:tc>
      </w:tr>
      <w:tr>
        <w:trPr>
          <w:cantSplit/>
        </w:trPr>
        <w:tc>
          <w:tcPr>
            <w:tcW w:type="dxa" w:w="3168"/>
          </w:tcPr>
          <w:p>
            <w:pPr>
              <w:spacing w:after="20"/>
            </w:pPr>
            <w:r>
              <w:rPr>
                <w:color w:val="1C3A36"/>
                <w:sz w:val="16"/>
              </w:rPr>
              <w:t>Net debt</w:t>
            </w:r>
          </w:p>
        </w:tc>
        <w:tc>
          <w:tcPr>
            <w:tcW w:type="dxa" w:w="1382"/>
          </w:tcPr>
          <w:p>
            <w:pPr>
              <w:spacing w:after="20"/>
              <w:jc w:val="right"/>
            </w:pPr>
            <w:r>
              <w:rPr>
                <w:color w:val="1C3A36"/>
                <w:sz w:val="16"/>
              </w:rPr>
              <w:t>1,517</w:t>
            </w:r>
          </w:p>
        </w:tc>
        <w:tc>
          <w:tcPr>
            <w:tcW w:type="dxa" w:w="1382"/>
          </w:tcPr>
          <w:p>
            <w:pPr>
              <w:spacing w:after="20"/>
              <w:jc w:val="right"/>
            </w:pPr>
            <w:r>
              <w:rPr>
                <w:color w:val="1C3A36"/>
                <w:sz w:val="16"/>
              </w:rPr>
              <w:t>360</w:t>
            </w:r>
          </w:p>
        </w:tc>
        <w:tc>
          <w:tcPr>
            <w:tcW w:type="dxa" w:w="1382"/>
          </w:tcPr>
          <w:p>
            <w:pPr>
              <w:spacing w:after="20"/>
              <w:jc w:val="right"/>
            </w:pPr>
            <w:r>
              <w:rPr>
                <w:color w:val="1C3A36"/>
                <w:sz w:val="16"/>
              </w:rPr>
              <w:t>(818)</w:t>
            </w:r>
          </w:p>
        </w:tc>
        <w:tc>
          <w:tcPr>
            <w:tcW w:type="dxa" w:w="1382"/>
          </w:tcPr>
          <w:p>
            <w:pPr>
              <w:spacing w:after="20"/>
              <w:jc w:val="right"/>
            </w:pPr>
            <w:r>
              <w:rPr>
                <w:color w:val="1C3A36"/>
                <w:sz w:val="16"/>
              </w:rPr>
              <w:t>(2,176)</w:t>
            </w:r>
          </w:p>
        </w:tc>
        <w:tc>
          <w:tcPr>
            <w:tcW w:type="dxa" w:w="1382"/>
          </w:tcPr>
          <w:p>
            <w:pPr>
              <w:spacing w:after="20"/>
              <w:jc w:val="right"/>
            </w:pPr>
            <w:r>
              <w:rPr>
                <w:color w:val="1C3A36"/>
                <w:sz w:val="16"/>
              </w:rPr>
              <w:t>(3,114)</w:t>
            </w:r>
          </w:p>
        </w:tc>
      </w:tr>
      <w:tr>
        <w:trPr>
          <w:cantSplit/>
        </w:trPr>
        <w:tc>
          <w:tcPr>
            <w:tcW w:type="dxa" w:w="3168"/>
            <w:shd w:val="clear" w:color="auto" w:fill="F6F1E6"/>
          </w:tcPr>
          <w:p>
            <w:pPr>
              <w:spacing w:after="20"/>
            </w:pPr>
            <w:r>
              <w:rPr>
                <w:b/>
                <w:color w:val="1C3A36"/>
                <w:sz w:val="16"/>
              </w:rPr>
              <w:t>Net debt / earnings</w:t>
            </w:r>
          </w:p>
        </w:tc>
        <w:tc>
          <w:tcPr>
            <w:tcW w:type="dxa" w:w="1382"/>
            <w:shd w:val="clear" w:color="auto" w:fill="F6F1E6"/>
          </w:tcPr>
          <w:p>
            <w:pPr>
              <w:spacing w:after="20"/>
              <w:jc w:val="right"/>
            </w:pPr>
            <w:r>
              <w:rPr>
                <w:b/>
                <w:color w:val="1C3A36"/>
                <w:sz w:val="16"/>
              </w:rPr>
              <w:t>0.56×</w:t>
            </w:r>
          </w:p>
        </w:tc>
        <w:tc>
          <w:tcPr>
            <w:tcW w:type="dxa" w:w="1382"/>
            <w:shd w:val="clear" w:color="auto" w:fill="F6F1E6"/>
          </w:tcPr>
          <w:p>
            <w:pPr>
              <w:spacing w:after="20"/>
              <w:jc w:val="right"/>
            </w:pPr>
            <w:r>
              <w:rPr>
                <w:b/>
                <w:color w:val="1C3A36"/>
                <w:sz w:val="16"/>
              </w:rPr>
              <w:t>0.11×</w:t>
            </w:r>
          </w:p>
        </w:tc>
        <w:tc>
          <w:tcPr>
            <w:tcW w:type="dxa" w:w="1382"/>
            <w:shd w:val="clear" w:color="auto" w:fill="F6F1E6"/>
          </w:tcPr>
          <w:p>
            <w:pPr>
              <w:spacing w:after="20"/>
              <w:jc w:val="right"/>
            </w:pPr>
            <w:r>
              <w:rPr>
                <w:b/>
                <w:color w:val="1C3A36"/>
                <w:sz w:val="16"/>
              </w:rPr>
              <w:t>-0.28×</w:t>
            </w:r>
          </w:p>
        </w:tc>
        <w:tc>
          <w:tcPr>
            <w:tcW w:type="dxa" w:w="1382"/>
            <w:shd w:val="clear" w:color="auto" w:fill="F6F1E6"/>
          </w:tcPr>
          <w:p>
            <w:pPr>
              <w:spacing w:after="20"/>
              <w:jc w:val="right"/>
            </w:pPr>
            <w:r>
              <w:rPr>
                <w:b/>
                <w:color w:val="1C3A36"/>
                <w:sz w:val="16"/>
              </w:rPr>
              <w:t>-0.90×</w:t>
            </w:r>
          </w:p>
        </w:tc>
        <w:tc>
          <w:tcPr>
            <w:tcW w:type="dxa" w:w="1382"/>
            <w:shd w:val="clear" w:color="auto" w:fill="F6F1E6"/>
          </w:tcPr>
          <w:p>
            <w:pPr>
              <w:spacing w:after="20"/>
              <w:jc w:val="right"/>
            </w:pPr>
            <w:r>
              <w:rPr>
                <w:b/>
                <w:color w:val="1C3A36"/>
                <w:sz w:val="16"/>
              </w:rPr>
              <w:t>-1.66×</w:t>
            </w:r>
          </w:p>
        </w:tc>
      </w:tr>
      <w:tr>
        <w:trPr>
          <w:cantSplit/>
        </w:trPr>
        <w:tc>
          <w:tcPr>
            <w:tcW w:type="dxa" w:w="3168"/>
          </w:tcPr>
          <w:p>
            <w:pPr>
              <w:spacing w:after="20"/>
            </w:pPr>
            <w:r>
              <w:rPr>
                <w:color w:val="1C3A36"/>
                <w:sz w:val="16"/>
              </w:rPr>
              <w:t>Invested capital</w:t>
            </w:r>
          </w:p>
        </w:tc>
        <w:tc>
          <w:tcPr>
            <w:tcW w:type="dxa" w:w="1382"/>
          </w:tcPr>
          <w:p>
            <w:pPr>
              <w:spacing w:after="20"/>
              <w:jc w:val="right"/>
            </w:pPr>
            <w:r>
              <w:rPr>
                <w:color w:val="1C3A36"/>
                <w:sz w:val="16"/>
              </w:rPr>
              <w:t>9,887</w:t>
            </w:r>
          </w:p>
        </w:tc>
        <w:tc>
          <w:tcPr>
            <w:tcW w:type="dxa" w:w="1382"/>
          </w:tcPr>
          <w:p>
            <w:pPr>
              <w:spacing w:after="20"/>
              <w:jc w:val="right"/>
            </w:pPr>
            <w:r>
              <w:rPr>
                <w:color w:val="1C3A36"/>
                <w:sz w:val="16"/>
              </w:rPr>
              <w:t>10,697</w:t>
            </w:r>
          </w:p>
        </w:tc>
        <w:tc>
          <w:tcPr>
            <w:tcW w:type="dxa" w:w="1382"/>
          </w:tcPr>
          <w:p>
            <w:pPr>
              <w:spacing w:after="20"/>
              <w:jc w:val="right"/>
            </w:pPr>
            <w:r>
              <w:rPr>
                <w:color w:val="1C3A36"/>
                <w:sz w:val="16"/>
              </w:rPr>
              <w:t>11,281</w:t>
            </w:r>
          </w:p>
        </w:tc>
        <w:tc>
          <w:tcPr>
            <w:tcW w:type="dxa" w:w="1382"/>
          </w:tcPr>
          <w:p>
            <w:pPr>
              <w:spacing w:after="20"/>
              <w:jc w:val="right"/>
            </w:pPr>
            <w:r>
              <w:rPr>
                <w:color w:val="1C3A36"/>
                <w:sz w:val="16"/>
              </w:rPr>
              <w:t>11,218</w:t>
            </w:r>
          </w:p>
        </w:tc>
        <w:tc>
          <w:tcPr>
            <w:tcW w:type="dxa" w:w="1382"/>
          </w:tcPr>
          <w:p>
            <w:pPr>
              <w:spacing w:after="20"/>
              <w:jc w:val="right"/>
            </w:pPr>
            <w:r>
              <w:rPr>
                <w:color w:val="1C3A36"/>
                <w:sz w:val="16"/>
              </w:rPr>
              <w:t>11,088</w:t>
            </w:r>
          </w:p>
        </w:tc>
      </w:tr>
      <w:tr>
        <w:trPr>
          <w:cantSplit/>
        </w:trPr>
        <w:tc>
          <w:tcPr>
            <w:tcW w:type="dxa" w:w="3168"/>
          </w:tcPr>
          <w:p>
            <w:pPr>
              <w:spacing w:after="20"/>
            </w:pPr>
            <w:r>
              <w:rPr>
                <w:color w:val="1C3A36"/>
                <w:sz w:val="16"/>
              </w:rPr>
              <w:t>Return on invested capital</w:t>
            </w:r>
          </w:p>
        </w:tc>
        <w:tc>
          <w:tcPr>
            <w:tcW w:type="dxa" w:w="1382"/>
          </w:tcPr>
          <w:p>
            <w:pPr>
              <w:spacing w:after="20"/>
              <w:jc w:val="right"/>
            </w:pPr>
            <w:r>
              <w:rPr>
                <w:color w:val="1C3A36"/>
                <w:sz w:val="16"/>
              </w:rPr>
              <w:t>21.0%</w:t>
            </w:r>
          </w:p>
        </w:tc>
        <w:tc>
          <w:tcPr>
            <w:tcW w:type="dxa" w:w="1382"/>
          </w:tcPr>
          <w:p>
            <w:pPr>
              <w:spacing w:after="20"/>
              <w:jc w:val="right"/>
            </w:pPr>
            <w:r>
              <w:rPr>
                <w:color w:val="1C3A36"/>
                <w:sz w:val="16"/>
              </w:rPr>
              <w:t>22.5%</w:t>
            </w:r>
          </w:p>
        </w:tc>
        <w:tc>
          <w:tcPr>
            <w:tcW w:type="dxa" w:w="1382"/>
          </w:tcPr>
          <w:p>
            <w:pPr>
              <w:spacing w:after="20"/>
              <w:jc w:val="right"/>
            </w:pPr>
            <w:r>
              <w:rPr>
                <w:color w:val="1C3A36"/>
                <w:sz w:val="16"/>
              </w:rPr>
              <w:t>19.0%</w:t>
            </w:r>
          </w:p>
        </w:tc>
        <w:tc>
          <w:tcPr>
            <w:tcW w:type="dxa" w:w="1382"/>
          </w:tcPr>
          <w:p>
            <w:pPr>
              <w:spacing w:after="20"/>
              <w:jc w:val="right"/>
            </w:pPr>
            <w:r>
              <w:rPr>
                <w:color w:val="1C3A36"/>
                <w:sz w:val="16"/>
              </w:rPr>
              <w:t>14.5%</w:t>
            </w:r>
          </w:p>
        </w:tc>
        <w:tc>
          <w:tcPr>
            <w:tcW w:type="dxa" w:w="1382"/>
          </w:tcPr>
          <w:p>
            <w:pPr>
              <w:spacing w:after="20"/>
              <w:jc w:val="right"/>
            </w:pPr>
            <w:r>
              <w:rPr>
                <w:color w:val="1C3A36"/>
                <w:sz w:val="16"/>
              </w:rPr>
              <w:t>9.8%</w:t>
            </w:r>
          </w:p>
        </w:tc>
      </w:tr>
      <w:tr>
        <w:trPr>
          <w:cantSplit/>
        </w:trPr>
        <w:tc>
          <w:tcPr>
            <w:tcW w:type="dxa" w:w="3168"/>
          </w:tcPr>
          <w:p>
            <w:pPr>
              <w:spacing w:after="20"/>
            </w:pPr>
            <w:r>
              <w:rPr>
                <w:color w:val="1C3A36"/>
                <w:sz w:val="16"/>
              </w:rPr>
              <w:t>Cost of capital that year</w:t>
            </w:r>
          </w:p>
        </w:tc>
        <w:tc>
          <w:tcPr>
            <w:tcW w:type="dxa" w:w="1382"/>
          </w:tcPr>
          <w:p>
            <w:pPr>
              <w:spacing w:after="20"/>
              <w:jc w:val="right"/>
            </w:pPr>
            <w:r>
              <w:rPr>
                <w:color w:val="1C3A36"/>
                <w:sz w:val="16"/>
              </w:rPr>
              <w:t>8.65%</w:t>
            </w:r>
          </w:p>
        </w:tc>
        <w:tc>
          <w:tcPr>
            <w:tcW w:type="dxa" w:w="1382"/>
          </w:tcPr>
          <w:p>
            <w:pPr>
              <w:spacing w:after="20"/>
              <w:jc w:val="right"/>
            </w:pPr>
            <w:r>
              <w:rPr>
                <w:color w:val="1C3A36"/>
                <w:sz w:val="16"/>
              </w:rPr>
              <w:t>8.64%</w:t>
            </w:r>
          </w:p>
        </w:tc>
        <w:tc>
          <w:tcPr>
            <w:tcW w:type="dxa" w:w="1382"/>
          </w:tcPr>
          <w:p>
            <w:pPr>
              <w:spacing w:after="20"/>
              <w:jc w:val="right"/>
            </w:pPr>
            <w:r>
              <w:rPr>
                <w:color w:val="1C3A36"/>
                <w:sz w:val="16"/>
              </w:rPr>
              <w:t>8.63%</w:t>
            </w:r>
          </w:p>
        </w:tc>
        <w:tc>
          <w:tcPr>
            <w:tcW w:type="dxa" w:w="1382"/>
          </w:tcPr>
          <w:p>
            <w:pPr>
              <w:spacing w:after="20"/>
              <w:jc w:val="right"/>
            </w:pPr>
            <w:r>
              <w:rPr>
                <w:color w:val="1C3A36"/>
                <w:sz w:val="16"/>
              </w:rPr>
              <w:t>8.63%</w:t>
            </w:r>
          </w:p>
        </w:tc>
        <w:tc>
          <w:tcPr>
            <w:tcW w:type="dxa" w:w="1382"/>
          </w:tcPr>
          <w:p>
            <w:pPr>
              <w:spacing w:after="20"/>
              <w:jc w:val="right"/>
            </w:pPr>
            <w:r>
              <w:rPr>
                <w:color w:val="1C3A36"/>
                <w:sz w:val="16"/>
              </w:rPr>
              <w:t>8.62%</w:t>
            </w:r>
          </w:p>
        </w:tc>
      </w:tr>
      <w:tr>
        <w:trPr>
          <w:cantSplit/>
        </w:trPr>
        <w:tc>
          <w:tcPr>
            <w:tcW w:type="dxa" w:w="3168"/>
            <w:shd w:val="clear" w:color="auto" w:fill="F6F1E6"/>
          </w:tcPr>
          <w:p>
            <w:pPr>
              <w:spacing w:after="20"/>
            </w:pPr>
            <w:r>
              <w:rPr>
                <w:b/>
                <w:color w:val="1C3A36"/>
                <w:sz w:val="16"/>
              </w:rPr>
              <w:t>Spread</w:t>
            </w:r>
          </w:p>
        </w:tc>
        <w:tc>
          <w:tcPr>
            <w:tcW w:type="dxa" w:w="1382"/>
            <w:shd w:val="clear" w:color="auto" w:fill="F6F1E6"/>
          </w:tcPr>
          <w:p>
            <w:pPr>
              <w:spacing w:after="20"/>
              <w:jc w:val="right"/>
            </w:pPr>
            <w:r>
              <w:rPr>
                <w:b/>
                <w:color w:val="1C3A36"/>
                <w:sz w:val="16"/>
              </w:rPr>
              <w:t>+12.4pp</w:t>
            </w:r>
          </w:p>
        </w:tc>
        <w:tc>
          <w:tcPr>
            <w:tcW w:type="dxa" w:w="1382"/>
            <w:shd w:val="clear" w:color="auto" w:fill="F6F1E6"/>
          </w:tcPr>
          <w:p>
            <w:pPr>
              <w:spacing w:after="20"/>
              <w:jc w:val="right"/>
            </w:pPr>
            <w:r>
              <w:rPr>
                <w:b/>
                <w:color w:val="1C3A36"/>
                <w:sz w:val="16"/>
              </w:rPr>
              <w:t>+13.8pp</w:t>
            </w:r>
          </w:p>
        </w:tc>
        <w:tc>
          <w:tcPr>
            <w:tcW w:type="dxa" w:w="1382"/>
            <w:shd w:val="clear" w:color="auto" w:fill="F6F1E6"/>
          </w:tcPr>
          <w:p>
            <w:pPr>
              <w:spacing w:after="20"/>
              <w:jc w:val="right"/>
            </w:pPr>
            <w:r>
              <w:rPr>
                <w:b/>
                <w:color w:val="1C3A36"/>
                <w:sz w:val="16"/>
              </w:rPr>
              <w:t>+10.4pp</w:t>
            </w:r>
          </w:p>
        </w:tc>
        <w:tc>
          <w:tcPr>
            <w:tcW w:type="dxa" w:w="1382"/>
            <w:shd w:val="clear" w:color="auto" w:fill="F6F1E6"/>
          </w:tcPr>
          <w:p>
            <w:pPr>
              <w:spacing w:after="20"/>
              <w:jc w:val="right"/>
            </w:pPr>
            <w:r>
              <w:rPr>
                <w:b/>
                <w:color w:val="1C3A36"/>
                <w:sz w:val="16"/>
              </w:rPr>
              <w:t>+5.9pp</w:t>
            </w:r>
          </w:p>
        </w:tc>
        <w:tc>
          <w:tcPr>
            <w:tcW w:type="dxa" w:w="1382"/>
            <w:shd w:val="clear" w:color="auto" w:fill="F6F1E6"/>
          </w:tcPr>
          <w:p>
            <w:pPr>
              <w:spacing w:after="20"/>
              <w:jc w:val="right"/>
            </w:pPr>
            <w:r>
              <w:rPr>
                <w:b/>
                <w:color w:val="1C3A36"/>
                <w:sz w:val="16"/>
              </w:rPr>
              <w:t>+1.1pp</w:t>
            </w:r>
          </w:p>
        </w:tc>
      </w:tr>
    </w:tbl>
    <w:p>
      <w:pPr>
        <w:spacing w:after="40"/>
      </w:pPr>
    </w:p>
    <w:p>
      <w:pPr>
        <w:spacing w:after="120" w:before="0"/>
      </w:pPr>
      <w:r>
        <w:rPr>
          <w:b w:val="0"/>
          <w:i w:val="0"/>
          <w:color w:val="1C3A36"/>
          <w:sz w:val="21"/>
        </w:rPr>
        <w:t>Three things in that table are worth reading together. Free cash flow to the firm is only USD 903 million in 2026E — on earnings of USD 2,716 million — because the capital programme peaks at USD 1,375 million and working capital builds by USD 385 million in the same year. It then quadruples by 2029E as the newbuild programme delivers and spending falls back toward maintenance levels. That shape is why the terminal value carries so much of the enterprise value: the explicit years are the investment years. And the spread of return on invested capital over the cost of capital is positive in every year of the forecast, narrowing from +12.4 percentage points to +1.1 as the rate cycle normalises — this business creates value on the study's own cost of capital throughout, which is the single most important thing the cash-flow model says.</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84"/>
        <w:gridCol w:w="3082"/>
        <w:gridCol w:w="3082"/>
      </w:tblGrid>
      <w:tr>
        <w:trPr>
          <w:cantSplit/>
          <w:tblHeader/>
        </w:trPr>
        <w:tc>
          <w:tcPr>
            <w:tcW w:type="dxa" w:w="2333"/>
            <w:shd w:val="clear" w:color="auto" w:fill="EAF0EE"/>
          </w:tcPr>
          <w:p>
            <w:pPr>
              <w:spacing w:after="20"/>
            </w:pPr>
            <w:r>
              <w:rPr>
                <w:b/>
                <w:color w:val="1C3A36"/>
                <w:sz w:val="16"/>
              </w:rPr>
              <w:t>Company</w:t>
            </w:r>
          </w:p>
        </w:tc>
        <w:tc>
          <w:tcPr>
            <w:tcW w:type="dxa" w:w="1584"/>
            <w:shd w:val="clear" w:color="auto" w:fill="EAF0EE"/>
          </w:tcPr>
          <w:p>
            <w:pPr>
              <w:spacing w:after="20"/>
            </w:pPr>
            <w:r>
              <w:rPr>
                <w:b/>
                <w:color w:val="1C3A36"/>
                <w:sz w:val="16"/>
              </w:rPr>
              <w:t>Market</w:t>
            </w:r>
          </w:p>
        </w:tc>
        <w:tc>
          <w:tcPr>
            <w:tcW w:type="dxa" w:w="3082"/>
            <w:shd w:val="clear" w:color="auto" w:fill="EAF0EE"/>
          </w:tcPr>
          <w:p>
            <w:pPr>
              <w:spacing w:after="20"/>
            </w:pPr>
            <w:r>
              <w:rPr>
                <w:b/>
                <w:color w:val="1C3A36"/>
                <w:sz w:val="16"/>
              </w:rPr>
              <w:t>Relevance</w:t>
            </w:r>
          </w:p>
        </w:tc>
        <w:tc>
          <w:tcPr>
            <w:tcW w:type="dxa" w:w="3082"/>
            <w:shd w:val="clear" w:color="auto" w:fill="EAF0EE"/>
          </w:tcPr>
          <w:p>
            <w:pPr>
              <w:spacing w:after="20"/>
            </w:pPr>
            <w:r>
              <w:rPr>
                <w:b/>
                <w:color w:val="1C3A36"/>
                <w:sz w:val="16"/>
              </w:rPr>
              <w:t>Caution</w:t>
            </w:r>
          </w:p>
        </w:tc>
      </w:tr>
      <w:tr>
        <w:trPr>
          <w:cantSplit/>
        </w:trPr>
        <w:tc>
          <w:tcPr>
            <w:tcW w:type="dxa" w:w="2333"/>
          </w:tcPr>
          <w:p>
            <w:pPr>
              <w:spacing w:after="20"/>
            </w:pPr>
            <w:r>
              <w:rPr>
                <w:color w:val="1C3A36"/>
                <w:sz w:val="16"/>
              </w:rPr>
              <w:t>Qatar Gas Transport (Nakilat)</w:t>
            </w:r>
          </w:p>
        </w:tc>
        <w:tc>
          <w:tcPr>
            <w:tcW w:type="dxa" w:w="1584"/>
          </w:tcPr>
          <w:p>
            <w:pPr>
              <w:spacing w:after="20"/>
            </w:pPr>
            <w:r>
              <w:rPr>
                <w:color w:val="1C3A36"/>
                <w:sz w:val="16"/>
              </w:rPr>
              <w:t>Qatar</w:t>
            </w:r>
          </w:p>
        </w:tc>
        <w:tc>
          <w:tcPr>
            <w:tcW w:type="dxa" w:w="3082"/>
          </w:tcPr>
          <w:p>
            <w:pPr>
              <w:spacing w:after="20"/>
            </w:pPr>
            <w:r>
              <w:rPr>
                <w:color w:val="1C3A36"/>
                <w:sz w:val="16"/>
              </w:rPr>
              <w:t>the closest listed analogue to the contracted legs — long-term contracted gas shipping for a national energy company, the same customer structure</w:t>
            </w:r>
          </w:p>
        </w:tc>
        <w:tc>
          <w:tcPr>
            <w:tcW w:type="dxa" w:w="3082"/>
          </w:tcPr>
          <w:p>
            <w:pPr>
              <w:spacing w:after="20"/>
            </w:pPr>
            <w:r>
              <w:rPr>
                <w:color w:val="1C3A36"/>
                <w:sz w:val="16"/>
              </w:rPr>
              <w:t>a pure contracted shipowner with no merchant fleet and no offshore logistics arm; its multiple describes the half of this company that is contracted and says nothing about the other half</w:t>
            </w:r>
          </w:p>
        </w:tc>
      </w:tr>
      <w:tr>
        <w:trPr>
          <w:cantSplit/>
        </w:trPr>
        <w:tc>
          <w:tcPr>
            <w:tcW w:type="dxa" w:w="2333"/>
          </w:tcPr>
          <w:p>
            <w:pPr>
              <w:spacing w:after="20"/>
            </w:pPr>
            <w:r>
              <w:rPr>
                <w:color w:val="1C3A36"/>
                <w:sz w:val="16"/>
              </w:rPr>
              <w:t>Frontline plc</w:t>
            </w:r>
          </w:p>
        </w:tc>
        <w:tc>
          <w:tcPr>
            <w:tcW w:type="dxa" w:w="1584"/>
          </w:tcPr>
          <w:p>
            <w:pPr>
              <w:spacing w:after="20"/>
            </w:pPr>
            <w:r>
              <w:rPr>
                <w:color w:val="1C3A36"/>
                <w:sz w:val="16"/>
              </w:rPr>
              <w:t>Oslo / New York</w:t>
            </w:r>
          </w:p>
        </w:tc>
        <w:tc>
          <w:tcPr>
            <w:tcW w:type="dxa" w:w="3082"/>
          </w:tcPr>
          <w:p>
            <w:pPr>
              <w:spacing w:after="20"/>
            </w:pPr>
            <w:r>
              <w:rPr>
                <w:color w:val="1C3A36"/>
                <w:sz w:val="16"/>
              </w:rPr>
              <w:t>a large listed spot crude tanker owner — the right frame for the merchant fleet</w:t>
            </w:r>
          </w:p>
        </w:tc>
        <w:tc>
          <w:tcPr>
            <w:tcW w:type="dxa" w:w="3082"/>
          </w:tcPr>
          <w:p>
            <w:pPr>
              <w:spacing w:after="20"/>
            </w:pPr>
            <w:r>
              <w:rPr>
                <w:color w:val="1C3A36"/>
                <w:sz w:val="16"/>
              </w:rPr>
              <w:t>no contracted revenue, a different tax and domicile structure, and a shareholder base that trades it as a rate proxy</w:t>
            </w:r>
          </w:p>
        </w:tc>
      </w:tr>
      <w:tr>
        <w:trPr>
          <w:cantSplit/>
        </w:trPr>
        <w:tc>
          <w:tcPr>
            <w:tcW w:type="dxa" w:w="2333"/>
          </w:tcPr>
          <w:p>
            <w:pPr>
              <w:spacing w:after="20"/>
            </w:pPr>
            <w:r>
              <w:rPr>
                <w:color w:val="1C3A36"/>
                <w:sz w:val="16"/>
              </w:rPr>
              <w:t>International Seaways</w:t>
            </w:r>
          </w:p>
        </w:tc>
        <w:tc>
          <w:tcPr>
            <w:tcW w:type="dxa" w:w="1584"/>
          </w:tcPr>
          <w:p>
            <w:pPr>
              <w:spacing w:after="20"/>
            </w:pPr>
            <w:r>
              <w:rPr>
                <w:color w:val="1C3A36"/>
                <w:sz w:val="16"/>
              </w:rPr>
              <w:t>New York</w:t>
            </w:r>
          </w:p>
        </w:tc>
        <w:tc>
          <w:tcPr>
            <w:tcW w:type="dxa" w:w="3082"/>
          </w:tcPr>
          <w:p>
            <w:pPr>
              <w:spacing w:after="20"/>
            </w:pPr>
            <w:r>
              <w:rPr>
                <w:color w:val="1C3A36"/>
                <w:sz w:val="16"/>
              </w:rPr>
              <w:t>a second listed spot crude and product tanker owner, used with the first to average away single-company effects</w:t>
            </w:r>
          </w:p>
        </w:tc>
        <w:tc>
          <w:tcPr>
            <w:tcW w:type="dxa" w:w="3082"/>
          </w:tcPr>
          <w:p>
            <w:pPr>
              <w:spacing w:after="20"/>
            </w:pPr>
            <w:r>
              <w:rPr>
                <w:color w:val="1C3A36"/>
                <w:sz w:val="16"/>
              </w:rPr>
              <w:t>fewer published measures; only the enterprise multiple is used from it</w:t>
            </w:r>
          </w:p>
        </w:tc>
      </w:tr>
      <w:tr>
        <w:trPr>
          <w:cantSplit/>
        </w:trPr>
        <w:tc>
          <w:tcPr>
            <w:tcW w:type="dxa" w:w="2333"/>
          </w:tcPr>
          <w:p>
            <w:pPr>
              <w:spacing w:after="20"/>
            </w:pPr>
            <w:r>
              <w:rPr>
                <w:color w:val="1C3A36"/>
                <w:sz w:val="16"/>
              </w:rPr>
              <w:t>Offshore support and contracting names</w:t>
            </w:r>
          </w:p>
        </w:tc>
        <w:tc>
          <w:tcPr>
            <w:tcW w:type="dxa" w:w="1584"/>
          </w:tcPr>
          <w:p>
            <w:pPr>
              <w:spacing w:after="20"/>
            </w:pPr>
            <w:r>
              <w:rPr>
                <w:color w:val="1C3A36"/>
                <w:sz w:val="16"/>
              </w:rPr>
              <w:t>Gulf and international</w:t>
            </w:r>
          </w:p>
        </w:tc>
        <w:tc>
          <w:tcPr>
            <w:tcW w:type="dxa" w:w="3082"/>
          </w:tcPr>
          <w:p>
            <w:pPr>
              <w:spacing w:after="20"/>
            </w:pPr>
            <w:r>
              <w:rPr>
                <w:color w:val="1C3A36"/>
                <w:sz w:val="16"/>
              </w:rPr>
              <w:t>the right frame for Integrated Logistics, which is the largest earner</w:t>
            </w:r>
          </w:p>
        </w:tc>
        <w:tc>
          <w:tcPr>
            <w:tcW w:type="dxa" w:w="3082"/>
          </w:tcPr>
          <w:p>
            <w:pPr>
              <w:spacing w:after="20"/>
            </w:pPr>
            <w:r>
              <w:rPr>
                <w:color w:val="1C3A36"/>
                <w:sz w:val="16"/>
              </w:rPr>
              <w:t>no listed comparator combines offshore contracting with a national oil company parent as customer and shareholder; the contracted multiple is used for this leg instead</w:t>
            </w:r>
          </w:p>
        </w:tc>
      </w:tr>
    </w:tbl>
    <w:p>
      <w:pPr>
        <w:spacing w:after="40"/>
      </w:pPr>
    </w:p>
    <w:p>
      <w:pPr>
        <w:spacing w:after="120" w:before="0"/>
      </w:pPr>
      <w:r>
        <w:rPr>
          <w:b w:val="0"/>
          <w:i w:val="0"/>
          <w:color w:val="1C3A36"/>
          <w:sz w:val="21"/>
        </w:rPr>
        <w:t>The absence of a single clean comparable is itself a finding, and it is the reason the relative lens is constructed as a blend and cross-checked by the sum of the parts in section 1.3 rather than taken from one peer. Note what the comparators themselves say: the contracted shipowner trades at 12.26× enterprise value to earnings and the spot owners at 8.53× — a gap of 3.7 turns that exists for exactly the reason this study spends section 1.7 on. The market prices contracted marine earnings and spot marine earnings as different assets, and so does this study.</w:t>
      </w: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960"/>
        <w:gridCol w:w="3528"/>
      </w:tblGrid>
      <w:tr>
        <w:trPr>
          <w:cantSplit/>
          <w:tblHeader/>
        </w:trPr>
        <w:tc>
          <w:tcPr>
            <w:tcW w:type="dxa" w:w="2592"/>
            <w:shd w:val="clear" w:color="auto" w:fill="EAF0EE"/>
          </w:tcPr>
          <w:p>
            <w:pPr>
              <w:spacing w:after="20"/>
            </w:pPr>
            <w:r>
              <w:rPr>
                <w:b/>
                <w:color w:val="1C3A36"/>
                <w:sz w:val="16"/>
              </w:rPr>
              <w:t>Risk</w:t>
            </w:r>
          </w:p>
        </w:tc>
        <w:tc>
          <w:tcPr>
            <w:tcW w:type="dxa" w:w="3960"/>
            <w:shd w:val="clear" w:color="auto" w:fill="EAF0EE"/>
          </w:tcPr>
          <w:p>
            <w:pPr>
              <w:spacing w:after="20"/>
            </w:pPr>
            <w:r>
              <w:rPr>
                <w:b/>
                <w:color w:val="1C3A36"/>
                <w:sz w:val="16"/>
              </w:rPr>
              <w:t>Mechanism</w:t>
            </w:r>
          </w:p>
        </w:tc>
        <w:tc>
          <w:tcPr>
            <w:tcW w:type="dxa" w:w="3528"/>
            <w:shd w:val="clear" w:color="auto" w:fill="EAF0EE"/>
          </w:tcPr>
          <w:p>
            <w:pPr>
              <w:spacing w:after="20"/>
            </w:pPr>
            <w:r>
              <w:rPr>
                <w:b/>
                <w:color w:val="1C3A36"/>
                <w:sz w:val="16"/>
              </w:rPr>
              <w:t>Rough valuation impact</w:t>
            </w:r>
          </w:p>
        </w:tc>
      </w:tr>
      <w:tr>
        <w:trPr>
          <w:cantSplit/>
        </w:trPr>
        <w:tc>
          <w:tcPr>
            <w:tcW w:type="dxa" w:w="2592"/>
          </w:tcPr>
          <w:p>
            <w:pPr>
              <w:spacing w:after="20"/>
            </w:pPr>
            <w:r>
              <w:rPr>
                <w:color w:val="1C3A36"/>
                <w:sz w:val="16"/>
              </w:rPr>
              <w:t>The rate cycle turning faster than assumed</w:t>
            </w:r>
          </w:p>
        </w:tc>
        <w:tc>
          <w:tcPr>
            <w:tcW w:type="dxa" w:w="3960"/>
          </w:tcPr>
          <w:p>
            <w:pPr>
              <w:spacing w:after="20"/>
            </w:pPr>
            <w:r>
              <w:rPr>
                <w:color w:val="1C3A36"/>
                <w:sz w:val="16"/>
              </w:rPr>
              <w:t>the base case glides to the mid-cycle anchor over four years; a faster reversion compresses the explicit years and the terminal return on capital together</w:t>
            </w:r>
          </w:p>
        </w:tc>
        <w:tc>
          <w:tcPr>
            <w:tcW w:type="dxa" w:w="3528"/>
          </w:tcPr>
          <w:p>
            <w:pPr>
              <w:spacing w:after="20"/>
            </w:pPr>
            <w:r>
              <w:rPr>
                <w:color w:val="1C3A36"/>
                <w:sz w:val="16"/>
              </w:rPr>
              <w:t>the rate-anchor row spans AED 2.86 a share</w:t>
            </w:r>
          </w:p>
        </w:tc>
      </w:tr>
      <w:tr>
        <w:trPr>
          <w:cantSplit/>
        </w:trPr>
        <w:tc>
          <w:tcPr>
            <w:tcW w:type="dxa" w:w="2592"/>
          </w:tcPr>
          <w:p>
            <w:pPr>
              <w:spacing w:after="20"/>
            </w:pPr>
            <w:r>
              <w:rPr>
                <w:color w:val="1C3A36"/>
                <w:sz w:val="16"/>
              </w:rPr>
              <w:t>How the market is measured in the beta</w:t>
            </w:r>
          </w:p>
        </w:tc>
        <w:tc>
          <w:tcPr>
            <w:tcW w:type="dxa" w:w="3960"/>
          </w:tcPr>
          <w:p>
            <w:pPr>
              <w:spacing w:after="20"/>
            </w:pPr>
            <w:r>
              <w:rPr>
                <w:color w:val="1C3A36"/>
                <w:sz w:val="16"/>
              </w:rPr>
              <w:t>the published index of the share’s own exchange against an equal-weight composite of the same exchange’s names</w:t>
            </w:r>
          </w:p>
        </w:tc>
        <w:tc>
          <w:tcPr>
            <w:tcW w:type="dxa" w:w="3528"/>
          </w:tcPr>
          <w:p>
            <w:pPr>
              <w:spacing w:after="20"/>
            </w:pPr>
            <w:r>
              <w:rPr>
                <w:color w:val="1C3A36"/>
                <w:sz w:val="16"/>
              </w:rPr>
              <w:t>AED 1.73 a share between the two published constructions, and AED 3.07 across the beta range tested in section 1.9 — the widest single sensitivity in the study</w:t>
            </w:r>
          </w:p>
        </w:tc>
      </w:tr>
      <w:tr>
        <w:trPr>
          <w:cantSplit/>
        </w:trPr>
        <w:tc>
          <w:tcPr>
            <w:tcW w:type="dxa" w:w="2592"/>
          </w:tcPr>
          <w:p>
            <w:pPr>
              <w:spacing w:after="20"/>
            </w:pPr>
            <w:r>
              <w:rPr>
                <w:color w:val="1C3A36"/>
                <w:sz w:val="16"/>
              </w:rPr>
              <w:t>Customer and shareholder concentration</w:t>
            </w:r>
          </w:p>
        </w:tc>
        <w:tc>
          <w:tcPr>
            <w:tcW w:type="dxa" w:w="3960"/>
          </w:tcPr>
          <w:p>
            <w:pPr>
              <w:spacing w:after="20"/>
            </w:pPr>
            <w:r>
              <w:rPr>
                <w:color w:val="1C3A36"/>
                <w:sz w:val="16"/>
              </w:rPr>
              <w:t>the parent is both the controlling shareholder and the principal customer; about 53% of 2026E revenue is contracted with it</w:t>
            </w:r>
          </w:p>
        </w:tc>
        <w:tc>
          <w:tcPr>
            <w:tcW w:type="dxa" w:w="3528"/>
          </w:tcPr>
          <w:p>
            <w:pPr>
              <w:spacing w:after="20"/>
            </w:pPr>
            <w:r>
              <w:rPr>
                <w:color w:val="1C3A36"/>
                <w:sz w:val="16"/>
              </w:rPr>
              <w:t>not priced as a separate line. It cuts both ways: it is why the contracted multiple is defensible and why a renegotiation would be severe</w:t>
            </w:r>
          </w:p>
        </w:tc>
      </w:tr>
      <w:tr>
        <w:trPr>
          <w:cantSplit/>
        </w:trPr>
        <w:tc>
          <w:tcPr>
            <w:tcW w:type="dxa" w:w="2592"/>
          </w:tcPr>
          <w:p>
            <w:pPr>
              <w:spacing w:after="20"/>
            </w:pPr>
            <w:r>
              <w:rPr>
                <w:color w:val="1C3A36"/>
                <w:sz w:val="16"/>
              </w:rPr>
              <w:t>Capital intensity</w:t>
            </w:r>
          </w:p>
        </w:tc>
        <w:tc>
          <w:tcPr>
            <w:tcW w:type="dxa" w:w="3960"/>
          </w:tcPr>
          <w:p>
            <w:pPr>
              <w:spacing w:after="20"/>
            </w:pPr>
            <w:r>
              <w:rPr>
                <w:color w:val="1C3A36"/>
                <w:sz w:val="16"/>
              </w:rPr>
              <w:t>USD 3,865 million of capital expenditure over the first three forecast years against cumulative earnings of USD 8,780 million</w:t>
            </w:r>
          </w:p>
        </w:tc>
        <w:tc>
          <w:tcPr>
            <w:tcW w:type="dxa" w:w="3528"/>
          </w:tcPr>
          <w:p>
            <w:pPr>
              <w:spacing w:after="20"/>
            </w:pPr>
            <w:r>
              <w:rPr>
                <w:color w:val="1C3A36"/>
                <w:sz w:val="16"/>
              </w:rPr>
              <w:t>the capital-expenditure row spans AED 1.16 a share</w:t>
            </w:r>
          </w:p>
        </w:tc>
      </w:tr>
      <w:tr>
        <w:trPr>
          <w:cantSplit/>
        </w:trPr>
        <w:tc>
          <w:tcPr>
            <w:tcW w:type="dxa" w:w="2592"/>
          </w:tcPr>
          <w:p>
            <w:pPr>
              <w:spacing w:after="20"/>
            </w:pPr>
            <w:r>
              <w:rPr>
                <w:color w:val="1C3A36"/>
                <w:sz w:val="16"/>
              </w:rPr>
              <w:t>Tax policy</w:t>
            </w:r>
          </w:p>
        </w:tc>
        <w:tc>
          <w:tcPr>
            <w:tcW w:type="dxa" w:w="3960"/>
          </w:tcPr>
          <w:p>
            <w:pPr>
              <w:spacing w:after="20"/>
            </w:pPr>
            <w:r>
              <w:rPr>
                <w:color w:val="1C3A36"/>
                <w:sz w:val="16"/>
              </w:rPr>
              <w:t>international shipping relief withdrawn or narrowed under the minimum top-up rules</w:t>
            </w:r>
          </w:p>
        </w:tc>
        <w:tc>
          <w:tcPr>
            <w:tcW w:type="dxa" w:w="3528"/>
          </w:tcPr>
          <w:p>
            <w:pPr>
              <w:spacing w:after="20"/>
            </w:pPr>
            <w:r>
              <w:rPr>
                <w:color w:val="1C3A36"/>
                <w:sz w:val="16"/>
              </w:rPr>
              <w:t>AED 1.10 a share at a uniform 15%</w:t>
            </w:r>
          </w:p>
        </w:tc>
      </w:tr>
      <w:tr>
        <w:trPr>
          <w:cantSplit/>
        </w:trPr>
        <w:tc>
          <w:tcPr>
            <w:tcW w:type="dxa" w:w="2592"/>
          </w:tcPr>
          <w:p>
            <w:pPr>
              <w:spacing w:after="20"/>
            </w:pPr>
            <w:r>
              <w:rPr>
                <w:color w:val="1C3A36"/>
                <w:sz w:val="16"/>
              </w:rPr>
              <w:t>The perpetual capital securities</w:t>
            </w:r>
          </w:p>
        </w:tc>
        <w:tc>
          <w:tcPr>
            <w:tcW w:type="dxa" w:w="3960"/>
          </w:tcPr>
          <w:p>
            <w:pPr>
              <w:spacing w:after="20"/>
            </w:pPr>
            <w:r>
              <w:rPr>
                <w:color w:val="1C3A36"/>
                <w:sz w:val="16"/>
              </w:rPr>
              <w:t>they rank ahead of the ordinary shares and their treatment in the bridge is a judgement</w:t>
            </w:r>
          </w:p>
        </w:tc>
        <w:tc>
          <w:tcPr>
            <w:tcW w:type="dxa" w:w="3528"/>
          </w:tcPr>
          <w:p>
            <w:pPr>
              <w:spacing w:after="20"/>
            </w:pPr>
            <w:r>
              <w:rPr>
                <w:color w:val="1C3A36"/>
                <w:sz w:val="16"/>
              </w:rPr>
              <w:t>AED 0.42 a share between the two treatments</w:t>
            </w:r>
          </w:p>
        </w:tc>
      </w:tr>
      <w:tr>
        <w:trPr>
          <w:cantSplit/>
        </w:trPr>
        <w:tc>
          <w:tcPr>
            <w:tcW w:type="dxa" w:w="2592"/>
          </w:tcPr>
          <w:p>
            <w:pPr>
              <w:spacing w:after="20"/>
            </w:pPr>
            <w:r>
              <w:rPr>
                <w:color w:val="1C3A36"/>
                <w:sz w:val="16"/>
              </w:rPr>
              <w:t>Vessel values</w:t>
            </w:r>
          </w:p>
        </w:tc>
        <w:tc>
          <w:tcPr>
            <w:tcW w:type="dxa" w:w="3960"/>
          </w:tcPr>
          <w:p>
            <w:pPr>
              <w:spacing w:after="20"/>
            </w:pPr>
            <w:r>
              <w:rPr>
                <w:color w:val="1C3A36"/>
                <w:sz w:val="16"/>
              </w:rPr>
              <w:t>no independent broker valuation of the fleet is available, so the asset lens rests on carrying value</w:t>
            </w:r>
          </w:p>
        </w:tc>
        <w:tc>
          <w:tcPr>
            <w:tcW w:type="dxa" w:w="3528"/>
          </w:tcPr>
          <w:p>
            <w:pPr>
              <w:spacing w:after="20"/>
            </w:pPr>
            <w:r>
              <w:rPr>
                <w:color w:val="1C3A36"/>
                <w:sz w:val="16"/>
              </w:rPr>
              <w:t>one realised sale at 1.34× book suggests the bias is conservative; the size of it is unmeasured</w:t>
            </w:r>
          </w:p>
        </w:tc>
      </w:tr>
      <w:tr>
        <w:trPr>
          <w:cantSplit/>
        </w:trPr>
        <w:tc>
          <w:tcPr>
            <w:tcW w:type="dxa" w:w="2592"/>
          </w:tcPr>
          <w:p>
            <w:pPr>
              <w:spacing w:after="20"/>
            </w:pPr>
            <w:r>
              <w:rPr>
                <w:color w:val="1C3A36"/>
                <w:sz w:val="16"/>
              </w:rPr>
              <w:t>Short price history</w:t>
            </w:r>
          </w:p>
        </w:tc>
        <w:tc>
          <w:tcPr>
            <w:tcW w:type="dxa" w:w="3960"/>
          </w:tcPr>
          <w:p>
            <w:pPr>
              <w:spacing w:after="20"/>
            </w:pPr>
            <w:r>
              <w:rPr>
                <w:color w:val="1C3A36"/>
                <w:sz w:val="16"/>
              </w:rPr>
              <w:t>3.2 years of listed history constrains both the beta and the testing of the price map</w:t>
            </w:r>
          </w:p>
        </w:tc>
        <w:tc>
          <w:tcPr>
            <w:tcW w:type="dxa" w:w="3528"/>
          </w:tcPr>
          <w:p>
            <w:pPr>
              <w:spacing w:after="20"/>
            </w:pPr>
            <w:r>
              <w:rPr>
                <w:color w:val="1C3A36"/>
                <w:sz w:val="16"/>
              </w:rPr>
              <w:t>addressed by corroborating the beta three ways and by resting the price map on the wider market panel</w:t>
            </w:r>
          </w:p>
        </w:tc>
      </w:tr>
    </w:tbl>
    <w:p>
      <w:pPr>
        <w:spacing w:after="40"/>
      </w:pPr>
    </w:p>
    <w:p>
      <w:pPr>
        <w:keepNext/>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backdrop, the country, the industry and the company itself. Figures the SUBJECT COMPANY reports about itself come only from its own issued statements and disclosures; no data vendor, broker or press report is the source of any of the subject's reported historical figures. That rule is scoped deliberately and the scope matters: the comparator multiples in section 1.3 ARE taken from data-aggregator statistics pages, named and dated, and were not recomputed from each comparator's own filings. It is the largest block of non-company data in the study, it is labelled wherever it is used, and the limitation it carries — that a comparator's earnings cannot be shown to be struck on the same definition as the subject's — is stated at the table rather than here. The full input-by-input register, with a value, a source, a date and a research layer for each of the several hundred inputs behind this study, is published as a separate document accompanying it. The primary documents are listed below, followed by the negative results — the things that could not be obtained, which shaped what could and could not be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24"/>
        <w:gridCol w:w="5544"/>
      </w:tblGrid>
      <w:tr>
        <w:trPr>
          <w:cantSplit/>
          <w:tblHeader/>
        </w:trPr>
        <w:tc>
          <w:tcPr>
            <w:tcW w:type="dxa" w:w="3312"/>
            <w:shd w:val="clear" w:color="auto" w:fill="EAF0EE"/>
          </w:tcPr>
          <w:p>
            <w:pPr>
              <w:spacing w:after="20"/>
            </w:pPr>
            <w:r>
              <w:rPr>
                <w:b/>
                <w:color w:val="1C3A36"/>
                <w:sz w:val="16"/>
              </w:rPr>
              <w:t>Source</w:t>
            </w:r>
          </w:p>
        </w:tc>
        <w:tc>
          <w:tcPr>
            <w:tcW w:type="dxa" w:w="1224"/>
            <w:shd w:val="clear" w:color="auto" w:fill="EAF0EE"/>
          </w:tcPr>
          <w:p>
            <w:pPr>
              <w:spacing w:after="20"/>
            </w:pPr>
            <w:r>
              <w:rPr>
                <w:b/>
                <w:color w:val="1C3A36"/>
                <w:sz w:val="16"/>
              </w:rPr>
              <w:t>Layer</w:t>
            </w:r>
          </w:p>
        </w:tc>
        <w:tc>
          <w:tcPr>
            <w:tcW w:type="dxa" w:w="5544"/>
            <w:shd w:val="clear" w:color="auto" w:fill="EAF0EE"/>
          </w:tcPr>
          <w:p>
            <w:pPr>
              <w:spacing w:after="20"/>
            </w:pPr>
            <w:r>
              <w:rPr>
                <w:b/>
                <w:color w:val="1C3A36"/>
                <w:sz w:val="16"/>
              </w:rPr>
              <w:t>What it provided</w:t>
            </w:r>
          </w:p>
        </w:tc>
      </w:tr>
      <w:tr>
        <w:trPr>
          <w:cantSplit/>
        </w:trPr>
        <w:tc>
          <w:tcPr>
            <w:tcW w:type="dxa" w:w="3312"/>
          </w:tcPr>
          <w:p>
            <w:pPr>
              <w:spacing w:after="20"/>
            </w:pPr>
            <w:r>
              <w:rPr>
                <w:color w:val="1C3A36"/>
                <w:sz w:val="16"/>
              </w:rPr>
              <w:t>Audited consolidated financial statements, four fiscal years to FY2025</w:t>
            </w:r>
          </w:p>
        </w:tc>
        <w:tc>
          <w:tcPr>
            <w:tcW w:type="dxa" w:w="1224"/>
          </w:tcPr>
          <w:p>
            <w:pPr>
              <w:spacing w:after="20"/>
            </w:pPr>
            <w:r>
              <w:rPr>
                <w:color w:val="1C3A36"/>
                <w:sz w:val="16"/>
              </w:rPr>
              <w:t>Company</w:t>
            </w:r>
          </w:p>
        </w:tc>
        <w:tc>
          <w:tcPr>
            <w:tcW w:type="dxa" w:w="5544"/>
          </w:tcPr>
          <w:p>
            <w:pPr>
              <w:spacing w:after="20"/>
            </w:pPr>
            <w:r>
              <w:rPr>
                <w:color w:val="1C3A36"/>
                <w:sz w:val="16"/>
              </w:rPr>
              <w:t>the whole of the reported income statement, balance sheet and cash flow, the operating segments note, the revenue-by-product note, the cost-line note, the borrowings and interest-rate notes and the share capital note</w:t>
            </w:r>
          </w:p>
        </w:tc>
      </w:tr>
      <w:tr>
        <w:trPr>
          <w:cantSplit/>
        </w:trPr>
        <w:tc>
          <w:tcPr>
            <w:tcW w:type="dxa" w:w="3312"/>
          </w:tcPr>
          <w:p>
            <w:pPr>
              <w:spacing w:after="20"/>
            </w:pPr>
            <w:r>
              <w:rPr>
                <w:color w:val="1C3A36"/>
                <w:sz w:val="16"/>
              </w:rPr>
              <w:t>Reviewed condensed interim financial information, three months to 31 March 2026</w:t>
            </w:r>
          </w:p>
        </w:tc>
        <w:tc>
          <w:tcPr>
            <w:tcW w:type="dxa" w:w="1224"/>
          </w:tcPr>
          <w:p>
            <w:pPr>
              <w:spacing w:after="20"/>
            </w:pPr>
            <w:r>
              <w:rPr>
                <w:color w:val="1C3A36"/>
                <w:sz w:val="16"/>
              </w:rPr>
              <w:t>Company</w:t>
            </w:r>
          </w:p>
        </w:tc>
        <w:tc>
          <w:tcPr>
            <w:tcW w:type="dxa" w:w="5544"/>
          </w:tcPr>
          <w:p>
            <w:pPr>
              <w:spacing w:after="20"/>
            </w:pPr>
            <w:r>
              <w:rPr>
                <w:color w:val="1C3A36"/>
                <w:sz w:val="16"/>
              </w:rPr>
              <w:t>the balance sheet the valuation is built on, the perpetual securities note, the related-party facilities and the first-quarter segment result</w:t>
            </w:r>
          </w:p>
        </w:tc>
      </w:tr>
      <w:tr>
        <w:trPr>
          <w:cantSplit/>
        </w:trPr>
        <w:tc>
          <w:tcPr>
            <w:tcW w:type="dxa" w:w="3312"/>
          </w:tcPr>
          <w:p>
            <w:pPr>
              <w:spacing w:after="20"/>
            </w:pPr>
            <w:r>
              <w:rPr>
                <w:color w:val="1C3A36"/>
                <w:sz w:val="16"/>
              </w:rPr>
              <w:t>Management discussion and analysis, FY2024, FY2025 and the first quarter of 2026</w:t>
            </w:r>
          </w:p>
        </w:tc>
        <w:tc>
          <w:tcPr>
            <w:tcW w:type="dxa" w:w="1224"/>
          </w:tcPr>
          <w:p>
            <w:pPr>
              <w:spacing w:after="20"/>
            </w:pPr>
            <w:r>
              <w:rPr>
                <w:color w:val="1C3A36"/>
                <w:sz w:val="16"/>
              </w:rPr>
              <w:t>Company</w:t>
            </w:r>
          </w:p>
        </w:tc>
        <w:tc>
          <w:tcPr>
            <w:tcW w:type="dxa" w:w="5544"/>
          </w:tcPr>
          <w:p>
            <w:pPr>
              <w:spacing w:after="20"/>
            </w:pPr>
            <w:r>
              <w:rPr>
                <w:color w:val="1C3A36"/>
                <w:sz w:val="16"/>
              </w:rPr>
              <w:t>net debt on the company’s own definition, first-quarter free cash flow, the distribution policy and the medium-term leverage target</w:t>
            </w:r>
          </w:p>
        </w:tc>
      </w:tr>
      <w:tr>
        <w:trPr>
          <w:cantSplit/>
        </w:trPr>
        <w:tc>
          <w:tcPr>
            <w:tcW w:type="dxa" w:w="3312"/>
          </w:tcPr>
          <w:p>
            <w:pPr>
              <w:spacing w:after="20"/>
            </w:pPr>
            <w:r>
              <w:rPr>
                <w:color w:val="1C3A36"/>
                <w:sz w:val="16"/>
              </w:rPr>
              <w:t>Investor presentations, FY2025 and April 2026</w:t>
            </w:r>
          </w:p>
        </w:tc>
        <w:tc>
          <w:tcPr>
            <w:tcW w:type="dxa" w:w="1224"/>
          </w:tcPr>
          <w:p>
            <w:pPr>
              <w:spacing w:after="20"/>
            </w:pPr>
            <w:r>
              <w:rPr>
                <w:color w:val="1C3A36"/>
                <w:sz w:val="16"/>
              </w:rPr>
              <w:t>Company</w:t>
            </w:r>
          </w:p>
        </w:tc>
        <w:tc>
          <w:tcPr>
            <w:tcW w:type="dxa" w:w="5544"/>
          </w:tcPr>
          <w:p>
            <w:pPr>
              <w:spacing w:after="20"/>
            </w:pPr>
            <w:r>
              <w:rPr>
                <w:color w:val="1C3A36"/>
                <w:sz w:val="16"/>
              </w:rPr>
              <w:t>the fleet tables, time-charter equivalent by vessel class by quarter, charters out, gas contract vessel-years, contracted revenue, the spot-exposure disclosure and the earnings sensitivity to a change of USD 1,000 a day</w:t>
            </w:r>
          </w:p>
        </w:tc>
      </w:tr>
      <w:tr>
        <w:trPr>
          <w:cantSplit/>
        </w:trPr>
        <w:tc>
          <w:tcPr>
            <w:tcW w:type="dxa" w:w="3312"/>
          </w:tcPr>
          <w:p>
            <w:pPr>
              <w:spacing w:after="20"/>
            </w:pPr>
            <w:r>
              <w:rPr>
                <w:color w:val="1C3A36"/>
                <w:sz w:val="16"/>
              </w:rPr>
              <w:t>Earnings call transcripts, FY2025 and the first quarter of 2026</w:t>
            </w:r>
          </w:p>
        </w:tc>
        <w:tc>
          <w:tcPr>
            <w:tcW w:type="dxa" w:w="1224"/>
          </w:tcPr>
          <w:p>
            <w:pPr>
              <w:spacing w:after="20"/>
            </w:pPr>
            <w:r>
              <w:rPr>
                <w:color w:val="1C3A36"/>
                <w:sz w:val="16"/>
              </w:rPr>
              <w:t>Company</w:t>
            </w:r>
          </w:p>
        </w:tc>
        <w:tc>
          <w:tcPr>
            <w:tcW w:type="dxa" w:w="5544"/>
          </w:tcPr>
          <w:p>
            <w:pPr>
              <w:spacing w:after="20"/>
            </w:pPr>
            <w:r>
              <w:rPr>
                <w:color w:val="1C3A36"/>
                <w:sz w:val="16"/>
              </w:rPr>
              <w:t>the first-quarter rates achieved and the second-quarter indication that section 1.7 turns on, and the guidance basis quoted in section 1.6</w:t>
            </w:r>
          </w:p>
        </w:tc>
      </w:tr>
      <w:tr>
        <w:trPr>
          <w:cantSplit/>
        </w:trPr>
        <w:tc>
          <w:tcPr>
            <w:tcW w:type="dxa" w:w="3312"/>
          </w:tcPr>
          <w:p>
            <w:pPr>
              <w:spacing w:after="20"/>
            </w:pPr>
            <w:r>
              <w:rPr>
                <w:color w:val="1C3A36"/>
                <w:sz w:val="16"/>
              </w:rPr>
              <w:t>Related-party transactions report, FY2025</w:t>
            </w:r>
          </w:p>
        </w:tc>
        <w:tc>
          <w:tcPr>
            <w:tcW w:type="dxa" w:w="1224"/>
          </w:tcPr>
          <w:p>
            <w:pPr>
              <w:spacing w:after="20"/>
            </w:pPr>
            <w:r>
              <w:rPr>
                <w:color w:val="1C3A36"/>
                <w:sz w:val="16"/>
              </w:rPr>
              <w:t>Company</w:t>
            </w:r>
          </w:p>
        </w:tc>
        <w:tc>
          <w:tcPr>
            <w:tcW w:type="dxa" w:w="5544"/>
          </w:tcPr>
          <w:p>
            <w:pPr>
              <w:spacing w:after="20"/>
            </w:pPr>
            <w:r>
              <w:rPr>
                <w:color w:val="1C3A36"/>
                <w:sz w:val="16"/>
              </w:rPr>
              <w:t>the scale and pricing of the parent relationship</w:t>
            </w:r>
          </w:p>
        </w:tc>
      </w:tr>
      <w:tr>
        <w:trPr>
          <w:cantSplit/>
        </w:trPr>
        <w:tc>
          <w:tcPr>
            <w:tcW w:type="dxa" w:w="3312"/>
          </w:tcPr>
          <w:p>
            <w:pPr>
              <w:spacing w:after="20"/>
            </w:pPr>
            <w:r>
              <w:rPr>
                <w:color w:val="1C3A36"/>
                <w:sz w:val="16"/>
              </w:rPr>
              <w:t>Published country-risk file, January 2026</w:t>
            </w:r>
          </w:p>
        </w:tc>
        <w:tc>
          <w:tcPr>
            <w:tcW w:type="dxa" w:w="1224"/>
          </w:tcPr>
          <w:p>
            <w:pPr>
              <w:spacing w:after="20"/>
            </w:pPr>
            <w:r>
              <w:rPr>
                <w:color w:val="1C3A36"/>
                <w:sz w:val="16"/>
              </w:rPr>
              <w:t>Country</w:t>
            </w:r>
          </w:p>
        </w:tc>
        <w:tc>
          <w:tcPr>
            <w:tcW w:type="dxa" w:w="5544"/>
          </w:tcPr>
          <w:p>
            <w:pPr>
              <w:spacing w:after="20"/>
            </w:pPr>
            <w:r>
              <w:rPr>
                <w:color w:val="1C3A36"/>
                <w:sz w:val="16"/>
              </w:rPr>
              <w:t>the UAE equity risk premium, country premium and sovereign default spread</w:t>
            </w:r>
          </w:p>
        </w:tc>
      </w:tr>
      <w:tr>
        <w:trPr>
          <w:cantSplit/>
        </w:trPr>
        <w:tc>
          <w:tcPr>
            <w:tcW w:type="dxa" w:w="3312"/>
          </w:tcPr>
          <w:p>
            <w:pPr>
              <w:spacing w:after="20"/>
            </w:pPr>
            <w:r>
              <w:rPr>
                <w:color w:val="1C3A36"/>
                <w:sz w:val="16"/>
              </w:rPr>
              <w:t>Central bank policy record and government bond auction results</w:t>
            </w:r>
          </w:p>
        </w:tc>
        <w:tc>
          <w:tcPr>
            <w:tcW w:type="dxa" w:w="1224"/>
          </w:tcPr>
          <w:p>
            <w:pPr>
              <w:spacing w:after="20"/>
            </w:pPr>
            <w:r>
              <w:rPr>
                <w:color w:val="1C3A36"/>
                <w:sz w:val="16"/>
              </w:rPr>
              <w:t>Country</w:t>
            </w:r>
          </w:p>
        </w:tc>
        <w:tc>
          <w:tcPr>
            <w:tcW w:type="dxa" w:w="5544"/>
          </w:tcPr>
          <w:p>
            <w:pPr>
              <w:spacing w:after="20"/>
            </w:pPr>
            <w:r>
              <w:rPr>
                <w:color w:val="1C3A36"/>
                <w:sz w:val="16"/>
              </w:rPr>
              <w:t>the base rate, its last change, and the dirham government bond yield used as the risk-free rate</w:t>
            </w:r>
          </w:p>
        </w:tc>
      </w:tr>
      <w:tr>
        <w:trPr>
          <w:cantSplit/>
        </w:trPr>
        <w:tc>
          <w:tcPr>
            <w:tcW w:type="dxa" w:w="3312"/>
          </w:tcPr>
          <w:p>
            <w:pPr>
              <w:spacing w:after="20"/>
            </w:pPr>
            <w:r>
              <w:rPr>
                <w:color w:val="1C3A36"/>
                <w:sz w:val="16"/>
              </w:rPr>
              <w:t>Listed peer statistics pages</w:t>
            </w:r>
          </w:p>
        </w:tc>
        <w:tc>
          <w:tcPr>
            <w:tcW w:type="dxa" w:w="1224"/>
          </w:tcPr>
          <w:p>
            <w:pPr>
              <w:spacing w:after="20"/>
            </w:pPr>
            <w:r>
              <w:rPr>
                <w:color w:val="1C3A36"/>
                <w:sz w:val="16"/>
              </w:rPr>
              <w:t>Industry</w:t>
            </w:r>
          </w:p>
        </w:tc>
        <w:tc>
          <w:tcPr>
            <w:tcW w:type="dxa" w:w="5544"/>
          </w:tcPr>
          <w:p>
            <w:pPr>
              <w:spacing w:after="20"/>
            </w:pPr>
            <w:r>
              <w:rPr>
                <w:color w:val="1C3A36"/>
                <w:sz w:val="16"/>
              </w:rPr>
              <w:t>the three comparator multiples used in the relative lens, each dated</w:t>
            </w:r>
          </w:p>
        </w:tc>
      </w:tr>
      <w:tr>
        <w:trPr>
          <w:cantSplit/>
        </w:trPr>
        <w:tc>
          <w:tcPr>
            <w:tcW w:type="dxa" w:w="3312"/>
          </w:tcPr>
          <w:p>
            <w:pPr>
              <w:spacing w:after="20"/>
            </w:pPr>
            <w:r>
              <w:rPr>
                <w:color w:val="1C3A36"/>
                <w:sz w:val="16"/>
              </w:rPr>
              <w:t>Trade coverage of the tanker market</w:t>
            </w:r>
          </w:p>
        </w:tc>
        <w:tc>
          <w:tcPr>
            <w:tcW w:type="dxa" w:w="1224"/>
          </w:tcPr>
          <w:p>
            <w:pPr>
              <w:spacing w:after="20"/>
            </w:pPr>
            <w:r>
              <w:rPr>
                <w:color w:val="1C3A36"/>
                <w:sz w:val="16"/>
              </w:rPr>
              <w:t>Industry</w:t>
            </w:r>
          </w:p>
        </w:tc>
        <w:tc>
          <w:tcPr>
            <w:tcW w:type="dxa" w:w="5544"/>
          </w:tcPr>
          <w:p>
            <w:pPr>
              <w:spacing w:after="20"/>
            </w:pPr>
            <w:r>
              <w:rPr>
                <w:color w:val="1C3A36"/>
                <w:sz w:val="16"/>
              </w:rPr>
              <w:t>the one-year time-charter fixture and the order book share used as the outside evidence in section 1.7</w:t>
            </w:r>
          </w:p>
        </w:tc>
      </w:tr>
      <w:tr>
        <w:trPr>
          <w:cantSplit/>
        </w:trPr>
        <w:tc>
          <w:tcPr>
            <w:tcW w:type="dxa" w:w="3312"/>
          </w:tcPr>
          <w:p>
            <w:pPr>
              <w:spacing w:after="20"/>
            </w:pPr>
            <w:r>
              <w:rPr>
                <w:color w:val="1C3A36"/>
                <w:sz w:val="16"/>
              </w:rPr>
              <w:t>Exchange price history for the share and the Abu Dhabi panel</w:t>
            </w:r>
          </w:p>
        </w:tc>
        <w:tc>
          <w:tcPr>
            <w:tcW w:type="dxa" w:w="1224"/>
          </w:tcPr>
          <w:p>
            <w:pPr>
              <w:spacing w:after="20"/>
            </w:pPr>
            <w:r>
              <w:rPr>
                <w:color w:val="1C3A36"/>
                <w:sz w:val="16"/>
              </w:rPr>
              <w:t>Market</w:t>
            </w:r>
          </w:p>
        </w:tc>
        <w:tc>
          <w:tcPr>
            <w:tcW w:type="dxa" w:w="5544"/>
          </w:tcPr>
          <w:p>
            <w:pPr>
              <w:spacing w:after="20"/>
            </w:pPr>
            <w:r>
              <w:rPr>
                <w:color w:val="1C3A36"/>
                <w:sz w:val="16"/>
              </w:rPr>
              <w:t>the beta regression, the technical read and the price map</w:t>
            </w:r>
          </w:p>
        </w:tc>
      </w:tr>
    </w:tbl>
    <w:p>
      <w:pPr>
        <w:spacing w:after="40"/>
      </w:pPr>
    </w:p>
    <w:p>
      <w:pPr>
        <w:pStyle w:val="ListBullet"/>
        <w:spacing w:after="60"/>
      </w:pPr>
      <w:r>
        <w:rPr>
          <w:b/>
          <w:color w:val="1C3A36"/>
          <w:sz w:val="21"/>
        </w:rPr>
        <w:t xml:space="preserve">No independent vessel valuations could be obtained. </w:t>
      </w:r>
      <w:r>
        <w:rPr>
          <w:color w:val="1C3A36"/>
          <w:sz w:val="21"/>
        </w:rPr>
        <w:t>The sector-standard net-asset-value lens for a shipowner requires broker valuations of each vessel. None were reachable from this research environment. The book-value lens stands in, at the lowest weight of the four, and the single realised vessel sale disclosed by the company is the only direct evidence on the gap.</w:t>
      </w:r>
    </w:p>
    <w:p>
      <w:pPr>
        <w:pStyle w:val="ListBullet"/>
        <w:spacing w:after="60"/>
      </w:pPr>
      <w:r>
        <w:rPr>
          <w:b/>
          <w:color w:val="1C3A36"/>
          <w:sz w:val="21"/>
        </w:rPr>
        <w:t xml:space="preserve">Per-vessel charter rates are not disclosed for the gas fleet. </w:t>
      </w:r>
      <w:r>
        <w:rPr>
          <w:color w:val="1C3A36"/>
          <w:sz w:val="21"/>
        </w:rPr>
        <w:t>The company discloses vessel-years by contract but not rates. The day rate of USD 61,573 used here is solved from reported FY2025 revenue over consolidated vessel-years — the finest level the disclosure supports, and labelled as solved throughout.</w:t>
      </w:r>
    </w:p>
    <w:p>
      <w:pPr>
        <w:pStyle w:val="ListBullet"/>
        <w:spacing w:after="60"/>
      </w:pPr>
      <w:r>
        <w:rPr>
          <w:b/>
          <w:color w:val="1C3A36"/>
          <w:sz w:val="21"/>
        </w:rPr>
        <w:t xml:space="preserve">Quarterly rates are not disclosed for every class in every year. </w:t>
      </w:r>
      <w:r>
        <w:rPr>
          <w:color w:val="1C3A36"/>
          <w:sz w:val="21"/>
        </w:rPr>
        <w:t>Medium-range quarterly rates are absent for FY2024 and the handysize class is not broken out at all. The substitutions used are stated in section 1.7 and in the caveats.</w:t>
      </w:r>
    </w:p>
    <w:p>
      <w:pPr>
        <w:pStyle w:val="ListBullet"/>
        <w:spacing w:after="60"/>
      </w:pPr>
      <w:r>
        <w:rPr>
          <w:b/>
          <w:color w:val="1C3A36"/>
          <w:sz w:val="21"/>
        </w:rPr>
        <w:t xml:space="preserve">Vessel-level running costs are not disclosed. </w:t>
      </w:r>
      <w:r>
        <w:rPr>
          <w:color w:val="1C3A36"/>
          <w:sz w:val="21"/>
        </w:rPr>
        <w:t>The cost stack used — a fixed base of USD 530 million a year and 1.05× of charter-equivalent revenue — is solved from the audited FY2025 year and the reviewed six months to 30 June 2026 together, and tested on the reviewed six months to 30 June 2025, which are held out.</w:t>
      </w:r>
    </w:p>
    <w:p>
      <w:pPr>
        <w:pStyle w:val="ListBullet"/>
        <w:spacing w:after="60"/>
      </w:pPr>
      <w:r>
        <w:rPr>
          <w:b/>
          <w:color w:val="1C3A36"/>
          <w:sz w:val="21"/>
        </w:rPr>
        <w:t xml:space="preserve">The comparators' own filings were not used, and their multiples were not recomputed. </w:t>
      </w:r>
      <w:r>
        <w:rPr>
          <w:color w:val="1C3A36"/>
          <w:sz w:val="21"/>
        </w:rPr>
        <w:t>The three comparator multiples in section 1.3 come from data-aggregator statistics pages, each named and dated in the source register. Rebuilding them from each comparator's own accounts — three more sets of filings, on three different reporting conventions, in three different currencies — was not undertaken. The consequence is specific and is stated at the table itself: the study cannot demonstrate that a comparator's earnings are struck on the same definition as its own, which is a reason to read the comparison lens as evidence about relative pricing rather than as an independent valuation. It is the largest block of non-company data in the study, and the two reads that rest on it are cross-checks rather than parts of the answer, where an earlier edition gave them 45% of a blend between them.</w:t>
      </w:r>
    </w:p>
    <w:p>
      <w:pPr>
        <w:pStyle w:val="ListBullet"/>
        <w:spacing w:after="60"/>
      </w:pPr>
      <w:r>
        <w:rPr>
          <w:b/>
          <w:color w:val="1C3A36"/>
          <w:sz w:val="21"/>
        </w:rPr>
        <w:t xml:space="preserve">The UAE has no sovereign credit-default-swap entry in the country-risk file. </w:t>
      </w:r>
      <w:r>
        <w:rPr>
          <w:color w:val="1C3A36"/>
          <w:sz w:val="21"/>
        </w:rPr>
        <w:t>The alternative premium basis therefore cannot be built for this country, and the study says so rather than omitting the comparison silently. Gulf comparators that carry both bases show a gap of roughly seventy basis points between them, which is the scale of construction uncertainty a reader should attach to the single available figure.</w:t>
      </w:r>
    </w:p>
    <w:p>
      <w:pPr>
        <w:spacing w:after="160" w:before="0"/>
      </w:pPr>
      <w:r>
        <w:rPr>
          <w:b w:val="0"/>
          <w:i w:val="0"/>
          <w:color w:val="1C3A36"/>
          <w:sz w:val="21"/>
        </w:rPr>
      </w:r>
    </w:p>
    <w:p>
      <w:pPr>
        <w:keepNext/>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in advance what would prove the method wrong. They are not asked to agree and they do not. All three work from the same unit build and the same balance sheet; what differs is what each one thinks a share of this company is a claim on.</w:t>
      </w:r>
    </w:p>
    <w:p>
      <w:pPr>
        <w:keepNext/>
        <w:spacing w:after="80" w:before="200"/>
      </w:pPr>
      <w:r>
        <w:rPr>
          <w:b/>
          <w:i w:val="0"/>
          <w:color w:val="1C3A36"/>
          <w:sz w:val="24"/>
        </w:rPr>
        <w:t>C.1  Expert 1 — mid-cycle earnings power</w:t>
      </w:r>
    </w:p>
    <w:p>
      <w:pPr>
        <w:spacing w:after="120" w:before="0"/>
      </w:pPr>
      <w:r>
        <w:rPr>
          <w:b w:val="0"/>
          <w:i w:val="0"/>
          <w:color w:val="1C3A36"/>
          <w:sz w:val="21"/>
        </w:rPr>
        <w:t>Worldview: a business is worth a multiple of what it earns in a normal year. Cycles average out. Discount-rate models multiply small errors in the rate by very large terminal values and manufacture false precision — and in this particular case the discount-rate argument is unresolved, which is exactly why it should not be allowed to drive the answer. Find the mid-cycle earnings, apply a defensible multiple, stop.</w:t>
      </w:r>
    </w:p>
    <w:p>
      <w:pPr>
        <w:spacing w:after="120" w:before="0"/>
      </w:pPr>
      <w:r>
        <w:rPr>
          <w:b w:val="0"/>
          <w:i w:val="0"/>
          <w:color w:val="1C3A36"/>
          <w:sz w:val="21"/>
        </w:rPr>
        <w:t>When it works: for a business with a long enough record that a mid-cycle can be identified, and where the capital structure is stable. When it fails: when the multiple is imported from a market or a business model with a different cost of capital, and when the mid-cycle is guessed rather than measured. Here the second risk is real — this share has only 3.2 years of listed history and the fleet is in the strongest market in a decade, so the mid-cycle has to come from the forecast rather than from the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Mid-cycle earnings before interest, tax, depreciation and amortisation (USD mn) — the five-year average of the unit build</w:t>
            </w:r>
          </w:p>
        </w:tc>
        <w:tc>
          <w:tcPr>
            <w:tcW w:type="dxa" w:w="3168"/>
          </w:tcPr>
          <w:p>
            <w:pPr>
              <w:spacing w:after="20"/>
              <w:jc w:val="right"/>
            </w:pPr>
            <w:r>
              <w:rPr>
                <w:color w:val="1C3A36"/>
                <w:sz w:val="16"/>
              </w:rPr>
              <w:t>2,617</w:t>
            </w:r>
          </w:p>
        </w:tc>
      </w:tr>
      <w:tr>
        <w:trPr>
          <w:cantSplit/>
        </w:trPr>
        <w:tc>
          <w:tcPr>
            <w:tcW w:type="dxa" w:w="6912"/>
          </w:tcPr>
          <w:p>
            <w:pPr>
              <w:spacing w:after="20"/>
            </w:pPr>
            <w:r>
              <w:rPr>
                <w:color w:val="1C3A36"/>
                <w:sz w:val="16"/>
              </w:rPr>
              <w:t>Less average depreciation and amortisation (USD mn)</w:t>
            </w:r>
          </w:p>
        </w:tc>
        <w:tc>
          <w:tcPr>
            <w:tcW w:type="dxa" w:w="3168"/>
          </w:tcPr>
          <w:p>
            <w:pPr>
              <w:spacing w:after="20"/>
              <w:jc w:val="right"/>
            </w:pPr>
            <w:r>
              <w:rPr>
                <w:color w:val="1C3A36"/>
                <w:sz w:val="16"/>
              </w:rPr>
              <w:t>(693)</w:t>
            </w:r>
          </w:p>
        </w:tc>
      </w:tr>
      <w:tr>
        <w:trPr>
          <w:cantSplit/>
        </w:trPr>
        <w:tc>
          <w:tcPr>
            <w:tcW w:type="dxa" w:w="6912"/>
          </w:tcPr>
          <w:p>
            <w:pPr>
              <w:spacing w:after="20"/>
            </w:pPr>
            <w:r>
              <w:rPr>
                <w:color w:val="1C3A36"/>
                <w:sz w:val="16"/>
              </w:rPr>
              <w:t>Mid-cycle earnings before interest and tax (USD mn)</w:t>
            </w:r>
          </w:p>
        </w:tc>
        <w:tc>
          <w:tcPr>
            <w:tcW w:type="dxa" w:w="3168"/>
          </w:tcPr>
          <w:p>
            <w:pPr>
              <w:spacing w:after="20"/>
              <w:jc w:val="right"/>
            </w:pPr>
            <w:r>
              <w:rPr>
                <w:color w:val="1C3A36"/>
                <w:sz w:val="16"/>
              </w:rPr>
              <w:t>1,924</w:t>
            </w:r>
          </w:p>
        </w:tc>
      </w:tr>
      <w:tr>
        <w:trPr>
          <w:cantSplit/>
        </w:trPr>
        <w:tc>
          <w:tcPr>
            <w:tcW w:type="dxa" w:w="6912"/>
          </w:tcPr>
          <w:p>
            <w:pPr>
              <w:spacing w:after="20"/>
            </w:pPr>
            <w:r>
              <w:rPr>
                <w:color w:val="1C3A36"/>
                <w:sz w:val="16"/>
              </w:rPr>
              <w:t>Less tax at the average unit rate (USD mn)</w:t>
            </w:r>
          </w:p>
        </w:tc>
        <w:tc>
          <w:tcPr>
            <w:tcW w:type="dxa" w:w="3168"/>
          </w:tcPr>
          <w:p>
            <w:pPr>
              <w:spacing w:after="20"/>
              <w:jc w:val="right"/>
            </w:pPr>
            <w:r>
              <w:rPr>
                <w:color w:val="1C3A36"/>
                <w:sz w:val="16"/>
              </w:rPr>
              <w:t>(59)</w:t>
            </w:r>
          </w:p>
        </w:tc>
      </w:tr>
      <w:tr>
        <w:trPr>
          <w:cantSplit/>
        </w:trPr>
        <w:tc>
          <w:tcPr>
            <w:tcW w:type="dxa" w:w="6912"/>
          </w:tcPr>
          <w:p>
            <w:pPr>
              <w:spacing w:after="20"/>
            </w:pPr>
            <w:r>
              <w:rPr>
                <w:color w:val="1C3A36"/>
                <w:sz w:val="16"/>
              </w:rPr>
              <w:t>Less interest on the average gross debt (USD mn)</w:t>
            </w:r>
          </w:p>
        </w:tc>
        <w:tc>
          <w:tcPr>
            <w:tcW w:type="dxa" w:w="3168"/>
          </w:tcPr>
          <w:p>
            <w:pPr>
              <w:spacing w:after="20"/>
              <w:jc w:val="right"/>
            </w:pPr>
            <w:r>
              <w:rPr>
                <w:color w:val="1C3A36"/>
                <w:sz w:val="16"/>
              </w:rPr>
              <w:t>(44)</w:t>
            </w:r>
          </w:p>
        </w:tc>
      </w:tr>
      <w:tr>
        <w:trPr>
          <w:cantSplit/>
        </w:trPr>
        <w:tc>
          <w:tcPr>
            <w:tcW w:type="dxa" w:w="6912"/>
          </w:tcPr>
          <w:p>
            <w:pPr>
              <w:spacing w:after="20"/>
            </w:pPr>
            <w:r>
              <w:rPr>
                <w:color w:val="1C3A36"/>
                <w:sz w:val="16"/>
              </w:rPr>
              <w:t>Plus finance income on the cash balance (USD mn)</w:t>
            </w:r>
          </w:p>
        </w:tc>
        <w:tc>
          <w:tcPr>
            <w:tcW w:type="dxa" w:w="3168"/>
          </w:tcPr>
          <w:p>
            <w:pPr>
              <w:spacing w:after="20"/>
              <w:jc w:val="right"/>
            </w:pPr>
            <w:r>
              <w:rPr>
                <w:color w:val="1C3A36"/>
                <w:sz w:val="16"/>
              </w:rPr>
              <w:t>20</w:t>
            </w:r>
          </w:p>
        </w:tc>
      </w:tr>
      <w:tr>
        <w:trPr>
          <w:cantSplit/>
        </w:trPr>
        <w:tc>
          <w:tcPr>
            <w:tcW w:type="dxa" w:w="6912"/>
          </w:tcPr>
          <w:p>
            <w:pPr>
              <w:spacing w:after="20"/>
            </w:pPr>
            <w:r>
              <w:rPr>
                <w:color w:val="1C3A36"/>
                <w:sz w:val="16"/>
              </w:rPr>
              <w:t>Mid-cycle profit for the year (USD mn)</w:t>
            </w:r>
          </w:p>
        </w:tc>
        <w:tc>
          <w:tcPr>
            <w:tcW w:type="dxa" w:w="3168"/>
          </w:tcPr>
          <w:p>
            <w:pPr>
              <w:spacing w:after="20"/>
              <w:jc w:val="right"/>
            </w:pPr>
            <w:r>
              <w:rPr>
                <w:color w:val="1C3A36"/>
                <w:sz w:val="16"/>
              </w:rPr>
              <w:t>1,840</w:t>
            </w:r>
          </w:p>
        </w:tc>
      </w:tr>
      <w:tr>
        <w:trPr>
          <w:cantSplit/>
        </w:trPr>
        <w:tc>
          <w:tcPr>
            <w:tcW w:type="dxa" w:w="6912"/>
          </w:tcPr>
          <w:p>
            <w:pPr>
              <w:spacing w:after="20"/>
            </w:pPr>
            <w:r>
              <w:rPr>
                <w:color w:val="1C3A36"/>
                <w:sz w:val="16"/>
              </w:rPr>
              <w:t>Less non-controlling interests at 4.5% (USD mn)</w:t>
            </w:r>
          </w:p>
        </w:tc>
        <w:tc>
          <w:tcPr>
            <w:tcW w:type="dxa" w:w="3168"/>
          </w:tcPr>
          <w:p>
            <w:pPr>
              <w:spacing w:after="20"/>
              <w:jc w:val="right"/>
            </w:pPr>
            <w:r>
              <w:rPr>
                <w:color w:val="1C3A36"/>
                <w:sz w:val="16"/>
              </w:rPr>
              <w:t>(84)</w:t>
            </w:r>
          </w:p>
        </w:tc>
      </w:tr>
      <w:tr>
        <w:trPr>
          <w:cantSplit/>
        </w:trPr>
        <w:tc>
          <w:tcPr>
            <w:tcW w:type="dxa" w:w="6912"/>
          </w:tcPr>
          <w:p>
            <w:pPr>
              <w:spacing w:after="20"/>
            </w:pPr>
            <w:r>
              <w:rPr>
                <w:color w:val="1C3A36"/>
                <w:sz w:val="16"/>
              </w:rPr>
              <w:t>Less the perpetual securities coupon (USD mn)</w:t>
            </w:r>
          </w:p>
        </w:tc>
        <w:tc>
          <w:tcPr>
            <w:tcW w:type="dxa" w:w="3168"/>
          </w:tcPr>
          <w:p>
            <w:pPr>
              <w:spacing w:after="20"/>
              <w:jc w:val="right"/>
            </w:pPr>
            <w:r>
              <w:rPr>
                <w:color w:val="1C3A36"/>
                <w:sz w:val="16"/>
              </w:rPr>
              <w:t>(97)</w:t>
            </w:r>
          </w:p>
        </w:tc>
      </w:tr>
      <w:tr>
        <w:trPr>
          <w:cantSplit/>
        </w:trPr>
        <w:tc>
          <w:tcPr>
            <w:tcW w:type="dxa" w:w="6912"/>
          </w:tcPr>
          <w:p>
            <w:pPr>
              <w:spacing w:after="20"/>
            </w:pPr>
            <w:r>
              <w:rPr>
                <w:color w:val="1C3A36"/>
                <w:sz w:val="16"/>
              </w:rPr>
              <w:t>Earnings to ordinary shareholders (USD mn)</w:t>
            </w:r>
          </w:p>
        </w:tc>
        <w:tc>
          <w:tcPr>
            <w:tcW w:type="dxa" w:w="3168"/>
          </w:tcPr>
          <w:p>
            <w:pPr>
              <w:spacing w:after="20"/>
              <w:jc w:val="right"/>
            </w:pPr>
            <w:r>
              <w:rPr>
                <w:color w:val="1C3A36"/>
                <w:sz w:val="16"/>
              </w:rPr>
              <w:t>1,660</w:t>
            </w:r>
          </w:p>
        </w:tc>
      </w:tr>
      <w:tr>
        <w:trPr>
          <w:cantSplit/>
        </w:trPr>
        <w:tc>
          <w:tcPr>
            <w:tcW w:type="dxa" w:w="6912"/>
          </w:tcPr>
          <w:p>
            <w:pPr>
              <w:spacing w:after="20"/>
            </w:pPr>
            <w:r>
              <w:rPr>
                <w:color w:val="1C3A36"/>
                <w:sz w:val="16"/>
              </w:rPr>
              <w:t>Mid-cycle earnings per share (USD)</w:t>
            </w:r>
          </w:p>
        </w:tc>
        <w:tc>
          <w:tcPr>
            <w:tcW w:type="dxa" w:w="3168"/>
          </w:tcPr>
          <w:p>
            <w:pPr>
              <w:spacing w:after="20"/>
              <w:jc w:val="right"/>
            </w:pPr>
            <w:r>
              <w:rPr>
                <w:color w:val="1C3A36"/>
                <w:sz w:val="16"/>
              </w:rPr>
              <w:t>0.2243</w:t>
            </w:r>
          </w:p>
        </w:tc>
      </w:tr>
      <w:tr>
        <w:trPr>
          <w:cantSplit/>
        </w:trPr>
        <w:tc>
          <w:tcPr>
            <w:tcW w:type="dxa" w:w="6912"/>
          </w:tcPr>
          <w:p>
            <w:pPr>
              <w:spacing w:after="20"/>
            </w:pPr>
            <w:r>
              <w:rPr>
                <w:color w:val="1C3A36"/>
                <w:sz w:val="16"/>
              </w:rPr>
              <w:t>Justified price-to-earnings multiple</w:t>
            </w:r>
          </w:p>
        </w:tc>
        <w:tc>
          <w:tcPr>
            <w:tcW w:type="dxa" w:w="3168"/>
          </w:tcPr>
          <w:p>
            <w:pPr>
              <w:spacing w:after="20"/>
              <w:jc w:val="right"/>
            </w:pPr>
            <w:r>
              <w:rPr>
                <w:color w:val="1C3A36"/>
                <w:sz w:val="16"/>
              </w:rPr>
              <w:t>12.0×</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9.89</w:t>
            </w:r>
          </w:p>
        </w:tc>
      </w:tr>
      <w:tr>
        <w:trPr>
          <w:cantSplit/>
        </w:trPr>
        <w:tc>
          <w:tcPr>
            <w:tcW w:type="dxa" w:w="6912"/>
          </w:tcPr>
          <w:p>
            <w:pPr>
              <w:spacing w:after="20"/>
            </w:pPr>
            <w:r>
              <w:rPr>
                <w:color w:val="1C3A36"/>
                <w:sz w:val="16"/>
              </w:rPr>
              <w:t>Range (9.0× to 15.0×)</w:t>
            </w:r>
          </w:p>
        </w:tc>
        <w:tc>
          <w:tcPr>
            <w:tcW w:type="dxa" w:w="3168"/>
          </w:tcPr>
          <w:p>
            <w:pPr>
              <w:spacing w:after="20"/>
              <w:jc w:val="right"/>
            </w:pPr>
            <w:r>
              <w:rPr>
                <w:color w:val="1C3A36"/>
                <w:sz w:val="16"/>
              </w:rPr>
              <w:t>7.42 – 12.36</w:t>
            </w:r>
          </w:p>
        </w:tc>
      </w:tr>
    </w:tbl>
    <w:p>
      <w:pPr>
        <w:spacing w:after="40"/>
      </w:pPr>
    </w:p>
    <w:p>
      <w:pPr>
        <w:spacing w:after="120" w:before="0"/>
      </w:pPr>
      <w:r>
        <w:rPr>
          <w:b w:val="0"/>
          <w:i w:val="0"/>
          <w:color w:val="1C3A36"/>
          <w:sz w:val="21"/>
        </w:rPr>
        <w:t>Named sensitivity: each single turn of the multiple is worth AED 0.82 a share, so the 9×-to-15× range above spans AED 4.94. And every USD 100 million of mid-cycle earnings before interest, tax, depreciation and amortisation — about 3.8% of the base — is worth roughly AED 0.57 a share at this multiple. Note what this method cannot see: it never asks what discount rate the multiple implies, so the beta argument that dominates the rest of this study is simply absent from it. That is the method's honest position, not an oversight.</w:t>
      </w:r>
    </w:p>
    <w:p>
      <w:pPr>
        <w:spacing w:after="160" w:before="0"/>
      </w:pPr>
      <w:r>
        <w:rPr>
          <w:b w:val="0"/>
          <w:i w:val="0"/>
          <w:color w:val="1C3A36"/>
          <w:sz w:val="21"/>
        </w:rPr>
        <w:t>Falsifier, stated in advance: Two consecutive years in which group earnings before interest, tax, depreciation and amortisation fall below USD 1.4 billion would show the mid-cycle level used here is set too high.</w:t>
      </w:r>
    </w:p>
    <w:p>
      <w:pPr>
        <w:keepNext/>
        <w:spacing w:after="80" w:before="200"/>
      </w:pPr>
      <w:r>
        <w:rPr>
          <w:b/>
          <w:i w:val="0"/>
          <w:color w:val="1C3A36"/>
          <w:sz w:val="24"/>
        </w:rPr>
        <w:t>C.2  Expert 2 — owner cash earnings</w:t>
      </w:r>
    </w:p>
    <w:p>
      <w:pPr>
        <w:spacing w:after="120" w:before="0"/>
      </w:pPr>
      <w:r>
        <w:rPr>
          <w:b w:val="0"/>
          <w:i w:val="0"/>
          <w:color w:val="1C3A36"/>
          <w:sz w:val="21"/>
        </w:rPr>
        <w:t>Worldview: earnings are an opinion, cash is a fact. The only number that matters is what an owner could actually take out of the business each year after everything the business needs to keep running — including the capital expenditure that a fleet consumes and the coupon on securities that rank ahead of the owner. Capitalise that stream at the cost of equity and nothing else.</w:t>
      </w:r>
    </w:p>
    <w:p>
      <w:pPr>
        <w:spacing w:after="120" w:before="0"/>
      </w:pPr>
      <w:r>
        <w:rPr>
          <w:b w:val="0"/>
          <w:i w:val="0"/>
          <w:color w:val="1C3A36"/>
          <w:sz w:val="21"/>
        </w:rPr>
        <w:t>When it works: it is the right discipline for a capital-intensive business where reported profit and distributable cash diverge, which describes a shipowner precisely. When it fails: it undercharges nothing and overcharges growth — a company investing heavily ahead of contracted demand looks poor on this measure right up until the assets deliver, and this company is in exactly that phase.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Average free cash flow to the firm over the five forecast years (USD mn)</w:t>
            </w:r>
          </w:p>
        </w:tc>
        <w:tc>
          <w:tcPr>
            <w:tcW w:type="dxa" w:w="3168"/>
          </w:tcPr>
          <w:p>
            <w:pPr>
              <w:spacing w:after="20"/>
              <w:jc w:val="right"/>
            </w:pPr>
            <w:r>
              <w:rPr>
                <w:color w:val="1C3A36"/>
                <w:sz w:val="16"/>
              </w:rPr>
              <w:t>1,491</w:t>
            </w:r>
          </w:p>
        </w:tc>
      </w:tr>
      <w:tr>
        <w:trPr>
          <w:cantSplit/>
        </w:trPr>
        <w:tc>
          <w:tcPr>
            <w:tcW w:type="dxa" w:w="6912"/>
          </w:tcPr>
          <w:p>
            <w:pPr>
              <w:spacing w:after="20"/>
            </w:pPr>
            <w:r>
              <w:rPr>
                <w:color w:val="1C3A36"/>
                <w:sz w:val="16"/>
              </w:rPr>
              <w:t>Less interest after tax (USD mn)</w:t>
            </w:r>
          </w:p>
        </w:tc>
        <w:tc>
          <w:tcPr>
            <w:tcW w:type="dxa" w:w="3168"/>
          </w:tcPr>
          <w:p>
            <w:pPr>
              <w:spacing w:after="20"/>
              <w:jc w:val="right"/>
            </w:pPr>
            <w:r>
              <w:rPr>
                <w:color w:val="1C3A36"/>
                <w:sz w:val="16"/>
              </w:rPr>
              <w:t>(40)</w:t>
            </w:r>
          </w:p>
        </w:tc>
      </w:tr>
      <w:tr>
        <w:trPr>
          <w:cantSplit/>
        </w:trPr>
        <w:tc>
          <w:tcPr>
            <w:tcW w:type="dxa" w:w="6912"/>
          </w:tcPr>
          <w:p>
            <w:pPr>
              <w:spacing w:after="20"/>
            </w:pPr>
            <w:r>
              <w:rPr>
                <w:color w:val="1C3A36"/>
                <w:sz w:val="16"/>
              </w:rPr>
              <w:t>Plus finance income after tax (USD mn)</w:t>
            </w:r>
          </w:p>
        </w:tc>
        <w:tc>
          <w:tcPr>
            <w:tcW w:type="dxa" w:w="3168"/>
          </w:tcPr>
          <w:p>
            <w:pPr>
              <w:spacing w:after="20"/>
              <w:jc w:val="right"/>
            </w:pPr>
            <w:r>
              <w:rPr>
                <w:color w:val="1C3A36"/>
                <w:sz w:val="16"/>
              </w:rPr>
              <w:t>18</w:t>
            </w:r>
          </w:p>
        </w:tc>
      </w:tr>
      <w:tr>
        <w:trPr>
          <w:cantSplit/>
        </w:trPr>
        <w:tc>
          <w:tcPr>
            <w:tcW w:type="dxa" w:w="6912"/>
          </w:tcPr>
          <w:p>
            <w:pPr>
              <w:spacing w:after="20"/>
            </w:pPr>
            <w:r>
              <w:rPr>
                <w:color w:val="1C3A36"/>
                <w:sz w:val="16"/>
              </w:rPr>
              <w:t>Less the perpetual securities coupon (USD mn)</w:t>
            </w:r>
          </w:p>
        </w:tc>
        <w:tc>
          <w:tcPr>
            <w:tcW w:type="dxa" w:w="3168"/>
          </w:tcPr>
          <w:p>
            <w:pPr>
              <w:spacing w:after="20"/>
              <w:jc w:val="right"/>
            </w:pPr>
            <w:r>
              <w:rPr>
                <w:color w:val="1C3A36"/>
                <w:sz w:val="16"/>
              </w:rPr>
              <w:t>(97)</w:t>
            </w:r>
          </w:p>
        </w:tc>
      </w:tr>
      <w:tr>
        <w:trPr>
          <w:cantSplit/>
        </w:trPr>
        <w:tc>
          <w:tcPr>
            <w:tcW w:type="dxa" w:w="6912"/>
          </w:tcPr>
          <w:p>
            <w:pPr>
              <w:spacing w:after="20"/>
            </w:pPr>
            <w:r>
              <w:rPr>
                <w:color w:val="1C3A36"/>
                <w:sz w:val="16"/>
              </w:rPr>
              <w:t>Owner cash earnings (USD mn)</w:t>
            </w:r>
          </w:p>
        </w:tc>
        <w:tc>
          <w:tcPr>
            <w:tcW w:type="dxa" w:w="3168"/>
          </w:tcPr>
          <w:p>
            <w:pPr>
              <w:spacing w:after="20"/>
              <w:jc w:val="right"/>
            </w:pPr>
            <w:r>
              <w:rPr>
                <w:color w:val="1C3A36"/>
                <w:sz w:val="16"/>
              </w:rPr>
              <w:t>1,372</w:t>
            </w:r>
          </w:p>
        </w:tc>
      </w:tr>
      <w:tr>
        <w:trPr>
          <w:cantSplit/>
        </w:trPr>
        <w:tc>
          <w:tcPr>
            <w:tcW w:type="dxa" w:w="6912"/>
          </w:tcPr>
          <w:p>
            <w:pPr>
              <w:spacing w:after="20"/>
            </w:pPr>
            <w:r>
              <w:rPr>
                <w:color w:val="1C3A36"/>
                <w:sz w:val="16"/>
              </w:rPr>
              <w:t>Grown one year and capitalised at the cost of equity less growth</w:t>
            </w:r>
          </w:p>
        </w:tc>
        <w:tc>
          <w:tcPr>
            <w:tcW w:type="dxa" w:w="3168"/>
          </w:tcPr>
          <w:p>
            <w:pPr>
              <w:spacing w:after="20"/>
              <w:jc w:val="right"/>
            </w:pPr>
            <w:r>
              <w:rPr>
                <w:color w:val="1C3A36"/>
                <w:sz w:val="16"/>
              </w:rPr>
              <w:t>× 1.02 ÷ (9.37% − 2%)</w:t>
            </w:r>
          </w:p>
        </w:tc>
      </w:tr>
      <w:tr>
        <w:trPr>
          <w:cantSplit/>
        </w:trPr>
        <w:tc>
          <w:tcPr>
            <w:tcW w:type="dxa" w:w="6912"/>
          </w:tcPr>
          <w:p>
            <w:pPr>
              <w:spacing w:after="20"/>
            </w:pPr>
            <w:r>
              <w:rPr>
                <w:color w:val="1C3A36"/>
                <w:sz w:val="16"/>
              </w:rPr>
              <w:t>Equity value (USD mn)</w:t>
            </w:r>
          </w:p>
        </w:tc>
        <w:tc>
          <w:tcPr>
            <w:tcW w:type="dxa" w:w="3168"/>
          </w:tcPr>
          <w:p>
            <w:pPr>
              <w:spacing w:after="20"/>
              <w:jc w:val="right"/>
            </w:pPr>
            <w:r>
              <w:rPr>
                <w:color w:val="1C3A36"/>
                <w:sz w:val="16"/>
              </w:rPr>
              <w:t>18,995</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9.43</w:t>
            </w:r>
          </w:p>
        </w:tc>
      </w:tr>
      <w:tr>
        <w:trPr>
          <w:cantSplit/>
        </w:trPr>
        <w:tc>
          <w:tcPr>
            <w:tcW w:type="dxa" w:w="6912"/>
          </w:tcPr>
          <w:p>
            <w:pPr>
              <w:spacing w:after="20"/>
            </w:pPr>
            <w:r>
              <w:rPr>
                <w:color w:val="1C3A36"/>
                <w:sz w:val="16"/>
              </w:rPr>
              <w:t>Range — the low end at a cost of equity of 11.56%, built on the top of the beta's 90% interval (1.621), with lower growth; the high end at 7.18% on the bottom of it (0.586) with higher growth</w:t>
            </w:r>
          </w:p>
        </w:tc>
        <w:tc>
          <w:tcPr>
            <w:tcW w:type="dxa" w:w="3168"/>
          </w:tcPr>
          <w:p>
            <w:pPr>
              <w:spacing w:after="20"/>
              <w:jc w:val="right"/>
            </w:pPr>
            <w:r>
              <w:rPr>
                <w:color w:val="1C3A36"/>
                <w:sz w:val="16"/>
              </w:rPr>
              <w:t>6.51 – 14.93</w:t>
            </w:r>
          </w:p>
        </w:tc>
      </w:tr>
    </w:tbl>
    <w:p>
      <w:pPr>
        <w:spacing w:after="40"/>
      </w:pPr>
    </w:p>
    <w:p>
      <w:pPr>
        <w:spacing w:after="120" w:before="0"/>
      </w:pPr>
      <w:r>
        <w:rPr>
          <w:b w:val="0"/>
          <w:i w:val="0"/>
          <w:color w:val="1C3A36"/>
          <w:sz w:val="21"/>
        </w:rPr>
        <w:t>One thing this leg does NOT do, and it is a genuine inconsistency across the panel rather than a feature of the method. The stream it capitalises starts from group free cash flow, which includes the 4.5% of profit that belongs to the minority holders, and it never adds the joint-venture stakes that the main bridge and Expert 3 both add at book value. Expert 1 deducts the minorities and Expert 3 runs the full bridge; this one does neither. Put on the same bridge as the other two — the minority share out, the joint ventures in — this expert would land at AED 9.26 rather than AED 9.43, a move of AED -0.17. The published figure is left as the method produces it and the difference is stated here, because three experts presented as independent reads of one balance sheet should not be quietly running three different bridges.</w:t>
      </w:r>
    </w:p>
    <w:p>
      <w:pPr>
        <w:spacing w:after="120" w:before="0"/>
      </w:pPr>
      <w:r>
        <w:rPr>
          <w:b w:val="0"/>
          <w:i w:val="0"/>
          <w:color w:val="1C3A36"/>
          <w:sz w:val="21"/>
        </w:rPr>
        <w:t>This expert lands at AED 9.43, below the study's own central of AED 5.39, and the reason is specific: the five-year average free cash flow of USD 1,491 million is dragged down by the investment years. Free cash flow to the firm is USD 903 million in 2026E and USD 1,816 million in 2029E; averaging a business across a period when it is building the assets that produce the later number is a real charge against it. That is the method doing what it says it does, and it is why the range extends as high as AED 14.93.</w:t>
      </w:r>
    </w:p>
    <w:p>
      <w:pPr>
        <w:spacing w:after="120" w:before="0"/>
      </w:pPr>
      <w:r>
        <w:rPr>
          <w:b w:val="0"/>
          <w:i w:val="0"/>
          <w:color w:val="1C3A36"/>
          <w:sz w:val="21"/>
        </w:rPr>
        <w:t>Named sensitivity: this method is a single-stage capitalisation, so it is more sensitive to the cost of equity than anything else in the study. Capitalise the same owner cash earnings at the cost of equity the equal-weight composite produces — 7.62% instead of 9.37% — and the answer is roughly AED 12.36 a share, a rise of about 31%. The direction is worth being explicit about: a lower discount rate raises a perpetuity, so the construction this study does not adopt is the generous one. Within the adopted construction, the two ends of the beta's own 90% interval are what set this expert's published range, and they span AED 8.41. This expert is therefore the one most exposed to the discount rate, and says so.</w:t>
      </w:r>
    </w:p>
    <w:p>
      <w:pPr>
        <w:spacing w:after="160" w:before="0"/>
      </w:pPr>
      <w:r>
        <w:rPr>
          <w:b w:val="0"/>
          <w:i w:val="0"/>
          <w:color w:val="1C3A36"/>
          <w:sz w:val="21"/>
        </w:rPr>
        <w:t>Falsifier, stated in advance: A year in which free cash flow to the firm falls below the ordinary distribution plus the perpetual coupon, without a matching fall in capital expenditure, would break the annuity this rests on.</w:t>
      </w:r>
    </w:p>
    <w:p>
      <w:pPr>
        <w:keepNext/>
        <w:spacing w:after="80" w:before="200"/>
      </w:pPr>
      <w:r>
        <w:rPr>
          <w:b/>
          <w:i w:val="0"/>
          <w:color w:val="1C3A36"/>
          <w:sz w:val="24"/>
        </w:rPr>
        <w:t>C.3  Expert 3 — cash returns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 — which forces the question of whether a very large newbuild programme is worth funding, rather than assuming it is.</w:t>
      </w:r>
    </w:p>
    <w:p>
      <w:pPr>
        <w:spacing w:after="120" w:before="0"/>
      </w:pPr>
      <w:r>
        <w:rPr>
          <w:b w:val="0"/>
          <w:i w:val="0"/>
          <w:color w:val="1C3A36"/>
          <w:sz w:val="21"/>
        </w:rPr>
        <w:t>When it works: it is the sharpest available test of a capital programme, and it makes the discount-rate question unavoidable instead of burying it in a terminal value. When it fails: it is acutely sensitive to how invested capital is measured, and a fleet carried at historical cost after a large acquisition is exactly the case where that measurement is least reliable.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Invested capital at the valuation date (USD mn) — the fleet, working capital, intangibles and goodwill</w:t>
            </w:r>
          </w:p>
        </w:tc>
        <w:tc>
          <w:tcPr>
            <w:tcW w:type="dxa" w:w="3168"/>
          </w:tcPr>
          <w:p>
            <w:pPr>
              <w:spacing w:after="20"/>
              <w:jc w:val="right"/>
            </w:pPr>
            <w:r>
              <w:rPr>
                <w:color w:val="1C3A36"/>
                <w:sz w:val="16"/>
              </w:rPr>
              <w:t>7,827</w:t>
            </w:r>
          </w:p>
        </w:tc>
      </w:tr>
      <w:tr>
        <w:trPr>
          <w:cantSplit/>
        </w:trPr>
        <w:tc>
          <w:tcPr>
            <w:tcW w:type="dxa" w:w="6912"/>
          </w:tcPr>
          <w:p>
            <w:pPr>
              <w:spacing w:after="20"/>
            </w:pPr>
            <w:r>
              <w:rPr>
                <w:color w:val="1C3A36"/>
                <w:sz w:val="16"/>
              </w:rPr>
              <w:t>Present value of economic profit, the five explicit years (USD mn)</w:t>
            </w:r>
          </w:p>
        </w:tc>
        <w:tc>
          <w:tcPr>
            <w:tcW w:type="dxa" w:w="3168"/>
          </w:tcPr>
          <w:p>
            <w:pPr>
              <w:spacing w:after="20"/>
              <w:jc w:val="right"/>
            </w:pPr>
            <w:r>
              <w:rPr>
                <w:color w:val="1C3A36"/>
                <w:sz w:val="16"/>
              </w:rPr>
              <w:t>4,006</w:t>
            </w:r>
          </w:p>
        </w:tc>
      </w:tr>
      <w:tr>
        <w:trPr>
          <w:cantSplit/>
        </w:trPr>
        <w:tc>
          <w:tcPr>
            <w:tcW w:type="dxa" w:w="6912"/>
          </w:tcPr>
          <w:p>
            <w:pPr>
              <w:spacing w:after="20"/>
            </w:pPr>
            <w:r>
              <w:rPr>
                <w:color w:val="1C3A36"/>
                <w:sz w:val="16"/>
              </w:rPr>
              <w:t>Present value of terminal economic profit (USD mn)</w:t>
            </w:r>
          </w:p>
        </w:tc>
        <w:tc>
          <w:tcPr>
            <w:tcW w:type="dxa" w:w="3168"/>
          </w:tcPr>
          <w:p>
            <w:pPr>
              <w:spacing w:after="20"/>
              <w:jc w:val="right"/>
            </w:pPr>
            <w:r>
              <w:rPr>
                <w:color w:val="1C3A36"/>
                <w:sz w:val="16"/>
              </w:rPr>
              <w:t>1,289</w:t>
            </w:r>
          </w:p>
        </w:tc>
      </w:tr>
      <w:tr>
        <w:trPr>
          <w:cantSplit/>
        </w:trPr>
        <w:tc>
          <w:tcPr>
            <w:tcW w:type="dxa" w:w="6912"/>
          </w:tcPr>
          <w:p>
            <w:pPr>
              <w:spacing w:after="20"/>
            </w:pPr>
            <w:r>
              <w:rPr>
                <w:color w:val="1C3A36"/>
                <w:sz w:val="16"/>
              </w:rPr>
              <w:t>Enterprise value (USD mn)</w:t>
            </w:r>
          </w:p>
        </w:tc>
        <w:tc>
          <w:tcPr>
            <w:tcW w:type="dxa" w:w="3168"/>
          </w:tcPr>
          <w:p>
            <w:pPr>
              <w:spacing w:after="20"/>
              <w:jc w:val="right"/>
            </w:pPr>
            <w:r>
              <w:rPr>
                <w:color w:val="1C3A36"/>
                <w:sz w:val="16"/>
              </w:rPr>
              <w:t>13,123</w:t>
            </w:r>
          </w:p>
        </w:tc>
      </w:tr>
      <w:tr>
        <w:trPr>
          <w:cantSplit/>
        </w:trPr>
        <w:tc>
          <w:tcPr>
            <w:tcW w:type="dxa" w:w="6912"/>
          </w:tcPr>
          <w:p>
            <w:pPr>
              <w:spacing w:after="20"/>
            </w:pPr>
            <w:r>
              <w:rPr>
                <w:color w:val="1C3A36"/>
                <w:sz w:val="16"/>
              </w:rPr>
              <w:t>Less net debt, the perpetual securities and minorities, plus joint ventures (USD mn)</w:t>
            </w:r>
          </w:p>
        </w:tc>
        <w:tc>
          <w:tcPr>
            <w:tcW w:type="dxa" w:w="3168"/>
          </w:tcPr>
          <w:p>
            <w:pPr>
              <w:spacing w:after="20"/>
              <w:jc w:val="right"/>
            </w:pPr>
            <w:r>
              <w:rPr>
                <w:color w:val="1C3A36"/>
                <w:sz w:val="16"/>
              </w:rPr>
              <w:t>(3,607)</w:t>
            </w:r>
          </w:p>
        </w:tc>
      </w:tr>
      <w:tr>
        <w:trPr>
          <w:cantSplit/>
        </w:trPr>
        <w:tc>
          <w:tcPr>
            <w:tcW w:type="dxa" w:w="6912"/>
          </w:tcPr>
          <w:p>
            <w:pPr>
              <w:spacing w:after="20"/>
            </w:pPr>
            <w:r>
              <w:rPr>
                <w:color w:val="1C3A36"/>
                <w:sz w:val="16"/>
              </w:rPr>
              <w:t>Equity value (USD mn)</w:t>
            </w:r>
          </w:p>
        </w:tc>
        <w:tc>
          <w:tcPr>
            <w:tcW w:type="dxa" w:w="3168"/>
          </w:tcPr>
          <w:p>
            <w:pPr>
              <w:spacing w:after="20"/>
              <w:jc w:val="right"/>
            </w:pPr>
            <w:r>
              <w:rPr>
                <w:color w:val="1C3A36"/>
                <w:sz w:val="16"/>
              </w:rPr>
              <w:t>9,516</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4.72</w:t>
            </w:r>
          </w:p>
        </w:tc>
      </w:tr>
      <w:tr>
        <w:trPr>
          <w:cantSplit/>
        </w:trPr>
        <w:tc>
          <w:tcPr>
            <w:tcW w:type="dxa" w:w="6912"/>
          </w:tcPr>
          <w:p>
            <w:pPr>
              <w:spacing w:after="20"/>
            </w:pPr>
            <w:r>
              <w:rPr>
                <w:color w:val="1C3A36"/>
                <w:sz w:val="16"/>
              </w:rPr>
              <w:t>Range — the low end fades the economic profit hard, the high end lets it persist</w:t>
            </w:r>
          </w:p>
        </w:tc>
        <w:tc>
          <w:tcPr>
            <w:tcW w:type="dxa" w:w="3168"/>
          </w:tcPr>
          <w:p>
            <w:pPr>
              <w:spacing w:after="20"/>
              <w:jc w:val="right"/>
            </w:pPr>
            <w:r>
              <w:rPr>
                <w:color w:val="1C3A36"/>
                <w:sz w:val="16"/>
              </w:rPr>
              <w:t>3.61 – 5.58</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Year</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Return on invested capital</w:t>
            </w:r>
          </w:p>
        </w:tc>
        <w:tc>
          <w:tcPr>
            <w:tcW w:type="dxa" w:w="1382"/>
          </w:tcPr>
          <w:p>
            <w:pPr>
              <w:spacing w:after="20"/>
              <w:jc w:val="right"/>
            </w:pPr>
            <w:r>
              <w:rPr>
                <w:color w:val="1C3A36"/>
                <w:sz w:val="16"/>
              </w:rPr>
              <w:t>21.0%</w:t>
            </w:r>
          </w:p>
        </w:tc>
        <w:tc>
          <w:tcPr>
            <w:tcW w:type="dxa" w:w="1382"/>
          </w:tcPr>
          <w:p>
            <w:pPr>
              <w:spacing w:after="20"/>
              <w:jc w:val="right"/>
            </w:pPr>
            <w:r>
              <w:rPr>
                <w:color w:val="1C3A36"/>
                <w:sz w:val="16"/>
              </w:rPr>
              <w:t>22.5%</w:t>
            </w:r>
          </w:p>
        </w:tc>
        <w:tc>
          <w:tcPr>
            <w:tcW w:type="dxa" w:w="1382"/>
          </w:tcPr>
          <w:p>
            <w:pPr>
              <w:spacing w:after="20"/>
              <w:jc w:val="right"/>
            </w:pPr>
            <w:r>
              <w:rPr>
                <w:color w:val="1C3A36"/>
                <w:sz w:val="16"/>
              </w:rPr>
              <w:t>19.0%</w:t>
            </w:r>
          </w:p>
        </w:tc>
        <w:tc>
          <w:tcPr>
            <w:tcW w:type="dxa" w:w="1382"/>
          </w:tcPr>
          <w:p>
            <w:pPr>
              <w:spacing w:after="20"/>
              <w:jc w:val="right"/>
            </w:pPr>
            <w:r>
              <w:rPr>
                <w:color w:val="1C3A36"/>
                <w:sz w:val="16"/>
              </w:rPr>
              <w:t>14.5%</w:t>
            </w:r>
          </w:p>
        </w:tc>
        <w:tc>
          <w:tcPr>
            <w:tcW w:type="dxa" w:w="1382"/>
          </w:tcPr>
          <w:p>
            <w:pPr>
              <w:spacing w:after="20"/>
              <w:jc w:val="right"/>
            </w:pPr>
            <w:r>
              <w:rPr>
                <w:color w:val="1C3A36"/>
                <w:sz w:val="16"/>
              </w:rPr>
              <w:t>9.8%</w:t>
            </w:r>
          </w:p>
        </w:tc>
      </w:tr>
      <w:tr>
        <w:trPr>
          <w:cantSplit/>
        </w:trPr>
        <w:tc>
          <w:tcPr>
            <w:tcW w:type="dxa" w:w="3168"/>
          </w:tcPr>
          <w:p>
            <w:pPr>
              <w:spacing w:after="20"/>
            </w:pPr>
            <w:r>
              <w:rPr>
                <w:color w:val="1C3A36"/>
                <w:sz w:val="16"/>
              </w:rPr>
              <w:t>Cost of capital charged — the explicit-window rate, held flat</w:t>
            </w:r>
          </w:p>
        </w:tc>
        <w:tc>
          <w:tcPr>
            <w:tcW w:type="dxa" w:w="1382"/>
          </w:tcPr>
          <w:p>
            <w:pPr>
              <w:spacing w:after="20"/>
              <w:jc w:val="right"/>
            </w:pPr>
            <w:r>
              <w:rPr>
                <w:color w:val="1C3A36"/>
                <w:sz w:val="16"/>
              </w:rPr>
              <w:t>8.66%</w:t>
            </w:r>
          </w:p>
        </w:tc>
        <w:tc>
          <w:tcPr>
            <w:tcW w:type="dxa" w:w="1382"/>
          </w:tcPr>
          <w:p>
            <w:pPr>
              <w:spacing w:after="20"/>
              <w:jc w:val="right"/>
            </w:pPr>
            <w:r>
              <w:rPr>
                <w:color w:val="1C3A36"/>
                <w:sz w:val="16"/>
              </w:rPr>
              <w:t>8.66%</w:t>
            </w:r>
          </w:p>
        </w:tc>
        <w:tc>
          <w:tcPr>
            <w:tcW w:type="dxa" w:w="1382"/>
          </w:tcPr>
          <w:p>
            <w:pPr>
              <w:spacing w:after="20"/>
              <w:jc w:val="right"/>
            </w:pPr>
            <w:r>
              <w:rPr>
                <w:color w:val="1C3A36"/>
                <w:sz w:val="16"/>
              </w:rPr>
              <w:t>8.66%</w:t>
            </w:r>
          </w:p>
        </w:tc>
        <w:tc>
          <w:tcPr>
            <w:tcW w:type="dxa" w:w="1382"/>
          </w:tcPr>
          <w:p>
            <w:pPr>
              <w:spacing w:after="20"/>
              <w:jc w:val="right"/>
            </w:pPr>
            <w:r>
              <w:rPr>
                <w:color w:val="1C3A36"/>
                <w:sz w:val="16"/>
              </w:rPr>
              <w:t>8.66%</w:t>
            </w:r>
          </w:p>
        </w:tc>
        <w:tc>
          <w:tcPr>
            <w:tcW w:type="dxa" w:w="1382"/>
          </w:tcPr>
          <w:p>
            <w:pPr>
              <w:spacing w:after="20"/>
              <w:jc w:val="right"/>
            </w:pPr>
            <w:r>
              <w:rPr>
                <w:color w:val="1C3A36"/>
                <w:sz w:val="16"/>
              </w:rPr>
              <w:t>8.66%</w:t>
            </w:r>
          </w:p>
        </w:tc>
      </w:tr>
      <w:tr>
        <w:trPr>
          <w:cantSplit/>
        </w:trPr>
        <w:tc>
          <w:tcPr>
            <w:tcW w:type="dxa" w:w="3168"/>
            <w:shd w:val="clear" w:color="auto" w:fill="F6F1E6"/>
          </w:tcPr>
          <w:p>
            <w:pPr>
              <w:spacing w:after="20"/>
            </w:pPr>
            <w:r>
              <w:rPr>
                <w:b/>
                <w:color w:val="1C3A36"/>
                <w:sz w:val="16"/>
              </w:rPr>
              <w:t>Spread</w:t>
            </w:r>
          </w:p>
        </w:tc>
        <w:tc>
          <w:tcPr>
            <w:tcW w:type="dxa" w:w="1382"/>
            <w:shd w:val="clear" w:color="auto" w:fill="F6F1E6"/>
          </w:tcPr>
          <w:p>
            <w:pPr>
              <w:spacing w:after="20"/>
              <w:jc w:val="right"/>
            </w:pPr>
            <w:r>
              <w:rPr>
                <w:b/>
                <w:color w:val="1C3A36"/>
                <w:sz w:val="16"/>
              </w:rPr>
              <w:t>+12.3pp</w:t>
            </w:r>
          </w:p>
        </w:tc>
        <w:tc>
          <w:tcPr>
            <w:tcW w:type="dxa" w:w="1382"/>
            <w:shd w:val="clear" w:color="auto" w:fill="F6F1E6"/>
          </w:tcPr>
          <w:p>
            <w:pPr>
              <w:spacing w:after="20"/>
              <w:jc w:val="right"/>
            </w:pPr>
            <w:r>
              <w:rPr>
                <w:b/>
                <w:color w:val="1C3A36"/>
                <w:sz w:val="16"/>
              </w:rPr>
              <w:t>+13.8pp</w:t>
            </w:r>
          </w:p>
        </w:tc>
        <w:tc>
          <w:tcPr>
            <w:tcW w:type="dxa" w:w="1382"/>
            <w:shd w:val="clear" w:color="auto" w:fill="F6F1E6"/>
          </w:tcPr>
          <w:p>
            <w:pPr>
              <w:spacing w:after="20"/>
              <w:jc w:val="right"/>
            </w:pPr>
            <w:r>
              <w:rPr>
                <w:b/>
                <w:color w:val="1C3A36"/>
                <w:sz w:val="16"/>
              </w:rPr>
              <w:t>+10.4pp</w:t>
            </w:r>
          </w:p>
        </w:tc>
        <w:tc>
          <w:tcPr>
            <w:tcW w:type="dxa" w:w="1382"/>
            <w:shd w:val="clear" w:color="auto" w:fill="F6F1E6"/>
          </w:tcPr>
          <w:p>
            <w:pPr>
              <w:spacing w:after="20"/>
              <w:jc w:val="right"/>
            </w:pPr>
            <w:r>
              <w:rPr>
                <w:b/>
                <w:color w:val="1C3A36"/>
                <w:sz w:val="16"/>
              </w:rPr>
              <w:t>+5.9pp</w:t>
            </w:r>
          </w:p>
        </w:tc>
        <w:tc>
          <w:tcPr>
            <w:tcW w:type="dxa" w:w="1382"/>
            <w:shd w:val="clear" w:color="auto" w:fill="F6F1E6"/>
          </w:tcPr>
          <w:p>
            <w:pPr>
              <w:spacing w:after="20"/>
              <w:jc w:val="right"/>
            </w:pPr>
            <w:r>
              <w:rPr>
                <w:b/>
                <w:color w:val="1C3A36"/>
                <w:sz w:val="16"/>
              </w:rPr>
              <w:t>+1.1pp</w:t>
            </w:r>
          </w:p>
        </w:tc>
      </w:tr>
      <w:tr>
        <w:trPr>
          <w:cantSplit/>
        </w:trPr>
        <w:tc>
          <w:tcPr>
            <w:tcW w:type="dxa" w:w="3168"/>
          </w:tcPr>
          <w:p>
            <w:pPr>
              <w:spacing w:after="20"/>
            </w:pPr>
            <w:r>
              <w:rPr>
                <w:color w:val="1C3A36"/>
                <w:sz w:val="16"/>
              </w:rPr>
              <w:t>Economic profit — net operating profit after tax less the capital charge (USD mn)</w:t>
            </w:r>
          </w:p>
        </w:tc>
        <w:tc>
          <w:tcPr>
            <w:tcW w:type="dxa" w:w="1382"/>
          </w:tcPr>
          <w:p>
            <w:pPr>
              <w:spacing w:after="20"/>
              <w:jc w:val="right"/>
            </w:pPr>
            <w:r>
              <w:rPr>
                <w:color w:val="1C3A36"/>
                <w:sz w:val="16"/>
              </w:rPr>
              <w:t>1,221</w:t>
            </w:r>
          </w:p>
        </w:tc>
        <w:tc>
          <w:tcPr>
            <w:tcW w:type="dxa" w:w="1382"/>
          </w:tcPr>
          <w:p>
            <w:pPr>
              <w:spacing w:after="20"/>
              <w:jc w:val="right"/>
            </w:pPr>
            <w:r>
              <w:rPr>
                <w:color w:val="1C3A36"/>
                <w:sz w:val="16"/>
              </w:rPr>
              <w:t>1,479</w:t>
            </w:r>
          </w:p>
        </w:tc>
        <w:tc>
          <w:tcPr>
            <w:tcW w:type="dxa" w:w="1382"/>
          </w:tcPr>
          <w:p>
            <w:pPr>
              <w:spacing w:after="20"/>
              <w:jc w:val="right"/>
            </w:pPr>
            <w:r>
              <w:rPr>
                <w:color w:val="1C3A36"/>
                <w:sz w:val="16"/>
              </w:rPr>
              <w:t>1,172</w:t>
            </w:r>
          </w:p>
        </w:tc>
        <w:tc>
          <w:tcPr>
            <w:tcW w:type="dxa" w:w="1382"/>
          </w:tcPr>
          <w:p>
            <w:pPr>
              <w:spacing w:after="20"/>
              <w:jc w:val="right"/>
            </w:pPr>
            <w:r>
              <w:rPr>
                <w:color w:val="1C3A36"/>
                <w:sz w:val="16"/>
              </w:rPr>
              <w:t>659</w:t>
            </w:r>
          </w:p>
        </w:tc>
        <w:tc>
          <w:tcPr>
            <w:tcW w:type="dxa" w:w="1382"/>
          </w:tcPr>
          <w:p>
            <w:pPr>
              <w:spacing w:after="20"/>
              <w:jc w:val="right"/>
            </w:pPr>
            <w:r>
              <w:rPr>
                <w:color w:val="1C3A36"/>
                <w:sz w:val="16"/>
              </w:rPr>
              <w:t>121</w:t>
            </w:r>
          </w:p>
        </w:tc>
      </w:tr>
    </w:tbl>
    <w:p>
      <w:pPr>
        <w:spacing w:after="40"/>
      </w:pPr>
    </w:p>
    <w:p>
      <w:pPr>
        <w:spacing w:after="200" w:before="0"/>
      </w:pPr>
      <w:r>
        <w:rPr>
          <w:b w:val="0"/>
          <w:i/>
          <w:color w:val="6E7B77"/>
          <w:sz w:val="17"/>
        </w:rPr>
        <w:t>This is the most revealing exhibit in the study. The spread is positive in every forecast year — the business earns 21% on capital in 2026E against a cost of 9% — and it narrows steadily as the rate cycle normalises and the capital base grows. That is a company creating value throughout, but creating less of it each year, which is a very different picture from either a compounder or a value destroyer. Two conventions in this table are named so they cannot be confused with the ones used elsewhere. The return divides by closing invested capital, matching Appendix A.3; and the capital charge is the explicit-window cost of capital of 8.66% held flat across all five years rather than the declining schedule the cash-flow model discounts at, so the spread row is exactly the return row less 8.66% and the economic-profit row is exactly that spread on the same closing capital. Appendix A.3 shows the spread on the declining schedule instead, which is why the two tables give different spreads from the same returns. Note also that this leg's enterprise value of USD 13,123 million differs from the cash-flow model's USD 15,100 million: economic-profit and cash-flow valuations are algebraically identical on identical assumptions, and the gap here is entirely the different terminal treatment — a fading economic-profit perpetuity against a reinvestment-funded terminal value. Expert 3 is therefore a restatement of the cash-flow model under a different terminal discipline, not independent confirmation of it, and is read as such.</w:t>
      </w:r>
    </w:p>
    <w:p>
      <w:pPr>
        <w:spacing w:after="120" w:before="0"/>
      </w:pPr>
      <w:r>
        <w:rPr>
          <w:b w:val="0"/>
          <w:i w:val="0"/>
          <w:color w:val="1C3A36"/>
          <w:sz w:val="21"/>
        </w:rPr>
        <w:t>Named sensitivity: a one-percentage-point parallel reduction in the cost-of-capital schedule widens the spread in every year and lifts this valuation by roughly a fifth; the same move in the opposite direction removes about the same amount from a base of AED 4.72 that already sits 31% below the market price, and takes the fifth-year spread of +1.1 percentage points close to zero. Nothing in the operating build has a comparable effect on this method, which is the point it is making.</w:t>
      </w:r>
    </w:p>
    <w:p>
      <w:pPr>
        <w:spacing w:after="160" w:before="0"/>
      </w:pPr>
      <w:r>
        <w:rPr>
          <w:b w:val="0"/>
          <w:i w:val="0"/>
          <w:color w:val="1C3A36"/>
          <w:sz w:val="21"/>
        </w:rPr>
        <w:t>Falsifier, stated in advance: A return on invested capital that settles below the cost of capital for two consecutive years would remove the premium to invested capital this method rests on entirely.</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rPr>
          <w:cantSplit/>
          <w:tblHeader/>
        </w:trP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Conceded or rejected</w:t>
            </w:r>
          </w:p>
        </w:tc>
      </w:tr>
      <w:tr>
        <w:trPr>
          <w:cantSplit/>
        </w:trPr>
        <w:tc>
          <w:tcPr>
            <w:tcW w:type="dxa" w:w="3528"/>
          </w:tcPr>
          <w:p>
            <w:pPr>
              <w:spacing w:after="20"/>
            </w:pPr>
            <w:r>
              <w:rPr>
                <w:color w:val="1C3A36"/>
                <w:sz w:val="16"/>
              </w:rPr>
              <w:t>"Your multiple is a discount rate you have not written down. On mid-cycle earnings and this share count it implies a cost of equity near the low end of the range the rest of this study is arguing about — you have silently taken a side."</w:t>
            </w:r>
          </w:p>
        </w:tc>
        <w:tc>
          <w:tcPr>
            <w:tcW w:type="dxa" w:w="1728"/>
          </w:tcPr>
          <w:p>
            <w:pPr>
              <w:spacing w:after="20"/>
            </w:pPr>
            <w:r>
              <w:rPr>
                <w:color w:val="1C3A36"/>
                <w:sz w:val="16"/>
              </w:rPr>
              <w:t>Expert 3 to Expert 1</w:t>
            </w:r>
          </w:p>
        </w:tc>
        <w:tc>
          <w:tcPr>
            <w:tcW w:type="dxa" w:w="4824"/>
          </w:tcPr>
          <w:p>
            <w:pPr>
              <w:spacing w:after="20"/>
            </w:pPr>
            <w:r>
              <w:rPr>
                <w:color w:val="1C3A36"/>
                <w:sz w:val="16"/>
              </w:rPr>
              <w:t>Conceded. The multiple is a judgement and it does embed a cost of capital. The defence is only that it embeds one drawn from what comparable marine assets actually trade at rather than from a regression on three years of data. That is a weaker claim than the method usually makes, and it is the weakest joint in this leg.</w:t>
            </w:r>
          </w:p>
        </w:tc>
      </w:tr>
      <w:tr>
        <w:trPr>
          <w:cantSplit/>
        </w:trPr>
        <w:tc>
          <w:tcPr>
            <w:tcW w:type="dxa" w:w="3528"/>
          </w:tcPr>
          <w:p>
            <w:pPr>
              <w:spacing w:after="20"/>
            </w:pPr>
            <w:r>
              <w:rPr>
                <w:color w:val="1C3A36"/>
                <w:sz w:val="16"/>
              </w:rPr>
              <w:t>"Averaging free cash flow across the five years charges the owner for a newbuild programme that is contracted and will earn. You are treating investment as if it were consumption."</w:t>
            </w:r>
          </w:p>
        </w:tc>
        <w:tc>
          <w:tcPr>
            <w:tcW w:type="dxa" w:w="1728"/>
          </w:tcPr>
          <w:p>
            <w:pPr>
              <w:spacing w:after="20"/>
            </w:pPr>
            <w:r>
              <w:rPr>
                <w:color w:val="1C3A36"/>
                <w:sz w:val="16"/>
              </w:rPr>
              <w:t>Expert 1 to Expert 2</w:t>
            </w:r>
          </w:p>
        </w:tc>
        <w:tc>
          <w:tcPr>
            <w:tcW w:type="dxa" w:w="4824"/>
          </w:tcPr>
          <w:p>
            <w:pPr>
              <w:spacing w:after="20"/>
            </w:pPr>
            <w:r>
              <w:rPr>
                <w:color w:val="1C3A36"/>
                <w:sz w:val="16"/>
              </w:rPr>
              <w:t>Partly conceded. Free cash flow rises from USD 903 million to USD 1,816 million as the programme delivers, so the average does understate the steady state. Rejected in part, though: the fleet is not a one-off build. Maintenance capital and fleet renewal recur, and every previous cycle in this industry has been ended by exactly the kind of ordering this programme is part of.</w:t>
            </w:r>
          </w:p>
        </w:tc>
      </w:tr>
      <w:tr>
        <w:trPr>
          <w:cantSplit/>
        </w:trPr>
        <w:tc>
          <w:tcPr>
            <w:tcW w:type="dxa" w:w="3528"/>
          </w:tcPr>
          <w:p>
            <w:pPr>
              <w:spacing w:after="20"/>
            </w:pPr>
            <w:r>
              <w:rPr>
                <w:color w:val="1C3A36"/>
                <w:sz w:val="16"/>
              </w:rPr>
              <w:t>"Invested capital carries a fleet acquired at the top of a cycle at historical cost. If it is understated your spread is flattered; if it is overstated your whole method collapses toward book."</w:t>
            </w:r>
          </w:p>
        </w:tc>
        <w:tc>
          <w:tcPr>
            <w:tcW w:type="dxa" w:w="1728"/>
          </w:tcPr>
          <w:p>
            <w:pPr>
              <w:spacing w:after="20"/>
            </w:pPr>
            <w:r>
              <w:rPr>
                <w:color w:val="1C3A36"/>
                <w:sz w:val="16"/>
              </w:rPr>
              <w:t>Expert 2 to Expert 3</w:t>
            </w:r>
          </w:p>
        </w:tc>
        <w:tc>
          <w:tcPr>
            <w:tcW w:type="dxa" w:w="4824"/>
          </w:tcPr>
          <w:p>
            <w:pPr>
              <w:spacing w:after="20"/>
            </w:pPr>
            <w:r>
              <w:rPr>
                <w:color w:val="1C3A36"/>
                <w:sz w:val="16"/>
              </w:rPr>
              <w:t>Conceded, and the direction is disclosed. The one piece of evidence available points the other way — a vessel sold at 1.34× carrying value — which means invested capital is more likely understated and the measured return correspondingly flattered. That makes this leg's spread optimistic, not conservative, and it is stated here rather than left for a reader to find.</w:t>
            </w:r>
          </w:p>
        </w:tc>
      </w:tr>
      <w:tr>
        <w:trPr>
          <w:cantSplit/>
        </w:trPr>
        <w:tc>
          <w:tcPr>
            <w:tcW w:type="dxa" w:w="3528"/>
          </w:tcPr>
          <w:p>
            <w:pPr>
              <w:spacing w:after="20"/>
            </w:pPr>
            <w:r>
              <w:rPr>
                <w:color w:val="1C3A36"/>
                <w:sz w:val="16"/>
              </w:rPr>
              <w:t>"All three of you are arguing about the numerator. The number that actually decides this valuation is the beta, and only one of you prices it."</w:t>
            </w:r>
          </w:p>
        </w:tc>
        <w:tc>
          <w:tcPr>
            <w:tcW w:type="dxa" w:w="1728"/>
          </w:tcPr>
          <w:p>
            <w:pPr>
              <w:spacing w:after="20"/>
            </w:pPr>
            <w:r>
              <w:rPr>
                <w:color w:val="1C3A36"/>
                <w:sz w:val="16"/>
              </w:rPr>
              <w:t>The panel to itself</w:t>
            </w:r>
          </w:p>
        </w:tc>
        <w:tc>
          <w:tcPr>
            <w:tcW w:type="dxa" w:w="4824"/>
          </w:tcPr>
          <w:p>
            <w:pPr>
              <w:spacing w:after="20"/>
            </w:pPr>
            <w:r>
              <w:rPr>
                <w:color w:val="1C3A36"/>
                <w:sz w:val="16"/>
              </w:rPr>
              <w:t>Accepted, and it is why the panel divides the way it does. Expert 1 never touches it. Expert 2 is fully exposed to it, which is why its range spans AED 8.41, struck at the two ends of the beta's own 90% interval. Expert 3 prices it year by year and finds the spread stays positive on either measurement of the market, which is the one useful thing the panel can say about it: the business creates value at both costs of capital — the argument is only about how much, and it is now an argument about statistical width rather than about which yardstick to use.</w:t>
            </w:r>
          </w:p>
        </w:tc>
      </w:tr>
    </w:tbl>
    <w:p>
      <w:pPr>
        <w:spacing w:after="40"/>
      </w:pPr>
    </w:p>
    <w:p>
      <w:pPr>
        <w:keepNext/>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06663"/>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309360" cy="2406663"/>
                    </a:xfrm>
                    <a:prstGeom prst="rect"/>
                  </pic:spPr>
                </pic:pic>
              </a:graphicData>
            </a:graphic>
          </wp:inline>
        </w:drawing>
      </w:r>
    </w:p>
    <w:p>
      <w:pPr>
        <w:spacing w:after="200" w:before="0"/>
      </w:pPr>
      <w:r>
        <w:rPr>
          <w:b w:val="0"/>
          <w:i/>
          <w:color w:val="6E7B77"/>
          <w:sz w:val="17"/>
        </w:rPr>
        <w:t>Figure 9 — the three experts' ranges. The brass tick is each base case, the gold band the panel centre of AED 8.01, the vertical line the market price of AED 6.80.</w:t>
      </w:r>
    </w:p>
    <w:p>
      <w:pPr>
        <w:spacing w:after="120" w:before="0"/>
      </w:pPr>
      <w:r>
        <w:rPr>
          <w:b w:val="0"/>
          <w:i w:val="0"/>
          <w:color w:val="1C3A36"/>
          <w:sz w:val="21"/>
        </w:rPr>
        <w:t>The panel spans AED 4.72 to 9.89 — a factor of 2.09 between the most and least generous base case, which is a narrow disagreement by the standards of this series. That narrowness is itself informative: three methods that share almost nothing methodologically land within AED 5.16 of one another. The market price of AED 6.80 falls inside that span, and so does this study's own cash-flow lens; the central of AED 5.39 sits inside it as well.</w:t>
      </w:r>
    </w:p>
    <w:p>
      <w:pPr>
        <w:spacing w:after="120" w:before="0"/>
      </w:pPr>
      <w:r>
        <w:rPr>
          <w:b w:val="0"/>
          <w:i w:val="0"/>
          <w:color w:val="1C3A36"/>
          <w:sz w:val="21"/>
        </w:rPr>
        <w:t>The panel centre of AED 8.01 sits 18% above the market price and +49% against this study's central. That gap is real and it has a single explanation: every one of the three experts works from mid-cycle or five-year-average earnings, and none of them capitalises a terminal value the way the cash-flow model does. The cash-flow model puts 63% of its enterprise value beyond the fifth year; the panel puts effectively none there. A reader who distrusts long terminal values should weight the panel; a reader who believes a contracted marine infrastructure business has a long life beyond a five-year window should weight the model. Both positions are defensible and the gap between them is stated at full size rather than smoothed.</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2045"/>
        <w:gridCol w:w="2045"/>
        <w:gridCol w:w="2045"/>
        <w:gridCol w:w="2074"/>
      </w:tblGrid>
      <w:tr>
        <w:trPr>
          <w:cantSplit/>
          <w:tblHeader/>
        </w:trPr>
        <w:tc>
          <w:tcPr>
            <w:tcW w:type="dxa" w:w="1872"/>
            <w:shd w:val="clear" w:color="auto" w:fill="EAF0EE"/>
          </w:tcPr>
          <w:p>
            <w:pPr>
              <w:spacing w:after="20"/>
            </w:pPr>
            <w:r>
              <w:rPr>
                <w:b/>
                <w:color w:val="1C3A36"/>
                <w:sz w:val="15"/>
              </w:rPr>
              <w:t>Assumption</w:t>
            </w:r>
          </w:p>
        </w:tc>
        <w:tc>
          <w:tcPr>
            <w:tcW w:type="dxa" w:w="2045"/>
            <w:shd w:val="clear" w:color="auto" w:fill="EAF0EE"/>
          </w:tcPr>
          <w:p>
            <w:pPr>
              <w:spacing w:after="20"/>
            </w:pPr>
            <w:r>
              <w:rPr>
                <w:b/>
                <w:color w:val="1C3A36"/>
                <w:sz w:val="15"/>
              </w:rPr>
              <w:t>Expert 1</w:t>
            </w:r>
          </w:p>
        </w:tc>
        <w:tc>
          <w:tcPr>
            <w:tcW w:type="dxa" w:w="2045"/>
            <w:shd w:val="clear" w:color="auto" w:fill="EAF0EE"/>
          </w:tcPr>
          <w:p>
            <w:pPr>
              <w:spacing w:after="20"/>
            </w:pPr>
            <w:r>
              <w:rPr>
                <w:b/>
                <w:color w:val="1C3A36"/>
                <w:sz w:val="15"/>
              </w:rPr>
              <w:t>Expert 2</w:t>
            </w:r>
          </w:p>
        </w:tc>
        <w:tc>
          <w:tcPr>
            <w:tcW w:type="dxa" w:w="2045"/>
            <w:shd w:val="clear" w:color="auto" w:fill="EAF0EE"/>
          </w:tcPr>
          <w:p>
            <w:pPr>
              <w:spacing w:after="20"/>
            </w:pPr>
            <w:r>
              <w:rPr>
                <w:b/>
                <w:color w:val="1C3A36"/>
                <w:sz w:val="15"/>
              </w:rPr>
              <w:t>Expert 3</w:t>
            </w:r>
          </w:p>
        </w:tc>
        <w:tc>
          <w:tcPr>
            <w:tcW w:type="dxa" w:w="2074"/>
            <w:shd w:val="clear" w:color="auto" w:fill="EAF0EE"/>
          </w:tcPr>
          <w:p>
            <w:pPr>
              <w:spacing w:after="20"/>
            </w:pPr>
            <w:r>
              <w:rPr>
                <w:b/>
                <w:color w:val="1C3A36"/>
                <w:sz w:val="15"/>
              </w:rPr>
              <w:t>Why it swings the answer</w:t>
            </w:r>
          </w:p>
        </w:tc>
      </w:tr>
      <w:tr>
        <w:trPr>
          <w:cantSplit/>
        </w:trPr>
        <w:tc>
          <w:tcPr>
            <w:tcW w:type="dxa" w:w="1872"/>
          </w:tcPr>
          <w:p>
            <w:pPr>
              <w:spacing w:after="20"/>
            </w:pPr>
            <w:r>
              <w:rPr>
                <w:color w:val="1C3A36"/>
                <w:sz w:val="15"/>
              </w:rPr>
              <w:t>Capital expenditure</w:t>
            </w:r>
          </w:p>
        </w:tc>
        <w:tc>
          <w:tcPr>
            <w:tcW w:type="dxa" w:w="2045"/>
          </w:tcPr>
          <w:p>
            <w:pPr>
              <w:spacing w:after="20"/>
            </w:pPr>
            <w:r>
              <w:rPr>
                <w:color w:val="1C3A36"/>
                <w:sz w:val="15"/>
              </w:rPr>
              <w:t>ignored — an earnings measure</w:t>
            </w:r>
          </w:p>
        </w:tc>
        <w:tc>
          <w:tcPr>
            <w:tcW w:type="dxa" w:w="2045"/>
          </w:tcPr>
          <w:p>
            <w:pPr>
              <w:spacing w:after="20"/>
            </w:pPr>
            <w:r>
              <w:rPr>
                <w:color w:val="1C3A36"/>
                <w:sz w:val="15"/>
              </w:rPr>
              <w:t>charged in full, averaged across the build years</w:t>
            </w:r>
          </w:p>
        </w:tc>
        <w:tc>
          <w:tcPr>
            <w:tcW w:type="dxa" w:w="2045"/>
          </w:tcPr>
          <w:p>
            <w:pPr>
              <w:spacing w:after="20"/>
            </w:pPr>
            <w:r>
              <w:rPr>
                <w:color w:val="1C3A36"/>
                <w:sz w:val="15"/>
              </w:rPr>
              <w:t>charged through invested capital and the return on it</w:t>
            </w:r>
          </w:p>
        </w:tc>
        <w:tc>
          <w:tcPr>
            <w:tcW w:type="dxa" w:w="2074"/>
          </w:tcPr>
          <w:p>
            <w:pPr>
              <w:spacing w:after="20"/>
            </w:pPr>
            <w:r>
              <w:rPr>
                <w:color w:val="1C3A36"/>
                <w:sz w:val="15"/>
              </w:rPr>
              <w:t>the largest single source of the gap between Experts 1 and 2</w:t>
            </w:r>
          </w:p>
        </w:tc>
      </w:tr>
      <w:tr>
        <w:trPr>
          <w:cantSplit/>
        </w:trPr>
        <w:tc>
          <w:tcPr>
            <w:tcW w:type="dxa" w:w="1872"/>
          </w:tcPr>
          <w:p>
            <w:pPr>
              <w:spacing w:after="20"/>
            </w:pPr>
            <w:r>
              <w:rPr>
                <w:color w:val="1C3A36"/>
                <w:sz w:val="15"/>
              </w:rPr>
              <w:t>The cost of equity</w:t>
            </w:r>
          </w:p>
        </w:tc>
        <w:tc>
          <w:tcPr>
            <w:tcW w:type="dxa" w:w="2045"/>
          </w:tcPr>
          <w:p>
            <w:pPr>
              <w:spacing w:after="20"/>
            </w:pPr>
            <w:r>
              <w:rPr>
                <w:color w:val="1C3A36"/>
                <w:sz w:val="15"/>
              </w:rPr>
              <w:t>implicit inside the multiple, never stated</w:t>
            </w:r>
          </w:p>
        </w:tc>
        <w:tc>
          <w:tcPr>
            <w:tcW w:type="dxa" w:w="2045"/>
          </w:tcPr>
          <w:p>
            <w:pPr>
              <w:spacing w:after="20"/>
            </w:pPr>
            <w:r>
              <w:rPr>
                <w:color w:val="1C3A36"/>
                <w:sz w:val="15"/>
              </w:rPr>
              <w:t>9.37% explicit, and the whole answer moves with it</w:t>
            </w:r>
          </w:p>
        </w:tc>
        <w:tc>
          <w:tcPr>
            <w:tcW w:type="dxa" w:w="2045"/>
          </w:tcPr>
          <w:p>
            <w:pPr>
              <w:spacing w:after="20"/>
            </w:pPr>
            <w:r>
              <w:rPr>
                <w:color w:val="1C3A36"/>
                <w:sz w:val="15"/>
              </w:rPr>
              <w:t>the full glide, year by year, on both sides of the spread</w:t>
            </w:r>
          </w:p>
        </w:tc>
        <w:tc>
          <w:tcPr>
            <w:tcW w:type="dxa" w:w="2074"/>
          </w:tcPr>
          <w:p>
            <w:pPr>
              <w:spacing w:after="20"/>
            </w:pPr>
            <w:r>
              <w:rPr>
                <w:color w:val="1C3A36"/>
                <w:sz w:val="15"/>
              </w:rPr>
              <w:t>Expert 2 is fully exposed, Expert 1 not at all — which is why Expert 1 lands AED 0.46 above Expert 2 without ever taking a position on the question</w:t>
            </w:r>
          </w:p>
        </w:tc>
      </w:tr>
      <w:tr>
        <w:trPr>
          <w:cantSplit/>
        </w:trPr>
        <w:tc>
          <w:tcPr>
            <w:tcW w:type="dxa" w:w="1872"/>
          </w:tcPr>
          <w:p>
            <w:pPr>
              <w:spacing w:after="20"/>
            </w:pPr>
            <w:r>
              <w:rPr>
                <w:color w:val="1C3A36"/>
                <w:sz w:val="15"/>
              </w:rPr>
              <w:t>Terminal value</w:t>
            </w:r>
          </w:p>
        </w:tc>
        <w:tc>
          <w:tcPr>
            <w:tcW w:type="dxa" w:w="2045"/>
          </w:tcPr>
          <w:p>
            <w:pPr>
              <w:spacing w:after="20"/>
            </w:pPr>
            <w:r>
              <w:rPr>
                <w:color w:val="1C3A36"/>
                <w:sz w:val="15"/>
              </w:rPr>
              <w:t>none — no perpetuity at all</w:t>
            </w:r>
          </w:p>
        </w:tc>
        <w:tc>
          <w:tcPr>
            <w:tcW w:type="dxa" w:w="2045"/>
          </w:tcPr>
          <w:p>
            <w:pPr>
              <w:spacing w:after="20"/>
            </w:pPr>
            <w:r>
              <w:rPr>
                <w:color w:val="1C3A36"/>
                <w:sz w:val="15"/>
              </w:rPr>
              <w:t>a single perpetuity of owner cash earnings</w:t>
            </w:r>
          </w:p>
        </w:tc>
        <w:tc>
          <w:tcPr>
            <w:tcW w:type="dxa" w:w="2045"/>
          </w:tcPr>
          <w:p>
            <w:pPr>
              <w:spacing w:after="20"/>
            </w:pPr>
            <w:r>
              <w:rPr>
                <w:color w:val="1C3A36"/>
                <w:sz w:val="15"/>
              </w:rPr>
              <w:t>a fading economic-profit perpetuity</w:t>
            </w:r>
          </w:p>
        </w:tc>
        <w:tc>
          <w:tcPr>
            <w:tcW w:type="dxa" w:w="2074"/>
          </w:tcPr>
          <w:p>
            <w:pPr>
              <w:spacing w:after="20"/>
            </w:pPr>
            <w:r>
              <w:rPr>
                <w:color w:val="1C3A36"/>
                <w:sz w:val="15"/>
              </w:rPr>
              <w:t>the cash-flow model puts 63% of its value beyond year five; none of the three does, which is most of why the panel sits below the study's central</w:t>
            </w:r>
          </w:p>
        </w:tc>
      </w:tr>
      <w:tr>
        <w:trPr>
          <w:cantSplit/>
        </w:trPr>
        <w:tc>
          <w:tcPr>
            <w:tcW w:type="dxa" w:w="1872"/>
          </w:tcPr>
          <w:p>
            <w:pPr>
              <w:spacing w:after="20"/>
            </w:pPr>
            <w:r>
              <w:rPr>
                <w:color w:val="1C3A36"/>
                <w:sz w:val="15"/>
              </w:rPr>
              <w:t>The rate cycle</w:t>
            </w:r>
          </w:p>
        </w:tc>
        <w:tc>
          <w:tcPr>
            <w:tcW w:type="dxa" w:w="2045"/>
          </w:tcPr>
          <w:p>
            <w:pPr>
              <w:spacing w:after="20"/>
            </w:pPr>
            <w:r>
              <w:rPr>
                <w:color w:val="1C3A36"/>
                <w:sz w:val="15"/>
              </w:rPr>
              <w:t>averaged into the mid-cycle earnings</w:t>
            </w:r>
          </w:p>
        </w:tc>
        <w:tc>
          <w:tcPr>
            <w:tcW w:type="dxa" w:w="2045"/>
          </w:tcPr>
          <w:p>
            <w:pPr>
              <w:spacing w:after="20"/>
            </w:pPr>
            <w:r>
              <w:rPr>
                <w:color w:val="1C3A36"/>
                <w:sz w:val="15"/>
              </w:rPr>
              <w:t>averaged into the five-year cash flow</w:t>
            </w:r>
          </w:p>
        </w:tc>
        <w:tc>
          <w:tcPr>
            <w:tcW w:type="dxa" w:w="2045"/>
          </w:tcPr>
          <w:p>
            <w:pPr>
              <w:spacing w:after="20"/>
            </w:pPr>
            <w:r>
              <w:rPr>
                <w:color w:val="1C3A36"/>
                <w:sz w:val="15"/>
              </w:rPr>
              <w:t>visible year by year in the narrowing spread</w:t>
            </w:r>
          </w:p>
        </w:tc>
        <w:tc>
          <w:tcPr>
            <w:tcW w:type="dxa" w:w="2074"/>
          </w:tcPr>
          <w:p>
            <w:pPr>
              <w:spacing w:after="20"/>
            </w:pPr>
            <w:r>
              <w:rPr>
                <w:color w:val="1C3A36"/>
                <w:sz w:val="15"/>
              </w:rPr>
              <w:t>only Expert 3 lets the reader see the cycle turning rather than absorbing it into an average</w:t>
            </w:r>
          </w:p>
        </w:tc>
      </w:tr>
      <w:tr>
        <w:trPr>
          <w:cantSplit/>
        </w:trPr>
        <w:tc>
          <w:tcPr>
            <w:tcW w:type="dxa" w:w="1872"/>
          </w:tcPr>
          <w:p>
            <w:pPr>
              <w:spacing w:after="20"/>
            </w:pPr>
            <w:r>
              <w:rPr>
                <w:color w:val="1C3A36"/>
                <w:sz w:val="15"/>
              </w:rPr>
              <w:t>The perpetual securities</w:t>
            </w:r>
          </w:p>
        </w:tc>
        <w:tc>
          <w:tcPr>
            <w:tcW w:type="dxa" w:w="2045"/>
          </w:tcPr>
          <w:p>
            <w:pPr>
              <w:spacing w:after="20"/>
            </w:pPr>
            <w:r>
              <w:rPr>
                <w:color w:val="1C3A36"/>
                <w:sz w:val="15"/>
              </w:rPr>
              <w:t>charged as a coupon against earnings</w:t>
            </w:r>
          </w:p>
        </w:tc>
        <w:tc>
          <w:tcPr>
            <w:tcW w:type="dxa" w:w="2045"/>
          </w:tcPr>
          <w:p>
            <w:pPr>
              <w:spacing w:after="20"/>
            </w:pPr>
            <w:r>
              <w:rPr>
                <w:color w:val="1C3A36"/>
                <w:sz w:val="15"/>
              </w:rPr>
              <w:t>charged as a coupon against cash</w:t>
            </w:r>
          </w:p>
        </w:tc>
        <w:tc>
          <w:tcPr>
            <w:tcW w:type="dxa" w:w="2045"/>
          </w:tcPr>
          <w:p>
            <w:pPr>
              <w:spacing w:after="20"/>
            </w:pPr>
            <w:r>
              <w:rPr>
                <w:color w:val="1C3A36"/>
                <w:sz w:val="15"/>
              </w:rPr>
              <w:t>deducted at carrying value in the bridge and weighted in the cost of capital at their own coupon</w:t>
            </w:r>
          </w:p>
        </w:tc>
        <w:tc>
          <w:tcPr>
            <w:tcW w:type="dxa" w:w="2074"/>
          </w:tcPr>
          <w:p>
            <w:pPr>
              <w:spacing w:after="20"/>
            </w:pPr>
            <w:r>
              <w:rPr>
                <w:color w:val="1C3A36"/>
                <w:sz w:val="15"/>
              </w:rPr>
              <w:t>the two bridge treatments differ by AED 0.42 a share in the main model</w:t>
            </w:r>
          </w:p>
        </w:tc>
      </w:tr>
      <w:tr>
        <w:trPr>
          <w:cantSplit/>
        </w:trPr>
        <w:tc>
          <w:tcPr>
            <w:tcW w:type="dxa" w:w="1872"/>
          </w:tcPr>
          <w:p>
            <w:pPr>
              <w:spacing w:after="20"/>
            </w:pPr>
            <w:r>
              <w:rPr>
                <w:color w:val="1C3A36"/>
                <w:sz w:val="15"/>
              </w:rPr>
              <w:t>The minorities and the joint ventures</w:t>
            </w:r>
          </w:p>
        </w:tc>
        <w:tc>
          <w:tcPr>
            <w:tcW w:type="dxa" w:w="2045"/>
          </w:tcPr>
          <w:p>
            <w:pPr>
              <w:spacing w:after="20"/>
            </w:pPr>
            <w:r>
              <w:rPr>
                <w:color w:val="1C3A36"/>
                <w:sz w:val="15"/>
              </w:rPr>
              <w:t>minorities deducted at 4.5% of mid-cycle profit; joint ventures not added</w:t>
            </w:r>
          </w:p>
        </w:tc>
        <w:tc>
          <w:tcPr>
            <w:tcW w:type="dxa" w:w="2045"/>
          </w:tcPr>
          <w:p>
            <w:pPr>
              <w:spacing w:after="20"/>
            </w:pPr>
            <w:r>
              <w:rPr>
                <w:color w:val="1C3A36"/>
                <w:sz w:val="15"/>
              </w:rPr>
              <w:t>neither deducted nor added — the one inconsistency in this panel</w:t>
            </w:r>
          </w:p>
        </w:tc>
        <w:tc>
          <w:tcPr>
            <w:tcW w:type="dxa" w:w="2045"/>
          </w:tcPr>
          <w:p>
            <w:pPr>
              <w:spacing w:after="20"/>
            </w:pPr>
            <w:r>
              <w:rPr>
                <w:color w:val="1C3A36"/>
                <w:sz w:val="15"/>
              </w:rPr>
              <w:t>both, on the same bridge the cash-flow model uses</w:t>
            </w:r>
          </w:p>
        </w:tc>
        <w:tc>
          <w:tcPr>
            <w:tcW w:type="dxa" w:w="2074"/>
          </w:tcPr>
          <w:p>
            <w:pPr>
              <w:spacing w:after="20"/>
            </w:pPr>
            <w:r>
              <w:rPr>
                <w:color w:val="1C3A36"/>
                <w:sz w:val="15"/>
              </w:rPr>
              <w:t>putting Expert 2 on the same bridge as the other two would move it AED -0.17 and the panel centre with it. The published figures are each method's own; the gap is stated in C.2 rather than smoothed</w:t>
            </w:r>
          </w:p>
        </w:tc>
      </w:tr>
    </w:tbl>
    <w:p>
      <w:pPr>
        <w:spacing w:after="40"/>
      </w:pPr>
    </w:p>
    <w:p>
      <w:pPr>
        <w:spacing w:after="200" w:before="0"/>
      </w:pPr>
      <w:r>
        <w:rPr>
          <w:b w:val="0"/>
          <w:i w:val="0"/>
          <w:color w:val="1C3A36"/>
          <w:sz w:val="21"/>
        </w:rPr>
        <w:t>The instruction to the reader is not to average these three. It is to decide which premise is true — whether a fleet's investment years should be charged against its owner, whether a marine business has value beyond a five-year window, and which cost of equity applies — and then to use the corresponding number. The disagreement is a map of what you need to have a view on.</w:t>
      </w:r>
    </w:p>
    <w:p>
      <w:pPr>
        <w:keepNext/>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the company's own disclosed financial statements and named market data, states its assumptions explicitly, computes every figure in an auditable model rather than in prose, and publishes the ranges those assumptions produce. Studies never carry a recommendation or a forecast of the share price. Where a figure is estimated or solved rather than disclosed, it is labelled. Where a source could not be reached, the gap is recorded rather than filled.</w:t>
      </w:r>
    </w:p>
    <w:p>
      <w:pPr>
        <w:spacing w:after="120" w:before="0"/>
      </w:pPr>
      <w:r>
        <w:rPr>
          <w:b w:val="0"/>
          <w:i w:val="0"/>
          <w:color w:val="1C3A36"/>
          <w:sz w:val="21"/>
        </w:rPr>
        <w:t>Where a judgement has two legitimate constructions, both are computed and both are published side by side. This study does that twice: for the series the beta is measured against, which is the widest single sensitivity in it, and for the treatment of the perpetual capital securities. Neither pair is averaged, because an average of two constructions is a number that neither construction supports. Where a construction has been changed since an earlier version of a study, the superseded one is published alongside the new one at full size rather than quietly replaced — that is why the equal-weight composite reading of AED 7.12 appears throughout this document beside the adopted AED 5.39.</w:t>
      </w:r>
    </w:p>
    <w:p>
      <w:pPr>
        <w:spacing w:after="120" w:before="0"/>
      </w:pPr>
      <w:r>
        <w:rPr>
          <w:b w:val="0"/>
          <w:i w:val="0"/>
          <w:color w:val="1C3A36"/>
          <w:sz w:val="21"/>
        </w:rPr>
        <w:t>The same rule governs correction, and it extends to a study's own words about itself. Where a study has been reviewed and found wrong, the corrections are listed in the document itself, with the direction and the size of each, rather than absorbed into a new set of numbers that looks as though it was always there — and where a superseded edition made a CLAIM that later work falsified, the claim is reprinted and corrected rather than deleted. This edition does that twice: for a caveat that said a revenue convention could not reach the valuation, and for a cost of debt described as weighted when it is an average. This document carries the full list, under “What changed in these editions, and why”, immediately after the caveats. It covers both rounds of review and it is the section a reader who has seen an earlier edition should read first.</w:t>
      </w:r>
    </w:p>
    <w:p>
      <w:pPr>
        <w:spacing w:after="120" w:before="0"/>
      </w:pPr>
      <w:r>
        <w:rPr>
          <w:b w:val="0"/>
          <w:i w:val="0"/>
          <w:color w:val="1C3A36"/>
          <w:sz w:val="21"/>
        </w:rPr>
        <w:t>The probabilistic price map in section 3 is produced by a volatility model that is tested before it is allowed to publish a range: the model is re-run at successive past dates using only the data available on each of those dates, and every forecast it made is scored against what the price actually did, alongside a random-walk benchmark. It describes price dispersion and carries no view on value. It is never combined with the fair-value work.</w:t>
      </w:r>
    </w:p>
    <w:p>
      <w:pPr>
        <w:keepNext/>
        <w:spacing w:after="120" w:before="280"/>
      </w:pPr>
      <w:r>
        <w:rPr>
          <w:b/>
          <w:i w:val="0"/>
          <w:color w:val="1C3A36"/>
          <w:sz w:val="30"/>
        </w:rPr>
        <w:t>Disclosure and disclaimer</w:t>
      </w:r>
    </w:p>
    <w:p>
      <w:pPr>
        <w:spacing w:after="120" w:before="0"/>
      </w:pPr>
      <w:r>
        <w:rPr>
          <w:b w:val="0"/>
          <w:i w:val="0"/>
          <w:color w:val="6E7B77"/>
          <w:sz w:val="18"/>
        </w:rPr>
        <w:t>This document is educational analysis and is not investment advice, an offer, or a solicitation to buy or sell any security. It contains no recommendation and no forecast of the share price. The author holds no position in the security discussed and has no business relationship with the company. Figures are drawn from public sources believed reliable but not independently verified; where figures are derived, solved or estimated this is stated in the text. Valuation is inherently uncertain and depends on assumptions that reasonable analysts will dispute — several such disputes are set out explicitly in this document rather than resolved silently. Simulated distributions are not guides to future returns, and past price behaviour does not determine future price behaviour.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