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46"/>
        </w:rPr>
        <w:t>Americana Restaurants International PLC</w:t>
      </w:r>
    </w:p>
    <w:p>
      <w:pPr>
        <w:spacing w:after="80" w:before="0"/>
      </w:pPr>
      <w:r>
        <w:rPr>
          <w:b/>
          <w:i w:val="0"/>
          <w:color w:val="896F36"/>
          <w:sz w:val="23"/>
        </w:rPr>
        <w:t>Abu Dhabi Securities Exchange: AMR</w:t>
      </w:r>
      <w:r>
        <w:rPr>
          <w:b w:val="0"/>
          <w:i w:val="0"/>
          <w:color w:val="6E7B77"/>
          <w:sz w:val="23"/>
        </w:rPr>
        <w:t xml:space="preserve">   ·   also listed on the Saudi Exchange as 6015   ·   restaurants and quick-service food   ·   reports in US dollars</w:t>
      </w:r>
    </w:p>
    <w:p>
      <w:pPr>
        <w:spacing w:after="200" w:before="0"/>
      </w:pPr>
      <w:r>
        <w:rPr>
          <w:b w:val="0"/>
          <w:i w:val="0"/>
          <w:color w:val="6E7B77"/>
          <w:sz w:val="21"/>
        </w:rPr>
        <w:t xml:space="preserve">Valuation study, 9 August 2026   ·   market price AED </w:t>
      </w:r>
      <w:r>
        <w:rPr>
          <w:b/>
          <w:i w:val="0"/>
          <w:color w:val="1C3A36"/>
          <w:sz w:val="21"/>
        </w:rPr>
        <w:t>2.39</w:t>
      </w:r>
      <w:r>
        <w:rPr>
          <w:b w:val="0"/>
          <w:i w:val="0"/>
          <w:color w:val="6E7B77"/>
          <w:sz w:val="21"/>
        </w:rPr>
        <w:t xml:space="preserve"> at the close of 7 August 2026 (USD 0.651 at the 3.6725 peg)</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THIS FIRST. </w:t>
            </w:r>
            <w:r>
              <w:rPr>
                <w:color w:val="1C3A36"/>
                <w:sz w:val="19"/>
              </w:rPr>
              <w:t>This is an educational valuation study, not investment advice, and it carries no recommendation and no price target. What it produces is a range of values from four independent methods, and a separate map of where the traded price could sit over the next one and three months. The two are different objects and are never blended: one is about what the business is worth, the other about how volatile its share price is.</w:t>
            </w:r>
          </w:p>
          <w:p>
            <w:pPr>
              <w:spacing w:after="100"/>
            </w:pPr>
            <w:r>
              <w:rPr>
                <w:b/>
                <w:color w:val="1C3A36"/>
                <w:sz w:val="19"/>
              </w:rPr>
              <w:t xml:space="preserve">WHAT THE NUMBERS REST ON. </w:t>
            </w:r>
            <w:r>
              <w:rPr>
                <w:color w:val="1C3A36"/>
                <w:sz w:val="19"/>
              </w:rPr>
              <w:t>Every historical figure comes from the company's own audited consolidated financial statements and its own investor materials, read from its investor-relations library. No data vendor, broker note or news report is used as a source for anything the company itself reports. Outside figures appear only as cross-checks and are labelled as such wherever they occur.</w:t>
            </w:r>
          </w:p>
          <w:p>
            <w:pPr>
              <w:spacing w:after="100"/>
            </w:pPr>
            <w:r>
              <w:rPr>
                <w:b/>
                <w:color w:val="1C3A36"/>
                <w:sz w:val="19"/>
              </w:rPr>
              <w:t xml:space="preserve">THE ONE QUESTION THAT DECIDES IT. </w:t>
            </w:r>
            <w:r>
              <w:rPr>
                <w:color w:val="1C3A36"/>
                <w:sz w:val="19"/>
              </w:rPr>
              <w:t>Americana's EBITDA margin went from 22.6% to 25.5% in a single year. If that gain is structural the shares are worth about AED 2.22; if it is cyclical, about AED 1.91. The market is at AED 2.39, between the two. Both readings are computed in full and published side by side in this report and in the companion workbook. Neither is averaged into the other.</w:t>
            </w:r>
          </w:p>
        </w:tc>
      </w:tr>
    </w:tbl>
    <w:p>
      <w:pPr>
        <w:spacing w:after="40"/>
      </w:pPr>
    </w:p>
    <w:p>
      <w:pPr>
        <w:spacing w:after="120" w:before="280"/>
      </w:pPr>
      <w:r>
        <w:rPr>
          <w:b/>
          <w:i w:val="0"/>
          <w:color w:val="1C3A36"/>
          <w:sz w:val="30"/>
        </w:rPr>
        <w:t>Headline</w:t>
      </w:r>
    </w:p>
    <w:p>
      <w:pPr>
        <w:spacing w:after="120" w:before="0"/>
      </w:pPr>
      <w:r>
        <w:rPr>
          <w:b w:val="0"/>
          <w:i w:val="0"/>
          <w:color w:val="1C3A36"/>
          <w:sz w:val="21"/>
        </w:rPr>
        <w:t xml:space="preserve">Four methods, on their stated weights, put the equity between a weighted bear of AED </w:t>
      </w:r>
      <w:r>
        <w:rPr>
          <w:b/>
          <w:i w:val="0"/>
          <w:color w:val="1C3A36"/>
          <w:sz w:val="21"/>
        </w:rPr>
        <w:t>1.48</w:t>
      </w:r>
      <w:r>
        <w:rPr>
          <w:b w:val="0"/>
          <w:i w:val="0"/>
          <w:color w:val="1C3A36"/>
          <w:sz w:val="21"/>
        </w:rPr>
        <w:t xml:space="preserve"> and a weighted bull of AED </w:t>
      </w:r>
      <w:r>
        <w:rPr>
          <w:b/>
          <w:i w:val="0"/>
          <w:color w:val="1C3A36"/>
          <w:sz w:val="21"/>
        </w:rPr>
        <w:t>3.31</w:t>
      </w:r>
      <w:r>
        <w:rPr>
          <w:b w:val="0"/>
          <w:i w:val="0"/>
          <w:color w:val="1C3A36"/>
          <w:sz w:val="21"/>
        </w:rPr>
        <w:t xml:space="preserve"> a share (the widest single-lens extremes span 0.65 to 4.06), with a weighted central value of AED </w:t>
      </w:r>
      <w:r>
        <w:rPr>
          <w:b/>
          <w:i w:val="0"/>
          <w:color w:val="1C3A36"/>
          <w:sz w:val="21"/>
        </w:rPr>
        <w:t>2.14</w:t>
      </w:r>
      <w:r>
        <w:rPr>
          <w:b w:val="0"/>
          <w:i w:val="0"/>
          <w:color w:val="1C3A36"/>
          <w:sz w:val="21"/>
        </w:rPr>
        <w:t xml:space="preserve"> — about 10% below the AED 2.39 the market is paying. That gap is not the interesting part of this study. The interesting part is that the whole of it, and rather more, turns on a single question the filings do not answer.</w:t>
      </w:r>
    </w:p>
    <w:p>
      <w:pPr>
        <w:spacing w:after="120" w:before="0"/>
      </w:pPr>
      <w:r>
        <w:rPr>
          <w:b w:val="0"/>
          <w:i w:val="0"/>
          <w:color w:val="1C3A36"/>
          <w:sz w:val="21"/>
        </w:rPr>
        <w:t>Americana operates 2,746 restaurants across twelve countries — KFC, Pizza Hut, Hardee's, Krispy Kreme and a widening tail of smaller brands — as a master franchisee. It does not own the brands; it pays for them, 5.6% of revenue in royalties last year, and in exchange it operates the restaurants, employs the people in them — 37,207 on the audited average full-time-equivalent measure, about 39,400 heads including part-time and contract staff — and carries the leases. That is the structural fact that governs everything else here, including why the company should not be valued on the multiples the brand owners command.</w:t>
      </w:r>
    </w:p>
    <w:p>
      <w:pPr>
        <w:spacing w:after="120" w:before="0"/>
      </w:pPr>
      <w:r>
        <w:rPr>
          <w:b w:val="0"/>
          <w:i w:val="0"/>
          <w:color w:val="1C3A36"/>
          <w:sz w:val="21"/>
        </w:rPr>
        <w:t>The last three audited years do not tell a simple story. Revenue was USD 2,413 million in 2023, FELL to USD 2,197 million in 2024, and recovered to USD 2,509 million in 2025 — so the company has only just regained the level it reached three years ago, while adding some 300 restaurants along the way. The recovery came with something more interesting than the revenue: in the first half of 2026 revenue rose 12.1%, the cost of food and packaging fell from 29.2% of sales to 27.4%, EBITDA margin expanded 290 basis points to 25.5%, and profit attributable to shareholders rose 59.2%.</w:t>
      </w:r>
    </w:p>
    <w:p>
      <w:pPr>
        <w:spacing w:after="120" w:before="0"/>
      </w:pPr>
      <w:r>
        <w:rPr>
          <w:b w:val="0"/>
          <w:i w:val="0"/>
          <w:color w:val="1C3A36"/>
          <w:sz w:val="21"/>
        </w:rPr>
        <w:t>Whether that margin gain holds is the study. Read as structural — procurement work, menu engineering, better economics in the delivery channel, all of which the company names — the shares are worth about AED 2.22. Read as cyclical — a friendly turn in traded food prices and a quiet period on promotion, both of which revert — they are worth about AED 1.91, which is BELOW the current price. The market price sits between the two readings, which is a reasonable place for it to sit.</w:t>
      </w:r>
    </w:p>
    <w:p>
      <w:pPr>
        <w:spacing w:after="40"/>
        <w:jc w:val="center"/>
      </w:pPr>
      <w:r>
        <w:drawing>
          <wp:inline xmlns:a="http://schemas.openxmlformats.org/drawingml/2006/main" xmlns:pic="http://schemas.openxmlformats.org/drawingml/2006/picture">
            <wp:extent cx="6126480" cy="2382520"/>
            <wp:docPr id="1" name="Picture 1"/>
            <wp:cNvGraphicFramePr>
              <a:graphicFrameLocks noChangeAspect="1"/>
            </wp:cNvGraphicFramePr>
            <a:graphic>
              <a:graphicData uri="http://schemas.openxmlformats.org/drawingml/2006/picture">
                <pic:pic>
                  <pic:nvPicPr>
                    <pic:cNvPr id="0" name="fig2_contested.png"/>
                    <pic:cNvPicPr/>
                  </pic:nvPicPr>
                  <pic:blipFill>
                    <a:blip r:embed="rId9"/>
                    <a:stretch>
                      <a:fillRect/>
                    </a:stretch>
                  </pic:blipFill>
                  <pic:spPr>
                    <a:xfrm>
                      <a:off x="0" y="0"/>
                      <a:ext cx="6126480" cy="2382520"/>
                    </a:xfrm>
                    <a:prstGeom prst="rect"/>
                  </pic:spPr>
                </pic:pic>
              </a:graphicData>
            </a:graphic>
          </wp:inline>
        </w:drawing>
      </w:r>
    </w:p>
    <w:p>
      <w:pPr>
        <w:spacing w:after="200" w:before="0"/>
      </w:pPr>
      <w:r>
        <w:rPr>
          <w:b w:val="0"/>
          <w:i/>
          <w:color w:val="6E7B77"/>
          <w:sz w:val="17"/>
        </w:rPr>
        <w:t>The question that decides it. Both readings are complete re-runs of the whole model, not a sensitivity applied to one number.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893"/>
        <w:gridCol w:w="1037"/>
        <w:gridCol w:w="1152"/>
        <w:gridCol w:w="1037"/>
        <w:gridCol w:w="1123"/>
        <w:gridCol w:w="1670"/>
      </w:tblGrid>
      <w:tr>
        <w:tc>
          <w:tcPr>
            <w:tcW w:type="dxa" w:w="2952"/>
            <w:shd w:val="clear" w:color="auto" w:fill="EAF0EE"/>
          </w:tcPr>
          <w:p>
            <w:pPr>
              <w:spacing w:after="20"/>
            </w:pPr>
            <w:r>
              <w:rPr>
                <w:b/>
                <w:color w:val="1C3A36"/>
                <w:sz w:val="18"/>
              </w:rPr>
              <w:t>Lens</w:t>
            </w:r>
          </w:p>
        </w:tc>
        <w:tc>
          <w:tcPr>
            <w:tcW w:type="dxa" w:w="893"/>
            <w:shd w:val="clear" w:color="auto" w:fill="EAF0EE"/>
          </w:tcPr>
          <w:p>
            <w:pPr>
              <w:spacing w:after="20"/>
            </w:pPr>
            <w:r>
              <w:rPr>
                <w:b/>
                <w:color w:val="1C3A36"/>
                <w:sz w:val="18"/>
              </w:rPr>
              <w:t>Weight</w:t>
            </w:r>
          </w:p>
        </w:tc>
        <w:tc>
          <w:tcPr>
            <w:tcW w:type="dxa" w:w="1037"/>
            <w:shd w:val="clear" w:color="auto" w:fill="EAF0EE"/>
          </w:tcPr>
          <w:p>
            <w:pPr>
              <w:spacing w:after="20"/>
            </w:pPr>
            <w:r>
              <w:rPr>
                <w:b/>
                <w:color w:val="1C3A36"/>
                <w:sz w:val="18"/>
              </w:rPr>
              <w:t>Bear</w:t>
            </w:r>
          </w:p>
        </w:tc>
        <w:tc>
          <w:tcPr>
            <w:tcW w:type="dxa" w:w="1152"/>
            <w:shd w:val="clear" w:color="auto" w:fill="EAF0EE"/>
          </w:tcPr>
          <w:p>
            <w:pPr>
              <w:spacing w:after="20"/>
            </w:pPr>
            <w:r>
              <w:rPr>
                <w:b/>
                <w:color w:val="1C3A36"/>
                <w:sz w:val="18"/>
              </w:rPr>
              <w:t>Central</w:t>
            </w:r>
          </w:p>
        </w:tc>
        <w:tc>
          <w:tcPr>
            <w:tcW w:type="dxa" w:w="1037"/>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vs market</w:t>
            </w:r>
          </w:p>
        </w:tc>
        <w:tc>
          <w:tcPr>
            <w:tcW w:type="dxa" w:w="1670"/>
            <w:shd w:val="clear" w:color="auto" w:fill="EAF0EE"/>
          </w:tcPr>
          <w:p>
            <w:pPr>
              <w:spacing w:after="20"/>
            </w:pPr>
            <w:r>
              <w:rPr>
                <w:b/>
                <w:color w:val="1C3A36"/>
                <w:sz w:val="18"/>
              </w:rPr>
              <w:t>Terminal value share</w:t>
            </w:r>
          </w:p>
        </w:tc>
      </w:tr>
      <w:tr>
        <w:tc>
          <w:tcPr>
            <w:tcW w:type="dxa" w:w="2952"/>
          </w:tcPr>
          <w:p>
            <w:pPr>
              <w:spacing w:after="20"/>
            </w:pPr>
            <w:r>
              <w:rPr>
                <w:color w:val="1C3A36"/>
                <w:sz w:val="18"/>
              </w:rPr>
              <w:t>Discounted cash flow</w:t>
            </w:r>
          </w:p>
        </w:tc>
        <w:tc>
          <w:tcPr>
            <w:tcW w:type="dxa" w:w="893"/>
          </w:tcPr>
          <w:p>
            <w:pPr>
              <w:spacing w:after="20"/>
              <w:jc w:val="right"/>
            </w:pPr>
            <w:r>
              <w:rPr>
                <w:color w:val="1C3A36"/>
                <w:sz w:val="18"/>
              </w:rPr>
              <w:t>50%</w:t>
            </w:r>
          </w:p>
        </w:tc>
        <w:tc>
          <w:tcPr>
            <w:tcW w:type="dxa" w:w="1037"/>
          </w:tcPr>
          <w:p>
            <w:pPr>
              <w:spacing w:after="20"/>
              <w:jc w:val="right"/>
            </w:pPr>
            <w:r>
              <w:rPr>
                <w:color w:val="1C3A36"/>
                <w:sz w:val="18"/>
              </w:rPr>
              <w:t>1.36</w:t>
            </w:r>
          </w:p>
        </w:tc>
        <w:tc>
          <w:tcPr>
            <w:tcW w:type="dxa" w:w="1152"/>
          </w:tcPr>
          <w:p>
            <w:pPr>
              <w:spacing w:after="20"/>
              <w:jc w:val="right"/>
            </w:pPr>
            <w:r>
              <w:rPr>
                <w:color w:val="1C3A36"/>
                <w:sz w:val="18"/>
              </w:rPr>
              <w:t>2.22</w:t>
            </w:r>
          </w:p>
        </w:tc>
        <w:tc>
          <w:tcPr>
            <w:tcW w:type="dxa" w:w="1037"/>
          </w:tcPr>
          <w:p>
            <w:pPr>
              <w:spacing w:after="20"/>
              <w:jc w:val="right"/>
            </w:pPr>
            <w:r>
              <w:rPr>
                <w:color w:val="1C3A36"/>
                <w:sz w:val="18"/>
              </w:rPr>
              <w:t>4.06</w:t>
            </w:r>
          </w:p>
        </w:tc>
        <w:tc>
          <w:tcPr>
            <w:tcW w:type="dxa" w:w="1123"/>
          </w:tcPr>
          <w:p>
            <w:pPr>
              <w:spacing w:after="20"/>
              <w:jc w:val="right"/>
            </w:pPr>
            <w:r>
              <w:rPr>
                <w:color w:val="1C3A36"/>
                <w:sz w:val="18"/>
              </w:rPr>
              <w:t>-7%</w:t>
            </w:r>
          </w:p>
        </w:tc>
        <w:tc>
          <w:tcPr>
            <w:tcW w:type="dxa" w:w="1670"/>
          </w:tcPr>
          <w:p>
            <w:pPr>
              <w:spacing w:after="20"/>
              <w:jc w:val="right"/>
            </w:pPr>
            <w:r>
              <w:rPr>
                <w:color w:val="1C3A36"/>
                <w:sz w:val="18"/>
              </w:rPr>
              <w:t>74%</w:t>
            </w:r>
          </w:p>
        </w:tc>
      </w:tr>
      <w:tr>
        <w:tc>
          <w:tcPr>
            <w:tcW w:type="dxa" w:w="2952"/>
          </w:tcPr>
          <w:p>
            <w:pPr>
              <w:spacing w:after="20"/>
            </w:pPr>
            <w:r>
              <w:rPr>
                <w:color w:val="1C3A36"/>
                <w:sz w:val="18"/>
              </w:rPr>
              <w:t>Relative multiples</w:t>
            </w:r>
          </w:p>
        </w:tc>
        <w:tc>
          <w:tcPr>
            <w:tcW w:type="dxa" w:w="893"/>
          </w:tcPr>
          <w:p>
            <w:pPr>
              <w:spacing w:after="20"/>
              <w:jc w:val="right"/>
            </w:pPr>
            <w:r>
              <w:rPr>
                <w:color w:val="1C3A36"/>
                <w:sz w:val="18"/>
              </w:rPr>
              <w:t>20%</w:t>
            </w:r>
          </w:p>
        </w:tc>
        <w:tc>
          <w:tcPr>
            <w:tcW w:type="dxa" w:w="1037"/>
          </w:tcPr>
          <w:p>
            <w:pPr>
              <w:spacing w:after="20"/>
              <w:jc w:val="right"/>
            </w:pPr>
            <w:r>
              <w:rPr>
                <w:color w:val="1C3A36"/>
                <w:sz w:val="18"/>
              </w:rPr>
              <w:t>2.12</w:t>
            </w:r>
          </w:p>
        </w:tc>
        <w:tc>
          <w:tcPr>
            <w:tcW w:type="dxa" w:w="1152"/>
          </w:tcPr>
          <w:p>
            <w:pPr>
              <w:spacing w:after="20"/>
              <w:jc w:val="right"/>
            </w:pPr>
            <w:r>
              <w:rPr>
                <w:color w:val="1C3A36"/>
                <w:sz w:val="18"/>
              </w:rPr>
              <w:t>2.56</w:t>
            </w:r>
          </w:p>
        </w:tc>
        <w:tc>
          <w:tcPr>
            <w:tcW w:type="dxa" w:w="1037"/>
          </w:tcPr>
          <w:p>
            <w:pPr>
              <w:spacing w:after="20"/>
              <w:jc w:val="right"/>
            </w:pPr>
            <w:r>
              <w:rPr>
                <w:color w:val="1C3A36"/>
                <w:sz w:val="18"/>
              </w:rPr>
              <w:t>3.14</w:t>
            </w:r>
          </w:p>
        </w:tc>
        <w:tc>
          <w:tcPr>
            <w:tcW w:type="dxa" w:w="1123"/>
          </w:tcPr>
          <w:p>
            <w:pPr>
              <w:spacing w:after="20"/>
              <w:jc w:val="right"/>
            </w:pPr>
            <w:r>
              <w:rPr>
                <w:color w:val="1C3A36"/>
                <w:sz w:val="18"/>
              </w:rPr>
              <w:t>7%</w:t>
            </w:r>
          </w:p>
        </w:tc>
        <w:tc>
          <w:tcPr>
            <w:tcW w:type="dxa" w:w="1670"/>
          </w:tcPr>
          <w:p>
            <w:pPr>
              <w:spacing w:after="20"/>
              <w:jc w:val="right"/>
            </w:pPr>
            <w:r>
              <w:rPr>
                <w:color w:val="1C3A36"/>
                <w:sz w:val="18"/>
              </w:rPr>
              <w:t>—</w:t>
            </w:r>
          </w:p>
        </w:tc>
      </w:tr>
      <w:tr>
        <w:tc>
          <w:tcPr>
            <w:tcW w:type="dxa" w:w="2952"/>
          </w:tcPr>
          <w:p>
            <w:pPr>
              <w:spacing w:after="20"/>
            </w:pPr>
            <w:r>
              <w:rPr>
                <w:color w:val="1C3A36"/>
                <w:sz w:val="18"/>
              </w:rPr>
              <w:t>Normalised earnings power</w:t>
            </w:r>
          </w:p>
        </w:tc>
        <w:tc>
          <w:tcPr>
            <w:tcW w:type="dxa" w:w="893"/>
          </w:tcPr>
          <w:p>
            <w:pPr>
              <w:spacing w:after="20"/>
              <w:jc w:val="right"/>
            </w:pPr>
            <w:r>
              <w:rPr>
                <w:color w:val="1C3A36"/>
                <w:sz w:val="18"/>
              </w:rPr>
              <w:t>20%</w:t>
            </w:r>
          </w:p>
        </w:tc>
        <w:tc>
          <w:tcPr>
            <w:tcW w:type="dxa" w:w="1037"/>
          </w:tcPr>
          <w:p>
            <w:pPr>
              <w:spacing w:after="20"/>
              <w:jc w:val="right"/>
            </w:pPr>
            <w:r>
              <w:rPr>
                <w:color w:val="1C3A36"/>
                <w:sz w:val="18"/>
              </w:rPr>
              <w:t>1.56</w:t>
            </w:r>
          </w:p>
        </w:tc>
        <w:tc>
          <w:tcPr>
            <w:tcW w:type="dxa" w:w="1152"/>
          </w:tcPr>
          <w:p>
            <w:pPr>
              <w:spacing w:after="20"/>
              <w:jc w:val="right"/>
            </w:pPr>
            <w:r>
              <w:rPr>
                <w:color w:val="1C3A36"/>
                <w:sz w:val="18"/>
              </w:rPr>
              <w:t>2.07</w:t>
            </w:r>
          </w:p>
        </w:tc>
        <w:tc>
          <w:tcPr>
            <w:tcW w:type="dxa" w:w="1037"/>
          </w:tcPr>
          <w:p>
            <w:pPr>
              <w:spacing w:after="20"/>
              <w:jc w:val="right"/>
            </w:pPr>
            <w:r>
              <w:rPr>
                <w:color w:val="1C3A36"/>
                <w:sz w:val="18"/>
              </w:rPr>
              <w:t>2.57</w:t>
            </w:r>
          </w:p>
        </w:tc>
        <w:tc>
          <w:tcPr>
            <w:tcW w:type="dxa" w:w="1123"/>
          </w:tcPr>
          <w:p>
            <w:pPr>
              <w:spacing w:after="20"/>
              <w:jc w:val="right"/>
            </w:pPr>
            <w:r>
              <w:rPr>
                <w:color w:val="1C3A36"/>
                <w:sz w:val="18"/>
              </w:rPr>
              <w:t>-14%</w:t>
            </w:r>
          </w:p>
        </w:tc>
        <w:tc>
          <w:tcPr>
            <w:tcW w:type="dxa" w:w="1670"/>
          </w:tcPr>
          <w:p>
            <w:pPr>
              <w:spacing w:after="20"/>
              <w:jc w:val="right"/>
            </w:pPr>
            <w:r>
              <w:rPr>
                <w:color w:val="1C3A36"/>
                <w:sz w:val="18"/>
              </w:rPr>
              <w:t>—</w:t>
            </w:r>
          </w:p>
        </w:tc>
      </w:tr>
      <w:tr>
        <w:tc>
          <w:tcPr>
            <w:tcW w:type="dxa" w:w="2952"/>
          </w:tcPr>
          <w:p>
            <w:pPr>
              <w:spacing w:after="20"/>
            </w:pPr>
            <w:r>
              <w:rPr>
                <w:color w:val="1C3A36"/>
                <w:sz w:val="18"/>
              </w:rPr>
              <w:t>Book value and sustainable return</w:t>
            </w:r>
          </w:p>
        </w:tc>
        <w:tc>
          <w:tcPr>
            <w:tcW w:type="dxa" w:w="893"/>
          </w:tcPr>
          <w:p>
            <w:pPr>
              <w:spacing w:after="20"/>
              <w:jc w:val="right"/>
            </w:pPr>
            <w:r>
              <w:rPr>
                <w:color w:val="1C3A36"/>
                <w:sz w:val="18"/>
              </w:rPr>
              <w:t>10%</w:t>
            </w:r>
          </w:p>
        </w:tc>
        <w:tc>
          <w:tcPr>
            <w:tcW w:type="dxa" w:w="1037"/>
          </w:tcPr>
          <w:p>
            <w:pPr>
              <w:spacing w:after="20"/>
              <w:jc w:val="right"/>
            </w:pPr>
            <w:r>
              <w:rPr>
                <w:color w:val="1C3A36"/>
                <w:sz w:val="18"/>
              </w:rPr>
              <w:t>0.65</w:t>
            </w:r>
          </w:p>
        </w:tc>
        <w:tc>
          <w:tcPr>
            <w:tcW w:type="dxa" w:w="1152"/>
          </w:tcPr>
          <w:p>
            <w:pPr>
              <w:spacing w:after="20"/>
              <w:jc w:val="right"/>
            </w:pPr>
            <w:r>
              <w:rPr>
                <w:color w:val="1C3A36"/>
                <w:sz w:val="18"/>
              </w:rPr>
              <w:t>1.04</w:t>
            </w:r>
          </w:p>
        </w:tc>
        <w:tc>
          <w:tcPr>
            <w:tcW w:type="dxa" w:w="1037"/>
          </w:tcPr>
          <w:p>
            <w:pPr>
              <w:spacing w:after="20"/>
              <w:jc w:val="right"/>
            </w:pPr>
            <w:r>
              <w:rPr>
                <w:color w:val="1C3A36"/>
                <w:sz w:val="18"/>
              </w:rPr>
              <w:t>1.39</w:t>
            </w:r>
          </w:p>
        </w:tc>
        <w:tc>
          <w:tcPr>
            <w:tcW w:type="dxa" w:w="1123"/>
          </w:tcPr>
          <w:p>
            <w:pPr>
              <w:spacing w:after="20"/>
              <w:jc w:val="right"/>
            </w:pPr>
            <w:r>
              <w:rPr>
                <w:color w:val="1C3A36"/>
                <w:sz w:val="18"/>
              </w:rPr>
              <w:t>-57%</w:t>
            </w:r>
          </w:p>
        </w:tc>
        <w:tc>
          <w:tcPr>
            <w:tcW w:type="dxa" w:w="1670"/>
          </w:tcPr>
          <w:p>
            <w:pPr>
              <w:spacing w:after="20"/>
              <w:jc w:val="right"/>
            </w:pPr>
            <w:r>
              <w:rPr>
                <w:color w:val="1C3A36"/>
                <w:sz w:val="18"/>
              </w:rPr>
              <w:t>—</w:t>
            </w:r>
          </w:p>
        </w:tc>
      </w:tr>
      <w:tr>
        <w:tc>
          <w:tcPr>
            <w:tcW w:type="dxa" w:w="2952"/>
            <w:shd w:val="clear" w:color="auto" w:fill="F6F1E6"/>
          </w:tcPr>
          <w:p>
            <w:pPr>
              <w:spacing w:after="20"/>
            </w:pPr>
            <w:r>
              <w:rPr>
                <w:b/>
                <w:color w:val="1C3A36"/>
                <w:sz w:val="18"/>
              </w:rPr>
              <w:t>Weighted central (bear and bull weighted the same way)</w:t>
            </w:r>
          </w:p>
        </w:tc>
        <w:tc>
          <w:tcPr>
            <w:tcW w:type="dxa" w:w="893"/>
            <w:shd w:val="clear" w:color="auto" w:fill="F6F1E6"/>
          </w:tcPr>
          <w:p>
            <w:pPr>
              <w:spacing w:after="20"/>
              <w:jc w:val="right"/>
            </w:pPr>
            <w:r>
              <w:rPr>
                <w:b/>
                <w:color w:val="1C3A36"/>
                <w:sz w:val="18"/>
              </w:rPr>
              <w:t>100%</w:t>
            </w:r>
          </w:p>
        </w:tc>
        <w:tc>
          <w:tcPr>
            <w:tcW w:type="dxa" w:w="1037"/>
            <w:shd w:val="clear" w:color="auto" w:fill="F6F1E6"/>
          </w:tcPr>
          <w:p>
            <w:pPr>
              <w:spacing w:after="20"/>
              <w:jc w:val="right"/>
            </w:pPr>
            <w:r>
              <w:rPr>
                <w:b/>
                <w:color w:val="1C3A36"/>
                <w:sz w:val="18"/>
              </w:rPr>
              <w:t>1.48</w:t>
            </w:r>
          </w:p>
        </w:tc>
        <w:tc>
          <w:tcPr>
            <w:tcW w:type="dxa" w:w="1152"/>
            <w:shd w:val="clear" w:color="auto" w:fill="F6F1E6"/>
          </w:tcPr>
          <w:p>
            <w:pPr>
              <w:spacing w:after="20"/>
              <w:jc w:val="right"/>
            </w:pPr>
            <w:r>
              <w:rPr>
                <w:b/>
                <w:color w:val="1C3A36"/>
                <w:sz w:val="18"/>
              </w:rPr>
              <w:t>2.14</w:t>
            </w:r>
          </w:p>
        </w:tc>
        <w:tc>
          <w:tcPr>
            <w:tcW w:type="dxa" w:w="1037"/>
            <w:shd w:val="clear" w:color="auto" w:fill="F6F1E6"/>
          </w:tcPr>
          <w:p>
            <w:pPr>
              <w:spacing w:after="20"/>
              <w:jc w:val="right"/>
            </w:pPr>
            <w:r>
              <w:rPr>
                <w:b/>
                <w:color w:val="1C3A36"/>
                <w:sz w:val="18"/>
              </w:rPr>
              <w:t>3.31</w:t>
            </w:r>
          </w:p>
        </w:tc>
        <w:tc>
          <w:tcPr>
            <w:tcW w:type="dxa" w:w="1123"/>
            <w:shd w:val="clear" w:color="auto" w:fill="F6F1E6"/>
          </w:tcPr>
          <w:p>
            <w:pPr>
              <w:spacing w:after="20"/>
              <w:jc w:val="right"/>
            </w:pPr>
            <w:r>
              <w:rPr>
                <w:b/>
                <w:color w:val="1C3A36"/>
                <w:sz w:val="18"/>
              </w:rPr>
              <w:t>-10%</w:t>
            </w:r>
          </w:p>
        </w:tc>
        <w:tc>
          <w:tcPr>
            <w:tcW w:type="dxa" w:w="1670"/>
            <w:shd w:val="clear" w:color="auto" w:fill="F6F1E6"/>
          </w:tcPr>
          <w:p>
            <w:pPr>
              <w:spacing w:after="20"/>
              <w:jc w:val="right"/>
            </w:pPr>
            <w:r>
              <w:rPr>
                <w:b/>
                <w:color w:val="1C3A36"/>
                <w:sz w:val="18"/>
              </w:rPr>
              <w:t>—</w:t>
            </w:r>
          </w:p>
        </w:tc>
      </w:tr>
      <w:tr>
        <w:tc>
          <w:tcPr>
            <w:tcW w:type="dxa" w:w="2952"/>
            <w:shd w:val="clear" w:color="auto" w:fill="F6F1E6"/>
          </w:tcPr>
          <w:p>
            <w:pPr>
              <w:spacing w:after="20"/>
            </w:pPr>
            <w:r>
              <w:rPr>
                <w:b/>
                <w:color w:val="1C3A36"/>
                <w:sz w:val="18"/>
              </w:rPr>
              <w:t>Range across the lenses (unweighted extremes)</w:t>
            </w:r>
          </w:p>
        </w:tc>
        <w:tc>
          <w:tcPr>
            <w:tcW w:type="dxa" w:w="893"/>
            <w:shd w:val="clear" w:color="auto" w:fill="F6F1E6"/>
          </w:tcPr>
          <w:p>
            <w:pPr>
              <w:spacing w:after="20"/>
              <w:jc w:val="right"/>
            </w:pPr>
            <w:r>
              <w:rPr>
                <w:b/>
                <w:color w:val="1C3A36"/>
                <w:sz w:val="18"/>
              </w:rPr>
              <w:t>—</w:t>
            </w:r>
          </w:p>
        </w:tc>
        <w:tc>
          <w:tcPr>
            <w:tcW w:type="dxa" w:w="1037"/>
            <w:shd w:val="clear" w:color="auto" w:fill="F6F1E6"/>
          </w:tcPr>
          <w:p>
            <w:pPr>
              <w:spacing w:after="20"/>
              <w:jc w:val="right"/>
            </w:pPr>
            <w:r>
              <w:rPr>
                <w:b/>
                <w:color w:val="1C3A36"/>
                <w:sz w:val="18"/>
              </w:rPr>
              <w:t>0.65</w:t>
            </w:r>
          </w:p>
        </w:tc>
        <w:tc>
          <w:tcPr>
            <w:tcW w:type="dxa" w:w="1152"/>
            <w:shd w:val="clear" w:color="auto" w:fill="F6F1E6"/>
          </w:tcPr>
          <w:p>
            <w:pPr>
              <w:spacing w:after="20"/>
              <w:jc w:val="right"/>
            </w:pPr>
            <w:r>
              <w:rPr>
                <w:b/>
                <w:color w:val="1C3A36"/>
                <w:sz w:val="18"/>
              </w:rPr>
              <w:t>—</w:t>
            </w:r>
          </w:p>
        </w:tc>
        <w:tc>
          <w:tcPr>
            <w:tcW w:type="dxa" w:w="1037"/>
            <w:shd w:val="clear" w:color="auto" w:fill="F6F1E6"/>
          </w:tcPr>
          <w:p>
            <w:pPr>
              <w:spacing w:after="20"/>
              <w:jc w:val="right"/>
            </w:pPr>
            <w:r>
              <w:rPr>
                <w:b/>
                <w:color w:val="1C3A36"/>
                <w:sz w:val="18"/>
              </w:rPr>
              <w:t>4.06</w:t>
            </w:r>
          </w:p>
        </w:tc>
        <w:tc>
          <w:tcPr>
            <w:tcW w:type="dxa" w:w="1123"/>
            <w:shd w:val="clear" w:color="auto" w:fill="F6F1E6"/>
          </w:tcPr>
          <w:p>
            <w:pPr>
              <w:spacing w:after="20"/>
              <w:jc w:val="right"/>
            </w:pPr>
            <w:r>
              <w:rPr>
                <w:b/>
                <w:color w:val="1C3A36"/>
                <w:sz w:val="18"/>
              </w:rPr>
              <w:t>—</w:t>
            </w:r>
          </w:p>
        </w:tc>
        <w:tc>
          <w:tcPr>
            <w:tcW w:type="dxa" w:w="1670"/>
            <w:shd w:val="clear" w:color="auto" w:fill="F6F1E6"/>
          </w:tcPr>
          <w:p>
            <w:pPr>
              <w:spacing w:after="20"/>
              <w:jc w:val="right"/>
            </w:pPr>
            <w:r>
              <w:rPr>
                <w:b/>
                <w:color w:val="1C3A36"/>
                <w:sz w:val="18"/>
              </w:rPr>
              <w:t>—</w:t>
            </w:r>
          </w:p>
        </w:tc>
      </w:tr>
      <w:tr>
        <w:tc>
          <w:tcPr>
            <w:tcW w:type="dxa" w:w="2952"/>
          </w:tcPr>
          <w:p>
            <w:pPr>
              <w:spacing w:after="20"/>
            </w:pPr>
            <w:r>
              <w:rPr>
                <w:color w:val="1C3A36"/>
                <w:sz w:val="18"/>
              </w:rPr>
              <w:t>Expert panel median</w:t>
            </w:r>
          </w:p>
        </w:tc>
        <w:tc>
          <w:tcPr>
            <w:tcW w:type="dxa" w:w="893"/>
          </w:tcPr>
          <w:p>
            <w:pPr>
              <w:spacing w:after="20"/>
              <w:jc w:val="right"/>
            </w:pPr>
            <w:r>
              <w:rPr>
                <w:color w:val="1C3A36"/>
                <w:sz w:val="18"/>
              </w:rPr>
              <w:t>—</w:t>
            </w:r>
          </w:p>
        </w:tc>
        <w:tc>
          <w:tcPr>
            <w:tcW w:type="dxa" w:w="1037"/>
          </w:tcPr>
          <w:p>
            <w:pPr>
              <w:spacing w:after="20"/>
              <w:jc w:val="right"/>
            </w:pPr>
            <w:r>
              <w:rPr>
                <w:color w:val="1C3A36"/>
                <w:sz w:val="18"/>
              </w:rPr>
              <w:t>—</w:t>
            </w:r>
          </w:p>
        </w:tc>
        <w:tc>
          <w:tcPr>
            <w:tcW w:type="dxa" w:w="1152"/>
          </w:tcPr>
          <w:p>
            <w:pPr>
              <w:spacing w:after="20"/>
              <w:jc w:val="right"/>
            </w:pPr>
            <w:r>
              <w:rPr>
                <w:color w:val="1C3A36"/>
                <w:sz w:val="18"/>
              </w:rPr>
              <w:t>1.64</w:t>
            </w:r>
          </w:p>
        </w:tc>
        <w:tc>
          <w:tcPr>
            <w:tcW w:type="dxa" w:w="1037"/>
          </w:tcPr>
          <w:p>
            <w:pPr>
              <w:spacing w:after="20"/>
              <w:jc w:val="right"/>
            </w:pPr>
            <w:r>
              <w:rPr>
                <w:color w:val="1C3A36"/>
                <w:sz w:val="18"/>
              </w:rPr>
              <w:t>—</w:t>
            </w:r>
          </w:p>
        </w:tc>
        <w:tc>
          <w:tcPr>
            <w:tcW w:type="dxa" w:w="1123"/>
          </w:tcPr>
          <w:p>
            <w:pPr>
              <w:spacing w:after="20"/>
              <w:jc w:val="right"/>
            </w:pPr>
            <w:r>
              <w:rPr>
                <w:color w:val="1C3A36"/>
                <w:sz w:val="18"/>
              </w:rPr>
              <w:t>-31%</w:t>
            </w:r>
          </w:p>
        </w:tc>
        <w:tc>
          <w:tcPr>
            <w:tcW w:type="dxa" w:w="1670"/>
          </w:tcPr>
          <w:p>
            <w:pPr>
              <w:spacing w:after="20"/>
              <w:jc w:val="right"/>
            </w:pPr>
            <w:r>
              <w:rPr>
                <w:color w:val="1C3A36"/>
                <w:sz w:val="18"/>
              </w:rPr>
              <w:t>—</w:t>
            </w:r>
          </w:p>
        </w:tc>
      </w:tr>
      <w:tr>
        <w:tc>
          <w:tcPr>
            <w:tcW w:type="dxa" w:w="2952"/>
          </w:tcPr>
          <w:p>
            <w:pPr>
              <w:spacing w:after="20"/>
            </w:pPr>
            <w:r>
              <w:rPr>
                <w:color w:val="1C3A36"/>
                <w:sz w:val="18"/>
              </w:rPr>
              <w:t>Market price, 7 August 2026</w:t>
            </w:r>
          </w:p>
        </w:tc>
        <w:tc>
          <w:tcPr>
            <w:tcW w:type="dxa" w:w="893"/>
          </w:tcPr>
          <w:p>
            <w:pPr>
              <w:spacing w:after="20"/>
              <w:jc w:val="right"/>
            </w:pPr>
            <w:r>
              <w:rPr>
                <w:color w:val="1C3A36"/>
                <w:sz w:val="18"/>
              </w:rPr>
              <w:t>—</w:t>
            </w:r>
          </w:p>
        </w:tc>
        <w:tc>
          <w:tcPr>
            <w:tcW w:type="dxa" w:w="1037"/>
          </w:tcPr>
          <w:p>
            <w:pPr>
              <w:spacing w:after="20"/>
              <w:jc w:val="right"/>
            </w:pPr>
            <w:r>
              <w:rPr>
                <w:color w:val="1C3A36"/>
                <w:sz w:val="18"/>
              </w:rPr>
              <w:t>—</w:t>
            </w:r>
          </w:p>
        </w:tc>
        <w:tc>
          <w:tcPr>
            <w:tcW w:type="dxa" w:w="1152"/>
          </w:tcPr>
          <w:p>
            <w:pPr>
              <w:spacing w:after="20"/>
              <w:jc w:val="right"/>
            </w:pPr>
            <w:r>
              <w:rPr>
                <w:color w:val="1C3A36"/>
                <w:sz w:val="18"/>
              </w:rPr>
              <w:t>2.39</w:t>
            </w:r>
          </w:p>
        </w:tc>
        <w:tc>
          <w:tcPr>
            <w:tcW w:type="dxa" w:w="1037"/>
          </w:tcPr>
          <w:p>
            <w:pPr>
              <w:spacing w:after="20"/>
              <w:jc w:val="right"/>
            </w:pPr>
            <w:r>
              <w:rPr>
                <w:color w:val="1C3A36"/>
                <w:sz w:val="18"/>
              </w:rPr>
              <w:t>—</w:t>
            </w:r>
          </w:p>
        </w:tc>
        <w:tc>
          <w:tcPr>
            <w:tcW w:type="dxa" w:w="1123"/>
          </w:tcPr>
          <w:p>
            <w:pPr>
              <w:spacing w:after="20"/>
              <w:jc w:val="right"/>
            </w:pPr>
            <w:r>
              <w:rPr>
                <w:color w:val="1C3A36"/>
                <w:sz w:val="18"/>
              </w:rPr>
              <w:t>—</w:t>
            </w:r>
          </w:p>
        </w:tc>
        <w:tc>
          <w:tcPr>
            <w:tcW w:type="dxa" w:w="1670"/>
          </w:tcPr>
          <w:p>
            <w:pPr>
              <w:spacing w:after="20"/>
              <w:jc w:val="right"/>
            </w:pPr>
            <w:r>
              <w:rPr>
                <w:color w:val="1C3A36"/>
                <w:sz w:val="18"/>
              </w:rPr>
              <w:t>—</w:t>
            </w:r>
          </w:p>
        </w:tc>
      </w:tr>
    </w:tbl>
    <w:p>
      <w:pPr>
        <w:spacing w:after="40"/>
      </w:pPr>
    </w:p>
    <w:p>
      <w:pPr>
        <w:spacing w:after="200" w:before="0"/>
      </w:pPr>
      <w:r>
        <w:rPr>
          <w:b w:val="0"/>
          <w:i/>
          <w:color w:val="6E7B77"/>
          <w:sz w:val="17"/>
        </w:rPr>
        <w:t>AED a share. The terminal value share is the portion of the cash-flow lens's enterprise value that sits beyond the fifth forecast year; it is shown again in the bridge from enterprise value to equity below.</w:t>
      </w:r>
    </w:p>
    <w:p>
      <w:pPr>
        <w:spacing w:after="80" w:before="200"/>
      </w:pPr>
      <w:r>
        <w:rPr>
          <w:b/>
          <w:i w:val="0"/>
          <w:color w:val="1C3A36"/>
          <w:sz w:val="24"/>
        </w:rPr>
        <w:t>The same table, the other way round — the open question priced twice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4824"/>
        <w:gridCol w:w="1368"/>
        <w:gridCol w:w="1368"/>
      </w:tblGrid>
      <w:tr>
        <w:tc>
          <w:tcPr>
            <w:tcW w:type="dxa" w:w="2520"/>
            <w:shd w:val="clear" w:color="auto" w:fill="EAF0EE"/>
          </w:tcPr>
          <w:p>
            <w:pPr>
              <w:spacing w:after="20"/>
            </w:pPr>
            <w:r>
              <w:rPr>
                <w:b/>
                <w:color w:val="1C3A36"/>
                <w:sz w:val="18"/>
              </w:rPr>
              <w:t>Reading of the margin</w:t>
            </w:r>
          </w:p>
        </w:tc>
        <w:tc>
          <w:tcPr>
            <w:tcW w:type="dxa" w:w="4824"/>
            <w:shd w:val="clear" w:color="auto" w:fill="EAF0EE"/>
          </w:tcPr>
          <w:p>
            <w:pPr>
              <w:spacing w:after="20"/>
            </w:pPr>
            <w:r>
              <w:rPr>
                <w:b/>
                <w:color w:val="1C3A36"/>
                <w:sz w:val="18"/>
              </w:rPr>
              <w:t>What it assumes</w:t>
            </w:r>
          </w:p>
        </w:tc>
        <w:tc>
          <w:tcPr>
            <w:tcW w:type="dxa" w:w="1368"/>
            <w:shd w:val="clear" w:color="auto" w:fill="EAF0EE"/>
          </w:tcPr>
          <w:p>
            <w:pPr>
              <w:spacing w:after="20"/>
            </w:pPr>
            <w:r>
              <w:rPr>
                <w:b/>
                <w:color w:val="1C3A36"/>
                <w:sz w:val="18"/>
              </w:rPr>
              <w:t>Value (AED)</w:t>
            </w:r>
          </w:p>
        </w:tc>
        <w:tc>
          <w:tcPr>
            <w:tcW w:type="dxa" w:w="1368"/>
            <w:shd w:val="clear" w:color="auto" w:fill="EAF0EE"/>
          </w:tcPr>
          <w:p>
            <w:pPr>
              <w:spacing w:after="20"/>
            </w:pPr>
            <w:r>
              <w:rPr>
                <w:b/>
                <w:color w:val="1C3A36"/>
                <w:sz w:val="18"/>
              </w:rPr>
              <w:t>vs market</w:t>
            </w:r>
          </w:p>
        </w:tc>
      </w:tr>
      <w:tr>
        <w:tc>
          <w:tcPr>
            <w:tcW w:type="dxa" w:w="2520"/>
          </w:tcPr>
          <w:p>
            <w:pPr>
              <w:spacing w:after="20"/>
            </w:pPr>
            <w:r>
              <w:rPr>
                <w:color w:val="1C3A36"/>
                <w:sz w:val="18"/>
              </w:rPr>
              <w:t>Structural — the gains hold and improve slowly</w:t>
            </w:r>
          </w:p>
        </w:tc>
        <w:tc>
          <w:tcPr>
            <w:tcW w:type="dxa" w:w="4824"/>
          </w:tcPr>
          <w:p>
            <w:pPr>
              <w:spacing w:after="20"/>
              <w:jc w:val="right"/>
            </w:pPr>
            <w:r>
              <w:rPr>
                <w:color w:val="1C3A36"/>
                <w:sz w:val="18"/>
              </w:rPr>
              <w:t>The base case. Food and packaging stays near the 27.4% of revenue the company actually recorded in the first half of 2026, and the EBITDA margin runs from 25.4% to a peak of 25.4% before the growing delivery channel eases it to 24.9%.</w:t>
            </w:r>
          </w:p>
        </w:tc>
        <w:tc>
          <w:tcPr>
            <w:tcW w:type="dxa" w:w="1368"/>
          </w:tcPr>
          <w:p>
            <w:pPr>
              <w:spacing w:after="20"/>
              <w:jc w:val="right"/>
            </w:pPr>
            <w:r>
              <w:rPr>
                <w:color w:val="1C3A36"/>
                <w:sz w:val="18"/>
              </w:rPr>
              <w:t>2.22</w:t>
            </w:r>
          </w:p>
        </w:tc>
        <w:tc>
          <w:tcPr>
            <w:tcW w:type="dxa" w:w="1368"/>
          </w:tcPr>
          <w:p>
            <w:pPr>
              <w:spacing w:after="20"/>
              <w:jc w:val="right"/>
            </w:pPr>
            <w:r>
              <w:rPr>
                <w:color w:val="1C3A36"/>
                <w:sz w:val="18"/>
              </w:rPr>
              <w:t>-7%</w:t>
            </w:r>
          </w:p>
        </w:tc>
      </w:tr>
      <w:tr>
        <w:tc>
          <w:tcPr>
            <w:tcW w:type="dxa" w:w="2520"/>
          </w:tcPr>
          <w:p>
            <w:pPr>
              <w:spacing w:after="20"/>
            </w:pPr>
            <w:r>
              <w:rPr>
                <w:color w:val="1C3A36"/>
                <w:sz w:val="18"/>
              </w:rPr>
              <w:t>Cyclical — the gains are competed away</w:t>
            </w:r>
          </w:p>
        </w:tc>
        <w:tc>
          <w:tcPr>
            <w:tcW w:type="dxa" w:w="4824"/>
          </w:tcPr>
          <w:p>
            <w:pPr>
              <w:spacing w:after="20"/>
              <w:jc w:val="right"/>
            </w:pPr>
            <w:r>
              <w:rPr>
                <w:color w:val="1C3A36"/>
                <w:sz w:val="18"/>
              </w:rPr>
              <w:t>The first half of 2026 is banked, and the EBITDA margin then reverts in a straight line to the three-year audited average of 22.8% by FY2030.</w:t>
            </w:r>
          </w:p>
        </w:tc>
        <w:tc>
          <w:tcPr>
            <w:tcW w:type="dxa" w:w="1368"/>
          </w:tcPr>
          <w:p>
            <w:pPr>
              <w:spacing w:after="20"/>
              <w:jc w:val="right"/>
            </w:pPr>
            <w:r>
              <w:rPr>
                <w:color w:val="1C3A36"/>
                <w:sz w:val="18"/>
              </w:rPr>
              <w:t>1.91</w:t>
            </w:r>
          </w:p>
        </w:tc>
        <w:tc>
          <w:tcPr>
            <w:tcW w:type="dxa" w:w="1368"/>
          </w:tcPr>
          <w:p>
            <w:pPr>
              <w:spacing w:after="20"/>
              <w:jc w:val="right"/>
            </w:pPr>
            <w:r>
              <w:rPr>
                <w:color w:val="1C3A36"/>
                <w:sz w:val="18"/>
              </w:rPr>
              <w:t>-20%</w:t>
            </w:r>
          </w:p>
        </w:tc>
      </w:tr>
    </w:tbl>
    <w:p>
      <w:pPr>
        <w:spacing w:after="40"/>
      </w:pPr>
    </w:p>
    <w:p>
      <w:pPr>
        <w:spacing w:after="200" w:before="0"/>
      </w:pPr>
      <w:r>
        <w:rPr>
          <w:b w:val="0"/>
          <w:i/>
          <w:color w:val="6E7B77"/>
          <w:sz w:val="17"/>
        </w:rPr>
        <w:t>Neither is averaged into the other. The difference between them, 14%, is larger than the entire plausible range of the cost of capital.</w:t>
      </w:r>
    </w:p>
    <w:p>
      <w:pPr>
        <w:spacing w:after="80" w:before="200"/>
      </w:pPr>
      <w:r>
        <w:rPr>
          <w:b/>
          <w:i w:val="0"/>
          <w:color w:val="1C3A36"/>
          <w:sz w:val="24"/>
        </w:rPr>
        <w:t>The bridge from enterprise value to equity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12"/>
        <w:gridCol w:w="1984"/>
        <w:gridCol w:w="1984"/>
      </w:tblGrid>
      <w:tr>
        <w:tc>
          <w:tcPr>
            <w:tcW w:type="dxa" w:w="6112"/>
            <w:shd w:val="clear" w:color="auto" w:fill="EAF0EE"/>
          </w:tcPr>
          <w:p>
            <w:pPr>
              <w:spacing w:after="20"/>
            </w:pPr>
            <w:r>
              <w:rPr>
                <w:b/>
                <w:color w:val="1C3A36"/>
                <w:sz w:val="18"/>
              </w:rPr>
              <w:t>Step</w:t>
            </w:r>
          </w:p>
        </w:tc>
        <w:tc>
          <w:tcPr>
            <w:tcW w:type="dxa" w:w="1984"/>
            <w:shd w:val="clear" w:color="auto" w:fill="EAF0EE"/>
          </w:tcPr>
          <w:p>
            <w:pPr>
              <w:spacing w:after="20"/>
            </w:pPr>
            <w:r>
              <w:rPr>
                <w:b/>
                <w:color w:val="1C3A36"/>
                <w:sz w:val="18"/>
              </w:rPr>
              <w:t>USD million</w:t>
            </w:r>
          </w:p>
        </w:tc>
        <w:tc>
          <w:tcPr>
            <w:tcW w:type="dxa" w:w="1984"/>
            <w:shd w:val="clear" w:color="auto" w:fill="EAF0EE"/>
          </w:tcPr>
          <w:p>
            <w:pPr>
              <w:spacing w:after="20"/>
            </w:pPr>
            <w:r>
              <w:rPr>
                <w:b/>
                <w:color w:val="1C3A36"/>
                <w:sz w:val="18"/>
              </w:rPr>
              <w:t>AED a share</w:t>
            </w:r>
          </w:p>
        </w:tc>
      </w:tr>
      <w:tr>
        <w:tc>
          <w:tcPr>
            <w:tcW w:type="dxa" w:w="6112"/>
          </w:tcPr>
          <w:p>
            <w:pPr>
              <w:spacing w:after="20"/>
            </w:pPr>
            <w:r>
              <w:rPr>
                <w:color w:val="1C3A36"/>
                <w:sz w:val="18"/>
              </w:rPr>
              <w:t>Present value of the five forecast years</w:t>
            </w:r>
          </w:p>
        </w:tc>
        <w:tc>
          <w:tcPr>
            <w:tcW w:type="dxa" w:w="1984"/>
          </w:tcPr>
          <w:p>
            <w:pPr>
              <w:spacing w:after="20"/>
              <w:jc w:val="right"/>
            </w:pPr>
            <w:r>
              <w:rPr>
                <w:color w:val="1C3A36"/>
                <w:sz w:val="18"/>
              </w:rPr>
              <w:t>1,347</w:t>
            </w:r>
          </w:p>
        </w:tc>
        <w:tc>
          <w:tcPr>
            <w:tcW w:type="dxa" w:w="1984"/>
          </w:tcPr>
          <w:p>
            <w:pPr>
              <w:spacing w:after="20"/>
              <w:jc w:val="right"/>
            </w:pPr>
            <w:r>
              <w:rPr>
                <w:color w:val="1C3A36"/>
                <w:sz w:val="18"/>
              </w:rPr>
              <w:t>0.59</w:t>
            </w:r>
          </w:p>
        </w:tc>
      </w:tr>
      <w:tr>
        <w:tc>
          <w:tcPr>
            <w:tcW w:type="dxa" w:w="6112"/>
          </w:tcPr>
          <w:p>
            <w:pPr>
              <w:spacing w:after="20"/>
            </w:pPr>
            <w:r>
              <w:rPr>
                <w:color w:val="1C3A36"/>
                <w:sz w:val="18"/>
              </w:rPr>
              <w:t>Present value of the terminal value</w:t>
            </w:r>
          </w:p>
        </w:tc>
        <w:tc>
          <w:tcPr>
            <w:tcW w:type="dxa" w:w="1984"/>
          </w:tcPr>
          <w:p>
            <w:pPr>
              <w:spacing w:after="20"/>
              <w:jc w:val="right"/>
            </w:pPr>
            <w:r>
              <w:rPr>
                <w:color w:val="1C3A36"/>
                <w:sz w:val="18"/>
              </w:rPr>
              <w:t>3,858</w:t>
            </w:r>
          </w:p>
        </w:tc>
        <w:tc>
          <w:tcPr>
            <w:tcW w:type="dxa" w:w="1984"/>
          </w:tcPr>
          <w:p>
            <w:pPr>
              <w:spacing w:after="20"/>
              <w:jc w:val="right"/>
            </w:pPr>
            <w:r>
              <w:rPr>
                <w:color w:val="1C3A36"/>
                <w:sz w:val="18"/>
              </w:rPr>
              <w:t>1.69</w:t>
            </w:r>
          </w:p>
        </w:tc>
      </w:tr>
      <w:tr>
        <w:tc>
          <w:tcPr>
            <w:tcW w:type="dxa" w:w="6112"/>
            <w:shd w:val="clear" w:color="auto" w:fill="F6F1E6"/>
          </w:tcPr>
          <w:p>
            <w:pPr>
              <w:spacing w:after="20"/>
            </w:pPr>
            <w:r>
              <w:rPr>
                <w:b/>
                <w:color w:val="1C3A36"/>
                <w:sz w:val="18"/>
              </w:rPr>
              <w:t>Enterprise value</w:t>
            </w:r>
          </w:p>
        </w:tc>
        <w:tc>
          <w:tcPr>
            <w:tcW w:type="dxa" w:w="1984"/>
            <w:shd w:val="clear" w:color="auto" w:fill="F6F1E6"/>
          </w:tcPr>
          <w:p>
            <w:pPr>
              <w:spacing w:after="20"/>
              <w:jc w:val="right"/>
            </w:pPr>
            <w:r>
              <w:rPr>
                <w:b/>
                <w:color w:val="1C3A36"/>
                <w:sz w:val="18"/>
              </w:rPr>
              <w:t>5,206</w:t>
            </w:r>
          </w:p>
        </w:tc>
        <w:tc>
          <w:tcPr>
            <w:tcW w:type="dxa" w:w="1984"/>
            <w:shd w:val="clear" w:color="auto" w:fill="F6F1E6"/>
          </w:tcPr>
          <w:p>
            <w:pPr>
              <w:spacing w:after="20"/>
              <w:jc w:val="right"/>
            </w:pPr>
            <w:r>
              <w:rPr>
                <w:b/>
                <w:color w:val="1C3A36"/>
                <w:sz w:val="18"/>
              </w:rPr>
              <w:t>2.28</w:t>
            </w:r>
          </w:p>
        </w:tc>
      </w:tr>
      <w:tr>
        <w:tc>
          <w:tcPr>
            <w:tcW w:type="dxa" w:w="6112"/>
          </w:tcPr>
          <w:p>
            <w:pPr>
              <w:spacing w:after="20"/>
            </w:pPr>
            <w:r>
              <w:rPr>
                <w:color w:val="1C3A36"/>
                <w:sz w:val="18"/>
              </w:rPr>
              <w:t>Less lease liabilities</w:t>
            </w:r>
          </w:p>
        </w:tc>
        <w:tc>
          <w:tcPr>
            <w:tcW w:type="dxa" w:w="1984"/>
          </w:tcPr>
          <w:p>
            <w:pPr>
              <w:spacing w:after="20"/>
              <w:jc w:val="right"/>
            </w:pPr>
            <w:r>
              <w:rPr>
                <w:color w:val="1C3A36"/>
                <w:sz w:val="18"/>
              </w:rPr>
              <w:t>(637)</w:t>
            </w:r>
          </w:p>
        </w:tc>
        <w:tc>
          <w:tcPr>
            <w:tcW w:type="dxa" w:w="1984"/>
          </w:tcPr>
          <w:p>
            <w:pPr>
              <w:spacing w:after="20"/>
              <w:jc w:val="right"/>
            </w:pPr>
            <w:r>
              <w:rPr>
                <w:color w:val="1C3A36"/>
                <w:sz w:val="18"/>
              </w:rPr>
              <w:t>(0.28)</w:t>
            </w:r>
          </w:p>
        </w:tc>
      </w:tr>
      <w:tr>
        <w:tc>
          <w:tcPr>
            <w:tcW w:type="dxa" w:w="6112"/>
          </w:tcPr>
          <w:p>
            <w:pPr>
              <w:spacing w:after="20"/>
            </w:pPr>
            <w:r>
              <w:rPr>
                <w:color w:val="1C3A36"/>
                <w:sz w:val="18"/>
              </w:rPr>
              <w:t>Plus cash and bank deposits</w:t>
            </w:r>
          </w:p>
        </w:tc>
        <w:tc>
          <w:tcPr>
            <w:tcW w:type="dxa" w:w="1984"/>
          </w:tcPr>
          <w:p>
            <w:pPr>
              <w:spacing w:after="20"/>
              <w:jc w:val="right"/>
            </w:pPr>
            <w:r>
              <w:rPr>
                <w:color w:val="1C3A36"/>
                <w:sz w:val="18"/>
              </w:rPr>
              <w:t>417</w:t>
            </w:r>
          </w:p>
        </w:tc>
        <w:tc>
          <w:tcPr>
            <w:tcW w:type="dxa" w:w="1984"/>
          </w:tcPr>
          <w:p>
            <w:pPr>
              <w:spacing w:after="20"/>
              <w:jc w:val="right"/>
            </w:pPr>
            <w:r>
              <w:rPr>
                <w:color w:val="1C3A36"/>
                <w:sz w:val="18"/>
              </w:rPr>
              <w:t>0.18</w:t>
            </w:r>
          </w:p>
        </w:tc>
      </w:tr>
      <w:tr>
        <w:tc>
          <w:tcPr>
            <w:tcW w:type="dxa" w:w="6112"/>
          </w:tcPr>
          <w:p>
            <w:pPr>
              <w:spacing w:after="20"/>
            </w:pPr>
            <w:r>
              <w:rPr>
                <w:color w:val="1C3A36"/>
                <w:sz w:val="18"/>
              </w:rPr>
              <w:t>Less non-controlling interests</w:t>
            </w:r>
          </w:p>
        </w:tc>
        <w:tc>
          <w:tcPr>
            <w:tcW w:type="dxa" w:w="1984"/>
          </w:tcPr>
          <w:p>
            <w:pPr>
              <w:spacing w:after="20"/>
              <w:jc w:val="right"/>
            </w:pPr>
            <w:r>
              <w:rPr>
                <w:color w:val="1C3A36"/>
                <w:sz w:val="18"/>
              </w:rPr>
              <w:t>(1)</w:t>
            </w:r>
          </w:p>
        </w:tc>
        <w:tc>
          <w:tcPr>
            <w:tcW w:type="dxa" w:w="1984"/>
          </w:tcPr>
          <w:p>
            <w:pPr>
              <w:spacing w:after="20"/>
              <w:jc w:val="right"/>
            </w:pPr>
            <w:r>
              <w:rPr>
                <w:color w:val="1C3A36"/>
                <w:sz w:val="18"/>
              </w:rPr>
              <w:t>(0.00)</w:t>
            </w:r>
          </w:p>
        </w:tc>
      </w:tr>
      <w:tr>
        <w:tc>
          <w:tcPr>
            <w:tcW w:type="dxa" w:w="6112"/>
            <w:shd w:val="clear" w:color="auto" w:fill="F6F1E6"/>
          </w:tcPr>
          <w:p>
            <w:pPr>
              <w:spacing w:after="20"/>
            </w:pPr>
            <w:r>
              <w:rPr>
                <w:b/>
                <w:color w:val="1C3A36"/>
                <w:sz w:val="18"/>
              </w:rPr>
              <w:t>Equity attributable to shareholders</w:t>
            </w:r>
          </w:p>
        </w:tc>
        <w:tc>
          <w:tcPr>
            <w:tcW w:type="dxa" w:w="1984"/>
            <w:shd w:val="clear" w:color="auto" w:fill="F6F1E6"/>
          </w:tcPr>
          <w:p>
            <w:pPr>
              <w:spacing w:after="20"/>
              <w:jc w:val="right"/>
            </w:pPr>
            <w:r>
              <w:rPr>
                <w:b/>
                <w:color w:val="1C3A36"/>
                <w:sz w:val="18"/>
              </w:rPr>
              <w:t>4,985</w:t>
            </w:r>
          </w:p>
        </w:tc>
        <w:tc>
          <w:tcPr>
            <w:tcW w:type="dxa" w:w="1984"/>
            <w:shd w:val="clear" w:color="auto" w:fill="F6F1E6"/>
          </w:tcPr>
          <w:p>
            <w:pPr>
              <w:spacing w:after="20"/>
              <w:jc w:val="right"/>
            </w:pPr>
            <w:r>
              <w:rPr>
                <w:b/>
                <w:color w:val="1C3A36"/>
                <w:sz w:val="18"/>
              </w:rPr>
              <w:t>2.18</w:t>
            </w:r>
          </w:p>
        </w:tc>
      </w:tr>
      <w:tr>
        <w:tc>
          <w:tcPr>
            <w:tcW w:type="dxa" w:w="6112"/>
            <w:shd w:val="clear" w:color="auto" w:fill="F6F1E6"/>
          </w:tcPr>
          <w:p>
            <w:pPr>
              <w:spacing w:after="20"/>
            </w:pPr>
            <w:r>
              <w:rPr>
                <w:b/>
                <w:color w:val="1C3A36"/>
                <w:sz w:val="18"/>
              </w:rPr>
              <w:t>Terminal value as a share of enterprise value</w:t>
            </w:r>
          </w:p>
        </w:tc>
        <w:tc>
          <w:tcPr>
            <w:tcW w:type="dxa" w:w="1984"/>
            <w:shd w:val="clear" w:color="auto" w:fill="F6F1E6"/>
          </w:tcPr>
          <w:p>
            <w:pPr>
              <w:spacing w:after="20"/>
              <w:jc w:val="right"/>
            </w:pPr>
            <w:r>
              <w:rPr>
                <w:b/>
                <w:color w:val="1C3A36"/>
                <w:sz w:val="18"/>
              </w:rPr>
              <w:t>74%</w:t>
            </w:r>
          </w:p>
        </w:tc>
        <w:tc>
          <w:tcPr>
            <w:tcW w:type="dxa" w:w="1984"/>
            <w:shd w:val="clear" w:color="auto" w:fill="F6F1E6"/>
          </w:tcPr>
          <w:p>
            <w:pPr>
              <w:spacing w:after="20"/>
              <w:jc w:val="right"/>
            </w:pPr>
            <w:r>
              <w:rPr>
                <w:b/>
                <w:color w:val="1C3A36"/>
                <w:sz w:val="18"/>
              </w:rPr>
              <w:t>—</w:t>
            </w:r>
          </w:p>
        </w:tc>
      </w:tr>
    </w:tbl>
    <w:p>
      <w:pPr>
        <w:spacing w:after="40"/>
      </w:pPr>
    </w:p>
    <w:p>
      <w:pPr>
        <w:spacing w:after="200" w:before="0"/>
      </w:pPr>
      <w:r>
        <w:rPr>
          <w:b w:val="0"/>
          <w:i/>
          <w:color w:val="6E7B77"/>
          <w:sz w:val="17"/>
        </w:rPr>
        <w:t>The company carries no bank debt. Its only borrowing is the capitalised lease estate, and it holds more cash and deposits than two-thirds of that liability.</w:t>
      </w:r>
    </w:p>
    <w:p>
      <w:pPr>
        <w:spacing w:after="120" w:before="280"/>
      </w:pPr>
      <w:r>
        <w:rPr>
          <w:b/>
          <w:i w:val="0"/>
          <w:color w:val="1C3A36"/>
          <w:sz w:val="30"/>
        </w:rPr>
        <w:t>Company overview</w:t>
      </w:r>
    </w:p>
    <w:p>
      <w:pPr>
        <w:spacing w:after="120" w:before="0"/>
      </w:pPr>
      <w:r>
        <w:rPr>
          <w:b w:val="0"/>
          <w:i w:val="0"/>
          <w:color w:val="1C3A36"/>
          <w:sz w:val="21"/>
        </w:rPr>
        <w:t>Americana Restaurants International PLC is registered in the Abu Dhabi Global Market and has been operating since 1969. It is the largest restaurant operator across the Middle East, North Africa and Kazakhstan. Its December 2022 initial public offering was the region's first concurrent dual listing: the same shares trade in Abu Dhabi and in Riyadh. Adeptio AD Investments holds 66.0%; its parent is owned equally by Mohamed Ali Rashed Alabbar and a subsidiary of the Public Investment Fund of Saudi Arabia.</w:t>
      </w:r>
    </w:p>
    <w:p>
      <w:pPr>
        <w:spacing w:after="120" w:before="0"/>
      </w:pPr>
      <w:r>
        <w:rPr>
          <w:b w:val="0"/>
          <w:i w:val="0"/>
          <w:color w:val="1C3A36"/>
          <w:sz w:val="21"/>
        </w:rPr>
        <w:t>The business is a master franchisee. It licenses KFC, Pizza Hut, Hardee's, Krispy Kreme, Costa Coffee, Peet's Coffee, Baskin-Robbins, TGI Fridays, Wimpy and Chicken Tikka, and has lately added two of its own: Malak Al Tawouk, acquired in the United Arab Emirates and Saudi Arabia, and carpo, launched in Qatar. Four power brands produce 94% of revenue. Home delivery is 52% of sales in the first half of 2026, against 42% in the same half two years earlier, largely through the company's own ordering application rather than third-party platforms.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800"/>
        <w:gridCol w:w="1584"/>
        <w:gridCol w:w="1944"/>
        <w:gridCol w:w="1224"/>
        <w:gridCol w:w="1656"/>
      </w:tblGrid>
      <w:tr>
        <w:tc>
          <w:tcPr>
            <w:tcW w:type="dxa" w:w="1872"/>
            <w:shd w:val="clear" w:color="auto" w:fill="EAF0EE"/>
          </w:tcPr>
          <w:p>
            <w:pPr>
              <w:spacing w:after="20"/>
            </w:pPr>
            <w:r>
              <w:rPr>
                <w:b/>
                <w:color w:val="1C3A36"/>
                <w:sz w:val="17"/>
              </w:rPr>
              <w:t>Market</w:t>
            </w:r>
          </w:p>
        </w:tc>
        <w:tc>
          <w:tcPr>
            <w:tcW w:type="dxa" w:w="1800"/>
            <w:shd w:val="clear" w:color="auto" w:fill="EAF0EE"/>
          </w:tcPr>
          <w:p>
            <w:pPr>
              <w:spacing w:after="20"/>
            </w:pPr>
            <w:r>
              <w:rPr>
                <w:b/>
                <w:color w:val="1C3A36"/>
                <w:sz w:val="17"/>
              </w:rPr>
              <w:t>Restaurants at 31 Dec 2025</w:t>
            </w:r>
          </w:p>
        </w:tc>
        <w:tc>
          <w:tcPr>
            <w:tcW w:type="dxa" w:w="1584"/>
            <w:shd w:val="clear" w:color="auto" w:fill="EAF0EE"/>
          </w:tcPr>
          <w:p>
            <w:pPr>
              <w:spacing w:after="20"/>
            </w:pPr>
            <w:r>
              <w:rPr>
                <w:b/>
                <w:color w:val="1C3A36"/>
                <w:sz w:val="17"/>
              </w:rPr>
              <w:t>FY2025 revenue (USD m)</w:t>
            </w:r>
          </w:p>
        </w:tc>
        <w:tc>
          <w:tcPr>
            <w:tcW w:type="dxa" w:w="1944"/>
            <w:shd w:val="clear" w:color="auto" w:fill="EAF0EE"/>
          </w:tcPr>
          <w:p>
            <w:pPr>
              <w:spacing w:after="20"/>
            </w:pPr>
            <w:r>
              <w:rPr>
                <w:b/>
                <w:color w:val="1C3A36"/>
                <w:sz w:val="17"/>
              </w:rPr>
              <w:t>Revenue per restaurant (USD 000)</w:t>
            </w:r>
          </w:p>
        </w:tc>
        <w:tc>
          <w:tcPr>
            <w:tcW w:type="dxa" w:w="1224"/>
            <w:shd w:val="clear" w:color="auto" w:fill="EAF0EE"/>
          </w:tcPr>
          <w:p>
            <w:pPr>
              <w:spacing w:after="20"/>
            </w:pPr>
            <w:r>
              <w:rPr>
                <w:b/>
                <w:color w:val="1C3A36"/>
                <w:sz w:val="17"/>
              </w:rPr>
              <w:t>Share of revenue</w:t>
            </w:r>
          </w:p>
        </w:tc>
        <w:tc>
          <w:tcPr>
            <w:tcW w:type="dxa" w:w="1656"/>
            <w:shd w:val="clear" w:color="auto" w:fill="EAF0EE"/>
          </w:tcPr>
          <w:p>
            <w:pPr>
              <w:spacing w:after="20"/>
            </w:pPr>
            <w:r>
              <w:rPr>
                <w:b/>
                <w:color w:val="1C3A36"/>
                <w:sz w:val="17"/>
              </w:rPr>
              <w:t>Restaurants at 30 Jun 2026</w:t>
            </w:r>
          </w:p>
        </w:tc>
      </w:tr>
      <w:tr>
        <w:tc>
          <w:tcPr>
            <w:tcW w:type="dxa" w:w="1872"/>
          </w:tcPr>
          <w:p>
            <w:pPr>
              <w:spacing w:after="20"/>
            </w:pPr>
            <w:r>
              <w:rPr>
                <w:color w:val="1C3A36"/>
                <w:sz w:val="17"/>
              </w:rPr>
              <w:t>UAE</w:t>
            </w:r>
          </w:p>
        </w:tc>
        <w:tc>
          <w:tcPr>
            <w:tcW w:type="dxa" w:w="1800"/>
          </w:tcPr>
          <w:p>
            <w:pPr>
              <w:spacing w:after="20"/>
              <w:jc w:val="right"/>
            </w:pPr>
            <w:r>
              <w:rPr>
                <w:color w:val="1C3A36"/>
                <w:sz w:val="17"/>
              </w:rPr>
              <w:t>652</w:t>
            </w:r>
          </w:p>
        </w:tc>
        <w:tc>
          <w:tcPr>
            <w:tcW w:type="dxa" w:w="1584"/>
          </w:tcPr>
          <w:p>
            <w:pPr>
              <w:spacing w:after="20"/>
              <w:jc w:val="right"/>
            </w:pPr>
            <w:r>
              <w:rPr>
                <w:color w:val="1C3A36"/>
                <w:sz w:val="17"/>
              </w:rPr>
              <w:t>845</w:t>
            </w:r>
          </w:p>
        </w:tc>
        <w:tc>
          <w:tcPr>
            <w:tcW w:type="dxa" w:w="1944"/>
          </w:tcPr>
          <w:p>
            <w:pPr>
              <w:spacing w:after="20"/>
              <w:jc w:val="right"/>
            </w:pPr>
            <w:r>
              <w:rPr>
                <w:color w:val="1C3A36"/>
                <w:sz w:val="17"/>
              </w:rPr>
              <w:t>1,295</w:t>
            </w:r>
          </w:p>
        </w:tc>
        <w:tc>
          <w:tcPr>
            <w:tcW w:type="dxa" w:w="1224"/>
          </w:tcPr>
          <w:p>
            <w:pPr>
              <w:spacing w:after="20"/>
              <w:jc w:val="right"/>
            </w:pPr>
            <w:r>
              <w:rPr>
                <w:color w:val="1C3A36"/>
                <w:sz w:val="17"/>
              </w:rPr>
              <w:t>33%</w:t>
            </w:r>
          </w:p>
        </w:tc>
        <w:tc>
          <w:tcPr>
            <w:tcW w:type="dxa" w:w="1656"/>
          </w:tcPr>
          <w:p>
            <w:pPr>
              <w:spacing w:after="20"/>
              <w:jc w:val="right"/>
            </w:pPr>
            <w:r>
              <w:rPr>
                <w:color w:val="1C3A36"/>
                <w:sz w:val="17"/>
              </w:rPr>
              <w:t>664</w:t>
            </w:r>
          </w:p>
        </w:tc>
      </w:tr>
      <w:tr>
        <w:tc>
          <w:tcPr>
            <w:tcW w:type="dxa" w:w="1872"/>
          </w:tcPr>
          <w:p>
            <w:pPr>
              <w:spacing w:after="20"/>
            </w:pPr>
            <w:r>
              <w:rPr>
                <w:color w:val="1C3A36"/>
                <w:sz w:val="17"/>
              </w:rPr>
              <w:t>Saudi Arabia</w:t>
            </w:r>
          </w:p>
        </w:tc>
        <w:tc>
          <w:tcPr>
            <w:tcW w:type="dxa" w:w="1800"/>
          </w:tcPr>
          <w:p>
            <w:pPr>
              <w:spacing w:after="20"/>
              <w:jc w:val="right"/>
            </w:pPr>
            <w:r>
              <w:rPr>
                <w:color w:val="1C3A36"/>
                <w:sz w:val="17"/>
              </w:rPr>
              <w:t>766</w:t>
            </w:r>
          </w:p>
        </w:tc>
        <w:tc>
          <w:tcPr>
            <w:tcW w:type="dxa" w:w="1584"/>
          </w:tcPr>
          <w:p>
            <w:pPr>
              <w:spacing w:after="20"/>
              <w:jc w:val="right"/>
            </w:pPr>
            <w:r>
              <w:rPr>
                <w:color w:val="1C3A36"/>
                <w:sz w:val="17"/>
              </w:rPr>
              <w:t>630</w:t>
            </w:r>
          </w:p>
        </w:tc>
        <w:tc>
          <w:tcPr>
            <w:tcW w:type="dxa" w:w="1944"/>
          </w:tcPr>
          <w:p>
            <w:pPr>
              <w:spacing w:after="20"/>
              <w:jc w:val="right"/>
            </w:pPr>
            <w:r>
              <w:rPr>
                <w:color w:val="1C3A36"/>
                <w:sz w:val="17"/>
              </w:rPr>
              <w:t>822</w:t>
            </w:r>
          </w:p>
        </w:tc>
        <w:tc>
          <w:tcPr>
            <w:tcW w:type="dxa" w:w="1224"/>
          </w:tcPr>
          <w:p>
            <w:pPr>
              <w:spacing w:after="20"/>
              <w:jc w:val="right"/>
            </w:pPr>
            <w:r>
              <w:rPr>
                <w:color w:val="1C3A36"/>
                <w:sz w:val="17"/>
              </w:rPr>
              <w:t>25%</w:t>
            </w:r>
          </w:p>
        </w:tc>
        <w:tc>
          <w:tcPr>
            <w:tcW w:type="dxa" w:w="1656"/>
          </w:tcPr>
          <w:p>
            <w:pPr>
              <w:spacing w:after="20"/>
              <w:jc w:val="right"/>
            </w:pPr>
            <w:r>
              <w:rPr>
                <w:color w:val="1C3A36"/>
                <w:sz w:val="17"/>
              </w:rPr>
              <w:t>761</w:t>
            </w:r>
          </w:p>
        </w:tc>
      </w:tr>
      <w:tr>
        <w:tc>
          <w:tcPr>
            <w:tcW w:type="dxa" w:w="1872"/>
          </w:tcPr>
          <w:p>
            <w:pPr>
              <w:spacing w:after="20"/>
            </w:pPr>
            <w:r>
              <w:rPr>
                <w:color w:val="1C3A36"/>
                <w:sz w:val="17"/>
              </w:rPr>
              <w:t>Kuwait</w:t>
            </w:r>
          </w:p>
        </w:tc>
        <w:tc>
          <w:tcPr>
            <w:tcW w:type="dxa" w:w="1800"/>
          </w:tcPr>
          <w:p>
            <w:pPr>
              <w:spacing w:after="20"/>
              <w:jc w:val="right"/>
            </w:pPr>
            <w:r>
              <w:rPr>
                <w:color w:val="1C3A36"/>
                <w:sz w:val="17"/>
              </w:rPr>
              <w:t>276</w:t>
            </w:r>
          </w:p>
        </w:tc>
        <w:tc>
          <w:tcPr>
            <w:tcW w:type="dxa" w:w="1584"/>
          </w:tcPr>
          <w:p>
            <w:pPr>
              <w:spacing w:after="20"/>
              <w:jc w:val="right"/>
            </w:pPr>
            <w:r>
              <w:rPr>
                <w:color w:val="1C3A36"/>
                <w:sz w:val="17"/>
              </w:rPr>
              <w:t>347</w:t>
            </w:r>
          </w:p>
        </w:tc>
        <w:tc>
          <w:tcPr>
            <w:tcW w:type="dxa" w:w="1944"/>
          </w:tcPr>
          <w:p>
            <w:pPr>
              <w:spacing w:after="20"/>
              <w:jc w:val="right"/>
            </w:pPr>
            <w:r>
              <w:rPr>
                <w:color w:val="1C3A36"/>
                <w:sz w:val="17"/>
              </w:rPr>
              <w:t>1,257</w:t>
            </w:r>
          </w:p>
        </w:tc>
        <w:tc>
          <w:tcPr>
            <w:tcW w:type="dxa" w:w="1224"/>
          </w:tcPr>
          <w:p>
            <w:pPr>
              <w:spacing w:after="20"/>
              <w:jc w:val="right"/>
            </w:pPr>
            <w:r>
              <w:rPr>
                <w:color w:val="1C3A36"/>
                <w:sz w:val="17"/>
              </w:rPr>
              <w:t>14%</w:t>
            </w:r>
          </w:p>
        </w:tc>
        <w:tc>
          <w:tcPr>
            <w:tcW w:type="dxa" w:w="1656"/>
          </w:tcPr>
          <w:p>
            <w:pPr>
              <w:spacing w:after="20"/>
              <w:jc w:val="right"/>
            </w:pPr>
            <w:r>
              <w:rPr>
                <w:color w:val="1C3A36"/>
                <w:sz w:val="17"/>
              </w:rPr>
              <w:t>274</w:t>
            </w:r>
          </w:p>
        </w:tc>
      </w:tr>
      <w:tr>
        <w:tc>
          <w:tcPr>
            <w:tcW w:type="dxa" w:w="1872"/>
          </w:tcPr>
          <w:p>
            <w:pPr>
              <w:spacing w:after="20"/>
            </w:pPr>
            <w:r>
              <w:rPr>
                <w:color w:val="1C3A36"/>
                <w:sz w:val="17"/>
              </w:rPr>
              <w:t>Egypt</w:t>
            </w:r>
          </w:p>
        </w:tc>
        <w:tc>
          <w:tcPr>
            <w:tcW w:type="dxa" w:w="1800"/>
          </w:tcPr>
          <w:p>
            <w:pPr>
              <w:spacing w:after="20"/>
              <w:jc w:val="right"/>
            </w:pPr>
            <w:r>
              <w:rPr>
                <w:color w:val="1C3A36"/>
                <w:sz w:val="17"/>
              </w:rPr>
              <w:t>450</w:t>
            </w:r>
          </w:p>
        </w:tc>
        <w:tc>
          <w:tcPr>
            <w:tcW w:type="dxa" w:w="1584"/>
          </w:tcPr>
          <w:p>
            <w:pPr>
              <w:spacing w:after="20"/>
              <w:jc w:val="right"/>
            </w:pPr>
            <w:r>
              <w:rPr>
                <w:color w:val="1C3A36"/>
                <w:sz w:val="17"/>
              </w:rPr>
              <w:t>173</w:t>
            </w:r>
          </w:p>
        </w:tc>
        <w:tc>
          <w:tcPr>
            <w:tcW w:type="dxa" w:w="1944"/>
          </w:tcPr>
          <w:p>
            <w:pPr>
              <w:spacing w:after="20"/>
              <w:jc w:val="right"/>
            </w:pPr>
            <w:r>
              <w:rPr>
                <w:color w:val="1C3A36"/>
                <w:sz w:val="17"/>
              </w:rPr>
              <w:t>383</w:t>
            </w:r>
          </w:p>
        </w:tc>
        <w:tc>
          <w:tcPr>
            <w:tcW w:type="dxa" w:w="1224"/>
          </w:tcPr>
          <w:p>
            <w:pPr>
              <w:spacing w:after="20"/>
              <w:jc w:val="right"/>
            </w:pPr>
            <w:r>
              <w:rPr>
                <w:color w:val="1C3A36"/>
                <w:sz w:val="17"/>
              </w:rPr>
              <w:t>7%</w:t>
            </w:r>
          </w:p>
        </w:tc>
        <w:tc>
          <w:tcPr>
            <w:tcW w:type="dxa" w:w="1656"/>
          </w:tcPr>
          <w:p>
            <w:pPr>
              <w:spacing w:after="20"/>
              <w:jc w:val="right"/>
            </w:pPr>
            <w:r>
              <w:rPr>
                <w:color w:val="1C3A36"/>
                <w:sz w:val="17"/>
              </w:rPr>
              <w:t>447</w:t>
            </w:r>
          </w:p>
        </w:tc>
      </w:tr>
      <w:tr>
        <w:tc>
          <w:tcPr>
            <w:tcW w:type="dxa" w:w="1872"/>
          </w:tcPr>
          <w:p>
            <w:pPr>
              <w:spacing w:after="20"/>
            </w:pPr>
            <w:r>
              <w:rPr>
                <w:color w:val="1C3A36"/>
                <w:sz w:val="17"/>
              </w:rPr>
              <w:t>Morocco</w:t>
            </w:r>
          </w:p>
        </w:tc>
        <w:tc>
          <w:tcPr>
            <w:tcW w:type="dxa" w:w="1800"/>
          </w:tcPr>
          <w:p>
            <w:pPr>
              <w:spacing w:after="20"/>
              <w:jc w:val="right"/>
            </w:pPr>
            <w:r>
              <w:rPr>
                <w:color w:val="1C3A36"/>
                <w:sz w:val="17"/>
              </w:rPr>
              <w:t>55</w:t>
            </w:r>
          </w:p>
        </w:tc>
        <w:tc>
          <w:tcPr>
            <w:tcW w:type="dxa" w:w="1584"/>
          </w:tcPr>
          <w:p>
            <w:pPr>
              <w:spacing w:after="20"/>
              <w:jc w:val="right"/>
            </w:pPr>
            <w:r>
              <w:rPr>
                <w:color w:val="1C3A36"/>
                <w:sz w:val="17"/>
              </w:rPr>
              <w:t>51</w:t>
            </w:r>
          </w:p>
        </w:tc>
        <w:tc>
          <w:tcPr>
            <w:tcW w:type="dxa" w:w="1944"/>
          </w:tcPr>
          <w:p>
            <w:pPr>
              <w:spacing w:after="20"/>
              <w:jc w:val="right"/>
            </w:pPr>
            <w:r>
              <w:rPr>
                <w:color w:val="1C3A36"/>
                <w:sz w:val="17"/>
              </w:rPr>
              <w:t>921</w:t>
            </w:r>
          </w:p>
        </w:tc>
        <w:tc>
          <w:tcPr>
            <w:tcW w:type="dxa" w:w="1224"/>
          </w:tcPr>
          <w:p>
            <w:pPr>
              <w:spacing w:after="20"/>
              <w:jc w:val="right"/>
            </w:pPr>
            <w:r>
              <w:rPr>
                <w:color w:val="1C3A36"/>
                <w:sz w:val="17"/>
              </w:rPr>
              <w:t>2%</w:t>
            </w:r>
          </w:p>
        </w:tc>
        <w:tc>
          <w:tcPr>
            <w:tcW w:type="dxa" w:w="1656"/>
          </w:tcPr>
          <w:p>
            <w:pPr>
              <w:spacing w:after="20"/>
              <w:jc w:val="right"/>
            </w:pPr>
            <w:r>
              <w:rPr>
                <w:color w:val="1C3A36"/>
                <w:sz w:val="17"/>
              </w:rPr>
              <w:t>56</w:t>
            </w:r>
          </w:p>
        </w:tc>
      </w:tr>
      <w:tr>
        <w:tc>
          <w:tcPr>
            <w:tcW w:type="dxa" w:w="1872"/>
          </w:tcPr>
          <w:p>
            <w:pPr>
              <w:spacing w:after="20"/>
            </w:pPr>
            <w:r>
              <w:rPr>
                <w:color w:val="1C3A36"/>
                <w:sz w:val="17"/>
              </w:rPr>
              <w:t>Lower Gulf</w:t>
            </w:r>
          </w:p>
        </w:tc>
        <w:tc>
          <w:tcPr>
            <w:tcW w:type="dxa" w:w="1800"/>
          </w:tcPr>
          <w:p>
            <w:pPr>
              <w:spacing w:after="20"/>
              <w:jc w:val="right"/>
            </w:pPr>
            <w:r>
              <w:rPr>
                <w:color w:val="1C3A36"/>
                <w:sz w:val="17"/>
              </w:rPr>
              <w:t>287</w:t>
            </w:r>
          </w:p>
        </w:tc>
        <w:tc>
          <w:tcPr>
            <w:tcW w:type="dxa" w:w="1584"/>
          </w:tcPr>
          <w:p>
            <w:pPr>
              <w:spacing w:after="20"/>
              <w:jc w:val="right"/>
            </w:pPr>
            <w:r>
              <w:rPr>
                <w:color w:val="1C3A36"/>
                <w:sz w:val="17"/>
              </w:rPr>
              <w:t>258</w:t>
            </w:r>
          </w:p>
        </w:tc>
        <w:tc>
          <w:tcPr>
            <w:tcW w:type="dxa" w:w="1944"/>
          </w:tcPr>
          <w:p>
            <w:pPr>
              <w:spacing w:after="20"/>
              <w:jc w:val="right"/>
            </w:pPr>
            <w:r>
              <w:rPr>
                <w:color w:val="1C3A36"/>
                <w:sz w:val="17"/>
              </w:rPr>
              <w:t>899</w:t>
            </w:r>
          </w:p>
        </w:tc>
        <w:tc>
          <w:tcPr>
            <w:tcW w:type="dxa" w:w="1224"/>
          </w:tcPr>
          <w:p>
            <w:pPr>
              <w:spacing w:after="20"/>
              <w:jc w:val="right"/>
            </w:pPr>
            <w:r>
              <w:rPr>
                <w:color w:val="1C3A36"/>
                <w:sz w:val="17"/>
              </w:rPr>
              <w:t>10%</w:t>
            </w:r>
          </w:p>
        </w:tc>
        <w:tc>
          <w:tcPr>
            <w:tcW w:type="dxa" w:w="1656"/>
          </w:tcPr>
          <w:p>
            <w:pPr>
              <w:spacing w:after="20"/>
              <w:jc w:val="right"/>
            </w:pPr>
            <w:r>
              <w:rPr>
                <w:color w:val="1C3A36"/>
                <w:sz w:val="17"/>
              </w:rPr>
              <w:t>279</w:t>
            </w:r>
          </w:p>
        </w:tc>
      </w:tr>
      <w:tr>
        <w:tc>
          <w:tcPr>
            <w:tcW w:type="dxa" w:w="1872"/>
          </w:tcPr>
          <w:p>
            <w:pPr>
              <w:spacing w:after="20"/>
            </w:pPr>
            <w:r>
              <w:rPr>
                <w:color w:val="1C3A36"/>
                <w:sz w:val="17"/>
              </w:rPr>
              <w:t>Other markets</w:t>
            </w:r>
          </w:p>
        </w:tc>
        <w:tc>
          <w:tcPr>
            <w:tcW w:type="dxa" w:w="1800"/>
          </w:tcPr>
          <w:p>
            <w:pPr>
              <w:spacing w:after="20"/>
              <w:jc w:val="right"/>
            </w:pPr>
            <w:r>
              <w:rPr>
                <w:color w:val="1C3A36"/>
                <w:sz w:val="17"/>
              </w:rPr>
              <w:t>263</w:t>
            </w:r>
          </w:p>
        </w:tc>
        <w:tc>
          <w:tcPr>
            <w:tcW w:type="dxa" w:w="1584"/>
          </w:tcPr>
          <w:p>
            <w:pPr>
              <w:spacing w:after="20"/>
              <w:jc w:val="right"/>
            </w:pPr>
            <w:r>
              <w:rPr>
                <w:color w:val="1C3A36"/>
                <w:sz w:val="17"/>
              </w:rPr>
              <w:t>238</w:t>
            </w:r>
          </w:p>
        </w:tc>
        <w:tc>
          <w:tcPr>
            <w:tcW w:type="dxa" w:w="1944"/>
          </w:tcPr>
          <w:p>
            <w:pPr>
              <w:spacing w:after="20"/>
              <w:jc w:val="right"/>
            </w:pPr>
            <w:r>
              <w:rPr>
                <w:color w:val="1C3A36"/>
                <w:sz w:val="17"/>
              </w:rPr>
              <w:t>905</w:t>
            </w:r>
          </w:p>
        </w:tc>
        <w:tc>
          <w:tcPr>
            <w:tcW w:type="dxa" w:w="1224"/>
          </w:tcPr>
          <w:p>
            <w:pPr>
              <w:spacing w:after="20"/>
              <w:jc w:val="right"/>
            </w:pPr>
            <w:r>
              <w:rPr>
                <w:color w:val="1C3A36"/>
                <w:sz w:val="17"/>
              </w:rPr>
              <w:t>9%</w:t>
            </w:r>
          </w:p>
        </w:tc>
        <w:tc>
          <w:tcPr>
            <w:tcW w:type="dxa" w:w="1656"/>
          </w:tcPr>
          <w:p>
            <w:pPr>
              <w:spacing w:after="20"/>
              <w:jc w:val="right"/>
            </w:pPr>
            <w:r>
              <w:rPr>
                <w:color w:val="1C3A36"/>
                <w:sz w:val="17"/>
              </w:rPr>
              <w:t>265</w:t>
            </w:r>
          </w:p>
        </w:tc>
      </w:tr>
      <w:tr>
        <w:tc>
          <w:tcPr>
            <w:tcW w:type="dxa" w:w="1872"/>
            <w:shd w:val="clear" w:color="auto" w:fill="F6F1E6"/>
          </w:tcPr>
          <w:p>
            <w:pPr>
              <w:spacing w:after="20"/>
            </w:pPr>
            <w:r>
              <w:rPr>
                <w:b/>
                <w:color w:val="1C3A36"/>
                <w:sz w:val="17"/>
              </w:rPr>
              <w:t>Total</w:t>
            </w:r>
          </w:p>
        </w:tc>
        <w:tc>
          <w:tcPr>
            <w:tcW w:type="dxa" w:w="1800"/>
            <w:shd w:val="clear" w:color="auto" w:fill="F6F1E6"/>
          </w:tcPr>
          <w:p>
            <w:pPr>
              <w:spacing w:after="20"/>
              <w:jc w:val="right"/>
            </w:pPr>
            <w:r>
              <w:rPr>
                <w:b/>
                <w:color w:val="1C3A36"/>
                <w:sz w:val="17"/>
              </w:rPr>
              <w:t>2,749</w:t>
            </w:r>
          </w:p>
        </w:tc>
        <w:tc>
          <w:tcPr>
            <w:tcW w:type="dxa" w:w="1584"/>
            <w:shd w:val="clear" w:color="auto" w:fill="F6F1E6"/>
          </w:tcPr>
          <w:p>
            <w:pPr>
              <w:spacing w:after="20"/>
              <w:jc w:val="right"/>
            </w:pPr>
            <w:r>
              <w:rPr>
                <w:b/>
                <w:color w:val="1C3A36"/>
                <w:sz w:val="17"/>
              </w:rPr>
              <w:t>2,541</w:t>
            </w:r>
          </w:p>
        </w:tc>
        <w:tc>
          <w:tcPr>
            <w:tcW w:type="dxa" w:w="1944"/>
            <w:shd w:val="clear" w:color="auto" w:fill="F6F1E6"/>
          </w:tcPr>
          <w:p>
            <w:pPr>
              <w:spacing w:after="20"/>
              <w:jc w:val="right"/>
            </w:pPr>
            <w:r>
              <w:rPr>
                <w:b/>
                <w:color w:val="1C3A36"/>
                <w:sz w:val="17"/>
              </w:rPr>
              <w:t>924</w:t>
            </w:r>
          </w:p>
        </w:tc>
        <w:tc>
          <w:tcPr>
            <w:tcW w:type="dxa" w:w="1224"/>
            <w:shd w:val="clear" w:color="auto" w:fill="F6F1E6"/>
          </w:tcPr>
          <w:p>
            <w:pPr>
              <w:spacing w:after="20"/>
              <w:jc w:val="right"/>
            </w:pPr>
            <w:r>
              <w:rPr>
                <w:b/>
                <w:color w:val="1C3A36"/>
                <w:sz w:val="17"/>
              </w:rPr>
              <w:t>100%</w:t>
            </w:r>
          </w:p>
        </w:tc>
        <w:tc>
          <w:tcPr>
            <w:tcW w:type="dxa" w:w="1656"/>
            <w:shd w:val="clear" w:color="auto" w:fill="F6F1E6"/>
          </w:tcPr>
          <w:p>
            <w:pPr>
              <w:spacing w:after="20"/>
              <w:jc w:val="right"/>
            </w:pPr>
            <w:r>
              <w:rPr>
                <w:b/>
                <w:color w:val="1C3A36"/>
                <w:sz w:val="17"/>
              </w:rPr>
              <w:t>2,746</w:t>
            </w:r>
          </w:p>
        </w:tc>
      </w:tr>
    </w:tbl>
    <w:p>
      <w:pPr>
        <w:spacing w:after="40"/>
      </w:pPr>
    </w:p>
    <w:p>
      <w:pPr>
        <w:spacing w:after="200" w:before="0"/>
      </w:pPr>
      <w:r>
        <w:rPr>
          <w:b w:val="0"/>
          <w:i/>
          <w:color w:val="6E7B77"/>
          <w:sz w:val="17"/>
        </w:rPr>
        <w:t>Revenue is stated before intercompany eliminations, which is how the company discloses it. The Lower Gulf is Qatar, Oman and Bahrain; other markets are Kazakhstan, Iraq, Lebanon and Jordan. Revenue per restaurant is FY2025 revenue over the restaurant count at the SAME date, 31 December 2025; the June 2026 column is shown alongside so the direction of travel in each market is visible.</w:t>
      </w:r>
    </w:p>
    <w:p>
      <w:pPr>
        <w:spacing w:after="120" w:before="0"/>
      </w:pPr>
      <w:r>
        <w:rPr>
          <w:b w:val="0"/>
          <w:i w:val="0"/>
          <w:color w:val="1C3A36"/>
          <w:sz w:val="21"/>
        </w:rPr>
        <w:t>Two facts in that table matter more than the rest. The first is the spread in revenue per restaurant: a restaurant in the United Arab Emirates turns over USD 1,295 thousand a year, one in Egypt USD 383 thousand. Growth in Egypt therefore adds far less revenue per unit of capital than growth in the Gulf, which is why this study builds each market separately rather than applying one growth rate to the group. The second is concentration: the three Major Gulf markets produce 72% of revenue, and all three currencies are pegged to the US dollar. The company reports that 83% of revenue is earned in stable pegged currencies — which is why a dollar-reporting company with operations in Egypt and Kazakhstan is far less exposed to currency than its map suggests.</w:t>
      </w:r>
    </w:p>
    <w:p>
      <w:pPr>
        <w:spacing w:after="80" w:before="200"/>
      </w:pPr>
      <w:r>
        <w:rPr>
          <w:b/>
          <w:i w:val="0"/>
          <w:color w:val="1C3A36"/>
          <w:sz w:val="24"/>
        </w:rPr>
        <w:t>The three audited years, in one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2"/>
        <w:gridCol w:w="1512"/>
        <w:gridCol w:w="1512"/>
        <w:gridCol w:w="1512"/>
        <w:gridCol w:w="1222"/>
      </w:tblGrid>
      <w:tr>
        <w:tc>
          <w:tcPr>
            <w:tcW w:type="dxa" w:w="4322"/>
            <w:shd w:val="clear" w:color="auto" w:fill="EAF0EE"/>
          </w:tcPr>
          <w:p>
            <w:pPr>
              <w:spacing w:after="20"/>
            </w:pPr>
            <w:r>
              <w:rPr>
                <w:b/>
                <w:color w:val="1C3A36"/>
                <w:sz w:val="18"/>
              </w:rPr>
              <w:t>USD million</w:t>
            </w:r>
          </w:p>
        </w:tc>
        <w:tc>
          <w:tcPr>
            <w:tcW w:type="dxa" w:w="1512"/>
            <w:shd w:val="clear" w:color="auto" w:fill="EAF0EE"/>
          </w:tcPr>
          <w:p>
            <w:pPr>
              <w:spacing w:after="20"/>
            </w:pPr>
            <w:r>
              <w:rPr>
                <w:b/>
                <w:color w:val="1C3A36"/>
                <w:sz w:val="18"/>
              </w:rPr>
              <w:t>FY2023</w:t>
            </w:r>
          </w:p>
        </w:tc>
        <w:tc>
          <w:tcPr>
            <w:tcW w:type="dxa" w:w="1512"/>
            <w:shd w:val="clear" w:color="auto" w:fill="EAF0EE"/>
          </w:tcPr>
          <w:p>
            <w:pPr>
              <w:spacing w:after="20"/>
            </w:pPr>
            <w:r>
              <w:rPr>
                <w:b/>
                <w:color w:val="1C3A36"/>
                <w:sz w:val="18"/>
              </w:rPr>
              <w:t>FY2024</w:t>
            </w:r>
          </w:p>
        </w:tc>
        <w:tc>
          <w:tcPr>
            <w:tcW w:type="dxa" w:w="1512"/>
            <w:shd w:val="clear" w:color="auto" w:fill="EAF0EE"/>
          </w:tcPr>
          <w:p>
            <w:pPr>
              <w:spacing w:after="20"/>
            </w:pPr>
            <w:r>
              <w:rPr>
                <w:b/>
                <w:color w:val="1C3A36"/>
                <w:sz w:val="18"/>
              </w:rPr>
              <w:t>FY2025</w:t>
            </w:r>
          </w:p>
        </w:tc>
        <w:tc>
          <w:tcPr>
            <w:tcW w:type="dxa" w:w="1222"/>
            <w:shd w:val="clear" w:color="auto" w:fill="EAF0EE"/>
          </w:tcPr>
          <w:p>
            <w:pPr>
              <w:spacing w:after="20"/>
            </w:pPr>
            <w:r>
              <w:rPr>
                <w:b/>
                <w:color w:val="1C3A36"/>
                <w:sz w:val="18"/>
              </w:rPr>
              <w:t>H1 2026</w:t>
            </w:r>
          </w:p>
        </w:tc>
      </w:tr>
      <w:tr>
        <w:tc>
          <w:tcPr>
            <w:tcW w:type="dxa" w:w="4322"/>
          </w:tcPr>
          <w:p>
            <w:pPr>
              <w:spacing w:after="20"/>
            </w:pPr>
            <w:r>
              <w:rPr>
                <w:color w:val="1C3A36"/>
                <w:sz w:val="18"/>
              </w:rPr>
              <w:t>Revenue</w:t>
            </w:r>
          </w:p>
        </w:tc>
        <w:tc>
          <w:tcPr>
            <w:tcW w:type="dxa" w:w="1512"/>
          </w:tcPr>
          <w:p>
            <w:pPr>
              <w:spacing w:after="20"/>
              <w:jc w:val="right"/>
            </w:pPr>
            <w:r>
              <w:rPr>
                <w:color w:val="1C3A36"/>
                <w:sz w:val="18"/>
              </w:rPr>
              <w:t>2,413</w:t>
            </w:r>
          </w:p>
        </w:tc>
        <w:tc>
          <w:tcPr>
            <w:tcW w:type="dxa" w:w="1512"/>
          </w:tcPr>
          <w:p>
            <w:pPr>
              <w:spacing w:after="20"/>
              <w:jc w:val="right"/>
            </w:pPr>
            <w:r>
              <w:rPr>
                <w:color w:val="1C3A36"/>
                <w:sz w:val="18"/>
              </w:rPr>
              <w:t>2,197</w:t>
            </w:r>
          </w:p>
        </w:tc>
        <w:tc>
          <w:tcPr>
            <w:tcW w:type="dxa" w:w="1512"/>
          </w:tcPr>
          <w:p>
            <w:pPr>
              <w:spacing w:after="20"/>
              <w:jc w:val="right"/>
            </w:pPr>
            <w:r>
              <w:rPr>
                <w:color w:val="1C3A36"/>
                <w:sz w:val="18"/>
              </w:rPr>
              <w:t>2,509</w:t>
            </w:r>
          </w:p>
        </w:tc>
        <w:tc>
          <w:tcPr>
            <w:tcW w:type="dxa" w:w="1222"/>
          </w:tcPr>
          <w:p>
            <w:pPr>
              <w:spacing w:after="20"/>
              <w:jc w:val="right"/>
            </w:pPr>
            <w:r>
              <w:rPr>
                <w:color w:val="1C3A36"/>
                <w:sz w:val="18"/>
              </w:rPr>
              <w:t>1,365</w:t>
            </w:r>
          </w:p>
        </w:tc>
      </w:tr>
      <w:tr>
        <w:tc>
          <w:tcPr>
            <w:tcW w:type="dxa" w:w="4322"/>
          </w:tcPr>
          <w:p>
            <w:pPr>
              <w:spacing w:after="20"/>
            </w:pPr>
            <w:r>
              <w:rPr>
                <w:color w:val="1C3A36"/>
                <w:sz w:val="18"/>
              </w:rPr>
              <w:t>EBITDA</w:t>
            </w:r>
          </w:p>
        </w:tc>
        <w:tc>
          <w:tcPr>
            <w:tcW w:type="dxa" w:w="1512"/>
          </w:tcPr>
          <w:p>
            <w:pPr>
              <w:spacing w:after="20"/>
              <w:jc w:val="right"/>
            </w:pPr>
            <w:r>
              <w:rPr>
                <w:color w:val="1C3A36"/>
                <w:sz w:val="18"/>
              </w:rPr>
              <w:t>546</w:t>
            </w:r>
          </w:p>
        </w:tc>
        <w:tc>
          <w:tcPr>
            <w:tcW w:type="dxa" w:w="1512"/>
          </w:tcPr>
          <w:p>
            <w:pPr>
              <w:spacing w:after="20"/>
              <w:jc w:val="right"/>
            </w:pPr>
            <w:r>
              <w:rPr>
                <w:color w:val="1C3A36"/>
                <w:sz w:val="18"/>
              </w:rPr>
              <w:t>484</w:t>
            </w:r>
          </w:p>
        </w:tc>
        <w:tc>
          <w:tcPr>
            <w:tcW w:type="dxa" w:w="1512"/>
          </w:tcPr>
          <w:p>
            <w:pPr>
              <w:spacing w:after="20"/>
              <w:jc w:val="right"/>
            </w:pPr>
            <w:r>
              <w:rPr>
                <w:color w:val="1C3A36"/>
                <w:sz w:val="18"/>
              </w:rPr>
              <w:t>596</w:t>
            </w:r>
          </w:p>
        </w:tc>
        <w:tc>
          <w:tcPr>
            <w:tcW w:type="dxa" w:w="1222"/>
          </w:tcPr>
          <w:p>
            <w:pPr>
              <w:spacing w:after="20"/>
              <w:jc w:val="right"/>
            </w:pPr>
            <w:r>
              <w:rPr>
                <w:color w:val="1C3A36"/>
                <w:sz w:val="18"/>
              </w:rPr>
              <w:t>348</w:t>
            </w:r>
          </w:p>
        </w:tc>
      </w:tr>
      <w:tr>
        <w:tc>
          <w:tcPr>
            <w:tcW w:type="dxa" w:w="4322"/>
          </w:tcPr>
          <w:p>
            <w:pPr>
              <w:spacing w:after="20"/>
            </w:pPr>
            <w:r>
              <w:rPr>
                <w:color w:val="1C3A36"/>
                <w:sz w:val="18"/>
              </w:rPr>
              <w:t>EBITDA margin</w:t>
            </w:r>
          </w:p>
        </w:tc>
        <w:tc>
          <w:tcPr>
            <w:tcW w:type="dxa" w:w="1512"/>
          </w:tcPr>
          <w:p>
            <w:pPr>
              <w:spacing w:after="20"/>
              <w:jc w:val="right"/>
            </w:pPr>
            <w:r>
              <w:rPr>
                <w:color w:val="1C3A36"/>
                <w:sz w:val="18"/>
              </w:rPr>
              <w:t>22.6%</w:t>
            </w:r>
          </w:p>
        </w:tc>
        <w:tc>
          <w:tcPr>
            <w:tcW w:type="dxa" w:w="1512"/>
          </w:tcPr>
          <w:p>
            <w:pPr>
              <w:spacing w:after="20"/>
              <w:jc w:val="right"/>
            </w:pPr>
            <w:r>
              <w:rPr>
                <w:color w:val="1C3A36"/>
                <w:sz w:val="18"/>
              </w:rPr>
              <w:t>22.0%</w:t>
            </w:r>
          </w:p>
        </w:tc>
        <w:tc>
          <w:tcPr>
            <w:tcW w:type="dxa" w:w="1512"/>
          </w:tcPr>
          <w:p>
            <w:pPr>
              <w:spacing w:after="20"/>
              <w:jc w:val="right"/>
            </w:pPr>
            <w:r>
              <w:rPr>
                <w:color w:val="1C3A36"/>
                <w:sz w:val="18"/>
              </w:rPr>
              <w:t>23.7%</w:t>
            </w:r>
          </w:p>
        </w:tc>
        <w:tc>
          <w:tcPr>
            <w:tcW w:type="dxa" w:w="1222"/>
          </w:tcPr>
          <w:p>
            <w:pPr>
              <w:spacing w:after="20"/>
              <w:jc w:val="right"/>
            </w:pPr>
            <w:r>
              <w:rPr>
                <w:color w:val="1C3A36"/>
                <w:sz w:val="18"/>
              </w:rPr>
              <w:t>25.5%</w:t>
            </w:r>
          </w:p>
        </w:tc>
      </w:tr>
      <w:tr>
        <w:tc>
          <w:tcPr>
            <w:tcW w:type="dxa" w:w="4322"/>
          </w:tcPr>
          <w:p>
            <w:pPr>
              <w:spacing w:after="20"/>
            </w:pPr>
            <w:r>
              <w:rPr>
                <w:color w:val="1C3A36"/>
                <w:sz w:val="18"/>
              </w:rPr>
              <w:t>Profit attributable to shareholders</w:t>
            </w:r>
          </w:p>
        </w:tc>
        <w:tc>
          <w:tcPr>
            <w:tcW w:type="dxa" w:w="1512"/>
          </w:tcPr>
          <w:p>
            <w:pPr>
              <w:spacing w:after="20"/>
              <w:jc w:val="right"/>
            </w:pPr>
            <w:r>
              <w:rPr>
                <w:color w:val="1C3A36"/>
                <w:sz w:val="18"/>
              </w:rPr>
              <w:t>259</w:t>
            </w:r>
          </w:p>
        </w:tc>
        <w:tc>
          <w:tcPr>
            <w:tcW w:type="dxa" w:w="1512"/>
          </w:tcPr>
          <w:p>
            <w:pPr>
              <w:spacing w:after="20"/>
              <w:jc w:val="right"/>
            </w:pPr>
            <w:r>
              <w:rPr>
                <w:color w:val="1C3A36"/>
                <w:sz w:val="18"/>
              </w:rPr>
              <w:t>159</w:t>
            </w:r>
          </w:p>
        </w:tc>
        <w:tc>
          <w:tcPr>
            <w:tcW w:type="dxa" w:w="1512"/>
          </w:tcPr>
          <w:p>
            <w:pPr>
              <w:spacing w:after="20"/>
              <w:jc w:val="right"/>
            </w:pPr>
            <w:r>
              <w:rPr>
                <w:color w:val="1C3A36"/>
                <w:sz w:val="18"/>
              </w:rPr>
              <w:t>219</w:t>
            </w:r>
          </w:p>
        </w:tc>
        <w:tc>
          <w:tcPr>
            <w:tcW w:type="dxa" w:w="1222"/>
          </w:tcPr>
          <w:p>
            <w:pPr>
              <w:spacing w:after="20"/>
              <w:jc w:val="right"/>
            </w:pPr>
            <w:r>
              <w:rPr>
                <w:color w:val="1C3A36"/>
                <w:sz w:val="18"/>
              </w:rPr>
              <w:t>147</w:t>
            </w:r>
          </w:p>
        </w:tc>
      </w:tr>
      <w:tr>
        <w:tc>
          <w:tcPr>
            <w:tcW w:type="dxa" w:w="4322"/>
          </w:tcPr>
          <w:p>
            <w:pPr>
              <w:spacing w:after="20"/>
            </w:pPr>
            <w:r>
              <w:rPr>
                <w:color w:val="1C3A36"/>
                <w:sz w:val="18"/>
              </w:rPr>
              <w:t>Restaurants at period end</w:t>
            </w:r>
          </w:p>
        </w:tc>
        <w:tc>
          <w:tcPr>
            <w:tcW w:type="dxa" w:w="1512"/>
          </w:tcPr>
          <w:p>
            <w:pPr>
              <w:spacing w:after="20"/>
              <w:jc w:val="right"/>
            </w:pPr>
            <w:r>
              <w:rPr>
                <w:color w:val="1C3A36"/>
                <w:sz w:val="18"/>
              </w:rPr>
              <w:t>2,435</w:t>
            </w:r>
          </w:p>
        </w:tc>
        <w:tc>
          <w:tcPr>
            <w:tcW w:type="dxa" w:w="1512"/>
          </w:tcPr>
          <w:p>
            <w:pPr>
              <w:spacing w:after="20"/>
              <w:jc w:val="right"/>
            </w:pPr>
            <w:r>
              <w:rPr>
                <w:color w:val="1C3A36"/>
                <w:sz w:val="18"/>
              </w:rPr>
              <w:t>2,590</w:t>
            </w:r>
          </w:p>
        </w:tc>
        <w:tc>
          <w:tcPr>
            <w:tcW w:type="dxa" w:w="1512"/>
          </w:tcPr>
          <w:p>
            <w:pPr>
              <w:spacing w:after="20"/>
              <w:jc w:val="right"/>
            </w:pPr>
            <w:r>
              <w:rPr>
                <w:color w:val="1C3A36"/>
                <w:sz w:val="18"/>
              </w:rPr>
              <w:t>2,749</w:t>
            </w:r>
          </w:p>
        </w:tc>
        <w:tc>
          <w:tcPr>
            <w:tcW w:type="dxa" w:w="1222"/>
          </w:tcPr>
          <w:p>
            <w:pPr>
              <w:spacing w:after="20"/>
              <w:jc w:val="right"/>
            </w:pPr>
            <w:r>
              <w:rPr>
                <w:color w:val="1C3A36"/>
                <w:sz w:val="18"/>
              </w:rPr>
              <w:t>2,746</w:t>
            </w:r>
          </w:p>
        </w:tc>
      </w:tr>
      <w:tr>
        <w:tc>
          <w:tcPr>
            <w:tcW w:type="dxa" w:w="4322"/>
          </w:tcPr>
          <w:p>
            <w:pPr>
              <w:spacing w:after="20"/>
            </w:pPr>
            <w:r>
              <w:rPr>
                <w:color w:val="1C3A36"/>
                <w:sz w:val="18"/>
              </w:rPr>
              <w:t>Cash and bank deposits</w:t>
            </w:r>
          </w:p>
        </w:tc>
        <w:tc>
          <w:tcPr>
            <w:tcW w:type="dxa" w:w="1512"/>
          </w:tcPr>
          <w:p>
            <w:pPr>
              <w:spacing w:after="20"/>
              <w:jc w:val="right"/>
            </w:pPr>
            <w:r>
              <w:rPr>
                <w:color w:val="1C3A36"/>
                <w:sz w:val="18"/>
              </w:rPr>
              <w:t>384</w:t>
            </w:r>
          </w:p>
        </w:tc>
        <w:tc>
          <w:tcPr>
            <w:tcW w:type="dxa" w:w="1512"/>
          </w:tcPr>
          <w:p>
            <w:pPr>
              <w:spacing w:after="20"/>
              <w:jc w:val="right"/>
            </w:pPr>
            <w:r>
              <w:rPr>
                <w:color w:val="1C3A36"/>
                <w:sz w:val="18"/>
              </w:rPr>
              <w:t>295</w:t>
            </w:r>
          </w:p>
        </w:tc>
        <w:tc>
          <w:tcPr>
            <w:tcW w:type="dxa" w:w="1512"/>
          </w:tcPr>
          <w:p>
            <w:pPr>
              <w:spacing w:after="20"/>
              <w:jc w:val="right"/>
            </w:pPr>
            <w:r>
              <w:rPr>
                <w:color w:val="1C3A36"/>
                <w:sz w:val="18"/>
              </w:rPr>
              <w:t>417</w:t>
            </w:r>
          </w:p>
        </w:tc>
        <w:tc>
          <w:tcPr>
            <w:tcW w:type="dxa" w:w="1222"/>
          </w:tcPr>
          <w:p>
            <w:pPr>
              <w:spacing w:after="20"/>
              <w:jc w:val="right"/>
            </w:pPr>
            <w:r>
              <w:rPr>
                <w:color w:val="1C3A36"/>
                <w:sz w:val="18"/>
              </w:rPr>
              <w:t>383</w:t>
            </w:r>
          </w:p>
        </w:tc>
      </w:tr>
      <w:tr>
        <w:tc>
          <w:tcPr>
            <w:tcW w:type="dxa" w:w="4322"/>
          </w:tcPr>
          <w:p>
            <w:pPr>
              <w:spacing w:after="20"/>
            </w:pPr>
            <w:r>
              <w:rPr>
                <w:color w:val="1C3A36"/>
                <w:sz w:val="18"/>
              </w:rPr>
              <w:t>Lease liabilities</w:t>
            </w:r>
          </w:p>
        </w:tc>
        <w:tc>
          <w:tcPr>
            <w:tcW w:type="dxa" w:w="1512"/>
          </w:tcPr>
          <w:p>
            <w:pPr>
              <w:spacing w:after="20"/>
              <w:jc w:val="right"/>
            </w:pPr>
            <w:r>
              <w:rPr>
                <w:color w:val="1C3A36"/>
                <w:sz w:val="18"/>
              </w:rPr>
              <w:t>507</w:t>
            </w:r>
          </w:p>
        </w:tc>
        <w:tc>
          <w:tcPr>
            <w:tcW w:type="dxa" w:w="1512"/>
          </w:tcPr>
          <w:p>
            <w:pPr>
              <w:spacing w:after="20"/>
              <w:jc w:val="right"/>
            </w:pPr>
            <w:r>
              <w:rPr>
                <w:color w:val="1C3A36"/>
                <w:sz w:val="18"/>
              </w:rPr>
              <w:t>579</w:t>
            </w:r>
          </w:p>
        </w:tc>
        <w:tc>
          <w:tcPr>
            <w:tcW w:type="dxa" w:w="1512"/>
          </w:tcPr>
          <w:p>
            <w:pPr>
              <w:spacing w:after="20"/>
              <w:jc w:val="right"/>
            </w:pPr>
            <w:r>
              <w:rPr>
                <w:color w:val="1C3A36"/>
                <w:sz w:val="18"/>
              </w:rPr>
              <w:t>637</w:t>
            </w:r>
          </w:p>
        </w:tc>
        <w:tc>
          <w:tcPr>
            <w:tcW w:type="dxa" w:w="1222"/>
          </w:tcPr>
          <w:p>
            <w:pPr>
              <w:spacing w:after="20"/>
              <w:jc w:val="right"/>
            </w:pPr>
            <w:r>
              <w:rPr>
                <w:color w:val="1C3A36"/>
                <w:sz w:val="18"/>
              </w:rPr>
              <w:t>642</w:t>
            </w:r>
          </w:p>
        </w:tc>
      </w:tr>
      <w:tr>
        <w:tc>
          <w:tcPr>
            <w:tcW w:type="dxa" w:w="4322"/>
          </w:tcPr>
          <w:p>
            <w:pPr>
              <w:spacing w:after="20"/>
            </w:pPr>
            <w:r>
              <w:rPr>
                <w:color w:val="1C3A36"/>
                <w:sz w:val="18"/>
              </w:rPr>
              <w:t>Bank debt</w:t>
            </w:r>
          </w:p>
        </w:tc>
        <w:tc>
          <w:tcPr>
            <w:tcW w:type="dxa" w:w="1512"/>
          </w:tcPr>
          <w:p>
            <w:pPr>
              <w:spacing w:after="20"/>
              <w:jc w:val="right"/>
            </w:pPr>
            <w:r>
              <w:rPr>
                <w:color w:val="1C3A36"/>
                <w:sz w:val="18"/>
              </w:rPr>
              <w:t>4.4</w:t>
            </w:r>
          </w:p>
        </w:tc>
        <w:tc>
          <w:tcPr>
            <w:tcW w:type="dxa" w:w="1512"/>
          </w:tcPr>
          <w:p>
            <w:pPr>
              <w:spacing w:after="20"/>
              <w:jc w:val="right"/>
            </w:pPr>
            <w:r>
              <w:rPr>
                <w:color w:val="1C3A36"/>
                <w:sz w:val="18"/>
              </w:rPr>
              <w:t>—</w:t>
            </w:r>
          </w:p>
        </w:tc>
        <w:tc>
          <w:tcPr>
            <w:tcW w:type="dxa" w:w="1512"/>
          </w:tcPr>
          <w:p>
            <w:pPr>
              <w:spacing w:after="20"/>
              <w:jc w:val="right"/>
            </w:pPr>
            <w:r>
              <w:rPr>
                <w:color w:val="1C3A36"/>
                <w:sz w:val="18"/>
              </w:rPr>
              <w:t>—</w:t>
            </w:r>
          </w:p>
        </w:tc>
        <w:tc>
          <w:tcPr>
            <w:tcW w:type="dxa" w:w="1222"/>
          </w:tcPr>
          <w:p>
            <w:pPr>
              <w:spacing w:after="20"/>
              <w:jc w:val="right"/>
            </w:pPr>
            <w:r>
              <w:rPr>
                <w:color w:val="1C3A36"/>
                <w:sz w:val="18"/>
              </w:rPr>
              <w:t>—</w:t>
            </w:r>
          </w:p>
        </w:tc>
      </w:tr>
    </w:tbl>
    <w:p>
      <w:pPr>
        <w:spacing w:after="40"/>
      </w:pPr>
    </w:p>
    <w:p>
      <w:pPr>
        <w:spacing w:after="200" w:before="0"/>
      </w:pPr>
      <w:r>
        <w:rPr>
          <w:b w:val="0"/>
          <w:i/>
          <w:color w:val="6E7B77"/>
          <w:sz w:val="17"/>
        </w:rPr>
        <w:t>The 2023 restaurant count of 2,435 is the company's own disclosure in its FY2023 earnings release. EBITDA is reconstructed as operating profit plus depreciation, amortisation and impairments — it appears in no audited statement, and the releases publish a closely similar "Adjusted EBITDA". The 30 June 2026 cash figure includes the USD 22 million of treasury bills and deposit-linked notes reported that date as investments in financial assets; the earlier columns have no such line.</w:t>
      </w:r>
    </w:p>
    <w:p>
      <w:pPr>
        <w:spacing w:after="120" w:before="280"/>
      </w:pPr>
      <w:r>
        <w:rPr>
          <w:b/>
          <w:i w:val="0"/>
          <w:color w:val="1C3A36"/>
          <w:sz w:val="30"/>
        </w:rPr>
        <w:t>1  Fundamental valuation</w:t>
      </w:r>
    </w:p>
    <w:p>
      <w:pPr>
        <w:spacing w:after="120" w:before="0"/>
      </w:pPr>
      <w:r>
        <w:rPr>
          <w:b w:val="0"/>
          <w:i w:val="0"/>
          <w:color w:val="1C3A36"/>
          <w:sz w:val="21"/>
        </w:rPr>
        <w:t>Four lenses, applied independently and then weighted. The cash-flow model carries half the weight because the business is cash-generative and the estate is knowable restaurant by restaurant. The book lens carries the least, for reasons set out where it appears.</w:t>
      </w:r>
    </w:p>
    <w:p>
      <w:pPr>
        <w:spacing w:after="80" w:before="200"/>
      </w:pPr>
      <w:r>
        <w:rPr>
          <w:b/>
          <w:i w:val="0"/>
          <w:color w:val="1C3A36"/>
          <w:sz w:val="24"/>
        </w:rPr>
        <w:t>1.1  The cash-flow model</w:t>
      </w:r>
    </w:p>
    <w:p>
      <w:pPr>
        <w:spacing w:after="120" w:before="0"/>
      </w:pPr>
      <w:r>
        <w:rPr>
          <w:b w:val="0"/>
          <w:i w:val="0"/>
          <w:color w:val="1C3A36"/>
          <w:sz w:val="21"/>
        </w:rPr>
        <w:t>The model runs in US dollars, which is the company's reporting and functional currency, and converts to dirhams at the 3.6725 peg. Five explicit years, then a terminal value. The waterfall in full: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96"/>
        <w:gridCol w:w="1296"/>
        <w:gridCol w:w="1296"/>
        <w:gridCol w:w="1296"/>
        <w:gridCol w:w="1296"/>
      </w:tblGrid>
      <w:tr>
        <w:tc>
          <w:tcPr>
            <w:tcW w:type="dxa" w:w="3672"/>
            <w:shd w:val="clear" w:color="auto" w:fill="EAF0EE"/>
          </w:tcPr>
          <w:p>
            <w:pPr>
              <w:spacing w:after="20"/>
            </w:pPr>
            <w:r>
              <w:rPr>
                <w:b/>
                <w:color w:val="1C3A36"/>
                <w:sz w:val="17"/>
              </w:rPr>
              <w:t>USD million</w:t>
            </w:r>
          </w:p>
        </w:tc>
        <w:tc>
          <w:tcPr>
            <w:tcW w:type="dxa" w:w="1296"/>
            <w:shd w:val="clear" w:color="auto" w:fill="EAF0EE"/>
          </w:tcPr>
          <w:p>
            <w:pPr>
              <w:spacing w:after="20"/>
            </w:pPr>
            <w:r>
              <w:rPr>
                <w:b/>
                <w:color w:val="1C3A36"/>
                <w:sz w:val="17"/>
              </w:rPr>
              <w:t>FY2026E</w:t>
            </w:r>
          </w:p>
        </w:tc>
        <w:tc>
          <w:tcPr>
            <w:tcW w:type="dxa" w:w="1296"/>
            <w:shd w:val="clear" w:color="auto" w:fill="EAF0EE"/>
          </w:tcPr>
          <w:p>
            <w:pPr>
              <w:spacing w:after="20"/>
            </w:pPr>
            <w:r>
              <w:rPr>
                <w:b/>
                <w:color w:val="1C3A36"/>
                <w:sz w:val="17"/>
              </w:rPr>
              <w:t>FY2027E</w:t>
            </w:r>
          </w:p>
        </w:tc>
        <w:tc>
          <w:tcPr>
            <w:tcW w:type="dxa" w:w="1296"/>
            <w:shd w:val="clear" w:color="auto" w:fill="EAF0EE"/>
          </w:tcPr>
          <w:p>
            <w:pPr>
              <w:spacing w:after="20"/>
            </w:pPr>
            <w:r>
              <w:rPr>
                <w:b/>
                <w:color w:val="1C3A36"/>
                <w:sz w:val="17"/>
              </w:rPr>
              <w:t>FY2028E</w:t>
            </w:r>
          </w:p>
        </w:tc>
        <w:tc>
          <w:tcPr>
            <w:tcW w:type="dxa" w:w="1296"/>
            <w:shd w:val="clear" w:color="auto" w:fill="EAF0EE"/>
          </w:tcPr>
          <w:p>
            <w:pPr>
              <w:spacing w:after="20"/>
            </w:pPr>
            <w:r>
              <w:rPr>
                <w:b/>
                <w:color w:val="1C3A36"/>
                <w:sz w:val="17"/>
              </w:rPr>
              <w:t>FY2029E</w:t>
            </w:r>
          </w:p>
        </w:tc>
        <w:tc>
          <w:tcPr>
            <w:tcW w:type="dxa" w:w="1296"/>
            <w:shd w:val="clear" w:color="auto" w:fill="EAF0EE"/>
          </w:tcPr>
          <w:p>
            <w:pPr>
              <w:spacing w:after="20"/>
            </w:pPr>
            <w:r>
              <w:rPr>
                <w:b/>
                <w:color w:val="1C3A36"/>
                <w:sz w:val="17"/>
              </w:rPr>
              <w:t>FY2030E</w:t>
            </w:r>
          </w:p>
        </w:tc>
      </w:tr>
      <w:tr>
        <w:tc>
          <w:tcPr>
            <w:tcW w:type="dxa" w:w="3672"/>
          </w:tcPr>
          <w:p>
            <w:pPr>
              <w:spacing w:after="20"/>
            </w:pPr>
            <w:r>
              <w:rPr>
                <w:color w:val="1C3A36"/>
                <w:sz w:val="17"/>
              </w:rPr>
              <w:t>Revenue</w:t>
            </w:r>
          </w:p>
        </w:tc>
        <w:tc>
          <w:tcPr>
            <w:tcW w:type="dxa" w:w="1296"/>
          </w:tcPr>
          <w:p>
            <w:pPr>
              <w:spacing w:after="20"/>
              <w:jc w:val="right"/>
            </w:pPr>
            <w:r>
              <w:rPr>
                <w:color w:val="1C3A36"/>
                <w:sz w:val="17"/>
              </w:rPr>
              <w:t>2,787</w:t>
            </w:r>
          </w:p>
        </w:tc>
        <w:tc>
          <w:tcPr>
            <w:tcW w:type="dxa" w:w="1296"/>
          </w:tcPr>
          <w:p>
            <w:pPr>
              <w:spacing w:after="20"/>
              <w:jc w:val="right"/>
            </w:pPr>
            <w:r>
              <w:rPr>
                <w:color w:val="1C3A36"/>
                <w:sz w:val="17"/>
              </w:rPr>
              <w:t>3,008</w:t>
            </w:r>
          </w:p>
        </w:tc>
        <w:tc>
          <w:tcPr>
            <w:tcW w:type="dxa" w:w="1296"/>
          </w:tcPr>
          <w:p>
            <w:pPr>
              <w:spacing w:after="20"/>
              <w:jc w:val="right"/>
            </w:pPr>
            <w:r>
              <w:rPr>
                <w:color w:val="1C3A36"/>
                <w:sz w:val="17"/>
              </w:rPr>
              <w:t>3,256</w:t>
            </w:r>
          </w:p>
        </w:tc>
        <w:tc>
          <w:tcPr>
            <w:tcW w:type="dxa" w:w="1296"/>
          </w:tcPr>
          <w:p>
            <w:pPr>
              <w:spacing w:after="20"/>
              <w:jc w:val="right"/>
            </w:pPr>
            <w:r>
              <w:rPr>
                <w:color w:val="1C3A36"/>
                <w:sz w:val="17"/>
              </w:rPr>
              <w:t>3,502</w:t>
            </w:r>
          </w:p>
        </w:tc>
        <w:tc>
          <w:tcPr>
            <w:tcW w:type="dxa" w:w="1296"/>
          </w:tcPr>
          <w:p>
            <w:pPr>
              <w:spacing w:after="20"/>
              <w:jc w:val="right"/>
            </w:pPr>
            <w:r>
              <w:rPr>
                <w:color w:val="1C3A36"/>
                <w:sz w:val="17"/>
              </w:rPr>
              <w:t>3,749</w:t>
            </w:r>
          </w:p>
        </w:tc>
      </w:tr>
      <w:tr>
        <w:tc>
          <w:tcPr>
            <w:tcW w:type="dxa" w:w="3672"/>
          </w:tcPr>
          <w:p>
            <w:pPr>
              <w:spacing w:after="20"/>
            </w:pPr>
            <w:r>
              <w:rPr>
                <w:color w:val="1C3A36"/>
                <w:sz w:val="17"/>
              </w:rPr>
              <w:t>EBITDA</w:t>
            </w:r>
          </w:p>
        </w:tc>
        <w:tc>
          <w:tcPr>
            <w:tcW w:type="dxa" w:w="1296"/>
          </w:tcPr>
          <w:p>
            <w:pPr>
              <w:spacing w:after="20"/>
              <w:jc w:val="right"/>
            </w:pPr>
            <w:r>
              <w:rPr>
                <w:color w:val="1C3A36"/>
                <w:sz w:val="17"/>
              </w:rPr>
              <w:t>708</w:t>
            </w:r>
          </w:p>
        </w:tc>
        <w:tc>
          <w:tcPr>
            <w:tcW w:type="dxa" w:w="1296"/>
          </w:tcPr>
          <w:p>
            <w:pPr>
              <w:spacing w:after="20"/>
              <w:jc w:val="right"/>
            </w:pPr>
            <w:r>
              <w:rPr>
                <w:color w:val="1C3A36"/>
                <w:sz w:val="17"/>
              </w:rPr>
              <w:t>760</w:t>
            </w:r>
          </w:p>
        </w:tc>
        <w:tc>
          <w:tcPr>
            <w:tcW w:type="dxa" w:w="1296"/>
          </w:tcPr>
          <w:p>
            <w:pPr>
              <w:spacing w:after="20"/>
              <w:jc w:val="right"/>
            </w:pPr>
            <w:r>
              <w:rPr>
                <w:color w:val="1C3A36"/>
                <w:sz w:val="17"/>
              </w:rPr>
              <w:t>819</w:t>
            </w:r>
          </w:p>
        </w:tc>
        <w:tc>
          <w:tcPr>
            <w:tcW w:type="dxa" w:w="1296"/>
          </w:tcPr>
          <w:p>
            <w:pPr>
              <w:spacing w:after="20"/>
              <w:jc w:val="right"/>
            </w:pPr>
            <w:r>
              <w:rPr>
                <w:color w:val="1C3A36"/>
                <w:sz w:val="17"/>
              </w:rPr>
              <w:t>876</w:t>
            </w:r>
          </w:p>
        </w:tc>
        <w:tc>
          <w:tcPr>
            <w:tcW w:type="dxa" w:w="1296"/>
          </w:tcPr>
          <w:p>
            <w:pPr>
              <w:spacing w:after="20"/>
              <w:jc w:val="right"/>
            </w:pPr>
            <w:r>
              <w:rPr>
                <w:color w:val="1C3A36"/>
                <w:sz w:val="17"/>
              </w:rPr>
              <w:t>934</w:t>
            </w:r>
          </w:p>
        </w:tc>
      </w:tr>
      <w:tr>
        <w:tc>
          <w:tcPr>
            <w:tcW w:type="dxa" w:w="3672"/>
          </w:tcPr>
          <w:p>
            <w:pPr>
              <w:spacing w:after="20"/>
            </w:pPr>
            <w:r>
              <w:rPr>
                <w:color w:val="1C3A36"/>
                <w:sz w:val="17"/>
              </w:rPr>
              <w:t>EBITDA margin</w:t>
            </w:r>
          </w:p>
        </w:tc>
        <w:tc>
          <w:tcPr>
            <w:tcW w:type="dxa" w:w="1296"/>
          </w:tcPr>
          <w:p>
            <w:pPr>
              <w:spacing w:after="20"/>
              <w:jc w:val="right"/>
            </w:pPr>
            <w:r>
              <w:rPr>
                <w:color w:val="1C3A36"/>
                <w:sz w:val="17"/>
              </w:rPr>
              <w:t>25.4%</w:t>
            </w:r>
          </w:p>
        </w:tc>
        <w:tc>
          <w:tcPr>
            <w:tcW w:type="dxa" w:w="1296"/>
          </w:tcPr>
          <w:p>
            <w:pPr>
              <w:spacing w:after="20"/>
              <w:jc w:val="right"/>
            </w:pPr>
            <w:r>
              <w:rPr>
                <w:color w:val="1C3A36"/>
                <w:sz w:val="17"/>
              </w:rPr>
              <w:t>25.3%</w:t>
            </w:r>
          </w:p>
        </w:tc>
        <w:tc>
          <w:tcPr>
            <w:tcW w:type="dxa" w:w="1296"/>
          </w:tcPr>
          <w:p>
            <w:pPr>
              <w:spacing w:after="20"/>
              <w:jc w:val="right"/>
            </w:pPr>
            <w:r>
              <w:rPr>
                <w:color w:val="1C3A36"/>
                <w:sz w:val="17"/>
              </w:rPr>
              <w:t>25.2%</w:t>
            </w:r>
          </w:p>
        </w:tc>
        <w:tc>
          <w:tcPr>
            <w:tcW w:type="dxa" w:w="1296"/>
          </w:tcPr>
          <w:p>
            <w:pPr>
              <w:spacing w:after="20"/>
              <w:jc w:val="right"/>
            </w:pPr>
            <w:r>
              <w:rPr>
                <w:color w:val="1C3A36"/>
                <w:sz w:val="17"/>
              </w:rPr>
              <w:t>25.0%</w:t>
            </w:r>
          </w:p>
        </w:tc>
        <w:tc>
          <w:tcPr>
            <w:tcW w:type="dxa" w:w="1296"/>
          </w:tcPr>
          <w:p>
            <w:pPr>
              <w:spacing w:after="20"/>
              <w:jc w:val="right"/>
            </w:pPr>
            <w:r>
              <w:rPr>
                <w:color w:val="1C3A36"/>
                <w:sz w:val="17"/>
              </w:rPr>
              <w:t>24.9%</w:t>
            </w:r>
          </w:p>
        </w:tc>
      </w:tr>
      <w:tr>
        <w:tc>
          <w:tcPr>
            <w:tcW w:type="dxa" w:w="3672"/>
          </w:tcPr>
          <w:p>
            <w:pPr>
              <w:spacing w:after="20"/>
            </w:pPr>
            <w:r>
              <w:rPr>
                <w:color w:val="1C3A36"/>
                <w:sz w:val="17"/>
              </w:rPr>
              <w:t>Less depreciation and amortisation</w:t>
            </w:r>
          </w:p>
        </w:tc>
        <w:tc>
          <w:tcPr>
            <w:tcW w:type="dxa" w:w="1296"/>
          </w:tcPr>
          <w:p>
            <w:pPr>
              <w:spacing w:after="20"/>
              <w:jc w:val="right"/>
            </w:pPr>
            <w:r>
              <w:rPr>
                <w:color w:val="1C3A36"/>
                <w:sz w:val="17"/>
              </w:rPr>
              <w:t>(328)</w:t>
            </w:r>
          </w:p>
        </w:tc>
        <w:tc>
          <w:tcPr>
            <w:tcW w:type="dxa" w:w="1296"/>
          </w:tcPr>
          <w:p>
            <w:pPr>
              <w:spacing w:after="20"/>
              <w:jc w:val="right"/>
            </w:pPr>
            <w:r>
              <w:rPr>
                <w:color w:val="1C3A36"/>
                <w:sz w:val="17"/>
              </w:rPr>
              <w:t>(337)</w:t>
            </w:r>
          </w:p>
        </w:tc>
        <w:tc>
          <w:tcPr>
            <w:tcW w:type="dxa" w:w="1296"/>
          </w:tcPr>
          <w:p>
            <w:pPr>
              <w:spacing w:after="20"/>
              <w:jc w:val="right"/>
            </w:pPr>
            <w:r>
              <w:rPr>
                <w:color w:val="1C3A36"/>
                <w:sz w:val="17"/>
              </w:rPr>
              <w:t>(351)</w:t>
            </w:r>
          </w:p>
        </w:tc>
        <w:tc>
          <w:tcPr>
            <w:tcW w:type="dxa" w:w="1296"/>
          </w:tcPr>
          <w:p>
            <w:pPr>
              <w:spacing w:after="20"/>
              <w:jc w:val="right"/>
            </w:pPr>
            <w:r>
              <w:rPr>
                <w:color w:val="1C3A36"/>
                <w:sz w:val="17"/>
              </w:rPr>
              <w:t>(370)</w:t>
            </w:r>
          </w:p>
        </w:tc>
        <w:tc>
          <w:tcPr>
            <w:tcW w:type="dxa" w:w="1296"/>
          </w:tcPr>
          <w:p>
            <w:pPr>
              <w:spacing w:after="20"/>
              <w:jc w:val="right"/>
            </w:pPr>
            <w:r>
              <w:rPr>
                <w:color w:val="1C3A36"/>
                <w:sz w:val="17"/>
              </w:rPr>
              <w:t>(391)</w:t>
            </w:r>
          </w:p>
        </w:tc>
      </w:tr>
      <w:tr>
        <w:tc>
          <w:tcPr>
            <w:tcW w:type="dxa" w:w="3672"/>
          </w:tcPr>
          <w:p>
            <w:pPr>
              <w:spacing w:after="20"/>
            </w:pPr>
            <w:r>
              <w:rPr>
                <w:color w:val="1C3A36"/>
                <w:sz w:val="17"/>
              </w:rPr>
              <w:t>EBIT</w:t>
            </w:r>
          </w:p>
        </w:tc>
        <w:tc>
          <w:tcPr>
            <w:tcW w:type="dxa" w:w="1296"/>
          </w:tcPr>
          <w:p>
            <w:pPr>
              <w:spacing w:after="20"/>
              <w:jc w:val="right"/>
            </w:pPr>
            <w:r>
              <w:rPr>
                <w:color w:val="1C3A36"/>
                <w:sz w:val="17"/>
              </w:rPr>
              <w:t>371</w:t>
            </w:r>
          </w:p>
        </w:tc>
        <w:tc>
          <w:tcPr>
            <w:tcW w:type="dxa" w:w="1296"/>
          </w:tcPr>
          <w:p>
            <w:pPr>
              <w:spacing w:after="20"/>
              <w:jc w:val="right"/>
            </w:pPr>
            <w:r>
              <w:rPr>
                <w:color w:val="1C3A36"/>
                <w:sz w:val="17"/>
              </w:rPr>
              <w:t>414</w:t>
            </w:r>
          </w:p>
        </w:tc>
        <w:tc>
          <w:tcPr>
            <w:tcW w:type="dxa" w:w="1296"/>
          </w:tcPr>
          <w:p>
            <w:pPr>
              <w:spacing w:after="20"/>
              <w:jc w:val="right"/>
            </w:pPr>
            <w:r>
              <w:rPr>
                <w:color w:val="1C3A36"/>
                <w:sz w:val="17"/>
              </w:rPr>
              <w:t>458</w:t>
            </w:r>
          </w:p>
        </w:tc>
        <w:tc>
          <w:tcPr>
            <w:tcW w:type="dxa" w:w="1296"/>
          </w:tcPr>
          <w:p>
            <w:pPr>
              <w:spacing w:after="20"/>
              <w:jc w:val="right"/>
            </w:pPr>
            <w:r>
              <w:rPr>
                <w:color w:val="1C3A36"/>
                <w:sz w:val="17"/>
              </w:rPr>
              <w:t>495</w:t>
            </w:r>
          </w:p>
        </w:tc>
        <w:tc>
          <w:tcPr>
            <w:tcW w:type="dxa" w:w="1296"/>
          </w:tcPr>
          <w:p>
            <w:pPr>
              <w:spacing w:after="20"/>
              <w:jc w:val="right"/>
            </w:pPr>
            <w:r>
              <w:rPr>
                <w:color w:val="1C3A36"/>
                <w:sz w:val="17"/>
              </w:rPr>
              <w:t>531</w:t>
            </w:r>
          </w:p>
        </w:tc>
      </w:tr>
      <w:tr>
        <w:tc>
          <w:tcPr>
            <w:tcW w:type="dxa" w:w="3672"/>
          </w:tcPr>
          <w:p>
            <w:pPr>
              <w:spacing w:after="20"/>
            </w:pPr>
            <w:r>
              <w:rPr>
                <w:color w:val="1C3A36"/>
                <w:sz w:val="17"/>
              </w:rPr>
              <w:t>NOPAT — EBIT after tax</w:t>
            </w:r>
          </w:p>
        </w:tc>
        <w:tc>
          <w:tcPr>
            <w:tcW w:type="dxa" w:w="1296"/>
          </w:tcPr>
          <w:p>
            <w:pPr>
              <w:spacing w:after="20"/>
              <w:jc w:val="right"/>
            </w:pPr>
            <w:r>
              <w:rPr>
                <w:color w:val="1C3A36"/>
                <w:sz w:val="17"/>
              </w:rPr>
              <w:t>318</w:t>
            </w:r>
          </w:p>
        </w:tc>
        <w:tc>
          <w:tcPr>
            <w:tcW w:type="dxa" w:w="1296"/>
          </w:tcPr>
          <w:p>
            <w:pPr>
              <w:spacing w:after="20"/>
              <w:jc w:val="right"/>
            </w:pPr>
            <w:r>
              <w:rPr>
                <w:color w:val="1C3A36"/>
                <w:sz w:val="17"/>
              </w:rPr>
              <w:t>352</w:t>
            </w:r>
          </w:p>
        </w:tc>
        <w:tc>
          <w:tcPr>
            <w:tcW w:type="dxa" w:w="1296"/>
          </w:tcPr>
          <w:p>
            <w:pPr>
              <w:spacing w:after="20"/>
              <w:jc w:val="right"/>
            </w:pPr>
            <w:r>
              <w:rPr>
                <w:color w:val="1C3A36"/>
                <w:sz w:val="17"/>
              </w:rPr>
              <w:t>387</w:t>
            </w:r>
          </w:p>
        </w:tc>
        <w:tc>
          <w:tcPr>
            <w:tcW w:type="dxa" w:w="1296"/>
          </w:tcPr>
          <w:p>
            <w:pPr>
              <w:spacing w:after="20"/>
              <w:jc w:val="right"/>
            </w:pPr>
            <w:r>
              <w:rPr>
                <w:color w:val="1C3A36"/>
                <w:sz w:val="17"/>
              </w:rPr>
              <w:t>416</w:t>
            </w:r>
          </w:p>
        </w:tc>
        <w:tc>
          <w:tcPr>
            <w:tcW w:type="dxa" w:w="1296"/>
          </w:tcPr>
          <w:p>
            <w:pPr>
              <w:spacing w:after="20"/>
              <w:jc w:val="right"/>
            </w:pPr>
            <w:r>
              <w:rPr>
                <w:color w:val="1C3A36"/>
                <w:sz w:val="17"/>
              </w:rPr>
              <w:t>446</w:t>
            </w:r>
          </w:p>
        </w:tc>
      </w:tr>
      <w:tr>
        <w:tc>
          <w:tcPr>
            <w:tcW w:type="dxa" w:w="3672"/>
          </w:tcPr>
          <w:p>
            <w:pPr>
              <w:spacing w:after="20"/>
            </w:pPr>
            <w:r>
              <w:rPr>
                <w:color w:val="1C3A36"/>
                <w:sz w:val="17"/>
              </w:rPr>
              <w:t>Add back depreciation and amortisation</w:t>
            </w:r>
          </w:p>
        </w:tc>
        <w:tc>
          <w:tcPr>
            <w:tcW w:type="dxa" w:w="1296"/>
          </w:tcPr>
          <w:p>
            <w:pPr>
              <w:spacing w:after="20"/>
              <w:jc w:val="right"/>
            </w:pPr>
            <w:r>
              <w:rPr>
                <w:color w:val="1C3A36"/>
                <w:sz w:val="17"/>
              </w:rPr>
              <w:t>328</w:t>
            </w:r>
          </w:p>
        </w:tc>
        <w:tc>
          <w:tcPr>
            <w:tcW w:type="dxa" w:w="1296"/>
          </w:tcPr>
          <w:p>
            <w:pPr>
              <w:spacing w:after="20"/>
              <w:jc w:val="right"/>
            </w:pPr>
            <w:r>
              <w:rPr>
                <w:color w:val="1C3A36"/>
                <w:sz w:val="17"/>
              </w:rPr>
              <w:t>337</w:t>
            </w:r>
          </w:p>
        </w:tc>
        <w:tc>
          <w:tcPr>
            <w:tcW w:type="dxa" w:w="1296"/>
          </w:tcPr>
          <w:p>
            <w:pPr>
              <w:spacing w:after="20"/>
              <w:jc w:val="right"/>
            </w:pPr>
            <w:r>
              <w:rPr>
                <w:color w:val="1C3A36"/>
                <w:sz w:val="17"/>
              </w:rPr>
              <w:t>351</w:t>
            </w:r>
          </w:p>
        </w:tc>
        <w:tc>
          <w:tcPr>
            <w:tcW w:type="dxa" w:w="1296"/>
          </w:tcPr>
          <w:p>
            <w:pPr>
              <w:spacing w:after="20"/>
              <w:jc w:val="right"/>
            </w:pPr>
            <w:r>
              <w:rPr>
                <w:color w:val="1C3A36"/>
                <w:sz w:val="17"/>
              </w:rPr>
              <w:t>370</w:t>
            </w:r>
          </w:p>
        </w:tc>
        <w:tc>
          <w:tcPr>
            <w:tcW w:type="dxa" w:w="1296"/>
          </w:tcPr>
          <w:p>
            <w:pPr>
              <w:spacing w:after="20"/>
              <w:jc w:val="right"/>
            </w:pPr>
            <w:r>
              <w:rPr>
                <w:color w:val="1C3A36"/>
                <w:sz w:val="17"/>
              </w:rPr>
              <w:t>391</w:t>
            </w:r>
          </w:p>
        </w:tc>
      </w:tr>
      <w:tr>
        <w:tc>
          <w:tcPr>
            <w:tcW w:type="dxa" w:w="3672"/>
          </w:tcPr>
          <w:p>
            <w:pPr>
              <w:spacing w:after="20"/>
            </w:pPr>
            <w:r>
              <w:rPr>
                <w:color w:val="1C3A36"/>
                <w:sz w:val="17"/>
              </w:rPr>
              <w:t>Less the recurring impairment charge</w:t>
            </w:r>
          </w:p>
        </w:tc>
        <w:tc>
          <w:tcPr>
            <w:tcW w:type="dxa" w:w="1296"/>
          </w:tcPr>
          <w:p>
            <w:pPr>
              <w:spacing w:after="20"/>
              <w:jc w:val="right"/>
            </w:pPr>
            <w:r>
              <w:rPr>
                <w:color w:val="1C3A36"/>
                <w:sz w:val="17"/>
              </w:rPr>
              <w:t>(9)</w:t>
            </w:r>
          </w:p>
        </w:tc>
        <w:tc>
          <w:tcPr>
            <w:tcW w:type="dxa" w:w="1296"/>
          </w:tcPr>
          <w:p>
            <w:pPr>
              <w:spacing w:after="20"/>
              <w:jc w:val="right"/>
            </w:pPr>
            <w:r>
              <w:rPr>
                <w:color w:val="1C3A36"/>
                <w:sz w:val="17"/>
              </w:rPr>
              <w:t>(9)</w:t>
            </w:r>
          </w:p>
        </w:tc>
        <w:tc>
          <w:tcPr>
            <w:tcW w:type="dxa" w:w="1296"/>
          </w:tcPr>
          <w:p>
            <w:pPr>
              <w:spacing w:after="20"/>
              <w:jc w:val="right"/>
            </w:pPr>
            <w:r>
              <w:rPr>
                <w:color w:val="1C3A36"/>
                <w:sz w:val="17"/>
              </w:rPr>
              <w:t>(10)</w:t>
            </w:r>
          </w:p>
        </w:tc>
        <w:tc>
          <w:tcPr>
            <w:tcW w:type="dxa" w:w="1296"/>
          </w:tcPr>
          <w:p>
            <w:pPr>
              <w:spacing w:after="20"/>
              <w:jc w:val="right"/>
            </w:pPr>
            <w:r>
              <w:rPr>
                <w:color w:val="1C3A36"/>
                <w:sz w:val="17"/>
              </w:rPr>
              <w:t>(11)</w:t>
            </w:r>
          </w:p>
        </w:tc>
        <w:tc>
          <w:tcPr>
            <w:tcW w:type="dxa" w:w="1296"/>
          </w:tcPr>
          <w:p>
            <w:pPr>
              <w:spacing w:after="20"/>
              <w:jc w:val="right"/>
            </w:pPr>
            <w:r>
              <w:rPr>
                <w:color w:val="1C3A36"/>
                <w:sz w:val="17"/>
              </w:rPr>
              <w:t>(12)</w:t>
            </w:r>
          </w:p>
        </w:tc>
      </w:tr>
      <w:tr>
        <w:tc>
          <w:tcPr>
            <w:tcW w:type="dxa" w:w="3672"/>
          </w:tcPr>
          <w:p>
            <w:pPr>
              <w:spacing w:after="20"/>
            </w:pPr>
            <w:r>
              <w:rPr>
                <w:color w:val="1C3A36"/>
                <w:sz w:val="17"/>
              </w:rPr>
              <w:t>Less capital expenditure, including new leases</w:t>
            </w:r>
          </w:p>
        </w:tc>
        <w:tc>
          <w:tcPr>
            <w:tcW w:type="dxa" w:w="1296"/>
          </w:tcPr>
          <w:p>
            <w:pPr>
              <w:spacing w:after="20"/>
              <w:jc w:val="right"/>
            </w:pPr>
            <w:r>
              <w:rPr>
                <w:color w:val="1C3A36"/>
                <w:sz w:val="17"/>
              </w:rPr>
              <w:t>(356)</w:t>
            </w:r>
          </w:p>
        </w:tc>
        <w:tc>
          <w:tcPr>
            <w:tcW w:type="dxa" w:w="1296"/>
          </w:tcPr>
          <w:p>
            <w:pPr>
              <w:spacing w:after="20"/>
              <w:jc w:val="right"/>
            </w:pPr>
            <w:r>
              <w:rPr>
                <w:color w:val="1C3A36"/>
                <w:sz w:val="17"/>
              </w:rPr>
              <w:t>(381)</w:t>
            </w:r>
          </w:p>
        </w:tc>
        <w:tc>
          <w:tcPr>
            <w:tcW w:type="dxa" w:w="1296"/>
          </w:tcPr>
          <w:p>
            <w:pPr>
              <w:spacing w:after="20"/>
              <w:jc w:val="right"/>
            </w:pPr>
            <w:r>
              <w:rPr>
                <w:color w:val="1C3A36"/>
                <w:sz w:val="17"/>
              </w:rPr>
              <w:t>(408)</w:t>
            </w:r>
          </w:p>
        </w:tc>
        <w:tc>
          <w:tcPr>
            <w:tcW w:type="dxa" w:w="1296"/>
          </w:tcPr>
          <w:p>
            <w:pPr>
              <w:spacing w:after="20"/>
              <w:jc w:val="right"/>
            </w:pPr>
            <w:r>
              <w:rPr>
                <w:color w:val="1C3A36"/>
                <w:sz w:val="17"/>
              </w:rPr>
              <w:t>(432)</w:t>
            </w:r>
          </w:p>
        </w:tc>
        <w:tc>
          <w:tcPr>
            <w:tcW w:type="dxa" w:w="1296"/>
          </w:tcPr>
          <w:p>
            <w:pPr>
              <w:spacing w:after="20"/>
              <w:jc w:val="right"/>
            </w:pPr>
            <w:r>
              <w:rPr>
                <w:color w:val="1C3A36"/>
                <w:sz w:val="17"/>
              </w:rPr>
              <w:t>(455)</w:t>
            </w:r>
          </w:p>
        </w:tc>
      </w:tr>
      <w:tr>
        <w:tc>
          <w:tcPr>
            <w:tcW w:type="dxa" w:w="3672"/>
            <w:shd w:val="clear" w:color="auto" w:fill="F6F1E6"/>
          </w:tcPr>
          <w:p>
            <w:pPr>
              <w:spacing w:after="20"/>
            </w:pPr>
            <w:r>
              <w:rPr>
                <w:b/>
                <w:color w:val="1C3A36"/>
                <w:sz w:val="17"/>
              </w:rPr>
              <w:t>Less change in working capital</w:t>
            </w:r>
          </w:p>
        </w:tc>
        <w:tc>
          <w:tcPr>
            <w:tcW w:type="dxa" w:w="1296"/>
            <w:shd w:val="clear" w:color="auto" w:fill="F6F1E6"/>
          </w:tcPr>
          <w:p>
            <w:pPr>
              <w:spacing w:after="20"/>
              <w:jc w:val="right"/>
            </w:pPr>
            <w:r>
              <w:rPr>
                <w:b/>
                <w:color w:val="1C3A36"/>
                <w:sz w:val="17"/>
              </w:rPr>
              <w:t>(-27)</w:t>
            </w:r>
          </w:p>
        </w:tc>
        <w:tc>
          <w:tcPr>
            <w:tcW w:type="dxa" w:w="1296"/>
            <w:shd w:val="clear" w:color="auto" w:fill="F6F1E6"/>
          </w:tcPr>
          <w:p>
            <w:pPr>
              <w:spacing w:after="20"/>
              <w:jc w:val="right"/>
            </w:pPr>
            <w:r>
              <w:rPr>
                <w:b/>
                <w:color w:val="1C3A36"/>
                <w:sz w:val="17"/>
              </w:rPr>
              <w:t>(-22)</w:t>
            </w:r>
          </w:p>
        </w:tc>
        <w:tc>
          <w:tcPr>
            <w:tcW w:type="dxa" w:w="1296"/>
            <w:shd w:val="clear" w:color="auto" w:fill="F6F1E6"/>
          </w:tcPr>
          <w:p>
            <w:pPr>
              <w:spacing w:after="20"/>
              <w:jc w:val="right"/>
            </w:pPr>
            <w:r>
              <w:rPr>
                <w:b/>
                <w:color w:val="1C3A36"/>
                <w:sz w:val="17"/>
              </w:rPr>
              <w:t>(-24)</w:t>
            </w:r>
          </w:p>
        </w:tc>
        <w:tc>
          <w:tcPr>
            <w:tcW w:type="dxa" w:w="1296"/>
            <w:shd w:val="clear" w:color="auto" w:fill="F6F1E6"/>
          </w:tcPr>
          <w:p>
            <w:pPr>
              <w:spacing w:after="20"/>
              <w:jc w:val="right"/>
            </w:pPr>
            <w:r>
              <w:rPr>
                <w:b/>
                <w:color w:val="1C3A36"/>
                <w:sz w:val="17"/>
              </w:rPr>
              <w:t>(-24)</w:t>
            </w:r>
          </w:p>
        </w:tc>
        <w:tc>
          <w:tcPr>
            <w:tcW w:type="dxa" w:w="1296"/>
            <w:shd w:val="clear" w:color="auto" w:fill="F6F1E6"/>
          </w:tcPr>
          <w:p>
            <w:pPr>
              <w:spacing w:after="20"/>
              <w:jc w:val="right"/>
            </w:pPr>
            <w:r>
              <w:rPr>
                <w:b/>
                <w:color w:val="1C3A36"/>
                <w:sz w:val="17"/>
              </w:rPr>
              <w:t>(-24)</w:t>
            </w:r>
          </w:p>
        </w:tc>
      </w:tr>
      <w:tr>
        <w:tc>
          <w:tcPr>
            <w:tcW w:type="dxa" w:w="3672"/>
          </w:tcPr>
          <w:p>
            <w:pPr>
              <w:spacing w:after="20"/>
            </w:pPr>
            <w:r>
              <w:rPr>
                <w:color w:val="1C3A36"/>
                <w:sz w:val="17"/>
              </w:rPr>
              <w:t>Free cash flow to the firm</w:t>
            </w:r>
          </w:p>
        </w:tc>
        <w:tc>
          <w:tcPr>
            <w:tcW w:type="dxa" w:w="1296"/>
          </w:tcPr>
          <w:p>
            <w:pPr>
              <w:spacing w:after="20"/>
              <w:jc w:val="right"/>
            </w:pPr>
            <w:r>
              <w:rPr>
                <w:color w:val="1C3A36"/>
                <w:sz w:val="17"/>
              </w:rPr>
              <w:t>317</w:t>
            </w:r>
          </w:p>
        </w:tc>
        <w:tc>
          <w:tcPr>
            <w:tcW w:type="dxa" w:w="1296"/>
          </w:tcPr>
          <w:p>
            <w:pPr>
              <w:spacing w:after="20"/>
              <w:jc w:val="right"/>
            </w:pPr>
            <w:r>
              <w:rPr>
                <w:color w:val="1C3A36"/>
                <w:sz w:val="17"/>
              </w:rPr>
              <w:t>329</w:t>
            </w:r>
          </w:p>
        </w:tc>
        <w:tc>
          <w:tcPr>
            <w:tcW w:type="dxa" w:w="1296"/>
          </w:tcPr>
          <w:p>
            <w:pPr>
              <w:spacing w:after="20"/>
              <w:jc w:val="right"/>
            </w:pPr>
            <w:r>
              <w:rPr>
                <w:color w:val="1C3A36"/>
                <w:sz w:val="17"/>
              </w:rPr>
              <w:t>355</w:t>
            </w:r>
          </w:p>
        </w:tc>
        <w:tc>
          <w:tcPr>
            <w:tcW w:type="dxa" w:w="1296"/>
          </w:tcPr>
          <w:p>
            <w:pPr>
              <w:spacing w:after="20"/>
              <w:jc w:val="right"/>
            </w:pPr>
            <w:r>
              <w:rPr>
                <w:color w:val="1C3A36"/>
                <w:sz w:val="17"/>
              </w:rPr>
              <w:t>379</w:t>
            </w:r>
          </w:p>
        </w:tc>
        <w:tc>
          <w:tcPr>
            <w:tcW w:type="dxa" w:w="1296"/>
          </w:tcPr>
          <w:p>
            <w:pPr>
              <w:spacing w:after="20"/>
              <w:jc w:val="right"/>
            </w:pPr>
            <w:r>
              <w:rPr>
                <w:color w:val="1C3A36"/>
                <w:sz w:val="17"/>
              </w:rPr>
              <w:t>406</w:t>
            </w:r>
          </w:p>
        </w:tc>
      </w:tr>
      <w:tr>
        <w:tc>
          <w:tcPr>
            <w:tcW w:type="dxa" w:w="3672"/>
          </w:tcPr>
          <w:p>
            <w:pPr>
              <w:spacing w:after="20"/>
            </w:pPr>
            <w:r>
              <w:rPr>
                <w:color w:val="1C3A36"/>
                <w:sz w:val="17"/>
              </w:rPr>
              <w:t>Cost of capital</w:t>
            </w:r>
          </w:p>
        </w:tc>
        <w:tc>
          <w:tcPr>
            <w:tcW w:type="dxa" w:w="1296"/>
          </w:tcPr>
          <w:p>
            <w:pPr>
              <w:spacing w:after="20"/>
              <w:jc w:val="right"/>
            </w:pPr>
            <w:r>
              <w:rPr>
                <w:color w:val="1C3A36"/>
                <w:sz w:val="17"/>
              </w:rPr>
              <w:t>9.7%</w:t>
            </w:r>
          </w:p>
        </w:tc>
        <w:tc>
          <w:tcPr>
            <w:tcW w:type="dxa" w:w="1296"/>
          </w:tcPr>
          <w:p>
            <w:pPr>
              <w:spacing w:after="20"/>
              <w:jc w:val="right"/>
            </w:pPr>
            <w:r>
              <w:rPr>
                <w:color w:val="1C3A36"/>
                <w:sz w:val="17"/>
              </w:rPr>
              <w:t>9.7%</w:t>
            </w:r>
          </w:p>
        </w:tc>
        <w:tc>
          <w:tcPr>
            <w:tcW w:type="dxa" w:w="1296"/>
          </w:tcPr>
          <w:p>
            <w:pPr>
              <w:spacing w:after="20"/>
              <w:jc w:val="right"/>
            </w:pPr>
            <w:r>
              <w:rPr>
                <w:color w:val="1C3A36"/>
                <w:sz w:val="17"/>
              </w:rPr>
              <w:t>9.7%</w:t>
            </w:r>
          </w:p>
        </w:tc>
        <w:tc>
          <w:tcPr>
            <w:tcW w:type="dxa" w:w="1296"/>
          </w:tcPr>
          <w:p>
            <w:pPr>
              <w:spacing w:after="20"/>
              <w:jc w:val="right"/>
            </w:pPr>
            <w:r>
              <w:rPr>
                <w:color w:val="1C3A36"/>
                <w:sz w:val="17"/>
              </w:rPr>
              <w:t>9.7%</w:t>
            </w:r>
          </w:p>
        </w:tc>
        <w:tc>
          <w:tcPr>
            <w:tcW w:type="dxa" w:w="1296"/>
          </w:tcPr>
          <w:p>
            <w:pPr>
              <w:spacing w:after="20"/>
              <w:jc w:val="right"/>
            </w:pPr>
            <w:r>
              <w:rPr>
                <w:color w:val="1C3A36"/>
                <w:sz w:val="17"/>
              </w:rPr>
              <w:t>9.7%</w:t>
            </w:r>
          </w:p>
        </w:tc>
      </w:tr>
      <w:tr>
        <w:tc>
          <w:tcPr>
            <w:tcW w:type="dxa" w:w="3672"/>
            <w:shd w:val="clear" w:color="auto" w:fill="F6F1E6"/>
          </w:tcPr>
          <w:p>
            <w:pPr>
              <w:spacing w:after="20"/>
            </w:pPr>
            <w:r>
              <w:rPr>
                <w:b/>
                <w:color w:val="1C3A36"/>
                <w:sz w:val="17"/>
              </w:rPr>
              <w:t>Discount factor</w:t>
            </w:r>
          </w:p>
        </w:tc>
        <w:tc>
          <w:tcPr>
            <w:tcW w:type="dxa" w:w="1296"/>
            <w:shd w:val="clear" w:color="auto" w:fill="F6F1E6"/>
          </w:tcPr>
          <w:p>
            <w:pPr>
              <w:spacing w:after="20"/>
              <w:jc w:val="right"/>
            </w:pPr>
            <w:r>
              <w:rPr>
                <w:b/>
                <w:color w:val="1C3A36"/>
                <w:sz w:val="17"/>
              </w:rPr>
              <w:t>0.911</w:t>
            </w:r>
          </w:p>
        </w:tc>
        <w:tc>
          <w:tcPr>
            <w:tcW w:type="dxa" w:w="1296"/>
            <w:shd w:val="clear" w:color="auto" w:fill="F6F1E6"/>
          </w:tcPr>
          <w:p>
            <w:pPr>
              <w:spacing w:after="20"/>
              <w:jc w:val="right"/>
            </w:pPr>
            <w:r>
              <w:rPr>
                <w:b/>
                <w:color w:val="1C3A36"/>
                <w:sz w:val="17"/>
              </w:rPr>
              <w:t>0.830</w:t>
            </w:r>
          </w:p>
        </w:tc>
        <w:tc>
          <w:tcPr>
            <w:tcW w:type="dxa" w:w="1296"/>
            <w:shd w:val="clear" w:color="auto" w:fill="F6F1E6"/>
          </w:tcPr>
          <w:p>
            <w:pPr>
              <w:spacing w:after="20"/>
              <w:jc w:val="right"/>
            </w:pPr>
            <w:r>
              <w:rPr>
                <w:b/>
                <w:color w:val="1C3A36"/>
                <w:sz w:val="17"/>
              </w:rPr>
              <w:t>0.757</w:t>
            </w:r>
          </w:p>
        </w:tc>
        <w:tc>
          <w:tcPr>
            <w:tcW w:type="dxa" w:w="1296"/>
            <w:shd w:val="clear" w:color="auto" w:fill="F6F1E6"/>
          </w:tcPr>
          <w:p>
            <w:pPr>
              <w:spacing w:after="20"/>
              <w:jc w:val="right"/>
            </w:pPr>
            <w:r>
              <w:rPr>
                <w:b/>
                <w:color w:val="1C3A36"/>
                <w:sz w:val="17"/>
              </w:rPr>
              <w:t>0.690</w:t>
            </w:r>
          </w:p>
        </w:tc>
        <w:tc>
          <w:tcPr>
            <w:tcW w:type="dxa" w:w="1296"/>
            <w:shd w:val="clear" w:color="auto" w:fill="F6F1E6"/>
          </w:tcPr>
          <w:p>
            <w:pPr>
              <w:spacing w:after="20"/>
              <w:jc w:val="right"/>
            </w:pPr>
            <w:r>
              <w:rPr>
                <w:b/>
                <w:color w:val="1C3A36"/>
                <w:sz w:val="17"/>
              </w:rPr>
              <w:t>0.628</w:t>
            </w:r>
          </w:p>
        </w:tc>
      </w:tr>
      <w:tr>
        <w:tc>
          <w:tcPr>
            <w:tcW w:type="dxa" w:w="3672"/>
          </w:tcPr>
          <w:p>
            <w:pPr>
              <w:spacing w:after="20"/>
            </w:pPr>
            <w:r>
              <w:rPr>
                <w:color w:val="1C3A36"/>
                <w:sz w:val="17"/>
              </w:rPr>
              <w:t>Present value of free cash flow</w:t>
            </w:r>
          </w:p>
        </w:tc>
        <w:tc>
          <w:tcPr>
            <w:tcW w:type="dxa" w:w="1296"/>
          </w:tcPr>
          <w:p>
            <w:pPr>
              <w:spacing w:after="20"/>
              <w:jc w:val="right"/>
            </w:pPr>
            <w:r>
              <w:rPr>
                <w:color w:val="1C3A36"/>
                <w:sz w:val="17"/>
              </w:rPr>
              <w:t>289</w:t>
            </w:r>
          </w:p>
        </w:tc>
        <w:tc>
          <w:tcPr>
            <w:tcW w:type="dxa" w:w="1296"/>
          </w:tcPr>
          <w:p>
            <w:pPr>
              <w:spacing w:after="20"/>
              <w:jc w:val="right"/>
            </w:pPr>
            <w:r>
              <w:rPr>
                <w:color w:val="1C3A36"/>
                <w:sz w:val="17"/>
              </w:rPr>
              <w:t>273</w:t>
            </w:r>
          </w:p>
        </w:tc>
        <w:tc>
          <w:tcPr>
            <w:tcW w:type="dxa" w:w="1296"/>
          </w:tcPr>
          <w:p>
            <w:pPr>
              <w:spacing w:after="20"/>
              <w:jc w:val="right"/>
            </w:pPr>
            <w:r>
              <w:rPr>
                <w:color w:val="1C3A36"/>
                <w:sz w:val="17"/>
              </w:rPr>
              <w:t>269</w:t>
            </w:r>
          </w:p>
        </w:tc>
        <w:tc>
          <w:tcPr>
            <w:tcW w:type="dxa" w:w="1296"/>
          </w:tcPr>
          <w:p>
            <w:pPr>
              <w:spacing w:after="20"/>
              <w:jc w:val="right"/>
            </w:pPr>
            <w:r>
              <w:rPr>
                <w:color w:val="1C3A36"/>
                <w:sz w:val="17"/>
              </w:rPr>
              <w:t>261</w:t>
            </w:r>
          </w:p>
        </w:tc>
        <w:tc>
          <w:tcPr>
            <w:tcW w:type="dxa" w:w="1296"/>
          </w:tcPr>
          <w:p>
            <w:pPr>
              <w:spacing w:after="20"/>
              <w:jc w:val="right"/>
            </w:pPr>
            <w:r>
              <w:rPr>
                <w:color w:val="1C3A36"/>
                <w:sz w:val="17"/>
              </w:rPr>
              <w:t>255</w:t>
            </w:r>
          </w:p>
        </w:tc>
      </w:tr>
    </w:tbl>
    <w:p>
      <w:pPr>
        <w:spacing w:after="40"/>
      </w:pPr>
    </w:p>
    <w:p>
      <w:pPr>
        <w:spacing w:after="200" w:before="0"/>
      </w:pPr>
      <w:r>
        <w:rPr>
          <w:b w:val="0"/>
          <w:i/>
          <w:color w:val="6E7B77"/>
          <w:sz w:val="17"/>
        </w:rPr>
        <w:t>Taking a new restaurant lease is treated as an investment on this reading, so additions to right-of-use assets are charged in capital expenditure and the lease liability is deducted in the bridge. Change in working capital is a source of cash here, not a use, because the company collects at the till and pays suppliers on terms.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88"/>
        <w:gridCol w:w="1944"/>
      </w:tblGrid>
      <w:tr>
        <w:tc>
          <w:tcPr>
            <w:tcW w:type="dxa" w:w="7488"/>
            <w:shd w:val="clear" w:color="auto" w:fill="EAF0EE"/>
          </w:tcPr>
          <w:p>
            <w:pPr>
              <w:spacing w:after="20"/>
            </w:pPr>
            <w:r>
              <w:rPr>
                <w:b/>
                <w:color w:val="1C3A36"/>
                <w:sz w:val="18"/>
              </w:rPr>
              <w:t>Terminal block</w:t>
            </w:r>
          </w:p>
        </w:tc>
        <w:tc>
          <w:tcPr>
            <w:tcW w:type="dxa" w:w="1944"/>
            <w:shd w:val="clear" w:color="auto" w:fill="EAF0EE"/>
          </w:tcPr>
          <w:p>
            <w:pPr>
              <w:spacing w:after="20"/>
            </w:pPr>
            <w:r>
              <w:rPr>
                <w:b/>
                <w:color w:val="1C3A36"/>
                <w:sz w:val="18"/>
              </w:rPr>
              <w:t>Value</w:t>
            </w:r>
          </w:p>
        </w:tc>
      </w:tr>
      <w:tr>
        <w:tc>
          <w:tcPr>
            <w:tcW w:type="dxa" w:w="7488"/>
          </w:tcPr>
          <w:p>
            <w:pPr>
              <w:spacing w:after="20"/>
            </w:pPr>
            <w:r>
              <w:rPr>
                <w:color w:val="1C3A36"/>
                <w:sz w:val="18"/>
              </w:rPr>
              <w:t>Terminal-year NOPAT grown one year (USD m)</w:t>
            </w:r>
          </w:p>
        </w:tc>
        <w:tc>
          <w:tcPr>
            <w:tcW w:type="dxa" w:w="1944"/>
          </w:tcPr>
          <w:p>
            <w:pPr>
              <w:spacing w:after="20"/>
              <w:jc w:val="right"/>
            </w:pPr>
            <w:r>
              <w:rPr>
                <w:color w:val="1C3A36"/>
                <w:sz w:val="18"/>
              </w:rPr>
              <w:t>460</w:t>
            </w:r>
          </w:p>
        </w:tc>
      </w:tr>
      <w:tr>
        <w:tc>
          <w:tcPr>
            <w:tcW w:type="dxa" w:w="7488"/>
          </w:tcPr>
          <w:p>
            <w:pPr>
              <w:spacing w:after="20"/>
            </w:pPr>
            <w:r>
              <w:rPr>
                <w:color w:val="1C3A36"/>
                <w:sz w:val="18"/>
              </w:rPr>
              <w:t>Invested capital at the end of the forecast (USD m)</w:t>
            </w:r>
          </w:p>
        </w:tc>
        <w:tc>
          <w:tcPr>
            <w:tcW w:type="dxa" w:w="1944"/>
          </w:tcPr>
          <w:p>
            <w:pPr>
              <w:spacing w:after="20"/>
              <w:jc w:val="right"/>
            </w:pPr>
            <w:r>
              <w:rPr>
                <w:color w:val="1C3A36"/>
                <w:sz w:val="18"/>
              </w:rPr>
              <w:t>905</w:t>
            </w:r>
          </w:p>
        </w:tc>
      </w:tr>
      <w:tr>
        <w:tc>
          <w:tcPr>
            <w:tcW w:type="dxa" w:w="7488"/>
          </w:tcPr>
          <w:p>
            <w:pPr>
              <w:spacing w:after="20"/>
            </w:pPr>
            <w:r>
              <w:rPr>
                <w:color w:val="1C3A36"/>
                <w:sz w:val="18"/>
              </w:rPr>
              <w:t>Terminal return on incremental capital — faded to the payback-anchored target</w:t>
            </w:r>
          </w:p>
        </w:tc>
        <w:tc>
          <w:tcPr>
            <w:tcW w:type="dxa" w:w="1944"/>
          </w:tcPr>
          <w:p>
            <w:pPr>
              <w:spacing w:after="20"/>
              <w:jc w:val="right"/>
            </w:pPr>
            <w:r>
              <w:rPr>
                <w:color w:val="1C3A36"/>
                <w:sz w:val="18"/>
              </w:rPr>
              <w:t>30%</w:t>
            </w:r>
          </w:p>
        </w:tc>
      </w:tr>
      <w:tr>
        <w:tc>
          <w:tcPr>
            <w:tcW w:type="dxa" w:w="7488"/>
          </w:tcPr>
          <w:p>
            <w:pPr>
              <w:spacing w:after="20"/>
            </w:pPr>
            <w:r>
              <w:rPr>
                <w:color w:val="1C3A36"/>
                <w:sz w:val="18"/>
              </w:rPr>
              <w:t>Model-implied average return on closing capital (the bull reading)</w:t>
            </w:r>
          </w:p>
        </w:tc>
        <w:tc>
          <w:tcPr>
            <w:tcW w:type="dxa" w:w="1944"/>
          </w:tcPr>
          <w:p>
            <w:pPr>
              <w:spacing w:after="20"/>
              <w:jc w:val="right"/>
            </w:pPr>
            <w:r>
              <w:rPr>
                <w:color w:val="1C3A36"/>
                <w:sz w:val="18"/>
              </w:rPr>
              <w:t>49%</w:t>
            </w:r>
          </w:p>
        </w:tc>
      </w:tr>
      <w:tr>
        <w:tc>
          <w:tcPr>
            <w:tcW w:type="dxa" w:w="7488"/>
          </w:tcPr>
          <w:p>
            <w:pPr>
              <w:spacing w:after="20"/>
            </w:pPr>
            <w:r>
              <w:rPr>
                <w:color w:val="1C3A36"/>
                <w:sz w:val="18"/>
              </w:rPr>
              <w:t>Required reinvestment rate — growth over return on capital</w:t>
            </w:r>
          </w:p>
        </w:tc>
        <w:tc>
          <w:tcPr>
            <w:tcW w:type="dxa" w:w="1944"/>
          </w:tcPr>
          <w:p>
            <w:pPr>
              <w:spacing w:after="20"/>
              <w:jc w:val="right"/>
            </w:pPr>
            <w:r>
              <w:rPr>
                <w:color w:val="1C3A36"/>
                <w:sz w:val="18"/>
              </w:rPr>
              <w:t>10.0%</w:t>
            </w:r>
          </w:p>
        </w:tc>
      </w:tr>
      <w:tr>
        <w:tc>
          <w:tcPr>
            <w:tcW w:type="dxa" w:w="7488"/>
          </w:tcPr>
          <w:p>
            <w:pPr>
              <w:spacing w:after="20"/>
            </w:pPr>
            <w:r>
              <w:rPr>
                <w:color w:val="1C3A36"/>
                <w:sz w:val="18"/>
              </w:rPr>
              <w:t>Terminal growth</w:t>
            </w:r>
          </w:p>
        </w:tc>
        <w:tc>
          <w:tcPr>
            <w:tcW w:type="dxa" w:w="1944"/>
          </w:tcPr>
          <w:p>
            <w:pPr>
              <w:spacing w:after="20"/>
              <w:jc w:val="right"/>
            </w:pPr>
            <w:r>
              <w:rPr>
                <w:color w:val="1C3A36"/>
                <w:sz w:val="18"/>
              </w:rPr>
              <w:t>3.0%</w:t>
            </w:r>
          </w:p>
        </w:tc>
      </w:tr>
      <w:tr>
        <w:tc>
          <w:tcPr>
            <w:tcW w:type="dxa" w:w="7488"/>
          </w:tcPr>
          <w:p>
            <w:pPr>
              <w:spacing w:after="20"/>
            </w:pPr>
            <w:r>
              <w:rPr>
                <w:color w:val="1C3A36"/>
                <w:sz w:val="18"/>
              </w:rPr>
              <w:t>Terminal cost of capital</w:t>
            </w:r>
          </w:p>
        </w:tc>
        <w:tc>
          <w:tcPr>
            <w:tcW w:type="dxa" w:w="1944"/>
          </w:tcPr>
          <w:p>
            <w:pPr>
              <w:spacing w:after="20"/>
              <w:jc w:val="right"/>
            </w:pPr>
            <w:r>
              <w:rPr>
                <w:color w:val="1C3A36"/>
                <w:sz w:val="18"/>
              </w:rPr>
              <w:t>9.74%</w:t>
            </w:r>
          </w:p>
        </w:tc>
      </w:tr>
      <w:tr>
        <w:tc>
          <w:tcPr>
            <w:tcW w:type="dxa" w:w="7488"/>
          </w:tcPr>
          <w:p>
            <w:pPr>
              <w:spacing w:after="20"/>
            </w:pPr>
            <w:r>
              <w:rPr>
                <w:color w:val="1C3A36"/>
                <w:sz w:val="18"/>
              </w:rPr>
              <w:t>Terminal value (USD m)</w:t>
            </w:r>
          </w:p>
        </w:tc>
        <w:tc>
          <w:tcPr>
            <w:tcW w:type="dxa" w:w="1944"/>
          </w:tcPr>
          <w:p>
            <w:pPr>
              <w:spacing w:after="20"/>
              <w:jc w:val="right"/>
            </w:pPr>
            <w:r>
              <w:rPr>
                <w:color w:val="1C3A36"/>
                <w:sz w:val="18"/>
              </w:rPr>
              <w:t>6,140</w:t>
            </w:r>
          </w:p>
        </w:tc>
      </w:tr>
      <w:tr>
        <w:tc>
          <w:tcPr>
            <w:tcW w:type="dxa" w:w="7488"/>
            <w:shd w:val="clear" w:color="auto" w:fill="F6F1E6"/>
          </w:tcPr>
          <w:p>
            <w:pPr>
              <w:spacing w:after="20"/>
            </w:pPr>
            <w:r>
              <w:rPr>
                <w:b/>
                <w:color w:val="1C3A36"/>
                <w:sz w:val="18"/>
              </w:rPr>
              <w:t>Present value of the terminal value (USD m)</w:t>
            </w:r>
          </w:p>
        </w:tc>
        <w:tc>
          <w:tcPr>
            <w:tcW w:type="dxa" w:w="1944"/>
            <w:shd w:val="clear" w:color="auto" w:fill="F6F1E6"/>
          </w:tcPr>
          <w:p>
            <w:pPr>
              <w:spacing w:after="20"/>
              <w:jc w:val="right"/>
            </w:pPr>
            <w:r>
              <w:rPr>
                <w:b/>
                <w:color w:val="1C3A36"/>
                <w:sz w:val="18"/>
              </w:rPr>
              <w:t>3,858</w:t>
            </w:r>
          </w:p>
        </w:tc>
      </w:tr>
      <w:tr>
        <w:tc>
          <w:tcPr>
            <w:tcW w:type="dxa" w:w="7488"/>
          </w:tcPr>
          <w:p>
            <w:pPr>
              <w:spacing w:after="20"/>
            </w:pPr>
            <w:r>
              <w:rPr>
                <w:color w:val="1C3A36"/>
                <w:sz w:val="18"/>
              </w:rPr>
              <w:t>Terminal value as a share of enterprise value</w:t>
            </w:r>
          </w:p>
        </w:tc>
        <w:tc>
          <w:tcPr>
            <w:tcW w:type="dxa" w:w="1944"/>
          </w:tcPr>
          <w:p>
            <w:pPr>
              <w:spacing w:after="20"/>
              <w:jc w:val="right"/>
            </w:pPr>
            <w:r>
              <w:rPr>
                <w:color w:val="1C3A36"/>
                <w:sz w:val="18"/>
              </w:rPr>
              <w:t>74%</w:t>
            </w:r>
          </w:p>
        </w:tc>
      </w:tr>
      <w:tr>
        <w:tc>
          <w:tcPr>
            <w:tcW w:type="dxa" w:w="7488"/>
          </w:tcPr>
          <w:p>
            <w:pPr>
              <w:spacing w:after="20"/>
            </w:pPr>
            <w:r>
              <w:rPr>
                <w:color w:val="1C3A36"/>
                <w:sz w:val="18"/>
              </w:rPr>
              <w:t>Enterprise value (USD m)</w:t>
            </w:r>
          </w:p>
        </w:tc>
        <w:tc>
          <w:tcPr>
            <w:tcW w:type="dxa" w:w="1944"/>
          </w:tcPr>
          <w:p>
            <w:pPr>
              <w:spacing w:after="20"/>
              <w:jc w:val="right"/>
            </w:pPr>
            <w:r>
              <w:rPr>
                <w:color w:val="1C3A36"/>
                <w:sz w:val="18"/>
              </w:rPr>
              <w:t>5,206</w:t>
            </w:r>
          </w:p>
        </w:tc>
      </w:tr>
      <w:tr>
        <w:tc>
          <w:tcPr>
            <w:tcW w:type="dxa" w:w="7488"/>
            <w:shd w:val="clear" w:color="auto" w:fill="F6F1E6"/>
          </w:tcPr>
          <w:p>
            <w:pPr>
              <w:spacing w:after="20"/>
            </w:pPr>
            <w:r>
              <w:rPr>
                <w:b/>
                <w:color w:val="1C3A36"/>
                <w:sz w:val="18"/>
              </w:rPr>
              <w:t>Equity value (USD m)</w:t>
            </w:r>
          </w:p>
        </w:tc>
        <w:tc>
          <w:tcPr>
            <w:tcW w:type="dxa" w:w="1944"/>
            <w:shd w:val="clear" w:color="auto" w:fill="F6F1E6"/>
          </w:tcPr>
          <w:p>
            <w:pPr>
              <w:spacing w:after="20"/>
              <w:jc w:val="right"/>
            </w:pPr>
            <w:r>
              <w:rPr>
                <w:b/>
                <w:color w:val="1C3A36"/>
                <w:sz w:val="18"/>
              </w:rPr>
              <w:t>4,985</w:t>
            </w:r>
          </w:p>
        </w:tc>
      </w:tr>
      <w:tr>
        <w:tc>
          <w:tcPr>
            <w:tcW w:type="dxa" w:w="7488"/>
          </w:tcPr>
          <w:p>
            <w:pPr>
              <w:spacing w:after="20"/>
            </w:pPr>
            <w:r>
              <w:rPr>
                <w:color w:val="1C3A36"/>
                <w:sz w:val="18"/>
              </w:rPr>
              <w:t>Fair value per share at 31 December 2025 (USD)</w:t>
            </w:r>
          </w:p>
        </w:tc>
        <w:tc>
          <w:tcPr>
            <w:tcW w:type="dxa" w:w="1944"/>
          </w:tcPr>
          <w:p>
            <w:pPr>
              <w:spacing w:after="20"/>
              <w:jc w:val="right"/>
            </w:pPr>
            <w:r>
              <w:rPr>
                <w:color w:val="1C3A36"/>
                <w:sz w:val="18"/>
              </w:rPr>
              <w:t>0.5935</w:t>
            </w:r>
          </w:p>
        </w:tc>
      </w:tr>
      <w:tr>
        <w:tc>
          <w:tcPr>
            <w:tcW w:type="dxa" w:w="7488"/>
          </w:tcPr>
          <w:p>
            <w:pPr>
              <w:spacing w:after="20"/>
            </w:pPr>
            <w:r>
              <w:rPr>
                <w:color w:val="1C3A36"/>
                <w:sz w:val="18"/>
              </w:rPr>
              <w:t>Rolled to the 7 August 2026 anchor at the cost of equity, net of the USD 0.024 dividend paid in the window</w:t>
            </w:r>
          </w:p>
        </w:tc>
        <w:tc>
          <w:tcPr>
            <w:tcW w:type="dxa" w:w="1944"/>
          </w:tcPr>
          <w:p>
            <w:pPr>
              <w:spacing w:after="20"/>
              <w:jc w:val="right"/>
            </w:pPr>
            <w:r>
              <w:rPr>
                <w:color w:val="1C3A36"/>
                <w:sz w:val="18"/>
              </w:rPr>
              <w:t>x 1.0600 - 0.024</w:t>
            </w:r>
          </w:p>
        </w:tc>
      </w:tr>
      <w:tr>
        <w:tc>
          <w:tcPr>
            <w:tcW w:type="dxa" w:w="7488"/>
          </w:tcPr>
          <w:p>
            <w:pPr>
              <w:spacing w:after="20"/>
            </w:pPr>
            <w:r>
              <w:rPr>
                <w:color w:val="1C3A36"/>
                <w:sz w:val="18"/>
              </w:rPr>
              <w:t>Fair value per share at the anchor (AED)</w:t>
            </w:r>
          </w:p>
        </w:tc>
        <w:tc>
          <w:tcPr>
            <w:tcW w:type="dxa" w:w="1944"/>
          </w:tcPr>
          <w:p>
            <w:pPr>
              <w:spacing w:after="20"/>
              <w:jc w:val="right"/>
            </w:pPr>
            <w:r>
              <w:rPr>
                <w:color w:val="1C3A36"/>
                <w:sz w:val="18"/>
              </w:rPr>
              <w:t>2.22</w:t>
            </w:r>
          </w:p>
        </w:tc>
      </w:tr>
    </w:tbl>
    <w:p>
      <w:pPr>
        <w:spacing w:after="40"/>
      </w:pPr>
    </w:p>
    <w:p>
      <w:pPr>
        <w:spacing w:after="200" w:before="0"/>
      </w:pPr>
      <w:r>
        <w:rPr>
          <w:b w:val="0"/>
          <w:i/>
          <w:color w:val="6E7B77"/>
          <w:sz w:val="17"/>
        </w:rPr>
        <w:t>74% of the enterprise value sits beyond the fifth year, which is why the terminal assumptions are sensitised on their own rather than buried in the total. The terminal return is NOT the model-implied average: the company's own store-economics table (USD 402 thousand a restaurant, three-year average payback, and the marginal brands beyond five years) says the incremental restaurant earns far less than the book average, so the return is faded to 30% and the reinvestment rate — growth over that return — is 10% of terminal profit. Every published value in this study is rolled from the 31 December 2025 valuation date to the 7 August 2026 price anchor at the cost of equity, net of the dividend paid between the two dates.</w:t>
      </w:r>
    </w:p>
    <w:p>
      <w:pPr>
        <w:spacing w:after="80" w:before="200"/>
      </w:pPr>
      <w:r>
        <w:rPr>
          <w:b/>
          <w:i w:val="0"/>
          <w:color w:val="1C3A36"/>
          <w:sz w:val="24"/>
        </w:rPr>
        <w:t>1.2  Book value and sustainable return</w:t>
      </w:r>
    </w:p>
    <w:p>
      <w:pPr>
        <w:spacing w:after="120" w:before="0"/>
      </w:pPr>
      <w:r>
        <w:rPr>
          <w:b w:val="0"/>
          <w:i w:val="0"/>
          <w:color w:val="1C3A36"/>
          <w:sz w:val="21"/>
        </w:rPr>
        <w:t>The company earned a 50% return on average equity in 2025. That number is spectacular and almost meaningless. An operator that leases every restaurant it runs and distributes about 92% of its earnings holds very little book equity — USD 435 million at the half year, against a market capitalisation of USD 5,466 million. A justified price-to-book multiple therefore divides a very large return by a very small base and is unstable in both directions. On a sustainable return of 42%, a terminal cost of equity of 10.22% and the same 3.0% terminal growth the cash-flow model uses, the justified multiple is 5.4 times book, which gives AED 1.04 a share. It is the lowest of the four lenses and carries the lowest weight. It is reported because leaving out the lens that disagrees would be dishonest, not because it is informative. One reconciliation note: the justified multiple implicitly retains growth over return — about a 93% payout — while the forecast distributes 85%; the difference is retained cash the firm-value lenses already count, so it is stated rather than adjusted.</w:t>
      </w:r>
    </w:p>
    <w:p>
      <w:pPr>
        <w:spacing w:after="80" w:before="200"/>
      </w:pPr>
      <w:r>
        <w:rPr>
          <w:b/>
          <w:i w:val="0"/>
          <w:color w:val="1C3A36"/>
          <w:sz w:val="24"/>
        </w:rPr>
        <w:t>1.3  Relative multiples</w:t>
      </w:r>
    </w:p>
    <w:p>
      <w:pPr>
        <w:spacing w:after="120" w:before="0"/>
      </w:pPr>
      <w:r>
        <w:rPr>
          <w:b w:val="0"/>
          <w:i w:val="0"/>
          <w:color w:val="1C3A36"/>
          <w:sz w:val="21"/>
        </w:rPr>
        <w:t>There is no clean comparable. The global names — Yum! Brands, Restaurant Brands, Domino's — are on the other side of Americana's contract: they collect royalties and carry EBITDA margins of 20% to 35% on a fraction of the revenue. The right comparators are the listed operator-franchisees — closest in structure, Devyani International and Sapphire Foods in India, which run the same two brands — though their published multiples may sit on a different lease-accounting basis and are read as indicative rather than precise.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944"/>
        <w:gridCol w:w="1584"/>
        <w:gridCol w:w="1728"/>
        <w:gridCol w:w="1728"/>
      </w:tblGrid>
      <w:tr>
        <w:tc>
          <w:tcPr>
            <w:tcW w:type="dxa" w:w="2952"/>
            <w:shd w:val="clear" w:color="auto" w:fill="EAF0EE"/>
          </w:tcPr>
          <w:p>
            <w:pPr>
              <w:spacing w:after="20"/>
            </w:pPr>
            <w:r>
              <w:rPr>
                <w:b/>
                <w:color w:val="1C3A36"/>
                <w:sz w:val="17"/>
              </w:rPr>
              <w:t>Company</w:t>
            </w:r>
          </w:p>
        </w:tc>
        <w:tc>
          <w:tcPr>
            <w:tcW w:type="dxa" w:w="1944"/>
            <w:shd w:val="clear" w:color="auto" w:fill="EAF0EE"/>
          </w:tcPr>
          <w:p>
            <w:pPr>
              <w:spacing w:after="20"/>
            </w:pPr>
            <w:r>
              <w:rPr>
                <w:b/>
                <w:color w:val="1C3A36"/>
                <w:sz w:val="17"/>
              </w:rPr>
              <w:t>Market</w:t>
            </w:r>
          </w:p>
        </w:tc>
        <w:tc>
          <w:tcPr>
            <w:tcW w:type="dxa" w:w="1584"/>
            <w:shd w:val="clear" w:color="auto" w:fill="EAF0EE"/>
          </w:tcPr>
          <w:p>
            <w:pPr>
              <w:spacing w:after="20"/>
            </w:pPr>
            <w:r>
              <w:rPr>
                <w:b/>
                <w:color w:val="1C3A36"/>
                <w:sz w:val="17"/>
              </w:rPr>
              <w:t>EV / EBITDA</w:t>
            </w:r>
          </w:p>
        </w:tc>
        <w:tc>
          <w:tcPr>
            <w:tcW w:type="dxa" w:w="1728"/>
            <w:shd w:val="clear" w:color="auto" w:fill="EAF0EE"/>
          </w:tcPr>
          <w:p>
            <w:pPr>
              <w:spacing w:after="20"/>
            </w:pPr>
            <w:r>
              <w:rPr>
                <w:b/>
                <w:color w:val="1C3A36"/>
                <w:sz w:val="17"/>
              </w:rPr>
              <w:t>Price / earnings</w:t>
            </w:r>
          </w:p>
        </w:tc>
        <w:tc>
          <w:tcPr>
            <w:tcW w:type="dxa" w:w="1728"/>
            <w:shd w:val="clear" w:color="auto" w:fill="EAF0EE"/>
          </w:tcPr>
          <w:p>
            <w:pPr>
              <w:spacing w:after="20"/>
            </w:pPr>
            <w:r>
              <w:rPr>
                <w:b/>
                <w:color w:val="1C3A36"/>
                <w:sz w:val="17"/>
              </w:rPr>
              <w:t>EBITDA margin</w:t>
            </w:r>
          </w:p>
        </w:tc>
      </w:tr>
      <w:tr>
        <w:tc>
          <w:tcPr>
            <w:tcW w:type="dxa" w:w="2952"/>
          </w:tcPr>
          <w:p>
            <w:pPr>
              <w:spacing w:after="20"/>
            </w:pPr>
            <w:r>
              <w:rPr>
                <w:color w:val="1C3A36"/>
                <w:sz w:val="17"/>
              </w:rPr>
              <w:t>Alamar Foods</w:t>
            </w:r>
          </w:p>
        </w:tc>
        <w:tc>
          <w:tcPr>
            <w:tcW w:type="dxa" w:w="1944"/>
          </w:tcPr>
          <w:p>
            <w:pPr>
              <w:spacing w:after="20"/>
              <w:jc w:val="right"/>
            </w:pPr>
            <w:r>
              <w:rPr>
                <w:color w:val="1C3A36"/>
                <w:sz w:val="17"/>
              </w:rPr>
              <w:t>Saudi Arabia</w:t>
            </w:r>
          </w:p>
        </w:tc>
        <w:tc>
          <w:tcPr>
            <w:tcW w:type="dxa" w:w="1584"/>
          </w:tcPr>
          <w:p>
            <w:pPr>
              <w:spacing w:after="20"/>
              <w:jc w:val="right"/>
            </w:pPr>
            <w:r>
              <w:rPr>
                <w:color w:val="1C3A36"/>
                <w:sz w:val="17"/>
              </w:rPr>
              <w:t>115.5x</w:t>
            </w:r>
          </w:p>
        </w:tc>
        <w:tc>
          <w:tcPr>
            <w:tcW w:type="dxa" w:w="1728"/>
          </w:tcPr>
          <w:p>
            <w:pPr>
              <w:spacing w:after="20"/>
              <w:jc w:val="right"/>
            </w:pPr>
            <w:r>
              <w:rPr>
                <w:color w:val="1C3A36"/>
                <w:sz w:val="17"/>
              </w:rPr>
              <w:t>—</w:t>
            </w:r>
          </w:p>
        </w:tc>
        <w:tc>
          <w:tcPr>
            <w:tcW w:type="dxa" w:w="1728"/>
          </w:tcPr>
          <w:p>
            <w:pPr>
              <w:spacing w:after="20"/>
              <w:jc w:val="right"/>
            </w:pPr>
            <w:r>
              <w:rPr>
                <w:color w:val="1C3A36"/>
                <w:sz w:val="17"/>
              </w:rPr>
              <w:t>2.6%</w:t>
            </w:r>
          </w:p>
        </w:tc>
      </w:tr>
      <w:tr>
        <w:tc>
          <w:tcPr>
            <w:tcW w:type="dxa" w:w="2952"/>
          </w:tcPr>
          <w:p>
            <w:pPr>
              <w:spacing w:after="20"/>
            </w:pPr>
            <w:r>
              <w:rPr>
                <w:color w:val="1C3A36"/>
                <w:sz w:val="17"/>
              </w:rPr>
              <w:t>Herfy Food Services</w:t>
            </w:r>
          </w:p>
        </w:tc>
        <w:tc>
          <w:tcPr>
            <w:tcW w:type="dxa" w:w="1944"/>
          </w:tcPr>
          <w:p>
            <w:pPr>
              <w:spacing w:after="20"/>
              <w:jc w:val="right"/>
            </w:pPr>
            <w:r>
              <w:rPr>
                <w:color w:val="1C3A36"/>
                <w:sz w:val="17"/>
              </w:rPr>
              <w:t>Saudi Arabia</w:t>
            </w:r>
          </w:p>
        </w:tc>
        <w:tc>
          <w:tcPr>
            <w:tcW w:type="dxa" w:w="1584"/>
          </w:tcPr>
          <w:p>
            <w:pPr>
              <w:spacing w:after="20"/>
              <w:jc w:val="right"/>
            </w:pPr>
            <w:r>
              <w:rPr>
                <w:color w:val="1C3A36"/>
                <w:sz w:val="17"/>
              </w:rPr>
              <w:t>17.6x</w:t>
            </w:r>
          </w:p>
        </w:tc>
        <w:tc>
          <w:tcPr>
            <w:tcW w:type="dxa" w:w="1728"/>
          </w:tcPr>
          <w:p>
            <w:pPr>
              <w:spacing w:after="20"/>
              <w:jc w:val="right"/>
            </w:pPr>
            <w:r>
              <w:rPr>
                <w:color w:val="1C3A36"/>
                <w:sz w:val="17"/>
              </w:rPr>
              <w:t>—</w:t>
            </w:r>
          </w:p>
        </w:tc>
        <w:tc>
          <w:tcPr>
            <w:tcW w:type="dxa" w:w="1728"/>
          </w:tcPr>
          <w:p>
            <w:pPr>
              <w:spacing w:after="20"/>
              <w:jc w:val="right"/>
            </w:pPr>
            <w:r>
              <w:rPr>
                <w:color w:val="1C3A36"/>
                <w:sz w:val="17"/>
              </w:rPr>
              <w:t>7.6%</w:t>
            </w:r>
          </w:p>
        </w:tc>
      </w:tr>
      <w:tr>
        <w:tc>
          <w:tcPr>
            <w:tcW w:type="dxa" w:w="2952"/>
          </w:tcPr>
          <w:p>
            <w:pPr>
              <w:spacing w:after="20"/>
            </w:pPr>
            <w:r>
              <w:rPr>
                <w:color w:val="1C3A36"/>
                <w:sz w:val="17"/>
              </w:rPr>
              <w:t>Halwani Bros</w:t>
            </w:r>
          </w:p>
        </w:tc>
        <w:tc>
          <w:tcPr>
            <w:tcW w:type="dxa" w:w="1944"/>
          </w:tcPr>
          <w:p>
            <w:pPr>
              <w:spacing w:after="20"/>
              <w:jc w:val="right"/>
            </w:pPr>
            <w:r>
              <w:rPr>
                <w:color w:val="1C3A36"/>
                <w:sz w:val="17"/>
              </w:rPr>
              <w:t>Saudi Arabia</w:t>
            </w:r>
          </w:p>
        </w:tc>
        <w:tc>
          <w:tcPr>
            <w:tcW w:type="dxa" w:w="1584"/>
          </w:tcPr>
          <w:p>
            <w:pPr>
              <w:spacing w:after="20"/>
              <w:jc w:val="right"/>
            </w:pPr>
            <w:r>
              <w:rPr>
                <w:color w:val="1C3A36"/>
                <w:sz w:val="17"/>
              </w:rPr>
              <w:t>11.2x</w:t>
            </w:r>
          </w:p>
        </w:tc>
        <w:tc>
          <w:tcPr>
            <w:tcW w:type="dxa" w:w="1728"/>
          </w:tcPr>
          <w:p>
            <w:pPr>
              <w:spacing w:after="20"/>
              <w:jc w:val="right"/>
            </w:pPr>
            <w:r>
              <w:rPr>
                <w:color w:val="1C3A36"/>
                <w:sz w:val="17"/>
              </w:rPr>
              <w:t>23.1x</w:t>
            </w:r>
          </w:p>
        </w:tc>
        <w:tc>
          <w:tcPr>
            <w:tcW w:type="dxa" w:w="1728"/>
          </w:tcPr>
          <w:p>
            <w:pPr>
              <w:spacing w:after="20"/>
              <w:jc w:val="right"/>
            </w:pPr>
            <w:r>
              <w:rPr>
                <w:color w:val="1C3A36"/>
                <w:sz w:val="17"/>
              </w:rPr>
              <w:t>12.1%</w:t>
            </w:r>
          </w:p>
        </w:tc>
      </w:tr>
      <w:tr>
        <w:tc>
          <w:tcPr>
            <w:tcW w:type="dxa" w:w="2952"/>
          </w:tcPr>
          <w:p>
            <w:pPr>
              <w:spacing w:after="20"/>
            </w:pPr>
            <w:r>
              <w:rPr>
                <w:color w:val="1C3A36"/>
                <w:sz w:val="17"/>
              </w:rPr>
              <w:t>Alsea</w:t>
            </w:r>
          </w:p>
        </w:tc>
        <w:tc>
          <w:tcPr>
            <w:tcW w:type="dxa" w:w="1944"/>
          </w:tcPr>
          <w:p>
            <w:pPr>
              <w:spacing w:after="20"/>
              <w:jc w:val="right"/>
            </w:pPr>
            <w:r>
              <w:rPr>
                <w:color w:val="1C3A36"/>
                <w:sz w:val="17"/>
              </w:rPr>
              <w:t>Mexico</w:t>
            </w:r>
          </w:p>
        </w:tc>
        <w:tc>
          <w:tcPr>
            <w:tcW w:type="dxa" w:w="1584"/>
          </w:tcPr>
          <w:p>
            <w:pPr>
              <w:spacing w:after="20"/>
              <w:jc w:val="right"/>
            </w:pPr>
            <w:r>
              <w:rPr>
                <w:color w:val="1C3A36"/>
                <w:sz w:val="17"/>
              </w:rPr>
              <w:t>6.0x</w:t>
            </w:r>
          </w:p>
        </w:tc>
        <w:tc>
          <w:tcPr>
            <w:tcW w:type="dxa" w:w="1728"/>
          </w:tcPr>
          <w:p>
            <w:pPr>
              <w:spacing w:after="20"/>
              <w:jc w:val="right"/>
            </w:pPr>
            <w:r>
              <w:rPr>
                <w:color w:val="1C3A36"/>
                <w:sz w:val="17"/>
              </w:rPr>
              <w:t>16.4x</w:t>
            </w:r>
          </w:p>
        </w:tc>
        <w:tc>
          <w:tcPr>
            <w:tcW w:type="dxa" w:w="1728"/>
          </w:tcPr>
          <w:p>
            <w:pPr>
              <w:spacing w:after="20"/>
              <w:jc w:val="right"/>
            </w:pPr>
            <w:r>
              <w:rPr>
                <w:color w:val="1C3A36"/>
                <w:sz w:val="17"/>
              </w:rPr>
              <w:t>15.3%</w:t>
            </w:r>
          </w:p>
        </w:tc>
      </w:tr>
      <w:tr>
        <w:tc>
          <w:tcPr>
            <w:tcW w:type="dxa" w:w="2952"/>
          </w:tcPr>
          <w:p>
            <w:pPr>
              <w:spacing w:after="20"/>
            </w:pPr>
            <w:r>
              <w:rPr>
                <w:color w:val="1C3A36"/>
                <w:sz w:val="17"/>
              </w:rPr>
              <w:t>Jubilant FoodWorks</w:t>
            </w:r>
          </w:p>
        </w:tc>
        <w:tc>
          <w:tcPr>
            <w:tcW w:type="dxa" w:w="1944"/>
          </w:tcPr>
          <w:p>
            <w:pPr>
              <w:spacing w:after="20"/>
              <w:jc w:val="right"/>
            </w:pPr>
            <w:r>
              <w:rPr>
                <w:color w:val="1C3A36"/>
                <w:sz w:val="17"/>
              </w:rPr>
              <w:t>India</w:t>
            </w:r>
          </w:p>
        </w:tc>
        <w:tc>
          <w:tcPr>
            <w:tcW w:type="dxa" w:w="1584"/>
          </w:tcPr>
          <w:p>
            <w:pPr>
              <w:spacing w:after="20"/>
              <w:jc w:val="right"/>
            </w:pPr>
            <w:r>
              <w:rPr>
                <w:color w:val="1C3A36"/>
                <w:sz w:val="17"/>
              </w:rPr>
              <w:t>23.1x</w:t>
            </w:r>
          </w:p>
        </w:tc>
        <w:tc>
          <w:tcPr>
            <w:tcW w:type="dxa" w:w="1728"/>
          </w:tcPr>
          <w:p>
            <w:pPr>
              <w:spacing w:after="20"/>
              <w:jc w:val="right"/>
            </w:pPr>
            <w:r>
              <w:rPr>
                <w:color w:val="1C3A36"/>
                <w:sz w:val="17"/>
              </w:rPr>
              <w:t>85.5x</w:t>
            </w:r>
          </w:p>
        </w:tc>
        <w:tc>
          <w:tcPr>
            <w:tcW w:type="dxa" w:w="1728"/>
          </w:tcPr>
          <w:p>
            <w:pPr>
              <w:spacing w:after="20"/>
              <w:jc w:val="right"/>
            </w:pPr>
            <w:r>
              <w:rPr>
                <w:color w:val="1C3A36"/>
                <w:sz w:val="17"/>
              </w:rPr>
              <w:t>14.5%</w:t>
            </w:r>
          </w:p>
        </w:tc>
      </w:tr>
      <w:tr>
        <w:tc>
          <w:tcPr>
            <w:tcW w:type="dxa" w:w="2952"/>
          </w:tcPr>
          <w:p>
            <w:pPr>
              <w:spacing w:after="20"/>
            </w:pPr>
            <w:r>
              <w:rPr>
                <w:color w:val="1C3A36"/>
                <w:sz w:val="17"/>
              </w:rPr>
              <w:t>Devyani International</w:t>
            </w:r>
          </w:p>
        </w:tc>
        <w:tc>
          <w:tcPr>
            <w:tcW w:type="dxa" w:w="1944"/>
          </w:tcPr>
          <w:p>
            <w:pPr>
              <w:spacing w:after="20"/>
              <w:jc w:val="right"/>
            </w:pPr>
            <w:r>
              <w:rPr>
                <w:color w:val="1C3A36"/>
                <w:sz w:val="17"/>
              </w:rPr>
              <w:t>India</w:t>
            </w:r>
          </w:p>
        </w:tc>
        <w:tc>
          <w:tcPr>
            <w:tcW w:type="dxa" w:w="1584"/>
          </w:tcPr>
          <w:p>
            <w:pPr>
              <w:spacing w:after="20"/>
              <w:jc w:val="right"/>
            </w:pPr>
            <w:r>
              <w:rPr>
                <w:color w:val="1C3A36"/>
                <w:sz w:val="17"/>
              </w:rPr>
              <w:t>33.3x</w:t>
            </w:r>
          </w:p>
        </w:tc>
        <w:tc>
          <w:tcPr>
            <w:tcW w:type="dxa" w:w="1728"/>
          </w:tcPr>
          <w:p>
            <w:pPr>
              <w:spacing w:after="20"/>
              <w:jc w:val="right"/>
            </w:pPr>
            <w:r>
              <w:rPr>
                <w:color w:val="1C3A36"/>
                <w:sz w:val="17"/>
              </w:rPr>
              <w:t>—</w:t>
            </w:r>
          </w:p>
        </w:tc>
        <w:tc>
          <w:tcPr>
            <w:tcW w:type="dxa" w:w="1728"/>
          </w:tcPr>
          <w:p>
            <w:pPr>
              <w:spacing w:after="20"/>
              <w:jc w:val="right"/>
            </w:pPr>
            <w:r>
              <w:rPr>
                <w:color w:val="1C3A36"/>
                <w:sz w:val="17"/>
              </w:rPr>
              <w:t>10.4%</w:t>
            </w:r>
          </w:p>
        </w:tc>
      </w:tr>
      <w:tr>
        <w:tc>
          <w:tcPr>
            <w:tcW w:type="dxa" w:w="2952"/>
          </w:tcPr>
          <w:p>
            <w:pPr>
              <w:spacing w:after="20"/>
            </w:pPr>
            <w:r>
              <w:rPr>
                <w:color w:val="1C3A36"/>
                <w:sz w:val="17"/>
              </w:rPr>
              <w:t>Sapphire Foods</w:t>
            </w:r>
          </w:p>
        </w:tc>
        <w:tc>
          <w:tcPr>
            <w:tcW w:type="dxa" w:w="1944"/>
          </w:tcPr>
          <w:p>
            <w:pPr>
              <w:spacing w:after="20"/>
              <w:jc w:val="right"/>
            </w:pPr>
            <w:r>
              <w:rPr>
                <w:color w:val="1C3A36"/>
                <w:sz w:val="17"/>
              </w:rPr>
              <w:t>India</w:t>
            </w:r>
          </w:p>
        </w:tc>
        <w:tc>
          <w:tcPr>
            <w:tcW w:type="dxa" w:w="1584"/>
          </w:tcPr>
          <w:p>
            <w:pPr>
              <w:spacing w:after="20"/>
              <w:jc w:val="right"/>
            </w:pPr>
            <w:r>
              <w:rPr>
                <w:color w:val="1C3A36"/>
                <w:sz w:val="17"/>
              </w:rPr>
              <w:t>27.6x</w:t>
            </w:r>
          </w:p>
        </w:tc>
        <w:tc>
          <w:tcPr>
            <w:tcW w:type="dxa" w:w="1728"/>
          </w:tcPr>
          <w:p>
            <w:pPr>
              <w:spacing w:after="20"/>
              <w:jc w:val="right"/>
            </w:pPr>
            <w:r>
              <w:rPr>
                <w:color w:val="1C3A36"/>
                <w:sz w:val="17"/>
              </w:rPr>
              <w:t>—</w:t>
            </w:r>
          </w:p>
        </w:tc>
        <w:tc>
          <w:tcPr>
            <w:tcW w:type="dxa" w:w="1728"/>
          </w:tcPr>
          <w:p>
            <w:pPr>
              <w:spacing w:after="20"/>
              <w:jc w:val="right"/>
            </w:pPr>
            <w:r>
              <w:rPr>
                <w:color w:val="1C3A36"/>
                <w:sz w:val="17"/>
              </w:rPr>
              <w:t>9.5%</w:t>
            </w:r>
          </w:p>
        </w:tc>
      </w:tr>
      <w:tr>
        <w:tc>
          <w:tcPr>
            <w:tcW w:type="dxa" w:w="2952"/>
          </w:tcPr>
          <w:p>
            <w:pPr>
              <w:spacing w:after="20"/>
            </w:pPr>
            <w:r>
              <w:rPr>
                <w:color w:val="1C3A36"/>
                <w:sz w:val="17"/>
              </w:rPr>
              <w:t>Yum! Brands</w:t>
            </w:r>
          </w:p>
        </w:tc>
        <w:tc>
          <w:tcPr>
            <w:tcW w:type="dxa" w:w="1944"/>
          </w:tcPr>
          <w:p>
            <w:pPr>
              <w:spacing w:after="20"/>
              <w:jc w:val="right"/>
            </w:pPr>
            <w:r>
              <w:rPr>
                <w:color w:val="1C3A36"/>
                <w:sz w:val="17"/>
              </w:rPr>
              <w:t>United States</w:t>
            </w:r>
          </w:p>
        </w:tc>
        <w:tc>
          <w:tcPr>
            <w:tcW w:type="dxa" w:w="1584"/>
          </w:tcPr>
          <w:p>
            <w:pPr>
              <w:spacing w:after="20"/>
              <w:jc w:val="right"/>
            </w:pPr>
            <w:r>
              <w:rPr>
                <w:color w:val="1C3A36"/>
                <w:sz w:val="17"/>
              </w:rPr>
              <w:t>17.6x</w:t>
            </w:r>
          </w:p>
        </w:tc>
        <w:tc>
          <w:tcPr>
            <w:tcW w:type="dxa" w:w="1728"/>
          </w:tcPr>
          <w:p>
            <w:pPr>
              <w:spacing w:after="20"/>
              <w:jc w:val="right"/>
            </w:pPr>
            <w:r>
              <w:rPr>
                <w:color w:val="1C3A36"/>
                <w:sz w:val="17"/>
              </w:rPr>
              <w:t>19.0x</w:t>
            </w:r>
          </w:p>
        </w:tc>
        <w:tc>
          <w:tcPr>
            <w:tcW w:type="dxa" w:w="1728"/>
          </w:tcPr>
          <w:p>
            <w:pPr>
              <w:spacing w:after="20"/>
              <w:jc w:val="right"/>
            </w:pPr>
            <w:r>
              <w:rPr>
                <w:color w:val="1C3A36"/>
                <w:sz w:val="17"/>
              </w:rPr>
              <w:t>35.2%</w:t>
            </w:r>
          </w:p>
        </w:tc>
      </w:tr>
      <w:tr>
        <w:tc>
          <w:tcPr>
            <w:tcW w:type="dxa" w:w="2952"/>
          </w:tcPr>
          <w:p>
            <w:pPr>
              <w:spacing w:after="20"/>
            </w:pPr>
            <w:r>
              <w:rPr>
                <w:color w:val="1C3A36"/>
                <w:sz w:val="17"/>
              </w:rPr>
              <w:t>Yum China</w:t>
            </w:r>
          </w:p>
        </w:tc>
        <w:tc>
          <w:tcPr>
            <w:tcW w:type="dxa" w:w="1944"/>
          </w:tcPr>
          <w:p>
            <w:pPr>
              <w:spacing w:after="20"/>
              <w:jc w:val="right"/>
            </w:pPr>
            <w:r>
              <w:rPr>
                <w:color w:val="1C3A36"/>
                <w:sz w:val="17"/>
              </w:rPr>
              <w:t>China</w:t>
            </w:r>
          </w:p>
        </w:tc>
        <w:tc>
          <w:tcPr>
            <w:tcW w:type="dxa" w:w="1584"/>
          </w:tcPr>
          <w:p>
            <w:pPr>
              <w:spacing w:after="20"/>
              <w:jc w:val="right"/>
            </w:pPr>
            <w:r>
              <w:rPr>
                <w:color w:val="1C3A36"/>
                <w:sz w:val="17"/>
              </w:rPr>
              <w:t>9.5x</w:t>
            </w:r>
          </w:p>
        </w:tc>
        <w:tc>
          <w:tcPr>
            <w:tcW w:type="dxa" w:w="1728"/>
          </w:tcPr>
          <w:p>
            <w:pPr>
              <w:spacing w:after="20"/>
              <w:jc w:val="right"/>
            </w:pPr>
            <w:r>
              <w:rPr>
                <w:color w:val="1C3A36"/>
                <w:sz w:val="17"/>
              </w:rPr>
              <w:t>17.5x</w:t>
            </w:r>
          </w:p>
        </w:tc>
        <w:tc>
          <w:tcPr>
            <w:tcW w:type="dxa" w:w="1728"/>
          </w:tcPr>
          <w:p>
            <w:pPr>
              <w:spacing w:after="20"/>
              <w:jc w:val="right"/>
            </w:pPr>
            <w:r>
              <w:rPr>
                <w:color w:val="1C3A36"/>
                <w:sz w:val="17"/>
              </w:rPr>
              <w:t>15.1%</w:t>
            </w:r>
          </w:p>
        </w:tc>
      </w:tr>
      <w:tr>
        <w:tc>
          <w:tcPr>
            <w:tcW w:type="dxa" w:w="2952"/>
          </w:tcPr>
          <w:p>
            <w:pPr>
              <w:spacing w:after="20"/>
            </w:pPr>
            <w:r>
              <w:rPr>
                <w:color w:val="1C3A36"/>
                <w:sz w:val="17"/>
              </w:rPr>
              <w:t>Restaurant Brands Intl.</w:t>
            </w:r>
          </w:p>
        </w:tc>
        <w:tc>
          <w:tcPr>
            <w:tcW w:type="dxa" w:w="1944"/>
          </w:tcPr>
          <w:p>
            <w:pPr>
              <w:spacing w:after="20"/>
              <w:jc w:val="right"/>
            </w:pPr>
            <w:r>
              <w:rPr>
                <w:color w:val="1C3A36"/>
                <w:sz w:val="17"/>
              </w:rPr>
              <w:t>Canada</w:t>
            </w:r>
          </w:p>
        </w:tc>
        <w:tc>
          <w:tcPr>
            <w:tcW w:type="dxa" w:w="1584"/>
          </w:tcPr>
          <w:p>
            <w:pPr>
              <w:spacing w:after="20"/>
              <w:jc w:val="right"/>
            </w:pPr>
            <w:r>
              <w:rPr>
                <w:color w:val="1C3A36"/>
                <w:sz w:val="17"/>
              </w:rPr>
              <w:t>14.3x</w:t>
            </w:r>
          </w:p>
        </w:tc>
        <w:tc>
          <w:tcPr>
            <w:tcW w:type="dxa" w:w="1728"/>
          </w:tcPr>
          <w:p>
            <w:pPr>
              <w:spacing w:after="20"/>
              <w:jc w:val="right"/>
            </w:pPr>
            <w:r>
              <w:rPr>
                <w:color w:val="1C3A36"/>
                <w:sz w:val="17"/>
              </w:rPr>
              <w:t>18.6x</w:t>
            </w:r>
          </w:p>
        </w:tc>
        <w:tc>
          <w:tcPr>
            <w:tcW w:type="dxa" w:w="1728"/>
          </w:tcPr>
          <w:p>
            <w:pPr>
              <w:spacing w:after="20"/>
              <w:jc w:val="right"/>
            </w:pPr>
            <w:r>
              <w:rPr>
                <w:color w:val="1C3A36"/>
                <w:sz w:val="17"/>
              </w:rPr>
              <w:t>30.1%</w:t>
            </w:r>
          </w:p>
        </w:tc>
      </w:tr>
      <w:tr>
        <w:tc>
          <w:tcPr>
            <w:tcW w:type="dxa" w:w="2952"/>
          </w:tcPr>
          <w:p>
            <w:pPr>
              <w:spacing w:after="20"/>
            </w:pPr>
            <w:r>
              <w:rPr>
                <w:color w:val="1C3A36"/>
                <w:sz w:val="17"/>
              </w:rPr>
              <w:t>Domino's Pizza</w:t>
            </w:r>
          </w:p>
        </w:tc>
        <w:tc>
          <w:tcPr>
            <w:tcW w:type="dxa" w:w="1944"/>
          </w:tcPr>
          <w:p>
            <w:pPr>
              <w:spacing w:after="20"/>
              <w:jc w:val="right"/>
            </w:pPr>
            <w:r>
              <w:rPr>
                <w:color w:val="1C3A36"/>
                <w:sz w:val="17"/>
              </w:rPr>
              <w:t>United States</w:t>
            </w:r>
          </w:p>
        </w:tc>
        <w:tc>
          <w:tcPr>
            <w:tcW w:type="dxa" w:w="1584"/>
          </w:tcPr>
          <w:p>
            <w:pPr>
              <w:spacing w:after="20"/>
              <w:jc w:val="right"/>
            </w:pPr>
            <w:r>
              <w:rPr>
                <w:color w:val="1C3A36"/>
                <w:sz w:val="17"/>
              </w:rPr>
              <w:t>16.2x</w:t>
            </w:r>
          </w:p>
        </w:tc>
        <w:tc>
          <w:tcPr>
            <w:tcW w:type="dxa" w:w="1728"/>
          </w:tcPr>
          <w:p>
            <w:pPr>
              <w:spacing w:after="20"/>
              <w:jc w:val="right"/>
            </w:pPr>
            <w:r>
              <w:rPr>
                <w:color w:val="1C3A36"/>
                <w:sz w:val="17"/>
              </w:rPr>
              <w:t>19.9x</w:t>
            </w:r>
          </w:p>
        </w:tc>
        <w:tc>
          <w:tcPr>
            <w:tcW w:type="dxa" w:w="1728"/>
          </w:tcPr>
          <w:p>
            <w:pPr>
              <w:spacing w:after="20"/>
              <w:jc w:val="right"/>
            </w:pPr>
            <w:r>
              <w:rPr>
                <w:color w:val="1C3A36"/>
                <w:sz w:val="17"/>
              </w:rPr>
              <w:t>20.4%</w:t>
            </w:r>
          </w:p>
        </w:tc>
      </w:tr>
      <w:tr>
        <w:tc>
          <w:tcPr>
            <w:tcW w:type="dxa" w:w="2952"/>
            <w:shd w:val="clear" w:color="auto" w:fill="F6F1E6"/>
          </w:tcPr>
          <w:p>
            <w:pPr>
              <w:spacing w:after="20"/>
            </w:pPr>
            <w:r>
              <w:rPr>
                <w:b/>
                <w:color w:val="1C3A36"/>
                <w:sz w:val="17"/>
              </w:rPr>
              <w:t>Peer median (usable comparators)</w:t>
            </w:r>
          </w:p>
        </w:tc>
        <w:tc>
          <w:tcPr>
            <w:tcW w:type="dxa" w:w="1944"/>
            <w:shd w:val="clear" w:color="auto" w:fill="F6F1E6"/>
          </w:tcPr>
          <w:p>
            <w:pPr>
              <w:spacing w:after="20"/>
              <w:jc w:val="right"/>
            </w:pPr>
            <w:r>
              <w:rPr>
                <w:b/>
                <w:color w:val="1C3A36"/>
                <w:sz w:val="17"/>
              </w:rPr>
              <w:t>—</w:t>
            </w:r>
          </w:p>
        </w:tc>
        <w:tc>
          <w:tcPr>
            <w:tcW w:type="dxa" w:w="1584"/>
            <w:shd w:val="clear" w:color="auto" w:fill="F6F1E6"/>
          </w:tcPr>
          <w:p>
            <w:pPr>
              <w:spacing w:after="20"/>
              <w:jc w:val="right"/>
            </w:pPr>
            <w:r>
              <w:rPr>
                <w:b/>
                <w:color w:val="1C3A36"/>
                <w:sz w:val="17"/>
              </w:rPr>
              <w:t>16.9x</w:t>
            </w:r>
          </w:p>
        </w:tc>
        <w:tc>
          <w:tcPr>
            <w:tcW w:type="dxa" w:w="1728"/>
            <w:shd w:val="clear" w:color="auto" w:fill="F6F1E6"/>
          </w:tcPr>
          <w:p>
            <w:pPr>
              <w:spacing w:after="20"/>
              <w:jc w:val="right"/>
            </w:pPr>
            <w:r>
              <w:rPr>
                <w:b/>
                <w:color w:val="1C3A36"/>
                <w:sz w:val="17"/>
              </w:rPr>
              <w:t>18.8x</w:t>
            </w:r>
          </w:p>
        </w:tc>
        <w:tc>
          <w:tcPr>
            <w:tcW w:type="dxa" w:w="1728"/>
            <w:shd w:val="clear" w:color="auto" w:fill="F6F1E6"/>
          </w:tcPr>
          <w:p>
            <w:pPr>
              <w:spacing w:after="20"/>
              <w:jc w:val="right"/>
            </w:pPr>
            <w:r>
              <w:rPr>
                <w:b/>
                <w:color w:val="1C3A36"/>
                <w:sz w:val="17"/>
              </w:rPr>
              <w:t>—</w:t>
            </w:r>
          </w:p>
        </w:tc>
      </w:tr>
      <w:tr>
        <w:tc>
          <w:tcPr>
            <w:tcW w:type="dxa" w:w="2952"/>
            <w:shd w:val="clear" w:color="auto" w:fill="F6F1E6"/>
          </w:tcPr>
          <w:p>
            <w:pPr>
              <w:spacing w:after="20"/>
            </w:pPr>
            <w:r>
              <w:rPr>
                <w:b/>
                <w:color w:val="1C3A36"/>
                <w:sz w:val="17"/>
              </w:rPr>
              <w:t>Americana, FY2025 (the peers are as-published trailing figures)</w:t>
            </w:r>
          </w:p>
        </w:tc>
        <w:tc>
          <w:tcPr>
            <w:tcW w:type="dxa" w:w="1944"/>
            <w:shd w:val="clear" w:color="auto" w:fill="F6F1E6"/>
          </w:tcPr>
          <w:p>
            <w:pPr>
              <w:spacing w:after="20"/>
              <w:jc w:val="right"/>
            </w:pPr>
            <w:r>
              <w:rPr>
                <w:b/>
                <w:color w:val="1C3A36"/>
                <w:sz w:val="17"/>
              </w:rPr>
              <w:t>United Arab Emirates</w:t>
            </w:r>
          </w:p>
        </w:tc>
        <w:tc>
          <w:tcPr>
            <w:tcW w:type="dxa" w:w="1584"/>
            <w:shd w:val="clear" w:color="auto" w:fill="F6F1E6"/>
          </w:tcPr>
          <w:p>
            <w:pPr>
              <w:spacing w:after="20"/>
              <w:jc w:val="right"/>
            </w:pPr>
            <w:r>
              <w:rPr>
                <w:b/>
                <w:color w:val="1C3A36"/>
                <w:sz w:val="17"/>
              </w:rPr>
              <w:t>9.5x</w:t>
            </w:r>
          </w:p>
        </w:tc>
        <w:tc>
          <w:tcPr>
            <w:tcW w:type="dxa" w:w="1728"/>
            <w:shd w:val="clear" w:color="auto" w:fill="F6F1E6"/>
          </w:tcPr>
          <w:p>
            <w:pPr>
              <w:spacing w:after="20"/>
              <w:jc w:val="right"/>
            </w:pPr>
            <w:r>
              <w:rPr>
                <w:b/>
                <w:color w:val="1C3A36"/>
                <w:sz w:val="17"/>
              </w:rPr>
              <w:t>24.9x</w:t>
            </w:r>
          </w:p>
        </w:tc>
        <w:tc>
          <w:tcPr>
            <w:tcW w:type="dxa" w:w="1728"/>
            <w:shd w:val="clear" w:color="auto" w:fill="F6F1E6"/>
          </w:tcPr>
          <w:p>
            <w:pPr>
              <w:spacing w:after="20"/>
              <w:jc w:val="right"/>
            </w:pPr>
            <w:r>
              <w:rPr>
                <w:b/>
                <w:color w:val="1C3A36"/>
                <w:sz w:val="17"/>
              </w:rPr>
              <w:t>23.7%</w:t>
            </w:r>
          </w:p>
        </w:tc>
      </w:tr>
    </w:tbl>
    <w:p>
      <w:pPr>
        <w:spacing w:after="40"/>
      </w:pPr>
    </w:p>
    <w:p>
      <w:pPr>
        <w:spacing w:after="200" w:before="0"/>
      </w:pPr>
      <w:r>
        <w:rPr>
          <w:b w:val="0"/>
          <w:i/>
          <w:color w:val="6E7B77"/>
          <w:sz w:val="17"/>
        </w:rPr>
        <w:t>Outside market data as published by the aggregator, retrieved 9 August 2026. The medians take every row inside a stated band — 4 to 40 times for enterprise value to EBITDA, 5 to 45 times for price to earnings — which excludes one arithmetic artefact each (a peer on a depressed-earnings year whose multiple is noise, and one whose published figure appears to carry a basis error). The Indian franchisees' figures may sit on a pre-lease-capitalisation basis; the comparison is treated as indicative only. This table ANCHORS the two justified multiples — it is the reason 8.5 and 17 times sit below the medians — but no figure in it sources any number Americana itself reports.</w:t>
      </w:r>
    </w:p>
    <w:p>
      <w:pPr>
        <w:spacing w:after="120" w:before="0"/>
      </w:pPr>
      <w:r>
        <w:rPr>
          <w:b w:val="0"/>
          <w:i w:val="0"/>
          <w:color w:val="1C3A36"/>
          <w:sz w:val="21"/>
        </w:rPr>
        <w:t>The lens applies 8.5 times forward EBITDA — below the peer median — discounts the resulting enterprise value back one year, adds the intervening free cash flow and runs the same bridge. That gives AED 2.56 a share. The discount to the peer median is deliberate: Americana is the operator, it pays the royalty rather than receiving it, and it carries the whole lease estate on its balance sheet.</w:t>
      </w:r>
    </w:p>
    <w:p>
      <w:pPr>
        <w:spacing w:after="80" w:before="200"/>
      </w:pPr>
      <w:r>
        <w:rPr>
          <w:b/>
          <w:i w:val="0"/>
          <w:color w:val="1C3A36"/>
          <w:sz w:val="24"/>
        </w:rPr>
        <w:t>1.4  Normalised earnings power</w:t>
      </w:r>
    </w:p>
    <w:p>
      <w:pPr>
        <w:spacing w:after="120" w:before="0"/>
      </w:pPr>
      <w:r>
        <w:rPr>
          <w:b w:val="0"/>
          <w:i w:val="0"/>
          <w:color w:val="1C3A36"/>
          <w:sz w:val="21"/>
        </w:rPr>
        <w:t>This lens strips out growth and asks what the company earns at today's scale on a mid-cycle margin — and mid-cycle here means the MIDPOINT of the structural and cyclical FY2028 readings, 24.6%, not the structural path alone, which sits above every margin the company has ever recorded. Revenue at the FY2026 level of USD 2,787 million on that margin, depreciation, the recurring impairment charge and the full net finance result as they stand, taxed at 15.0% (the FY2027 rate on the rising path), gives normalised earnings of USD 273 million, or USD 0.0326 a share. At 17 times — just below the usable peer median — that is AED 2.07.</w:t>
      </w:r>
    </w:p>
    <w:p>
      <w:pPr>
        <w:spacing w:after="80" w:before="200"/>
      </w:pPr>
      <w:r>
        <w:rPr>
          <w:b/>
          <w:i w:val="0"/>
          <w:color w:val="1C3A36"/>
          <w:sz w:val="24"/>
        </w:rPr>
        <w:t>1.5  Synthesis — four lenses, one field</w:t>
      </w:r>
    </w:p>
    <w:p>
      <w:pPr>
        <w:spacing w:after="40"/>
        <w:jc w:val="center"/>
      </w:pPr>
      <w:r>
        <w:drawing>
          <wp:inline xmlns:a="http://schemas.openxmlformats.org/drawingml/2006/main" xmlns:pic="http://schemas.openxmlformats.org/drawingml/2006/picture">
            <wp:extent cx="6217920" cy="2918616"/>
            <wp:docPr id="2" name="Picture 2"/>
            <wp:cNvGraphicFramePr>
              <a:graphicFrameLocks noChangeAspect="1"/>
            </wp:cNvGraphicFramePr>
            <a:graphic>
              <a:graphicData uri="http://schemas.openxmlformats.org/drawingml/2006/picture">
                <pic:pic>
                  <pic:nvPicPr>
                    <pic:cNvPr id="0" name="fig1_lenses.png"/>
                    <pic:cNvPicPr/>
                  </pic:nvPicPr>
                  <pic:blipFill>
                    <a:blip r:embed="rId10"/>
                    <a:stretch>
                      <a:fillRect/>
                    </a:stretch>
                  </pic:blipFill>
                  <pic:spPr>
                    <a:xfrm>
                      <a:off x="0" y="0"/>
                      <a:ext cx="6217920" cy="2918616"/>
                    </a:xfrm>
                    <a:prstGeom prst="rect"/>
                  </pic:spPr>
                </pic:pic>
              </a:graphicData>
            </a:graphic>
          </wp:inline>
        </w:drawing>
      </w:r>
    </w:p>
    <w:p>
      <w:pPr>
        <w:spacing w:after="200" w:before="0"/>
      </w:pPr>
      <w:r>
        <w:rPr>
          <w:b w:val="0"/>
          <w:i/>
          <w:color w:val="6E7B77"/>
          <w:sz w:val="17"/>
        </w:rPr>
        <w:t>Each lens with its bear and bull bounds, and the market price. The bounds on the cash-flow lens are complete re-runs of the model, not one input flexed.</w:t>
      </w:r>
    </w:p>
    <w:p>
      <w:pPr>
        <w:spacing w:after="120" w:before="0"/>
      </w:pPr>
      <w:r>
        <w:rPr>
          <w:b w:val="0"/>
          <w:i w:val="0"/>
          <w:color w:val="1C3A36"/>
          <w:sz w:val="21"/>
        </w:rPr>
        <w:t>The three earnings-based lenses cluster between AED 2.07 and AED 2.56. The book lens sits far below them and is the outlier, for the reason given above. The weighted central value is AED 2.14.</w:t>
      </w:r>
    </w:p>
    <w:p>
      <w:pPr>
        <w:spacing w:after="80" w:before="200"/>
      </w:pPr>
      <w:r>
        <w:rPr>
          <w:b/>
          <w:i w:val="0"/>
          <w:color w:val="1C3A36"/>
          <w:sz w:val="24"/>
        </w:rPr>
        <w:t>1.6  The drivers — how revenue and cost are actually built</w:t>
      </w:r>
    </w:p>
    <w:p>
      <w:pPr>
        <w:spacing w:after="120" w:before="0"/>
      </w:pPr>
      <w:r>
        <w:rPr>
          <w:b w:val="0"/>
          <w:i w:val="0"/>
          <w:color w:val="1C3A36"/>
          <w:sz w:val="21"/>
        </w:rPr>
        <w:t>Revenue is not one growth rate. The company publishes its restaurant count country by country at each period end, and publishes segment revenue for the same units, so revenue is built as restaurants times revenue per restaurant across seven market units. The restaurant count grows on the company's own net-new-store programme; the revenue per restaurant grows on disclosed like-for-like sales growth, less a currency drag applied only in Egypt and the Kazakhstan-led group of markets, whose currencies are not pegged. The build reproduces reported revenue exactly in all three audited years, which is the test of whether it is a model or a decoration.</w:t>
      </w:r>
    </w:p>
    <w:p>
      <w:pPr>
        <w:spacing w:after="40"/>
        <w:jc w:val="center"/>
      </w:pPr>
      <w:r>
        <w:drawing>
          <wp:inline xmlns:a="http://schemas.openxmlformats.org/drawingml/2006/main" xmlns:pic="http://schemas.openxmlformats.org/drawingml/2006/picture">
            <wp:extent cx="6217920" cy="2664823"/>
            <wp:docPr id="3" name="Picture 3"/>
            <wp:cNvGraphicFramePr>
              <a:graphicFrameLocks noChangeAspect="1"/>
            </wp:cNvGraphicFramePr>
            <a:graphic>
              <a:graphicData uri="http://schemas.openxmlformats.org/drawingml/2006/picture">
                <pic:pic>
                  <pic:nvPicPr>
                    <pic:cNvPr id="0" name="fig7_build.png"/>
                    <pic:cNvPicPr/>
                  </pic:nvPicPr>
                  <pic:blipFill>
                    <a:blip r:embed="rId11"/>
                    <a:stretch>
                      <a:fillRect/>
                    </a:stretch>
                  </pic:blipFill>
                  <pic:spPr>
                    <a:xfrm>
                      <a:off x="0" y="0"/>
                      <a:ext cx="6217920" cy="2664823"/>
                    </a:xfrm>
                    <a:prstGeom prst="rect"/>
                  </pic:spPr>
                </pic:pic>
              </a:graphicData>
            </a:graphic>
          </wp:inline>
        </w:drawing>
      </w:r>
    </w:p>
    <w:p>
      <w:pPr>
        <w:spacing w:after="200" w:before="0"/>
      </w:pPr>
      <w:r>
        <w:rPr>
          <w:b w:val="0"/>
          <w:i/>
          <w:color w:val="6E7B77"/>
          <w:sz w:val="17"/>
        </w:rPr>
        <w:t>Revenue and the restaurant estate. Both sides of the volume-times-price build move, and both are shown.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17"/>
        <w:gridCol w:w="4947"/>
        <w:gridCol w:w="1222"/>
        <w:gridCol w:w="1222"/>
      </w:tblGrid>
      <w:tr>
        <w:tc>
          <w:tcPr>
            <w:tcW w:type="dxa" w:w="2617"/>
            <w:shd w:val="clear" w:color="auto" w:fill="EAF0EE"/>
          </w:tcPr>
          <w:p>
            <w:pPr>
              <w:spacing w:after="20"/>
            </w:pPr>
            <w:r>
              <w:rPr>
                <w:b/>
                <w:color w:val="1C3A36"/>
                <w:sz w:val="18"/>
              </w:rPr>
              <w:t>Driver</w:t>
            </w:r>
          </w:p>
        </w:tc>
        <w:tc>
          <w:tcPr>
            <w:tcW w:type="dxa" w:w="4947"/>
            <w:shd w:val="clear" w:color="auto" w:fill="EAF0EE"/>
          </w:tcPr>
          <w:p>
            <w:pPr>
              <w:spacing w:after="20"/>
            </w:pPr>
            <w:r>
              <w:rPr>
                <w:b/>
                <w:color w:val="1C3A36"/>
                <w:sz w:val="18"/>
              </w:rPr>
              <w:t>How it is set</w:t>
            </w:r>
          </w:p>
        </w:tc>
        <w:tc>
          <w:tcPr>
            <w:tcW w:type="dxa" w:w="1222"/>
            <w:shd w:val="clear" w:color="auto" w:fill="EAF0EE"/>
          </w:tcPr>
          <w:p>
            <w:pPr>
              <w:spacing w:after="20"/>
            </w:pPr>
            <w:r>
              <w:rPr>
                <w:b/>
                <w:color w:val="1C3A36"/>
                <w:sz w:val="18"/>
              </w:rPr>
              <w:t>FY2026E</w:t>
            </w:r>
          </w:p>
        </w:tc>
        <w:tc>
          <w:tcPr>
            <w:tcW w:type="dxa" w:w="1222"/>
            <w:shd w:val="clear" w:color="auto" w:fill="EAF0EE"/>
          </w:tcPr>
          <w:p>
            <w:pPr>
              <w:spacing w:after="20"/>
            </w:pPr>
            <w:r>
              <w:rPr>
                <w:b/>
                <w:color w:val="1C3A36"/>
                <w:sz w:val="18"/>
              </w:rPr>
              <w:t>FY2030E</w:t>
            </w:r>
          </w:p>
        </w:tc>
      </w:tr>
      <w:tr>
        <w:tc>
          <w:tcPr>
            <w:tcW w:type="dxa" w:w="2617"/>
          </w:tcPr>
          <w:p>
            <w:pPr>
              <w:spacing w:after="20"/>
            </w:pPr>
            <w:r>
              <w:rPr>
                <w:color w:val="1C3A36"/>
                <w:sz w:val="18"/>
              </w:rPr>
              <w:t>Net new restaurants</w:t>
            </w:r>
          </w:p>
        </w:tc>
        <w:tc>
          <w:tcPr>
            <w:tcW w:type="dxa" w:w="4947"/>
          </w:tcPr>
          <w:p>
            <w:pPr>
              <w:spacing w:after="20"/>
              <w:jc w:val="right"/>
            </w:pPr>
            <w:r>
              <w:rPr>
                <w:color w:val="1C3A36"/>
                <w:sz w:val="18"/>
              </w:rPr>
              <w:t>the 125 midpoint of the company's guidance for 2026, then 130, 130, 125, 120 — a two-year rise before the taper. The estate SHRANK by three in the first half of 2026, so the full-year guide needs about 128 net openings in the second half; the company reaffirmed it on 28 July</w:t>
            </w:r>
          </w:p>
        </w:tc>
        <w:tc>
          <w:tcPr>
            <w:tcW w:type="dxa" w:w="1222"/>
          </w:tcPr>
          <w:p>
            <w:pPr>
              <w:spacing w:after="20"/>
              <w:jc w:val="right"/>
            </w:pPr>
            <w:r>
              <w:rPr>
                <w:color w:val="1C3A36"/>
                <w:sz w:val="18"/>
              </w:rPr>
              <w:t>125</w:t>
            </w:r>
          </w:p>
        </w:tc>
        <w:tc>
          <w:tcPr>
            <w:tcW w:type="dxa" w:w="1222"/>
          </w:tcPr>
          <w:p>
            <w:pPr>
              <w:spacing w:after="20"/>
              <w:jc w:val="right"/>
            </w:pPr>
            <w:r>
              <w:rPr>
                <w:color w:val="1C3A36"/>
                <w:sz w:val="18"/>
              </w:rPr>
              <w:t>120</w:t>
            </w:r>
          </w:p>
        </w:tc>
      </w:tr>
      <w:tr>
        <w:tc>
          <w:tcPr>
            <w:tcW w:type="dxa" w:w="2617"/>
          </w:tcPr>
          <w:p>
            <w:pPr>
              <w:spacing w:after="20"/>
            </w:pPr>
            <w:r>
              <w:rPr>
                <w:color w:val="1C3A36"/>
                <w:sz w:val="18"/>
              </w:rPr>
              <w:t>Like-for-like sales growth</w:t>
            </w:r>
          </w:p>
        </w:tc>
        <w:tc>
          <w:tcPr>
            <w:tcW w:type="dxa" w:w="4947"/>
          </w:tcPr>
          <w:p>
            <w:pPr>
              <w:spacing w:after="20"/>
              <w:jc w:val="right"/>
            </w:pPr>
            <w:r>
              <w:rPr>
                <w:color w:val="1C3A36"/>
                <w:sz w:val="18"/>
              </w:rPr>
              <w:t>set just below the 6.3% delivered in the first half of 2026, converging on long-run inflation in the pegged markets</w:t>
            </w:r>
          </w:p>
        </w:tc>
        <w:tc>
          <w:tcPr>
            <w:tcW w:type="dxa" w:w="1222"/>
          </w:tcPr>
          <w:p>
            <w:pPr>
              <w:spacing w:after="20"/>
              <w:jc w:val="right"/>
            </w:pPr>
            <w:r>
              <w:rPr>
                <w:color w:val="1C3A36"/>
                <w:sz w:val="18"/>
              </w:rPr>
              <w:t>5.5%</w:t>
            </w:r>
          </w:p>
        </w:tc>
        <w:tc>
          <w:tcPr>
            <w:tcW w:type="dxa" w:w="1222"/>
          </w:tcPr>
          <w:p>
            <w:pPr>
              <w:spacing w:after="20"/>
              <w:jc w:val="right"/>
            </w:pPr>
            <w:r>
              <w:rPr>
                <w:color w:val="1C3A36"/>
                <w:sz w:val="18"/>
              </w:rPr>
              <w:t>3.5%</w:t>
            </w:r>
          </w:p>
        </w:tc>
      </w:tr>
      <w:tr>
        <w:tc>
          <w:tcPr>
            <w:tcW w:type="dxa" w:w="2617"/>
          </w:tcPr>
          <w:p>
            <w:pPr>
              <w:spacing w:after="20"/>
            </w:pPr>
            <w:r>
              <w:rPr>
                <w:color w:val="1C3A36"/>
                <w:sz w:val="18"/>
              </w:rPr>
              <w:t>Restaurants at year end</w:t>
            </w:r>
          </w:p>
        </w:tc>
        <w:tc>
          <w:tcPr>
            <w:tcW w:type="dxa" w:w="4947"/>
          </w:tcPr>
          <w:p>
            <w:pPr>
              <w:spacing w:after="20"/>
              <w:jc w:val="right"/>
            </w:pPr>
            <w:r>
              <w:rPr>
                <w:color w:val="1C3A36"/>
                <w:sz w:val="18"/>
              </w:rPr>
              <w:t>an output of the two rows above</w:t>
            </w:r>
          </w:p>
        </w:tc>
        <w:tc>
          <w:tcPr>
            <w:tcW w:type="dxa" w:w="1222"/>
          </w:tcPr>
          <w:p>
            <w:pPr>
              <w:spacing w:after="20"/>
              <w:jc w:val="right"/>
            </w:pPr>
            <w:r>
              <w:rPr>
                <w:color w:val="1C3A36"/>
                <w:sz w:val="18"/>
              </w:rPr>
              <w:t>2,874</w:t>
            </w:r>
          </w:p>
        </w:tc>
        <w:tc>
          <w:tcPr>
            <w:tcW w:type="dxa" w:w="1222"/>
          </w:tcPr>
          <w:p>
            <w:pPr>
              <w:spacing w:after="20"/>
              <w:jc w:val="right"/>
            </w:pPr>
            <w:r>
              <w:rPr>
                <w:color w:val="1C3A36"/>
                <w:sz w:val="18"/>
              </w:rPr>
              <w:t>3,379</w:t>
            </w:r>
          </w:p>
        </w:tc>
      </w:tr>
      <w:tr>
        <w:tc>
          <w:tcPr>
            <w:tcW w:type="dxa" w:w="2617"/>
          </w:tcPr>
          <w:p>
            <w:pPr>
              <w:spacing w:after="20"/>
            </w:pPr>
            <w:r>
              <w:rPr>
                <w:color w:val="1C3A36"/>
                <w:sz w:val="18"/>
              </w:rPr>
              <w:t>Revenue (USD m)</w:t>
            </w:r>
          </w:p>
        </w:tc>
        <w:tc>
          <w:tcPr>
            <w:tcW w:type="dxa" w:w="4947"/>
          </w:tcPr>
          <w:p>
            <w:pPr>
              <w:spacing w:after="20"/>
              <w:jc w:val="right"/>
            </w:pPr>
            <w:r>
              <w:rPr>
                <w:color w:val="1C3A36"/>
                <w:sz w:val="18"/>
              </w:rPr>
              <w:t>an output</w:t>
            </w:r>
          </w:p>
        </w:tc>
        <w:tc>
          <w:tcPr>
            <w:tcW w:type="dxa" w:w="1222"/>
          </w:tcPr>
          <w:p>
            <w:pPr>
              <w:spacing w:after="20"/>
              <w:jc w:val="right"/>
            </w:pPr>
            <w:r>
              <w:rPr>
                <w:color w:val="1C3A36"/>
                <w:sz w:val="18"/>
              </w:rPr>
              <w:t>2,787</w:t>
            </w:r>
          </w:p>
        </w:tc>
        <w:tc>
          <w:tcPr>
            <w:tcW w:type="dxa" w:w="1222"/>
          </w:tcPr>
          <w:p>
            <w:pPr>
              <w:spacing w:after="20"/>
              <w:jc w:val="right"/>
            </w:pPr>
            <w:r>
              <w:rPr>
                <w:color w:val="1C3A36"/>
                <w:sz w:val="18"/>
              </w:rPr>
              <w:t>3,749</w:t>
            </w:r>
          </w:p>
        </w:tc>
      </w:tr>
      <w:tr>
        <w:tc>
          <w:tcPr>
            <w:tcW w:type="dxa" w:w="2617"/>
          </w:tcPr>
          <w:p>
            <w:pPr>
              <w:spacing w:after="20"/>
            </w:pPr>
            <w:r>
              <w:rPr>
                <w:color w:val="1C3A36"/>
                <w:sz w:val="18"/>
              </w:rPr>
              <w:t>Currency drag on dollar revenue per restaurant</w:t>
            </w:r>
          </w:p>
        </w:tc>
        <w:tc>
          <w:tcPr>
            <w:tcW w:type="dxa" w:w="4947"/>
          </w:tcPr>
          <w:p>
            <w:pPr>
              <w:spacing w:after="20"/>
              <w:jc w:val="right"/>
            </w:pPr>
            <w:r>
              <w:rPr>
                <w:color w:val="1C3A36"/>
                <w:sz w:val="18"/>
              </w:rPr>
              <w:t>Egypt 2.5% a year, the Kazakhstan-led markets 1.5%, Morocco 0.5%, every pegged market zero — set from the inflation differentials, though the two most recent disclosed readings ran the other way (Egypt dollar revenue +29% in FY2025, +23% in H1 2026)</w:t>
            </w:r>
          </w:p>
        </w:tc>
        <w:tc>
          <w:tcPr>
            <w:tcW w:type="dxa" w:w="1222"/>
          </w:tcPr>
          <w:p>
            <w:pPr>
              <w:spacing w:after="20"/>
              <w:jc w:val="right"/>
            </w:pPr>
            <w:r>
              <w:rPr>
                <w:color w:val="1C3A36"/>
                <w:sz w:val="18"/>
              </w:rPr>
              <w:t>—</w:t>
            </w:r>
          </w:p>
        </w:tc>
        <w:tc>
          <w:tcPr>
            <w:tcW w:type="dxa" w:w="1222"/>
          </w:tcPr>
          <w:p>
            <w:pPr>
              <w:spacing w:after="20"/>
              <w:jc w:val="right"/>
            </w:pPr>
            <w:r>
              <w:rPr>
                <w:color w:val="1C3A36"/>
                <w:sz w:val="18"/>
              </w:rPr>
              <w:t>—</w:t>
            </w:r>
          </w:p>
        </w:tc>
      </w:tr>
      <w:tr>
        <w:tc>
          <w:tcPr>
            <w:tcW w:type="dxa" w:w="2617"/>
          </w:tcPr>
          <w:p>
            <w:pPr>
              <w:spacing w:after="20"/>
            </w:pPr>
            <w:r>
              <w:rPr>
                <w:color w:val="1C3A36"/>
                <w:sz w:val="18"/>
              </w:rPr>
              <w:t>EBITDA margin</w:t>
            </w:r>
          </w:p>
        </w:tc>
        <w:tc>
          <w:tcPr>
            <w:tcW w:type="dxa" w:w="4947"/>
          </w:tcPr>
          <w:p>
            <w:pPr>
              <w:spacing w:after="20"/>
              <w:jc w:val="right"/>
            </w:pPr>
            <w:r>
              <w:rPr>
                <w:color w:val="1C3A36"/>
                <w:sz w:val="18"/>
              </w:rPr>
              <w:t>an OUTPUT of the cost stack below, never an input — and the unit-built staff and delivery lines now cap it: the margin peaks near 25.4% and eases as the delivery channel grows</w:t>
            </w:r>
          </w:p>
        </w:tc>
        <w:tc>
          <w:tcPr>
            <w:tcW w:type="dxa" w:w="1222"/>
          </w:tcPr>
          <w:p>
            <w:pPr>
              <w:spacing w:after="20"/>
              <w:jc w:val="right"/>
            </w:pPr>
            <w:r>
              <w:rPr>
                <w:color w:val="1C3A36"/>
                <w:sz w:val="18"/>
              </w:rPr>
              <w:t>25.4%</w:t>
            </w:r>
          </w:p>
        </w:tc>
        <w:tc>
          <w:tcPr>
            <w:tcW w:type="dxa" w:w="1222"/>
          </w:tcPr>
          <w:p>
            <w:pPr>
              <w:spacing w:after="20"/>
              <w:jc w:val="right"/>
            </w:pPr>
            <w:r>
              <w:rPr>
                <w:color w:val="1C3A36"/>
                <w:sz w:val="18"/>
              </w:rPr>
              <w:t>24.9%</w:t>
            </w:r>
          </w:p>
        </w:tc>
      </w:tr>
    </w:tbl>
    <w:p>
      <w:pPr>
        <w:spacing w:after="40"/>
      </w:pPr>
    </w:p>
    <w:p>
      <w:pPr>
        <w:spacing w:after="120" w:before="0"/>
      </w:pPr>
      <w:r>
        <w:rPr>
          <w:b w:val="0"/>
          <w:i w:val="0"/>
          <w:color w:val="1C3A36"/>
          <w:sz w:val="21"/>
        </w:rPr>
        <w:t>The cost side gets one escalator per driver class. A globally traded food basket does not move with local wages, and local wages do not move with fuel, so applying a single blended inflation rate across all of them would manufacture a margin path out of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664"/>
        <w:gridCol w:w="1123"/>
        <w:gridCol w:w="1123"/>
        <w:gridCol w:w="1123"/>
        <w:gridCol w:w="1224"/>
      </w:tblGrid>
      <w:tr>
        <w:tc>
          <w:tcPr>
            <w:tcW w:type="dxa" w:w="2520"/>
            <w:shd w:val="clear" w:color="auto" w:fill="EAF0EE"/>
          </w:tcPr>
          <w:p>
            <w:pPr>
              <w:spacing w:after="20"/>
            </w:pPr>
            <w:r>
              <w:rPr>
                <w:b/>
                <w:color w:val="1C3A36"/>
                <w:sz w:val="17"/>
              </w:rPr>
              <w:t>Cost class</w:t>
            </w:r>
          </w:p>
        </w:tc>
        <w:tc>
          <w:tcPr>
            <w:tcW w:type="dxa" w:w="2664"/>
            <w:shd w:val="clear" w:color="auto" w:fill="EAF0EE"/>
          </w:tcPr>
          <w:p>
            <w:pPr>
              <w:spacing w:after="20"/>
            </w:pPr>
            <w:r>
              <w:rPr>
                <w:b/>
                <w:color w:val="1C3A36"/>
                <w:sz w:val="17"/>
              </w:rPr>
              <w:t>What drives it</w:t>
            </w:r>
          </w:p>
        </w:tc>
        <w:tc>
          <w:tcPr>
            <w:tcW w:type="dxa" w:w="1123"/>
            <w:shd w:val="clear" w:color="auto" w:fill="EAF0EE"/>
          </w:tcPr>
          <w:p>
            <w:pPr>
              <w:spacing w:after="20"/>
            </w:pPr>
            <w:r>
              <w:rPr>
                <w:b/>
                <w:color w:val="1C3A36"/>
                <w:sz w:val="17"/>
              </w:rPr>
              <w:t>FY2023</w:t>
            </w:r>
          </w:p>
        </w:tc>
        <w:tc>
          <w:tcPr>
            <w:tcW w:type="dxa" w:w="1123"/>
            <w:shd w:val="clear" w:color="auto" w:fill="EAF0EE"/>
          </w:tcPr>
          <w:p>
            <w:pPr>
              <w:spacing w:after="20"/>
            </w:pPr>
            <w:r>
              <w:rPr>
                <w:b/>
                <w:color w:val="1C3A36"/>
                <w:sz w:val="17"/>
              </w:rPr>
              <w:t>FY2024</w:t>
            </w:r>
          </w:p>
        </w:tc>
        <w:tc>
          <w:tcPr>
            <w:tcW w:type="dxa" w:w="1123"/>
            <w:shd w:val="clear" w:color="auto" w:fill="EAF0EE"/>
          </w:tcPr>
          <w:p>
            <w:pPr>
              <w:spacing w:after="20"/>
            </w:pPr>
            <w:r>
              <w:rPr>
                <w:b/>
                <w:color w:val="1C3A36"/>
                <w:sz w:val="17"/>
              </w:rPr>
              <w:t>FY2025</w:t>
            </w:r>
          </w:p>
        </w:tc>
        <w:tc>
          <w:tcPr>
            <w:tcW w:type="dxa" w:w="1224"/>
            <w:shd w:val="clear" w:color="auto" w:fill="EAF0EE"/>
          </w:tcPr>
          <w:p>
            <w:pPr>
              <w:spacing w:after="20"/>
            </w:pPr>
            <w:r>
              <w:rPr>
                <w:b/>
                <w:color w:val="1C3A36"/>
                <w:sz w:val="17"/>
              </w:rPr>
              <w:t>FY2030E</w:t>
            </w:r>
          </w:p>
        </w:tc>
      </w:tr>
      <w:tr>
        <w:tc>
          <w:tcPr>
            <w:tcW w:type="dxa" w:w="2520"/>
          </w:tcPr>
          <w:p>
            <w:pPr>
              <w:spacing w:after="20"/>
            </w:pPr>
            <w:r>
              <w:rPr>
                <w:color w:val="1C3A36"/>
                <w:sz w:val="17"/>
              </w:rPr>
              <w:t>Food, filling and packing materials</w:t>
            </w:r>
          </w:p>
        </w:tc>
        <w:tc>
          <w:tcPr>
            <w:tcW w:type="dxa" w:w="2664"/>
          </w:tcPr>
          <w:p>
            <w:pPr>
              <w:spacing w:after="20"/>
              <w:jc w:val="right"/>
            </w:pPr>
            <w:r>
              <w:rPr>
                <w:color w:val="1C3A36"/>
                <w:sz w:val="17"/>
              </w:rPr>
              <w:t>Traded food commodity basket</w:t>
            </w:r>
          </w:p>
        </w:tc>
        <w:tc>
          <w:tcPr>
            <w:tcW w:type="dxa" w:w="1123"/>
          </w:tcPr>
          <w:p>
            <w:pPr>
              <w:spacing w:after="20"/>
              <w:jc w:val="right"/>
            </w:pPr>
            <w:r>
              <w:rPr>
                <w:color w:val="1C3A36"/>
                <w:sz w:val="17"/>
              </w:rPr>
              <w:t>31.1%</w:t>
            </w:r>
          </w:p>
        </w:tc>
        <w:tc>
          <w:tcPr>
            <w:tcW w:type="dxa" w:w="1123"/>
          </w:tcPr>
          <w:p>
            <w:pPr>
              <w:spacing w:after="20"/>
              <w:jc w:val="right"/>
            </w:pPr>
            <w:r>
              <w:rPr>
                <w:color w:val="1C3A36"/>
                <w:sz w:val="17"/>
              </w:rPr>
              <w:t>29.2%</w:t>
            </w:r>
          </w:p>
        </w:tc>
        <w:tc>
          <w:tcPr>
            <w:tcW w:type="dxa" w:w="1123"/>
          </w:tcPr>
          <w:p>
            <w:pPr>
              <w:spacing w:after="20"/>
              <w:jc w:val="right"/>
            </w:pPr>
            <w:r>
              <w:rPr>
                <w:color w:val="1C3A36"/>
                <w:sz w:val="17"/>
              </w:rPr>
              <w:t>28.5%</w:t>
            </w:r>
          </w:p>
        </w:tc>
        <w:tc>
          <w:tcPr>
            <w:tcW w:type="dxa" w:w="1224"/>
          </w:tcPr>
          <w:p>
            <w:pPr>
              <w:spacing w:after="20"/>
              <w:jc w:val="right"/>
            </w:pPr>
            <w:r>
              <w:rPr>
                <w:color w:val="1C3A36"/>
                <w:sz w:val="17"/>
              </w:rPr>
              <w:t>27.1%</w:t>
            </w:r>
          </w:p>
        </w:tc>
      </w:tr>
      <w:tr>
        <w:tc>
          <w:tcPr>
            <w:tcW w:type="dxa" w:w="2520"/>
          </w:tcPr>
          <w:p>
            <w:pPr>
              <w:spacing w:after="20"/>
            </w:pPr>
            <w:r>
              <w:rPr>
                <w:color w:val="1C3A36"/>
                <w:sz w:val="17"/>
              </w:rPr>
              <w:t>Brand royalties</w:t>
            </w:r>
          </w:p>
        </w:tc>
        <w:tc>
          <w:tcPr>
            <w:tcW w:type="dxa" w:w="2664"/>
          </w:tcPr>
          <w:p>
            <w:pPr>
              <w:spacing w:after="20"/>
              <w:jc w:val="right"/>
            </w:pPr>
            <w:r>
              <w:rPr>
                <w:color w:val="1C3A36"/>
                <w:sz w:val="17"/>
              </w:rPr>
              <w:t>Contractual percentage of branded food and beverage sales</w:t>
            </w:r>
          </w:p>
        </w:tc>
        <w:tc>
          <w:tcPr>
            <w:tcW w:type="dxa" w:w="1123"/>
          </w:tcPr>
          <w:p>
            <w:pPr>
              <w:spacing w:after="20"/>
              <w:jc w:val="right"/>
            </w:pPr>
            <w:r>
              <w:rPr>
                <w:color w:val="1C3A36"/>
                <w:sz w:val="17"/>
              </w:rPr>
              <w:t>5.5%</w:t>
            </w:r>
          </w:p>
        </w:tc>
        <w:tc>
          <w:tcPr>
            <w:tcW w:type="dxa" w:w="1123"/>
          </w:tcPr>
          <w:p>
            <w:pPr>
              <w:spacing w:after="20"/>
              <w:jc w:val="right"/>
            </w:pPr>
            <w:r>
              <w:rPr>
                <w:color w:val="1C3A36"/>
                <w:sz w:val="17"/>
              </w:rPr>
              <w:t>5.5%</w:t>
            </w:r>
          </w:p>
        </w:tc>
        <w:tc>
          <w:tcPr>
            <w:tcW w:type="dxa" w:w="1123"/>
          </w:tcPr>
          <w:p>
            <w:pPr>
              <w:spacing w:after="20"/>
              <w:jc w:val="right"/>
            </w:pPr>
            <w:r>
              <w:rPr>
                <w:color w:val="1C3A36"/>
                <w:sz w:val="17"/>
              </w:rPr>
              <w:t>5.5%</w:t>
            </w:r>
          </w:p>
        </w:tc>
        <w:tc>
          <w:tcPr>
            <w:tcW w:type="dxa" w:w="1224"/>
          </w:tcPr>
          <w:p>
            <w:pPr>
              <w:spacing w:after="20"/>
              <w:jc w:val="right"/>
            </w:pPr>
            <w:r>
              <w:rPr>
                <w:color w:val="1C3A36"/>
                <w:sz w:val="17"/>
              </w:rPr>
              <w:t>5.5%</w:t>
            </w:r>
          </w:p>
        </w:tc>
      </w:tr>
      <w:tr>
        <w:tc>
          <w:tcPr>
            <w:tcW w:type="dxa" w:w="2520"/>
          </w:tcPr>
          <w:p>
            <w:pPr>
              <w:spacing w:after="20"/>
            </w:pPr>
            <w:r>
              <w:rPr>
                <w:color w:val="1C3A36"/>
                <w:sz w:val="17"/>
              </w:rPr>
              <w:t>Staff</w:t>
            </w:r>
          </w:p>
        </w:tc>
        <w:tc>
          <w:tcPr>
            <w:tcW w:type="dxa" w:w="2664"/>
          </w:tcPr>
          <w:p>
            <w:pPr>
              <w:spacing w:after="20"/>
              <w:jc w:val="right"/>
            </w:pPr>
            <w:r>
              <w:rPr>
                <w:color w:val="1C3A36"/>
                <w:sz w:val="17"/>
              </w:rPr>
              <w:t>Wages in the operating countries</w:t>
            </w:r>
          </w:p>
        </w:tc>
        <w:tc>
          <w:tcPr>
            <w:tcW w:type="dxa" w:w="1123"/>
          </w:tcPr>
          <w:p>
            <w:pPr>
              <w:spacing w:after="20"/>
              <w:jc w:val="right"/>
            </w:pPr>
            <w:r>
              <w:rPr>
                <w:color w:val="1C3A36"/>
                <w:sz w:val="17"/>
              </w:rPr>
              <w:t>18.9%</w:t>
            </w:r>
          </w:p>
        </w:tc>
        <w:tc>
          <w:tcPr>
            <w:tcW w:type="dxa" w:w="1123"/>
          </w:tcPr>
          <w:p>
            <w:pPr>
              <w:spacing w:after="20"/>
              <w:jc w:val="right"/>
            </w:pPr>
            <w:r>
              <w:rPr>
                <w:color w:val="1C3A36"/>
                <w:sz w:val="17"/>
              </w:rPr>
              <w:t>19.2%</w:t>
            </w:r>
          </w:p>
        </w:tc>
        <w:tc>
          <w:tcPr>
            <w:tcW w:type="dxa" w:w="1123"/>
          </w:tcPr>
          <w:p>
            <w:pPr>
              <w:spacing w:after="20"/>
              <w:jc w:val="right"/>
            </w:pPr>
            <w:r>
              <w:rPr>
                <w:color w:val="1C3A36"/>
                <w:sz w:val="17"/>
              </w:rPr>
              <w:t>18.4%</w:t>
            </w:r>
          </w:p>
        </w:tc>
        <w:tc>
          <w:tcPr>
            <w:tcW w:type="dxa" w:w="1224"/>
          </w:tcPr>
          <w:p>
            <w:pPr>
              <w:spacing w:after="20"/>
              <w:jc w:val="right"/>
            </w:pPr>
            <w:r>
              <w:rPr>
                <w:color w:val="1C3A36"/>
                <w:sz w:val="17"/>
              </w:rPr>
              <w:t>18.2%</w:t>
            </w:r>
          </w:p>
        </w:tc>
      </w:tr>
      <w:tr>
        <w:tc>
          <w:tcPr>
            <w:tcW w:type="dxa" w:w="2520"/>
          </w:tcPr>
          <w:p>
            <w:pPr>
              <w:spacing w:after="20"/>
            </w:pPr>
            <w:r>
              <w:rPr>
                <w:color w:val="1C3A36"/>
                <w:sz w:val="17"/>
              </w:rPr>
              <w:t>Home delivery and transportation</w:t>
            </w:r>
          </w:p>
        </w:tc>
        <w:tc>
          <w:tcPr>
            <w:tcW w:type="dxa" w:w="2664"/>
          </w:tcPr>
          <w:p>
            <w:pPr>
              <w:spacing w:after="20"/>
              <w:jc w:val="right"/>
            </w:pPr>
            <w:r>
              <w:rPr>
                <w:color w:val="1C3A36"/>
                <w:sz w:val="17"/>
              </w:rPr>
              <w:t>Delivery-channel volume and fuel</w:t>
            </w:r>
          </w:p>
        </w:tc>
        <w:tc>
          <w:tcPr>
            <w:tcW w:type="dxa" w:w="1123"/>
          </w:tcPr>
          <w:p>
            <w:pPr>
              <w:spacing w:after="20"/>
              <w:jc w:val="right"/>
            </w:pPr>
            <w:r>
              <w:rPr>
                <w:color w:val="1C3A36"/>
                <w:sz w:val="17"/>
              </w:rPr>
              <w:t>4.4%</w:t>
            </w:r>
          </w:p>
        </w:tc>
        <w:tc>
          <w:tcPr>
            <w:tcW w:type="dxa" w:w="1123"/>
          </w:tcPr>
          <w:p>
            <w:pPr>
              <w:spacing w:after="20"/>
              <w:jc w:val="right"/>
            </w:pPr>
            <w:r>
              <w:rPr>
                <w:color w:val="1C3A36"/>
                <w:sz w:val="17"/>
              </w:rPr>
              <w:t>6.1%</w:t>
            </w:r>
          </w:p>
        </w:tc>
        <w:tc>
          <w:tcPr>
            <w:tcW w:type="dxa" w:w="1123"/>
          </w:tcPr>
          <w:p>
            <w:pPr>
              <w:spacing w:after="20"/>
              <w:jc w:val="right"/>
            </w:pPr>
            <w:r>
              <w:rPr>
                <w:color w:val="1C3A36"/>
                <w:sz w:val="17"/>
              </w:rPr>
              <w:t>7.2%</w:t>
            </w:r>
          </w:p>
        </w:tc>
        <w:tc>
          <w:tcPr>
            <w:tcW w:type="dxa" w:w="1224"/>
          </w:tcPr>
          <w:p>
            <w:pPr>
              <w:spacing w:after="20"/>
              <w:jc w:val="right"/>
            </w:pPr>
            <w:r>
              <w:rPr>
                <w:color w:val="1C3A36"/>
                <w:sz w:val="17"/>
              </w:rPr>
              <w:t>7.9%</w:t>
            </w:r>
          </w:p>
        </w:tc>
      </w:tr>
      <w:tr>
        <w:tc>
          <w:tcPr>
            <w:tcW w:type="dxa" w:w="2520"/>
          </w:tcPr>
          <w:p>
            <w:pPr>
              <w:spacing w:after="20"/>
            </w:pPr>
            <w:r>
              <w:rPr>
                <w:color w:val="1C3A36"/>
                <w:sz w:val="17"/>
              </w:rPr>
              <w:t>Advertising and business development</w:t>
            </w:r>
          </w:p>
        </w:tc>
        <w:tc>
          <w:tcPr>
            <w:tcW w:type="dxa" w:w="2664"/>
          </w:tcPr>
          <w:p>
            <w:pPr>
              <w:spacing w:after="20"/>
              <w:jc w:val="right"/>
            </w:pPr>
            <w:r>
              <w:rPr>
                <w:color w:val="1C3A36"/>
                <w:sz w:val="17"/>
              </w:rPr>
              <w:t>Managed percentage of sales</w:t>
            </w:r>
          </w:p>
        </w:tc>
        <w:tc>
          <w:tcPr>
            <w:tcW w:type="dxa" w:w="1123"/>
          </w:tcPr>
          <w:p>
            <w:pPr>
              <w:spacing w:after="20"/>
              <w:jc w:val="right"/>
            </w:pPr>
            <w:r>
              <w:rPr>
                <w:color w:val="1C3A36"/>
                <w:sz w:val="17"/>
              </w:rPr>
              <w:t>4.7%</w:t>
            </w:r>
          </w:p>
        </w:tc>
        <w:tc>
          <w:tcPr>
            <w:tcW w:type="dxa" w:w="1123"/>
          </w:tcPr>
          <w:p>
            <w:pPr>
              <w:spacing w:after="20"/>
              <w:jc w:val="right"/>
            </w:pPr>
            <w:r>
              <w:rPr>
                <w:color w:val="1C3A36"/>
                <w:sz w:val="17"/>
              </w:rPr>
              <w:t>4.5%</w:t>
            </w:r>
          </w:p>
        </w:tc>
        <w:tc>
          <w:tcPr>
            <w:tcW w:type="dxa" w:w="1123"/>
          </w:tcPr>
          <w:p>
            <w:pPr>
              <w:spacing w:after="20"/>
              <w:jc w:val="right"/>
            </w:pPr>
            <w:r>
              <w:rPr>
                <w:color w:val="1C3A36"/>
                <w:sz w:val="17"/>
              </w:rPr>
              <w:t>4.4%</w:t>
            </w:r>
          </w:p>
        </w:tc>
        <w:tc>
          <w:tcPr>
            <w:tcW w:type="dxa" w:w="1224"/>
          </w:tcPr>
          <w:p>
            <w:pPr>
              <w:spacing w:after="20"/>
              <w:jc w:val="right"/>
            </w:pPr>
            <w:r>
              <w:rPr>
                <w:color w:val="1C3A36"/>
                <w:sz w:val="17"/>
              </w:rPr>
              <w:t>4.2%</w:t>
            </w:r>
          </w:p>
        </w:tc>
      </w:tr>
      <w:tr>
        <w:tc>
          <w:tcPr>
            <w:tcW w:type="dxa" w:w="2520"/>
          </w:tcPr>
          <w:p>
            <w:pPr>
              <w:spacing w:after="20"/>
            </w:pPr>
            <w:r>
              <w:rPr>
                <w:color w:val="1C3A36"/>
                <w:sz w:val="17"/>
              </w:rPr>
              <w:t>Utilities and communication</w:t>
            </w:r>
          </w:p>
        </w:tc>
        <w:tc>
          <w:tcPr>
            <w:tcW w:type="dxa" w:w="2664"/>
          </w:tcPr>
          <w:p>
            <w:pPr>
              <w:spacing w:after="20"/>
              <w:jc w:val="right"/>
            </w:pPr>
            <w:r>
              <w:rPr>
                <w:color w:val="1C3A36"/>
                <w:sz w:val="17"/>
              </w:rPr>
              <w:t>Energy tariffs</w:t>
            </w:r>
          </w:p>
        </w:tc>
        <w:tc>
          <w:tcPr>
            <w:tcW w:type="dxa" w:w="1123"/>
          </w:tcPr>
          <w:p>
            <w:pPr>
              <w:spacing w:after="20"/>
              <w:jc w:val="right"/>
            </w:pPr>
            <w:r>
              <w:rPr>
                <w:color w:val="1C3A36"/>
                <w:sz w:val="17"/>
              </w:rPr>
              <w:t>2.8%</w:t>
            </w:r>
          </w:p>
        </w:tc>
        <w:tc>
          <w:tcPr>
            <w:tcW w:type="dxa" w:w="1123"/>
          </w:tcPr>
          <w:p>
            <w:pPr>
              <w:spacing w:after="20"/>
              <w:jc w:val="right"/>
            </w:pPr>
            <w:r>
              <w:rPr>
                <w:color w:val="1C3A36"/>
                <w:sz w:val="17"/>
              </w:rPr>
              <w:t>3.0%</w:t>
            </w:r>
          </w:p>
        </w:tc>
        <w:tc>
          <w:tcPr>
            <w:tcW w:type="dxa" w:w="1123"/>
          </w:tcPr>
          <w:p>
            <w:pPr>
              <w:spacing w:after="20"/>
              <w:jc w:val="right"/>
            </w:pPr>
            <w:r>
              <w:rPr>
                <w:color w:val="1C3A36"/>
                <w:sz w:val="17"/>
              </w:rPr>
              <w:t>2.9%</w:t>
            </w:r>
          </w:p>
        </w:tc>
        <w:tc>
          <w:tcPr>
            <w:tcW w:type="dxa" w:w="1224"/>
          </w:tcPr>
          <w:p>
            <w:pPr>
              <w:spacing w:after="20"/>
              <w:jc w:val="right"/>
            </w:pPr>
            <w:r>
              <w:rPr>
                <w:color w:val="1C3A36"/>
                <w:sz w:val="17"/>
              </w:rPr>
              <w:t>2.8%</w:t>
            </w:r>
          </w:p>
        </w:tc>
      </w:tr>
      <w:tr>
        <w:tc>
          <w:tcPr>
            <w:tcW w:type="dxa" w:w="2520"/>
          </w:tcPr>
          <w:p>
            <w:pPr>
              <w:spacing w:after="20"/>
            </w:pPr>
            <w:r>
              <w:rPr>
                <w:color w:val="1C3A36"/>
                <w:sz w:val="17"/>
              </w:rPr>
              <w:t>Short-term and variable rent</w:t>
            </w:r>
          </w:p>
        </w:tc>
        <w:tc>
          <w:tcPr>
            <w:tcW w:type="dxa" w:w="2664"/>
          </w:tcPr>
          <w:p>
            <w:pPr>
              <w:spacing w:after="20"/>
              <w:jc w:val="right"/>
            </w:pPr>
            <w:r>
              <w:rPr>
                <w:color w:val="1C3A36"/>
                <w:sz w:val="17"/>
              </w:rPr>
              <w:t>Property rents</w:t>
            </w:r>
          </w:p>
        </w:tc>
        <w:tc>
          <w:tcPr>
            <w:tcW w:type="dxa" w:w="1123"/>
          </w:tcPr>
          <w:p>
            <w:pPr>
              <w:spacing w:after="20"/>
              <w:jc w:val="right"/>
            </w:pPr>
            <w:r>
              <w:rPr>
                <w:color w:val="1C3A36"/>
                <w:sz w:val="17"/>
              </w:rPr>
              <w:t>2.1%</w:t>
            </w:r>
          </w:p>
        </w:tc>
        <w:tc>
          <w:tcPr>
            <w:tcW w:type="dxa" w:w="1123"/>
          </w:tcPr>
          <w:p>
            <w:pPr>
              <w:spacing w:after="20"/>
              <w:jc w:val="right"/>
            </w:pPr>
            <w:r>
              <w:rPr>
                <w:color w:val="1C3A36"/>
                <w:sz w:val="17"/>
              </w:rPr>
              <w:t>2.0%</w:t>
            </w:r>
          </w:p>
        </w:tc>
        <w:tc>
          <w:tcPr>
            <w:tcW w:type="dxa" w:w="1123"/>
          </w:tcPr>
          <w:p>
            <w:pPr>
              <w:spacing w:after="20"/>
              <w:jc w:val="right"/>
            </w:pPr>
            <w:r>
              <w:rPr>
                <w:color w:val="1C3A36"/>
                <w:sz w:val="17"/>
              </w:rPr>
              <w:t>1.7%</w:t>
            </w:r>
          </w:p>
        </w:tc>
        <w:tc>
          <w:tcPr>
            <w:tcW w:type="dxa" w:w="1224"/>
          </w:tcPr>
          <w:p>
            <w:pPr>
              <w:spacing w:after="20"/>
              <w:jc w:val="right"/>
            </w:pPr>
            <w:r>
              <w:rPr>
                <w:color w:val="1C3A36"/>
                <w:sz w:val="17"/>
              </w:rPr>
              <w:t>1.7%</w:t>
            </w:r>
          </w:p>
        </w:tc>
      </w:tr>
      <w:tr>
        <w:tc>
          <w:tcPr>
            <w:tcW w:type="dxa" w:w="2520"/>
          </w:tcPr>
          <w:p>
            <w:pPr>
              <w:spacing w:after="20"/>
            </w:pPr>
            <w:r>
              <w:rPr>
                <w:color w:val="1C3A36"/>
                <w:sz w:val="17"/>
              </w:rPr>
              <w:t>Maintenance and repairs</w:t>
            </w:r>
          </w:p>
        </w:tc>
        <w:tc>
          <w:tcPr>
            <w:tcW w:type="dxa" w:w="2664"/>
          </w:tcPr>
          <w:p>
            <w:pPr>
              <w:spacing w:after="20"/>
              <w:jc w:val="right"/>
            </w:pPr>
            <w:r>
              <w:rPr>
                <w:color w:val="1C3A36"/>
                <w:sz w:val="17"/>
              </w:rPr>
              <w:t>Domestic services</w:t>
            </w:r>
          </w:p>
        </w:tc>
        <w:tc>
          <w:tcPr>
            <w:tcW w:type="dxa" w:w="1123"/>
          </w:tcPr>
          <w:p>
            <w:pPr>
              <w:spacing w:after="20"/>
              <w:jc w:val="right"/>
            </w:pPr>
            <w:r>
              <w:rPr>
                <w:color w:val="1C3A36"/>
                <w:sz w:val="17"/>
              </w:rPr>
              <w:t>2.9%</w:t>
            </w:r>
          </w:p>
        </w:tc>
        <w:tc>
          <w:tcPr>
            <w:tcW w:type="dxa" w:w="1123"/>
          </w:tcPr>
          <w:p>
            <w:pPr>
              <w:spacing w:after="20"/>
              <w:jc w:val="right"/>
            </w:pPr>
            <w:r>
              <w:rPr>
                <w:color w:val="1C3A36"/>
                <w:sz w:val="17"/>
              </w:rPr>
              <w:t>3.0%</w:t>
            </w:r>
          </w:p>
        </w:tc>
        <w:tc>
          <w:tcPr>
            <w:tcW w:type="dxa" w:w="1123"/>
          </w:tcPr>
          <w:p>
            <w:pPr>
              <w:spacing w:after="20"/>
              <w:jc w:val="right"/>
            </w:pPr>
            <w:r>
              <w:rPr>
                <w:color w:val="1C3A36"/>
                <w:sz w:val="17"/>
              </w:rPr>
              <w:t>2.9%</w:t>
            </w:r>
          </w:p>
        </w:tc>
        <w:tc>
          <w:tcPr>
            <w:tcW w:type="dxa" w:w="1224"/>
          </w:tcPr>
          <w:p>
            <w:pPr>
              <w:spacing w:after="20"/>
              <w:jc w:val="right"/>
            </w:pPr>
            <w:r>
              <w:rPr>
                <w:color w:val="1C3A36"/>
                <w:sz w:val="17"/>
              </w:rPr>
              <w:t>2.8%</w:t>
            </w:r>
          </w:p>
        </w:tc>
      </w:tr>
      <w:tr>
        <w:tc>
          <w:tcPr>
            <w:tcW w:type="dxa" w:w="2520"/>
          </w:tcPr>
          <w:p>
            <w:pPr>
              <w:spacing w:after="20"/>
            </w:pPr>
            <w:r>
              <w:rPr>
                <w:color w:val="1C3A36"/>
                <w:sz w:val="17"/>
              </w:rPr>
              <w:t>All other operating costs</w:t>
            </w:r>
          </w:p>
        </w:tc>
        <w:tc>
          <w:tcPr>
            <w:tcW w:type="dxa" w:w="2664"/>
          </w:tcPr>
          <w:p>
            <w:pPr>
              <w:spacing w:after="20"/>
              <w:jc w:val="right"/>
            </w:pPr>
            <w:r>
              <w:rPr>
                <w:color w:val="1C3A36"/>
                <w:sz w:val="17"/>
              </w:rPr>
              <w:t>the residual of the three expense notes</w:t>
            </w:r>
          </w:p>
        </w:tc>
        <w:tc>
          <w:tcPr>
            <w:tcW w:type="dxa" w:w="1123"/>
          </w:tcPr>
          <w:p>
            <w:pPr>
              <w:spacing w:after="20"/>
              <w:jc w:val="right"/>
            </w:pPr>
            <w:r>
              <w:rPr>
                <w:color w:val="1C3A36"/>
                <w:sz w:val="17"/>
              </w:rPr>
              <w:t>—</w:t>
            </w:r>
          </w:p>
        </w:tc>
        <w:tc>
          <w:tcPr>
            <w:tcW w:type="dxa" w:w="1123"/>
          </w:tcPr>
          <w:p>
            <w:pPr>
              <w:spacing w:after="20"/>
              <w:jc w:val="right"/>
            </w:pPr>
            <w:r>
              <w:rPr>
                <w:color w:val="1C3A36"/>
                <w:sz w:val="17"/>
              </w:rPr>
              <w:t>—</w:t>
            </w:r>
          </w:p>
        </w:tc>
        <w:tc>
          <w:tcPr>
            <w:tcW w:type="dxa" w:w="1123"/>
          </w:tcPr>
          <w:p>
            <w:pPr>
              <w:spacing w:after="20"/>
              <w:jc w:val="right"/>
            </w:pPr>
            <w:r>
              <w:rPr>
                <w:color w:val="1C3A36"/>
                <w:sz w:val="17"/>
              </w:rPr>
              <w:t>5.3%</w:t>
            </w:r>
          </w:p>
        </w:tc>
        <w:tc>
          <w:tcPr>
            <w:tcW w:type="dxa" w:w="1224"/>
          </w:tcPr>
          <w:p>
            <w:pPr>
              <w:spacing w:after="20"/>
              <w:jc w:val="right"/>
            </w:pPr>
            <w:r>
              <w:rPr>
                <w:color w:val="1C3A36"/>
                <w:sz w:val="17"/>
              </w:rPr>
              <w:t>5.3%</w:t>
            </w:r>
          </w:p>
        </w:tc>
      </w:tr>
      <w:tr>
        <w:tc>
          <w:tcPr>
            <w:tcW w:type="dxa" w:w="2520"/>
          </w:tcPr>
          <w:p>
            <w:pPr>
              <w:spacing w:after="20"/>
            </w:pPr>
            <w:r>
              <w:rPr>
                <w:color w:val="1C3A36"/>
                <w:sz w:val="17"/>
              </w:rPr>
              <w:t>Other income</w:t>
            </w:r>
          </w:p>
        </w:tc>
        <w:tc>
          <w:tcPr>
            <w:tcW w:type="dxa" w:w="2664"/>
          </w:tcPr>
          <w:p>
            <w:pPr>
              <w:spacing w:after="20"/>
              <w:jc w:val="right"/>
            </w:pPr>
            <w:r>
              <w:rPr>
                <w:color w:val="1C3A36"/>
                <w:sz w:val="17"/>
              </w:rPr>
              <w:t>held at its FY2025 share — the half-point the margin needs beyond the cost lines</w:t>
            </w:r>
          </w:p>
        </w:tc>
        <w:tc>
          <w:tcPr>
            <w:tcW w:type="dxa" w:w="1123"/>
          </w:tcPr>
          <w:p>
            <w:pPr>
              <w:spacing w:after="20"/>
              <w:jc w:val="right"/>
            </w:pPr>
            <w:r>
              <w:rPr>
                <w:color w:val="1C3A36"/>
                <w:sz w:val="17"/>
              </w:rPr>
              <w:t>—</w:t>
            </w:r>
          </w:p>
        </w:tc>
        <w:tc>
          <w:tcPr>
            <w:tcW w:type="dxa" w:w="1123"/>
          </w:tcPr>
          <w:p>
            <w:pPr>
              <w:spacing w:after="20"/>
              <w:jc w:val="right"/>
            </w:pPr>
            <w:r>
              <w:rPr>
                <w:color w:val="1C3A36"/>
                <w:sz w:val="17"/>
              </w:rPr>
              <w:t>—</w:t>
            </w:r>
          </w:p>
        </w:tc>
        <w:tc>
          <w:tcPr>
            <w:tcW w:type="dxa" w:w="1123"/>
          </w:tcPr>
          <w:p>
            <w:pPr>
              <w:spacing w:after="20"/>
              <w:jc w:val="right"/>
            </w:pPr>
            <w:r>
              <w:rPr>
                <w:color w:val="1C3A36"/>
                <w:sz w:val="17"/>
              </w:rPr>
              <w:t>0.5%</w:t>
            </w:r>
          </w:p>
        </w:tc>
        <w:tc>
          <w:tcPr>
            <w:tcW w:type="dxa" w:w="1224"/>
          </w:tcPr>
          <w:p>
            <w:pPr>
              <w:spacing w:after="20"/>
              <w:jc w:val="right"/>
            </w:pPr>
            <w:r>
              <w:rPr>
                <w:color w:val="1C3A36"/>
                <w:sz w:val="17"/>
              </w:rPr>
              <w:t>0.5%</w:t>
            </w:r>
          </w:p>
        </w:tc>
      </w:tr>
    </w:tbl>
    <w:p>
      <w:pPr>
        <w:spacing w:after="40"/>
      </w:pPr>
    </w:p>
    <w:p>
      <w:pPr>
        <w:spacing w:after="200" w:before="0"/>
      </w:pPr>
      <w:r>
        <w:rPr>
          <w:b w:val="0"/>
          <w:i/>
          <w:color w:val="6E7B77"/>
          <w:sz w:val="17"/>
        </w:rPr>
        <w:t>Each line as a share of revenue; the FY2030 staff and delivery shares are OUTPUTS of their unit builds — staff is headcount per restaurant times a wage growing at the audited 6% a year, and delivery is the channel share times a cost per delivered dollar — so the two biggest operating lines are built from volume and price, not escalated. Royalties are contractual and held flat. The food line is anchored on the 27.4% actually recorded in the first half of 2026.</w:t>
      </w:r>
    </w:p>
    <w:p>
      <w:pPr>
        <w:spacing w:after="80" w:before="200"/>
      </w:pPr>
      <w:r>
        <w:rPr>
          <w:b/>
          <w:i w:val="0"/>
          <w:color w:val="1C3A36"/>
          <w:sz w:val="24"/>
        </w:rPr>
        <w:t>1.7  The crux</w:t>
      </w:r>
    </w:p>
    <w:p>
      <w:pPr>
        <w:spacing w:after="120" w:before="0"/>
      </w:pPr>
      <w:r>
        <w:rPr>
          <w:b w:val="0"/>
          <w:i w:val="0"/>
          <w:color w:val="1C3A36"/>
          <w:sz w:val="21"/>
        </w:rPr>
        <w:t>The crux is the food and packaging line, and behind it the whole margin. Between the first half of 2025 and the first half of 2026 it fell from 29.2% of revenue to 27.4%. On 2026 revenue of about USD 2,787 million, that 180 basis points is worth roughly USD 50 million of EBITDA a year — more than a fifth of the group's entire operating profit. The company attributes it to procurement scale, menu optimisation and supplier negotiation. Those are real capabilities and they do not evaporate. But the same 180 points are equally consistent with a favourable turn in globally traded food prices and a period of restrained promotional intensity across the region, and those do revert.</w:t>
      </w:r>
    </w:p>
    <w:p>
      <w:pPr>
        <w:spacing w:after="120" w:before="0"/>
      </w:pPr>
      <w:r>
        <w:rPr>
          <w:b w:val="0"/>
          <w:i w:val="0"/>
          <w:color w:val="1C3A36"/>
          <w:sz w:val="21"/>
        </w:rPr>
        <w:t>Nothing in the filings settles it, and no amount of further analysis of the published numbers will. So the study does not pick. It computes both, publishes both, and lets the reader see that the market price sits between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3384"/>
        <w:gridCol w:w="3384"/>
      </w:tblGrid>
      <w:tr>
        <w:tc>
          <w:tcPr>
            <w:tcW w:type="dxa" w:w="3312"/>
            <w:shd w:val="clear" w:color="auto" w:fill="EAF0EE"/>
          </w:tcPr>
          <w:p>
            <w:pPr>
              <w:spacing w:after="20"/>
            </w:pPr>
            <w:r>
              <w:rPr>
                <w:b/>
                <w:color w:val="1C3A36"/>
                <w:sz w:val="18"/>
              </w:rPr>
            </w:r>
          </w:p>
        </w:tc>
        <w:tc>
          <w:tcPr>
            <w:tcW w:type="dxa" w:w="3384"/>
            <w:shd w:val="clear" w:color="auto" w:fill="EAF0EE"/>
          </w:tcPr>
          <w:p>
            <w:pPr>
              <w:spacing w:after="20"/>
            </w:pPr>
            <w:r>
              <w:rPr>
                <w:b/>
                <w:color w:val="1C3A36"/>
                <w:sz w:val="18"/>
              </w:rPr>
              <w:t>Structural — the gains hold and improve slowly</w:t>
            </w:r>
          </w:p>
        </w:tc>
        <w:tc>
          <w:tcPr>
            <w:tcW w:type="dxa" w:w="3384"/>
            <w:shd w:val="clear" w:color="auto" w:fill="EAF0EE"/>
          </w:tcPr>
          <w:p>
            <w:pPr>
              <w:spacing w:after="20"/>
            </w:pPr>
            <w:r>
              <w:rPr>
                <w:b/>
                <w:color w:val="1C3A36"/>
                <w:sz w:val="18"/>
              </w:rPr>
              <w:t>Cyclical — the gains are competed away</w:t>
            </w:r>
          </w:p>
        </w:tc>
      </w:tr>
      <w:tr>
        <w:tc>
          <w:tcPr>
            <w:tcW w:type="dxa" w:w="3312"/>
          </w:tcPr>
          <w:p>
            <w:pPr>
              <w:spacing w:after="20"/>
            </w:pPr>
            <w:r>
              <w:rPr>
                <w:color w:val="1C3A36"/>
                <w:sz w:val="18"/>
              </w:rPr>
              <w:t>EBITDA margin, FY2030E</w:t>
            </w:r>
          </w:p>
        </w:tc>
        <w:tc>
          <w:tcPr>
            <w:tcW w:type="dxa" w:w="3384"/>
          </w:tcPr>
          <w:p>
            <w:pPr>
              <w:spacing w:after="20"/>
              <w:jc w:val="right"/>
            </w:pPr>
            <w:r>
              <w:rPr>
                <w:color w:val="1C3A36"/>
                <w:sz w:val="18"/>
              </w:rPr>
              <w:t>24.9%</w:t>
            </w:r>
          </w:p>
        </w:tc>
        <w:tc>
          <w:tcPr>
            <w:tcW w:type="dxa" w:w="3384"/>
          </w:tcPr>
          <w:p>
            <w:pPr>
              <w:spacing w:after="20"/>
              <w:jc w:val="right"/>
            </w:pPr>
            <w:r>
              <w:rPr>
                <w:color w:val="1C3A36"/>
                <w:sz w:val="18"/>
              </w:rPr>
              <w:t>22.8%</w:t>
            </w:r>
          </w:p>
        </w:tc>
      </w:tr>
      <w:tr>
        <w:tc>
          <w:tcPr>
            <w:tcW w:type="dxa" w:w="3312"/>
          </w:tcPr>
          <w:p>
            <w:pPr>
              <w:spacing w:after="20"/>
            </w:pPr>
            <w:r>
              <w:rPr>
                <w:color w:val="1C3A36"/>
                <w:sz w:val="18"/>
              </w:rPr>
              <w:t>Value per share (AED)</w:t>
            </w:r>
          </w:p>
        </w:tc>
        <w:tc>
          <w:tcPr>
            <w:tcW w:type="dxa" w:w="3384"/>
          </w:tcPr>
          <w:p>
            <w:pPr>
              <w:spacing w:after="20"/>
              <w:jc w:val="right"/>
            </w:pPr>
            <w:r>
              <w:rPr>
                <w:color w:val="1C3A36"/>
                <w:sz w:val="18"/>
              </w:rPr>
              <w:t>2.22</w:t>
            </w:r>
          </w:p>
        </w:tc>
        <w:tc>
          <w:tcPr>
            <w:tcW w:type="dxa" w:w="3384"/>
          </w:tcPr>
          <w:p>
            <w:pPr>
              <w:spacing w:after="20"/>
              <w:jc w:val="right"/>
            </w:pPr>
            <w:r>
              <w:rPr>
                <w:color w:val="1C3A36"/>
                <w:sz w:val="18"/>
              </w:rPr>
              <w:t>1.91</w:t>
            </w:r>
          </w:p>
        </w:tc>
      </w:tr>
      <w:tr>
        <w:tc>
          <w:tcPr>
            <w:tcW w:type="dxa" w:w="3312"/>
          </w:tcPr>
          <w:p>
            <w:pPr>
              <w:spacing w:after="20"/>
            </w:pPr>
            <w:r>
              <w:rPr>
                <w:color w:val="1C3A36"/>
                <w:sz w:val="18"/>
              </w:rPr>
              <w:t>Against the market price</w:t>
            </w:r>
          </w:p>
        </w:tc>
        <w:tc>
          <w:tcPr>
            <w:tcW w:type="dxa" w:w="3384"/>
          </w:tcPr>
          <w:p>
            <w:pPr>
              <w:spacing w:after="20"/>
              <w:jc w:val="right"/>
            </w:pPr>
            <w:r>
              <w:rPr>
                <w:color w:val="1C3A36"/>
                <w:sz w:val="18"/>
              </w:rPr>
              <w:t>-7%</w:t>
            </w:r>
          </w:p>
        </w:tc>
        <w:tc>
          <w:tcPr>
            <w:tcW w:type="dxa" w:w="3384"/>
          </w:tcPr>
          <w:p>
            <w:pPr>
              <w:spacing w:after="20"/>
              <w:jc w:val="right"/>
            </w:pPr>
            <w:r>
              <w:rPr>
                <w:color w:val="1C3A36"/>
                <w:sz w:val="18"/>
              </w:rPr>
              <w:t>-20%</w:t>
            </w:r>
          </w:p>
        </w:tc>
      </w:tr>
    </w:tbl>
    <w:p>
      <w:pPr>
        <w:spacing w:after="40"/>
      </w:pPr>
    </w:p>
    <w:p>
      <w:pPr>
        <w:spacing w:after="120" w:before="0"/>
      </w:pPr>
      <w:r>
        <w:rPr>
          <w:b w:val="0"/>
          <w:i w:val="0"/>
          <w:color w:val="1C3A36"/>
          <w:sz w:val="21"/>
        </w:rPr>
        <w:t>The observable test is quarterly and public, and two of its readings are already in. The company disclosed the full quarterly series with its half-year results: 29.2% in the first and second quarters of 2025, 28.5% in the third, 27.1% in the fourth, then 27.3% in the first quarter of 2026 and 27.5% in the second. The trough was the fourth quarter of 2025, and the ratio has RISEN in the two quarters since — the two most recently disclosed readings lean toward the cyclical column, not the structural one. If the ratio holds near 27% through the second half of 2026 the structural reading is winning; a drift back toward 29% would confirm the cyclical one.</w:t>
      </w:r>
    </w:p>
    <w:p>
      <w:pPr>
        <w:spacing w:after="80" w:before="200"/>
      </w:pPr>
      <w:r>
        <w:rPr>
          <w:b/>
          <w:i w:val="0"/>
          <w:color w:val="1C3A36"/>
          <w:sz w:val="24"/>
        </w:rPr>
        <w:t>1.8  Macro, country risk and the cost of capital</w:t>
      </w:r>
    </w:p>
    <w:p>
      <w:pPr>
        <w:spacing w:after="120" w:before="0"/>
      </w:pPr>
      <w:r>
        <w:rPr>
          <w:b w:val="0"/>
          <w:i w:val="0"/>
          <w:color w:val="1C3A36"/>
          <w:sz w:val="21"/>
        </w:rPr>
        <w:t>The company reports in dollars and earns 83% of its revenue in currencies pegged to the dollar, so the cost of capital is built in dollars. The risk-free rate is the US ten-year Treasury yield less the US sovereign's own default spread, which prevents sovereign risk being counted twice — once in the base rate and again in the premium. Country risk then enters once, through an equity risk premium blended across all twelve operating countries on their share of revenue.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76"/>
        <w:gridCol w:w="1944"/>
        <w:gridCol w:w="2808"/>
        <w:gridCol w:w="2952"/>
      </w:tblGrid>
      <w:tr>
        <w:tc>
          <w:tcPr>
            <w:tcW w:type="dxa" w:w="2376"/>
            <w:shd w:val="clear" w:color="auto" w:fill="EAF0EE"/>
          </w:tcPr>
          <w:p>
            <w:pPr>
              <w:spacing w:after="20"/>
            </w:pPr>
            <w:r>
              <w:rPr>
                <w:b/>
                <w:color w:val="1C3A36"/>
                <w:sz w:val="17"/>
              </w:rPr>
              <w:t>Country</w:t>
            </w:r>
          </w:p>
        </w:tc>
        <w:tc>
          <w:tcPr>
            <w:tcW w:type="dxa" w:w="1944"/>
            <w:shd w:val="clear" w:color="auto" w:fill="EAF0EE"/>
          </w:tcPr>
          <w:p>
            <w:pPr>
              <w:spacing w:after="20"/>
            </w:pPr>
            <w:r>
              <w:rPr>
                <w:b/>
                <w:color w:val="1C3A36"/>
                <w:sz w:val="17"/>
              </w:rPr>
              <w:t>Share of revenue</w:t>
            </w:r>
          </w:p>
        </w:tc>
        <w:tc>
          <w:tcPr>
            <w:tcW w:type="dxa" w:w="2808"/>
            <w:shd w:val="clear" w:color="auto" w:fill="EAF0EE"/>
          </w:tcPr>
          <w:p>
            <w:pPr>
              <w:spacing w:after="20"/>
            </w:pPr>
            <w:r>
              <w:rPr>
                <w:b/>
                <w:color w:val="1C3A36"/>
                <w:sz w:val="17"/>
              </w:rPr>
              <w:t>Equity risk premium (ratings)</w:t>
            </w:r>
          </w:p>
        </w:tc>
        <w:tc>
          <w:tcPr>
            <w:tcW w:type="dxa" w:w="2952"/>
            <w:shd w:val="clear" w:color="auto" w:fill="EAF0EE"/>
          </w:tcPr>
          <w:p>
            <w:pPr>
              <w:spacing w:after="20"/>
            </w:pPr>
            <w:r>
              <w:rPr>
                <w:b/>
                <w:color w:val="1C3A36"/>
                <w:sz w:val="17"/>
              </w:rPr>
              <w:t>Equity risk premium (credit-default-swap)</w:t>
            </w:r>
          </w:p>
        </w:tc>
      </w:tr>
      <w:tr>
        <w:tc>
          <w:tcPr>
            <w:tcW w:type="dxa" w:w="2376"/>
          </w:tcPr>
          <w:p>
            <w:pPr>
              <w:spacing w:after="20"/>
            </w:pPr>
            <w:r>
              <w:rPr>
                <w:color w:val="1C3A36"/>
                <w:sz w:val="17"/>
              </w:rPr>
              <w:t>UAE</w:t>
            </w:r>
          </w:p>
        </w:tc>
        <w:tc>
          <w:tcPr>
            <w:tcW w:type="dxa" w:w="1944"/>
          </w:tcPr>
          <w:p>
            <w:pPr>
              <w:spacing w:after="20"/>
              <w:jc w:val="right"/>
            </w:pPr>
            <w:r>
              <w:rPr>
                <w:color w:val="1C3A36"/>
                <w:sz w:val="17"/>
              </w:rPr>
              <w:t>33.2%</w:t>
            </w:r>
          </w:p>
        </w:tc>
        <w:tc>
          <w:tcPr>
            <w:tcW w:type="dxa" w:w="2808"/>
          </w:tcPr>
          <w:p>
            <w:pPr>
              <w:spacing w:after="20"/>
              <w:jc w:val="right"/>
            </w:pPr>
            <w:r>
              <w:rPr>
                <w:color w:val="1C3A36"/>
                <w:sz w:val="17"/>
              </w:rPr>
              <w:t>4.81%</w:t>
            </w:r>
          </w:p>
        </w:tc>
        <w:tc>
          <w:tcPr>
            <w:tcW w:type="dxa" w:w="2952"/>
          </w:tcPr>
          <w:p>
            <w:pPr>
              <w:spacing w:after="20"/>
              <w:jc w:val="right"/>
            </w:pPr>
            <w:r>
              <w:rPr>
                <w:color w:val="1C3A36"/>
                <w:sz w:val="17"/>
              </w:rPr>
              <w:t>4.81% *</w:t>
            </w:r>
          </w:p>
        </w:tc>
      </w:tr>
      <w:tr>
        <w:tc>
          <w:tcPr>
            <w:tcW w:type="dxa" w:w="2376"/>
          </w:tcPr>
          <w:p>
            <w:pPr>
              <w:spacing w:after="20"/>
            </w:pPr>
            <w:r>
              <w:rPr>
                <w:color w:val="1C3A36"/>
                <w:sz w:val="17"/>
              </w:rPr>
              <w:t>Saudi Arabia</w:t>
            </w:r>
          </w:p>
        </w:tc>
        <w:tc>
          <w:tcPr>
            <w:tcW w:type="dxa" w:w="1944"/>
          </w:tcPr>
          <w:p>
            <w:pPr>
              <w:spacing w:after="20"/>
              <w:jc w:val="right"/>
            </w:pPr>
            <w:r>
              <w:rPr>
                <w:color w:val="1C3A36"/>
                <w:sz w:val="17"/>
              </w:rPr>
              <w:t>24.8%</w:t>
            </w:r>
          </w:p>
        </w:tc>
        <w:tc>
          <w:tcPr>
            <w:tcW w:type="dxa" w:w="2808"/>
          </w:tcPr>
          <w:p>
            <w:pPr>
              <w:spacing w:after="20"/>
              <w:jc w:val="right"/>
            </w:pPr>
            <w:r>
              <w:rPr>
                <w:color w:val="1C3A36"/>
                <w:sz w:val="17"/>
              </w:rPr>
              <w:t>4.94%</w:t>
            </w:r>
          </w:p>
        </w:tc>
        <w:tc>
          <w:tcPr>
            <w:tcW w:type="dxa" w:w="2952"/>
          </w:tcPr>
          <w:p>
            <w:pPr>
              <w:spacing w:after="20"/>
              <w:jc w:val="right"/>
            </w:pPr>
            <w:r>
              <w:rPr>
                <w:color w:val="1C3A36"/>
                <w:sz w:val="17"/>
              </w:rPr>
              <w:t>5.51%</w:t>
            </w:r>
          </w:p>
        </w:tc>
      </w:tr>
      <w:tr>
        <w:tc>
          <w:tcPr>
            <w:tcW w:type="dxa" w:w="2376"/>
          </w:tcPr>
          <w:p>
            <w:pPr>
              <w:spacing w:after="20"/>
            </w:pPr>
            <w:r>
              <w:rPr>
                <w:color w:val="1C3A36"/>
                <w:sz w:val="17"/>
              </w:rPr>
              <w:t>Kuwait</w:t>
            </w:r>
          </w:p>
        </w:tc>
        <w:tc>
          <w:tcPr>
            <w:tcW w:type="dxa" w:w="1944"/>
          </w:tcPr>
          <w:p>
            <w:pPr>
              <w:spacing w:after="20"/>
              <w:jc w:val="right"/>
            </w:pPr>
            <w:r>
              <w:rPr>
                <w:color w:val="1C3A36"/>
                <w:sz w:val="17"/>
              </w:rPr>
              <w:t>13.7%</w:t>
            </w:r>
          </w:p>
        </w:tc>
        <w:tc>
          <w:tcPr>
            <w:tcW w:type="dxa" w:w="2808"/>
          </w:tcPr>
          <w:p>
            <w:pPr>
              <w:spacing w:after="20"/>
              <w:jc w:val="right"/>
            </w:pPr>
            <w:r>
              <w:rPr>
                <w:color w:val="1C3A36"/>
                <w:sz w:val="17"/>
              </w:rPr>
              <w:t>5.07%</w:t>
            </w:r>
          </w:p>
        </w:tc>
        <w:tc>
          <w:tcPr>
            <w:tcW w:type="dxa" w:w="2952"/>
          </w:tcPr>
          <w:p>
            <w:pPr>
              <w:spacing w:after="20"/>
              <w:jc w:val="right"/>
            </w:pPr>
            <w:r>
              <w:rPr>
                <w:color w:val="1C3A36"/>
                <w:sz w:val="17"/>
              </w:rPr>
              <w:t>5.40%</w:t>
            </w:r>
          </w:p>
        </w:tc>
      </w:tr>
      <w:tr>
        <w:tc>
          <w:tcPr>
            <w:tcW w:type="dxa" w:w="2376"/>
          </w:tcPr>
          <w:p>
            <w:pPr>
              <w:spacing w:after="20"/>
            </w:pPr>
            <w:r>
              <w:rPr>
                <w:color w:val="1C3A36"/>
                <w:sz w:val="17"/>
              </w:rPr>
              <w:t>Egypt</w:t>
            </w:r>
          </w:p>
        </w:tc>
        <w:tc>
          <w:tcPr>
            <w:tcW w:type="dxa" w:w="1944"/>
          </w:tcPr>
          <w:p>
            <w:pPr>
              <w:spacing w:after="20"/>
              <w:jc w:val="right"/>
            </w:pPr>
            <w:r>
              <w:rPr>
                <w:color w:val="1C3A36"/>
                <w:sz w:val="17"/>
              </w:rPr>
              <w:t>6.8%</w:t>
            </w:r>
          </w:p>
        </w:tc>
        <w:tc>
          <w:tcPr>
            <w:tcW w:type="dxa" w:w="2808"/>
          </w:tcPr>
          <w:p>
            <w:pPr>
              <w:spacing w:after="20"/>
              <w:jc w:val="right"/>
            </w:pPr>
            <w:r>
              <w:rPr>
                <w:color w:val="1C3A36"/>
                <w:sz w:val="17"/>
              </w:rPr>
              <w:t>13.48%</w:t>
            </w:r>
          </w:p>
        </w:tc>
        <w:tc>
          <w:tcPr>
            <w:tcW w:type="dxa" w:w="2952"/>
          </w:tcPr>
          <w:p>
            <w:pPr>
              <w:spacing w:after="20"/>
              <w:jc w:val="right"/>
            </w:pPr>
            <w:r>
              <w:rPr>
                <w:color w:val="1C3A36"/>
                <w:sz w:val="17"/>
              </w:rPr>
              <w:t>9.52%</w:t>
            </w:r>
          </w:p>
        </w:tc>
      </w:tr>
      <w:tr>
        <w:tc>
          <w:tcPr>
            <w:tcW w:type="dxa" w:w="2376"/>
          </w:tcPr>
          <w:p>
            <w:pPr>
              <w:spacing w:after="20"/>
            </w:pPr>
            <w:r>
              <w:rPr>
                <w:color w:val="1C3A36"/>
                <w:sz w:val="17"/>
              </w:rPr>
              <w:t>Kazakhstan</w:t>
            </w:r>
          </w:p>
        </w:tc>
        <w:tc>
          <w:tcPr>
            <w:tcW w:type="dxa" w:w="1944"/>
          </w:tcPr>
          <w:p>
            <w:pPr>
              <w:spacing w:after="20"/>
              <w:jc w:val="right"/>
            </w:pPr>
            <w:r>
              <w:rPr>
                <w:color w:val="1C3A36"/>
                <w:sz w:val="17"/>
              </w:rPr>
              <w:t>5.2%</w:t>
            </w:r>
          </w:p>
        </w:tc>
        <w:tc>
          <w:tcPr>
            <w:tcW w:type="dxa" w:w="2808"/>
          </w:tcPr>
          <w:p>
            <w:pPr>
              <w:spacing w:after="20"/>
              <w:jc w:val="right"/>
            </w:pPr>
            <w:r>
              <w:rPr>
                <w:color w:val="1C3A36"/>
                <w:sz w:val="17"/>
              </w:rPr>
              <w:t>6.18%</w:t>
            </w:r>
          </w:p>
        </w:tc>
        <w:tc>
          <w:tcPr>
            <w:tcW w:type="dxa" w:w="2952"/>
          </w:tcPr>
          <w:p>
            <w:pPr>
              <w:spacing w:after="20"/>
              <w:jc w:val="right"/>
            </w:pPr>
            <w:r>
              <w:rPr>
                <w:color w:val="1C3A36"/>
                <w:sz w:val="17"/>
              </w:rPr>
              <w:t>5.89%</w:t>
            </w:r>
          </w:p>
        </w:tc>
      </w:tr>
      <w:tr>
        <w:tc>
          <w:tcPr>
            <w:tcW w:type="dxa" w:w="2376"/>
          </w:tcPr>
          <w:p>
            <w:pPr>
              <w:spacing w:after="20"/>
            </w:pPr>
            <w:r>
              <w:rPr>
                <w:color w:val="1C3A36"/>
                <w:sz w:val="17"/>
              </w:rPr>
              <w:t>Qatar</w:t>
            </w:r>
          </w:p>
        </w:tc>
        <w:tc>
          <w:tcPr>
            <w:tcW w:type="dxa" w:w="1944"/>
          </w:tcPr>
          <w:p>
            <w:pPr>
              <w:spacing w:after="20"/>
              <w:jc w:val="right"/>
            </w:pPr>
            <w:r>
              <w:rPr>
                <w:color w:val="1C3A36"/>
                <w:sz w:val="17"/>
              </w:rPr>
              <w:t>3.9%</w:t>
            </w:r>
          </w:p>
        </w:tc>
        <w:tc>
          <w:tcPr>
            <w:tcW w:type="dxa" w:w="2808"/>
          </w:tcPr>
          <w:p>
            <w:pPr>
              <w:spacing w:after="20"/>
              <w:jc w:val="right"/>
            </w:pPr>
            <w:r>
              <w:rPr>
                <w:color w:val="1C3A36"/>
                <w:sz w:val="17"/>
              </w:rPr>
              <w:t>4.81%</w:t>
            </w:r>
          </w:p>
        </w:tc>
        <w:tc>
          <w:tcPr>
            <w:tcW w:type="dxa" w:w="2952"/>
          </w:tcPr>
          <w:p>
            <w:pPr>
              <w:spacing w:after="20"/>
              <w:jc w:val="right"/>
            </w:pPr>
            <w:r>
              <w:rPr>
                <w:color w:val="1C3A36"/>
                <w:sz w:val="17"/>
              </w:rPr>
              <w:t>4.90%</w:t>
            </w:r>
          </w:p>
        </w:tc>
      </w:tr>
      <w:tr>
        <w:tc>
          <w:tcPr>
            <w:tcW w:type="dxa" w:w="2376"/>
          </w:tcPr>
          <w:p>
            <w:pPr>
              <w:spacing w:after="20"/>
            </w:pPr>
            <w:r>
              <w:rPr>
                <w:color w:val="1C3A36"/>
                <w:sz w:val="17"/>
              </w:rPr>
              <w:t>Oman</w:t>
            </w:r>
          </w:p>
        </w:tc>
        <w:tc>
          <w:tcPr>
            <w:tcW w:type="dxa" w:w="1944"/>
          </w:tcPr>
          <w:p>
            <w:pPr>
              <w:spacing w:after="20"/>
              <w:jc w:val="right"/>
            </w:pPr>
            <w:r>
              <w:rPr>
                <w:color w:val="1C3A36"/>
                <w:sz w:val="17"/>
              </w:rPr>
              <w:t>3.6%</w:t>
            </w:r>
          </w:p>
        </w:tc>
        <w:tc>
          <w:tcPr>
            <w:tcW w:type="dxa" w:w="2808"/>
          </w:tcPr>
          <w:p>
            <w:pPr>
              <w:spacing w:after="20"/>
              <w:jc w:val="right"/>
            </w:pPr>
            <w:r>
              <w:rPr>
                <w:color w:val="1C3A36"/>
                <w:sz w:val="17"/>
              </w:rPr>
              <w:t>6.92%</w:t>
            </w:r>
          </w:p>
        </w:tc>
        <w:tc>
          <w:tcPr>
            <w:tcW w:type="dxa" w:w="2952"/>
          </w:tcPr>
          <w:p>
            <w:pPr>
              <w:spacing w:after="20"/>
              <w:jc w:val="right"/>
            </w:pPr>
            <w:r>
              <w:rPr>
                <w:color w:val="1C3A36"/>
                <w:sz w:val="17"/>
              </w:rPr>
              <w:t>5.89%</w:t>
            </w:r>
          </w:p>
        </w:tc>
      </w:tr>
      <w:tr>
        <w:tc>
          <w:tcPr>
            <w:tcW w:type="dxa" w:w="2376"/>
          </w:tcPr>
          <w:p>
            <w:pPr>
              <w:spacing w:after="20"/>
            </w:pPr>
            <w:r>
              <w:rPr>
                <w:color w:val="1C3A36"/>
                <w:sz w:val="17"/>
              </w:rPr>
              <w:t>Bahrain</w:t>
            </w:r>
          </w:p>
        </w:tc>
        <w:tc>
          <w:tcPr>
            <w:tcW w:type="dxa" w:w="1944"/>
          </w:tcPr>
          <w:p>
            <w:pPr>
              <w:spacing w:after="20"/>
              <w:jc w:val="right"/>
            </w:pPr>
            <w:r>
              <w:rPr>
                <w:color w:val="1C3A36"/>
                <w:sz w:val="17"/>
              </w:rPr>
              <w:t>2.7%</w:t>
            </w:r>
          </w:p>
        </w:tc>
        <w:tc>
          <w:tcPr>
            <w:tcW w:type="dxa" w:w="2808"/>
          </w:tcPr>
          <w:p>
            <w:pPr>
              <w:spacing w:after="20"/>
              <w:jc w:val="right"/>
            </w:pPr>
            <w:r>
              <w:rPr>
                <w:color w:val="1C3A36"/>
                <w:sz w:val="17"/>
              </w:rPr>
              <w:t>11.01%</w:t>
            </w:r>
          </w:p>
        </w:tc>
        <w:tc>
          <w:tcPr>
            <w:tcW w:type="dxa" w:w="2952"/>
          </w:tcPr>
          <w:p>
            <w:pPr>
              <w:spacing w:after="20"/>
              <w:jc w:val="right"/>
            </w:pPr>
            <w:r>
              <w:rPr>
                <w:color w:val="1C3A36"/>
                <w:sz w:val="17"/>
              </w:rPr>
              <w:t>8.65%</w:t>
            </w:r>
          </w:p>
        </w:tc>
      </w:tr>
      <w:tr>
        <w:tc>
          <w:tcPr>
            <w:tcW w:type="dxa" w:w="2376"/>
          </w:tcPr>
          <w:p>
            <w:pPr>
              <w:spacing w:after="20"/>
            </w:pPr>
            <w:r>
              <w:rPr>
                <w:color w:val="1C3A36"/>
                <w:sz w:val="17"/>
              </w:rPr>
              <w:t>Jordan</w:t>
            </w:r>
          </w:p>
        </w:tc>
        <w:tc>
          <w:tcPr>
            <w:tcW w:type="dxa" w:w="1944"/>
          </w:tcPr>
          <w:p>
            <w:pPr>
              <w:spacing w:after="20"/>
              <w:jc w:val="right"/>
            </w:pPr>
            <w:r>
              <w:rPr>
                <w:color w:val="1C3A36"/>
                <w:sz w:val="17"/>
              </w:rPr>
              <w:t>2.0%</w:t>
            </w:r>
          </w:p>
        </w:tc>
        <w:tc>
          <w:tcPr>
            <w:tcW w:type="dxa" w:w="2808"/>
          </w:tcPr>
          <w:p>
            <w:pPr>
              <w:spacing w:after="20"/>
              <w:jc w:val="right"/>
            </w:pPr>
            <w:r>
              <w:rPr>
                <w:color w:val="1C3A36"/>
                <w:sz w:val="17"/>
              </w:rPr>
              <w:t>8.65%</w:t>
            </w:r>
          </w:p>
        </w:tc>
        <w:tc>
          <w:tcPr>
            <w:tcW w:type="dxa" w:w="2952"/>
          </w:tcPr>
          <w:p>
            <w:pPr>
              <w:spacing w:after="20"/>
              <w:jc w:val="right"/>
            </w:pPr>
            <w:r>
              <w:rPr>
                <w:color w:val="1C3A36"/>
                <w:sz w:val="17"/>
              </w:rPr>
              <w:t>8.65% *</w:t>
            </w:r>
          </w:p>
        </w:tc>
      </w:tr>
      <w:tr>
        <w:tc>
          <w:tcPr>
            <w:tcW w:type="dxa" w:w="2376"/>
          </w:tcPr>
          <w:p>
            <w:pPr>
              <w:spacing w:after="20"/>
            </w:pPr>
            <w:r>
              <w:rPr>
                <w:color w:val="1C3A36"/>
                <w:sz w:val="17"/>
              </w:rPr>
              <w:t>Morocco</w:t>
            </w:r>
          </w:p>
        </w:tc>
        <w:tc>
          <w:tcPr>
            <w:tcW w:type="dxa" w:w="1944"/>
          </w:tcPr>
          <w:p>
            <w:pPr>
              <w:spacing w:after="20"/>
              <w:jc w:val="right"/>
            </w:pPr>
            <w:r>
              <w:rPr>
                <w:color w:val="1C3A36"/>
                <w:sz w:val="17"/>
              </w:rPr>
              <w:t>2.0%</w:t>
            </w:r>
          </w:p>
        </w:tc>
        <w:tc>
          <w:tcPr>
            <w:tcW w:type="dxa" w:w="2808"/>
          </w:tcPr>
          <w:p>
            <w:pPr>
              <w:spacing w:after="20"/>
              <w:jc w:val="right"/>
            </w:pPr>
            <w:r>
              <w:rPr>
                <w:color w:val="1C3A36"/>
                <w:sz w:val="17"/>
              </w:rPr>
              <w:t>7.30%</w:t>
            </w:r>
          </w:p>
        </w:tc>
        <w:tc>
          <w:tcPr>
            <w:tcW w:type="dxa" w:w="2952"/>
          </w:tcPr>
          <w:p>
            <w:pPr>
              <w:spacing w:after="20"/>
              <w:jc w:val="right"/>
            </w:pPr>
            <w:r>
              <w:rPr>
                <w:color w:val="1C3A36"/>
                <w:sz w:val="17"/>
              </w:rPr>
              <w:t>6.00%</w:t>
            </w:r>
          </w:p>
        </w:tc>
      </w:tr>
      <w:tr>
        <w:tc>
          <w:tcPr>
            <w:tcW w:type="dxa" w:w="2376"/>
          </w:tcPr>
          <w:p>
            <w:pPr>
              <w:spacing w:after="20"/>
            </w:pPr>
            <w:r>
              <w:rPr>
                <w:color w:val="1C3A36"/>
                <w:sz w:val="17"/>
              </w:rPr>
              <w:t>Iraq</w:t>
            </w:r>
          </w:p>
        </w:tc>
        <w:tc>
          <w:tcPr>
            <w:tcW w:type="dxa" w:w="1944"/>
          </w:tcPr>
          <w:p>
            <w:pPr>
              <w:spacing w:after="20"/>
              <w:jc w:val="right"/>
            </w:pPr>
            <w:r>
              <w:rPr>
                <w:color w:val="1C3A36"/>
                <w:sz w:val="17"/>
              </w:rPr>
              <w:t>1.5%</w:t>
            </w:r>
          </w:p>
        </w:tc>
        <w:tc>
          <w:tcPr>
            <w:tcW w:type="dxa" w:w="2808"/>
          </w:tcPr>
          <w:p>
            <w:pPr>
              <w:spacing w:after="20"/>
              <w:jc w:val="right"/>
            </w:pPr>
            <w:r>
              <w:rPr>
                <w:color w:val="1C3A36"/>
                <w:sz w:val="17"/>
              </w:rPr>
              <w:t>13.48%</w:t>
            </w:r>
          </w:p>
        </w:tc>
        <w:tc>
          <w:tcPr>
            <w:tcW w:type="dxa" w:w="2952"/>
          </w:tcPr>
          <w:p>
            <w:pPr>
              <w:spacing w:after="20"/>
              <w:jc w:val="right"/>
            </w:pPr>
            <w:r>
              <w:rPr>
                <w:color w:val="1C3A36"/>
                <w:sz w:val="17"/>
              </w:rPr>
              <w:t>10.00%</w:t>
            </w:r>
          </w:p>
        </w:tc>
      </w:tr>
      <w:tr>
        <w:tc>
          <w:tcPr>
            <w:tcW w:type="dxa" w:w="2376"/>
          </w:tcPr>
          <w:p>
            <w:pPr>
              <w:spacing w:after="20"/>
            </w:pPr>
            <w:r>
              <w:rPr>
                <w:color w:val="1C3A36"/>
                <w:sz w:val="17"/>
              </w:rPr>
              <w:t>Lebanon</w:t>
            </w:r>
          </w:p>
        </w:tc>
        <w:tc>
          <w:tcPr>
            <w:tcW w:type="dxa" w:w="1944"/>
          </w:tcPr>
          <w:p>
            <w:pPr>
              <w:spacing w:after="20"/>
              <w:jc w:val="right"/>
            </w:pPr>
            <w:r>
              <w:rPr>
                <w:color w:val="1C3A36"/>
                <w:sz w:val="17"/>
              </w:rPr>
              <w:t>0.6%</w:t>
            </w:r>
          </w:p>
        </w:tc>
        <w:tc>
          <w:tcPr>
            <w:tcW w:type="dxa" w:w="2808"/>
          </w:tcPr>
          <w:p>
            <w:pPr>
              <w:spacing w:after="20"/>
              <w:jc w:val="right"/>
            </w:pPr>
            <w:r>
              <w:rPr>
                <w:color w:val="1C3A36"/>
                <w:sz w:val="17"/>
              </w:rPr>
              <w:t>31.40%</w:t>
            </w:r>
          </w:p>
        </w:tc>
        <w:tc>
          <w:tcPr>
            <w:tcW w:type="dxa" w:w="2952"/>
          </w:tcPr>
          <w:p>
            <w:pPr>
              <w:spacing w:after="20"/>
              <w:jc w:val="right"/>
            </w:pPr>
            <w:r>
              <w:rPr>
                <w:color w:val="1C3A36"/>
                <w:sz w:val="17"/>
              </w:rPr>
              <w:t>31.40% *</w:t>
            </w:r>
          </w:p>
        </w:tc>
      </w:tr>
      <w:tr>
        <w:tc>
          <w:tcPr>
            <w:tcW w:type="dxa" w:w="2376"/>
            <w:shd w:val="clear" w:color="auto" w:fill="F6F1E6"/>
          </w:tcPr>
          <w:p>
            <w:pPr>
              <w:spacing w:after="20"/>
            </w:pPr>
            <w:r>
              <w:rPr>
                <w:b/>
                <w:color w:val="1C3A36"/>
                <w:sz w:val="17"/>
              </w:rPr>
              <w:t>Revenue-weighted blend</w:t>
            </w:r>
          </w:p>
        </w:tc>
        <w:tc>
          <w:tcPr>
            <w:tcW w:type="dxa" w:w="1944"/>
            <w:shd w:val="clear" w:color="auto" w:fill="F6F1E6"/>
          </w:tcPr>
          <w:p>
            <w:pPr>
              <w:spacing w:after="20"/>
              <w:jc w:val="right"/>
            </w:pPr>
            <w:r>
              <w:rPr>
                <w:b/>
                <w:color w:val="1C3A36"/>
                <w:sz w:val="17"/>
              </w:rPr>
              <w:t>100%</w:t>
            </w:r>
          </w:p>
        </w:tc>
        <w:tc>
          <w:tcPr>
            <w:tcW w:type="dxa" w:w="2808"/>
            <w:shd w:val="clear" w:color="auto" w:fill="F6F1E6"/>
          </w:tcPr>
          <w:p>
            <w:pPr>
              <w:spacing w:after="20"/>
              <w:jc w:val="right"/>
            </w:pPr>
            <w:r>
              <w:rPr>
                <w:b/>
                <w:color w:val="1C3A36"/>
                <w:sz w:val="17"/>
              </w:rPr>
              <w:t>6.20%</w:t>
            </w:r>
          </w:p>
        </w:tc>
        <w:tc>
          <w:tcPr>
            <w:tcW w:type="dxa" w:w="2952"/>
            <w:shd w:val="clear" w:color="auto" w:fill="F6F1E6"/>
          </w:tcPr>
          <w:p>
            <w:pPr>
              <w:spacing w:after="20"/>
              <w:jc w:val="right"/>
            </w:pPr>
            <w:r>
              <w:rPr>
                <w:b/>
                <w:color w:val="1C3A36"/>
                <w:sz w:val="17"/>
              </w:rPr>
              <w:t>5.93%</w:t>
            </w:r>
          </w:p>
        </w:tc>
      </w:tr>
    </w:tbl>
    <w:p>
      <w:pPr>
        <w:spacing w:after="40"/>
      </w:pPr>
    </w:p>
    <w:p>
      <w:pPr>
        <w:spacing w:after="200" w:before="0"/>
      </w:pPr>
      <w:r>
        <w:rPr>
          <w:b w:val="0"/>
          <w:i/>
          <w:color w:val="6E7B77"/>
          <w:sz w:val="17"/>
        </w:rPr>
        <w:t>* No sovereign credit-default-swap is published for these countries, so the ratings-based premium is carried in that column and the substitution is flagged here rather than hidden. Country premiums as published by Aswath Damodaran of NYU Stern, January 2026 edition, read from the original data file. Revenue shares for the four separately disclosed countries are the company's own; within the two multi-country segments the split follows restaurant count, which is the only published physical measure at that level.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656"/>
        <w:gridCol w:w="2376"/>
        <w:gridCol w:w="3096"/>
      </w:tblGrid>
      <w:tr>
        <w:tc>
          <w:tcPr>
            <w:tcW w:type="dxa" w:w="2952"/>
            <w:shd w:val="clear" w:color="auto" w:fill="EAF0EE"/>
          </w:tcPr>
          <w:p>
            <w:pPr>
              <w:spacing w:after="20"/>
            </w:pPr>
            <w:r>
              <w:rPr>
                <w:b/>
                <w:color w:val="1C3A36"/>
                <w:sz w:val="17"/>
              </w:rPr>
              <w:t>Component</w:t>
            </w:r>
          </w:p>
        </w:tc>
        <w:tc>
          <w:tcPr>
            <w:tcW w:type="dxa" w:w="1656"/>
            <w:shd w:val="clear" w:color="auto" w:fill="EAF0EE"/>
          </w:tcPr>
          <w:p>
            <w:pPr>
              <w:spacing w:after="20"/>
            </w:pPr>
            <w:r>
              <w:rPr>
                <w:b/>
                <w:color w:val="1C3A36"/>
                <w:sz w:val="17"/>
              </w:rPr>
              <w:t>Ratings basis</w:t>
            </w:r>
          </w:p>
        </w:tc>
        <w:tc>
          <w:tcPr>
            <w:tcW w:type="dxa" w:w="2376"/>
            <w:shd w:val="clear" w:color="auto" w:fill="EAF0EE"/>
          </w:tcPr>
          <w:p>
            <w:pPr>
              <w:spacing w:after="20"/>
            </w:pPr>
            <w:r>
              <w:rPr>
                <w:b/>
                <w:color w:val="1C3A36"/>
                <w:sz w:val="17"/>
              </w:rPr>
              <w:t>Credit-default-swap basis</w:t>
            </w:r>
          </w:p>
        </w:tc>
        <w:tc>
          <w:tcPr>
            <w:tcW w:type="dxa" w:w="3096"/>
            <w:shd w:val="clear" w:color="auto" w:fill="EAF0EE"/>
          </w:tcPr>
          <w:p>
            <w:pPr>
              <w:spacing w:after="20"/>
            </w:pPr>
            <w:r>
              <w:rPr>
                <w:b/>
                <w:color w:val="1C3A36"/>
                <w:sz w:val="17"/>
              </w:rPr>
              <w:t>Where it comes from</w:t>
            </w:r>
          </w:p>
        </w:tc>
      </w:tr>
      <w:tr>
        <w:tc>
          <w:tcPr>
            <w:tcW w:type="dxa" w:w="2952"/>
          </w:tcPr>
          <w:p>
            <w:pPr>
              <w:spacing w:after="20"/>
            </w:pPr>
            <w:r>
              <w:rPr>
                <w:color w:val="1C3A36"/>
                <w:sz w:val="17"/>
              </w:rPr>
              <w:t>US ten-year Treasury yield</w:t>
            </w:r>
          </w:p>
        </w:tc>
        <w:tc>
          <w:tcPr>
            <w:tcW w:type="dxa" w:w="1656"/>
          </w:tcPr>
          <w:p>
            <w:pPr>
              <w:spacing w:after="20"/>
              <w:jc w:val="right"/>
            </w:pPr>
            <w:r>
              <w:rPr>
                <w:color w:val="1C3A36"/>
                <w:sz w:val="17"/>
              </w:rPr>
              <w:t>4.65%</w:t>
            </w:r>
          </w:p>
        </w:tc>
        <w:tc>
          <w:tcPr>
            <w:tcW w:type="dxa" w:w="2376"/>
          </w:tcPr>
          <w:p>
            <w:pPr>
              <w:spacing w:after="20"/>
              <w:jc w:val="right"/>
            </w:pPr>
            <w:r>
              <w:rPr>
                <w:color w:val="1C3A36"/>
                <w:sz w:val="17"/>
              </w:rPr>
              <w:t>4.65%</w:t>
            </w:r>
          </w:p>
        </w:tc>
        <w:tc>
          <w:tcPr>
            <w:tcW w:type="dxa" w:w="3096"/>
          </w:tcPr>
          <w:p>
            <w:pPr>
              <w:spacing w:after="20"/>
              <w:jc w:val="right"/>
            </w:pPr>
            <w:r>
              <w:rPr>
                <w:color w:val="1C3A36"/>
                <w:sz w:val="17"/>
              </w:rPr>
              <w:t>close of 7 August 2026</w:t>
            </w:r>
          </w:p>
        </w:tc>
      </w:tr>
      <w:tr>
        <w:tc>
          <w:tcPr>
            <w:tcW w:type="dxa" w:w="2952"/>
          </w:tcPr>
          <w:p>
            <w:pPr>
              <w:spacing w:after="20"/>
            </w:pPr>
            <w:r>
              <w:rPr>
                <w:color w:val="1C3A36"/>
                <w:sz w:val="17"/>
              </w:rPr>
              <w:t>Less the US sovereign spread</w:t>
            </w:r>
          </w:p>
        </w:tc>
        <w:tc>
          <w:tcPr>
            <w:tcW w:type="dxa" w:w="1656"/>
          </w:tcPr>
          <w:p>
            <w:pPr>
              <w:spacing w:after="20"/>
              <w:jc w:val="right"/>
            </w:pPr>
            <w:r>
              <w:rPr>
                <w:color w:val="1C3A36"/>
                <w:sz w:val="17"/>
              </w:rPr>
              <w:t>0.22%</w:t>
            </w:r>
          </w:p>
        </w:tc>
        <w:tc>
          <w:tcPr>
            <w:tcW w:type="dxa" w:w="2376"/>
          </w:tcPr>
          <w:p>
            <w:pPr>
              <w:spacing w:after="20"/>
              <w:jc w:val="right"/>
            </w:pPr>
            <w:r>
              <w:rPr>
                <w:color w:val="1C3A36"/>
                <w:sz w:val="17"/>
              </w:rPr>
              <w:t>0.43%</w:t>
            </w:r>
          </w:p>
        </w:tc>
        <w:tc>
          <w:tcPr>
            <w:tcW w:type="dxa" w:w="3096"/>
          </w:tcPr>
          <w:p>
            <w:pPr>
              <w:spacing w:after="20"/>
              <w:jc w:val="right"/>
            </w:pPr>
            <w:r>
              <w:rPr>
                <w:color w:val="1C3A36"/>
                <w:sz w:val="17"/>
              </w:rPr>
              <w:t>the same source as the premium added back</w:t>
            </w:r>
          </w:p>
        </w:tc>
      </w:tr>
      <w:tr>
        <w:tc>
          <w:tcPr>
            <w:tcW w:type="dxa" w:w="2952"/>
          </w:tcPr>
          <w:p>
            <w:pPr>
              <w:spacing w:after="20"/>
            </w:pPr>
            <w:r>
              <w:rPr>
                <w:color w:val="1C3A36"/>
                <w:sz w:val="17"/>
              </w:rPr>
              <w:t>Risk-free rate</w:t>
            </w:r>
          </w:p>
        </w:tc>
        <w:tc>
          <w:tcPr>
            <w:tcW w:type="dxa" w:w="1656"/>
          </w:tcPr>
          <w:p>
            <w:pPr>
              <w:spacing w:after="20"/>
              <w:jc w:val="right"/>
            </w:pPr>
            <w:r>
              <w:rPr>
                <w:color w:val="1C3A36"/>
                <w:sz w:val="17"/>
              </w:rPr>
              <w:t>4.43%</w:t>
            </w:r>
          </w:p>
        </w:tc>
        <w:tc>
          <w:tcPr>
            <w:tcW w:type="dxa" w:w="2376"/>
          </w:tcPr>
          <w:p>
            <w:pPr>
              <w:spacing w:after="20"/>
              <w:jc w:val="right"/>
            </w:pPr>
            <w:r>
              <w:rPr>
                <w:color w:val="1C3A36"/>
                <w:sz w:val="17"/>
              </w:rPr>
              <w:t>4.22%</w:t>
            </w:r>
          </w:p>
        </w:tc>
        <w:tc>
          <w:tcPr>
            <w:tcW w:type="dxa" w:w="3096"/>
          </w:tcPr>
          <w:p>
            <w:pPr>
              <w:spacing w:after="20"/>
              <w:jc w:val="right"/>
            </w:pPr>
            <w:r>
              <w:rPr>
                <w:color w:val="1C3A36"/>
                <w:sz w:val="17"/>
              </w:rPr>
              <w:t>the difference</w:t>
            </w:r>
          </w:p>
        </w:tc>
      </w:tr>
      <w:tr>
        <w:tc>
          <w:tcPr>
            <w:tcW w:type="dxa" w:w="2952"/>
          </w:tcPr>
          <w:p>
            <w:pPr>
              <w:spacing w:after="20"/>
            </w:pPr>
            <w:r>
              <w:rPr>
                <w:color w:val="1C3A36"/>
                <w:sz w:val="17"/>
              </w:rPr>
              <w:t>Beta</w:t>
            </w:r>
          </w:p>
        </w:tc>
        <w:tc>
          <w:tcPr>
            <w:tcW w:type="dxa" w:w="1656"/>
          </w:tcPr>
          <w:p>
            <w:pPr>
              <w:spacing w:after="20"/>
              <w:jc w:val="right"/>
            </w:pPr>
            <w:r>
              <w:rPr>
                <w:color w:val="1C3A36"/>
                <w:sz w:val="17"/>
              </w:rPr>
              <w:t>0.930</w:t>
            </w:r>
          </w:p>
        </w:tc>
        <w:tc>
          <w:tcPr>
            <w:tcW w:type="dxa" w:w="2376"/>
          </w:tcPr>
          <w:p>
            <w:pPr>
              <w:spacing w:after="20"/>
              <w:jc w:val="right"/>
            </w:pPr>
            <w:r>
              <w:rPr>
                <w:color w:val="1C3A36"/>
                <w:sz w:val="17"/>
              </w:rPr>
              <w:t>0.930</w:t>
            </w:r>
          </w:p>
        </w:tc>
        <w:tc>
          <w:tcPr>
            <w:tcW w:type="dxa" w:w="3096"/>
          </w:tcPr>
          <w:p>
            <w:pPr>
              <w:spacing w:after="20"/>
              <w:jc w:val="right"/>
            </w:pPr>
            <w:r>
              <w:rPr>
                <w:color w:val="1C3A36"/>
                <w:sz w:val="17"/>
              </w:rPr>
              <w:t>the company's own weekly share returns</w:t>
            </w:r>
          </w:p>
        </w:tc>
      </w:tr>
      <w:tr>
        <w:tc>
          <w:tcPr>
            <w:tcW w:type="dxa" w:w="2952"/>
          </w:tcPr>
          <w:p>
            <w:pPr>
              <w:spacing w:after="20"/>
            </w:pPr>
            <w:r>
              <w:rPr>
                <w:color w:val="1C3A36"/>
                <w:sz w:val="17"/>
              </w:rPr>
              <w:t>Blended equity risk premium</w:t>
            </w:r>
          </w:p>
        </w:tc>
        <w:tc>
          <w:tcPr>
            <w:tcW w:type="dxa" w:w="1656"/>
          </w:tcPr>
          <w:p>
            <w:pPr>
              <w:spacing w:after="20"/>
              <w:jc w:val="right"/>
            </w:pPr>
            <w:r>
              <w:rPr>
                <w:color w:val="1C3A36"/>
                <w:sz w:val="17"/>
              </w:rPr>
              <w:t>6.20%</w:t>
            </w:r>
          </w:p>
        </w:tc>
        <w:tc>
          <w:tcPr>
            <w:tcW w:type="dxa" w:w="2376"/>
          </w:tcPr>
          <w:p>
            <w:pPr>
              <w:spacing w:after="20"/>
              <w:jc w:val="right"/>
            </w:pPr>
            <w:r>
              <w:rPr>
                <w:color w:val="1C3A36"/>
                <w:sz w:val="17"/>
              </w:rPr>
              <w:t>5.93%</w:t>
            </w:r>
          </w:p>
        </w:tc>
        <w:tc>
          <w:tcPr>
            <w:tcW w:type="dxa" w:w="3096"/>
          </w:tcPr>
          <w:p>
            <w:pPr>
              <w:spacing w:after="20"/>
              <w:jc w:val="right"/>
            </w:pPr>
            <w:r>
              <w:rPr>
                <w:color w:val="1C3A36"/>
                <w:sz w:val="17"/>
              </w:rPr>
              <w:t>the table above</w:t>
            </w:r>
          </w:p>
        </w:tc>
      </w:tr>
      <w:tr>
        <w:tc>
          <w:tcPr>
            <w:tcW w:type="dxa" w:w="2952"/>
            <w:shd w:val="clear" w:color="auto" w:fill="F6F1E6"/>
          </w:tcPr>
          <w:p>
            <w:pPr>
              <w:spacing w:after="20"/>
            </w:pPr>
            <w:r>
              <w:rPr>
                <w:b/>
                <w:color w:val="1C3A36"/>
                <w:sz w:val="17"/>
              </w:rPr>
              <w:t>Cost of equity</w:t>
            </w:r>
          </w:p>
        </w:tc>
        <w:tc>
          <w:tcPr>
            <w:tcW w:type="dxa" w:w="1656"/>
            <w:shd w:val="clear" w:color="auto" w:fill="F6F1E6"/>
          </w:tcPr>
          <w:p>
            <w:pPr>
              <w:spacing w:after="20"/>
              <w:jc w:val="right"/>
            </w:pPr>
            <w:r>
              <w:rPr>
                <w:b/>
                <w:color w:val="1C3A36"/>
                <w:sz w:val="17"/>
              </w:rPr>
              <w:t>10.20%</w:t>
            </w:r>
          </w:p>
        </w:tc>
        <w:tc>
          <w:tcPr>
            <w:tcW w:type="dxa" w:w="2376"/>
            <w:shd w:val="clear" w:color="auto" w:fill="F6F1E6"/>
          </w:tcPr>
          <w:p>
            <w:pPr>
              <w:spacing w:after="20"/>
              <w:jc w:val="right"/>
            </w:pPr>
            <w:r>
              <w:rPr>
                <w:b/>
                <w:color w:val="1C3A36"/>
                <w:sz w:val="17"/>
              </w:rPr>
              <w:t>9.73%</w:t>
            </w:r>
          </w:p>
        </w:tc>
        <w:tc>
          <w:tcPr>
            <w:tcW w:type="dxa" w:w="3096"/>
            <w:shd w:val="clear" w:color="auto" w:fill="F6F1E6"/>
          </w:tcPr>
          <w:p>
            <w:pPr>
              <w:spacing w:after="20"/>
              <w:jc w:val="right"/>
            </w:pPr>
            <w:r>
              <w:rPr>
                <w:b/>
                <w:color w:val="1C3A36"/>
                <w:sz w:val="17"/>
              </w:rPr>
              <w:t>built from the rows above</w:t>
            </w:r>
          </w:p>
        </w:tc>
      </w:tr>
      <w:tr>
        <w:tc>
          <w:tcPr>
            <w:tcW w:type="dxa" w:w="2952"/>
          </w:tcPr>
          <w:p>
            <w:pPr>
              <w:spacing w:after="20"/>
            </w:pPr>
            <w:r>
              <w:rPr>
                <w:color w:val="1C3A36"/>
                <w:sz w:val="17"/>
              </w:rPr>
              <w:t>Cost of debt</w:t>
            </w:r>
          </w:p>
        </w:tc>
        <w:tc>
          <w:tcPr>
            <w:tcW w:type="dxa" w:w="1656"/>
          </w:tcPr>
          <w:p>
            <w:pPr>
              <w:spacing w:after="20"/>
              <w:jc w:val="right"/>
            </w:pPr>
            <w:r>
              <w:rPr>
                <w:color w:val="1C3A36"/>
                <w:sz w:val="17"/>
              </w:rPr>
              <w:t>6.72%</w:t>
            </w:r>
          </w:p>
        </w:tc>
        <w:tc>
          <w:tcPr>
            <w:tcW w:type="dxa" w:w="2376"/>
          </w:tcPr>
          <w:p>
            <w:pPr>
              <w:spacing w:after="20"/>
              <w:jc w:val="right"/>
            </w:pPr>
            <w:r>
              <w:rPr>
                <w:color w:val="1C3A36"/>
                <w:sz w:val="17"/>
              </w:rPr>
              <w:t>6.72%</w:t>
            </w:r>
          </w:p>
        </w:tc>
        <w:tc>
          <w:tcPr>
            <w:tcW w:type="dxa" w:w="3096"/>
          </w:tcPr>
          <w:p>
            <w:pPr>
              <w:spacing w:after="20"/>
              <w:jc w:val="right"/>
            </w:pPr>
            <w:r>
              <w:rPr>
                <w:color w:val="1C3A36"/>
                <w:sz w:val="17"/>
              </w:rPr>
              <w:t>the company's own borrowing rate — see below</w:t>
            </w:r>
          </w:p>
        </w:tc>
      </w:tr>
      <w:tr>
        <w:tc>
          <w:tcPr>
            <w:tcW w:type="dxa" w:w="2952"/>
          </w:tcPr>
          <w:p>
            <w:pPr>
              <w:spacing w:after="20"/>
            </w:pPr>
            <w:r>
              <w:rPr>
                <w:color w:val="1C3A36"/>
                <w:sz w:val="17"/>
              </w:rPr>
              <w:t>Cost of debt after tax</w:t>
            </w:r>
          </w:p>
        </w:tc>
        <w:tc>
          <w:tcPr>
            <w:tcW w:type="dxa" w:w="1656"/>
          </w:tcPr>
          <w:p>
            <w:pPr>
              <w:spacing w:after="20"/>
              <w:jc w:val="right"/>
            </w:pPr>
            <w:r>
              <w:rPr>
                <w:color w:val="1C3A36"/>
                <w:sz w:val="17"/>
              </w:rPr>
              <w:t>5.75%</w:t>
            </w:r>
          </w:p>
        </w:tc>
        <w:tc>
          <w:tcPr>
            <w:tcW w:type="dxa" w:w="2376"/>
          </w:tcPr>
          <w:p>
            <w:pPr>
              <w:spacing w:after="20"/>
              <w:jc w:val="right"/>
            </w:pPr>
            <w:r>
              <w:rPr>
                <w:color w:val="1C3A36"/>
                <w:sz w:val="17"/>
              </w:rPr>
              <w:t>5.75%</w:t>
            </w:r>
          </w:p>
        </w:tc>
        <w:tc>
          <w:tcPr>
            <w:tcW w:type="dxa" w:w="3096"/>
          </w:tcPr>
          <w:p>
            <w:pPr>
              <w:spacing w:after="20"/>
              <w:jc w:val="right"/>
            </w:pPr>
            <w:r>
              <w:rPr>
                <w:color w:val="1C3A36"/>
                <w:sz w:val="17"/>
              </w:rPr>
            </w:r>
          </w:p>
        </w:tc>
      </w:tr>
      <w:tr>
        <w:tc>
          <w:tcPr>
            <w:tcW w:type="dxa" w:w="2952"/>
          </w:tcPr>
          <w:p>
            <w:pPr>
              <w:spacing w:after="20"/>
            </w:pPr>
            <w:r>
              <w:rPr>
                <w:color w:val="1C3A36"/>
                <w:sz w:val="17"/>
              </w:rPr>
              <w:t>Debt weight</w:t>
            </w:r>
          </w:p>
        </w:tc>
        <w:tc>
          <w:tcPr>
            <w:tcW w:type="dxa" w:w="1656"/>
          </w:tcPr>
          <w:p>
            <w:pPr>
              <w:spacing w:after="20"/>
              <w:jc w:val="right"/>
            </w:pPr>
            <w:r>
              <w:rPr>
                <w:color w:val="1C3A36"/>
                <w:sz w:val="17"/>
              </w:rPr>
              <w:t>10.4%</w:t>
            </w:r>
          </w:p>
        </w:tc>
        <w:tc>
          <w:tcPr>
            <w:tcW w:type="dxa" w:w="2376"/>
          </w:tcPr>
          <w:p>
            <w:pPr>
              <w:spacing w:after="20"/>
              <w:jc w:val="right"/>
            </w:pPr>
            <w:r>
              <w:rPr>
                <w:color w:val="1C3A36"/>
                <w:sz w:val="17"/>
              </w:rPr>
              <w:t>10.4%</w:t>
            </w:r>
          </w:p>
        </w:tc>
        <w:tc>
          <w:tcPr>
            <w:tcW w:type="dxa" w:w="3096"/>
          </w:tcPr>
          <w:p>
            <w:pPr>
              <w:spacing w:after="20"/>
              <w:jc w:val="right"/>
            </w:pPr>
            <w:r>
              <w:rPr>
                <w:color w:val="1C3A36"/>
                <w:sz w:val="17"/>
              </w:rPr>
              <w:t>lease liabilities over lease liabilities plus market capitalisation</w:t>
            </w:r>
          </w:p>
        </w:tc>
      </w:tr>
      <w:tr>
        <w:tc>
          <w:tcPr>
            <w:tcW w:type="dxa" w:w="2952"/>
            <w:shd w:val="clear" w:color="auto" w:fill="F6F1E6"/>
          </w:tcPr>
          <w:p>
            <w:pPr>
              <w:spacing w:after="20"/>
            </w:pPr>
            <w:r>
              <w:rPr>
                <w:b/>
                <w:color w:val="1C3A36"/>
                <w:sz w:val="17"/>
              </w:rPr>
              <w:t>Weighted cost of capital</w:t>
            </w:r>
          </w:p>
        </w:tc>
        <w:tc>
          <w:tcPr>
            <w:tcW w:type="dxa" w:w="1656"/>
            <w:shd w:val="clear" w:color="auto" w:fill="F6F1E6"/>
          </w:tcPr>
          <w:p>
            <w:pPr>
              <w:spacing w:after="20"/>
              <w:jc w:val="right"/>
            </w:pPr>
            <w:r>
              <w:rPr>
                <w:b/>
                <w:color w:val="1C3A36"/>
                <w:sz w:val="17"/>
              </w:rPr>
              <w:t>9.73%</w:t>
            </w:r>
          </w:p>
        </w:tc>
        <w:tc>
          <w:tcPr>
            <w:tcW w:type="dxa" w:w="2376"/>
            <w:shd w:val="clear" w:color="auto" w:fill="F6F1E6"/>
          </w:tcPr>
          <w:p>
            <w:pPr>
              <w:spacing w:after="20"/>
              <w:jc w:val="right"/>
            </w:pPr>
            <w:r>
              <w:rPr>
                <w:b/>
                <w:color w:val="1C3A36"/>
                <w:sz w:val="17"/>
              </w:rPr>
              <w:t>9.32%</w:t>
            </w:r>
          </w:p>
        </w:tc>
        <w:tc>
          <w:tcPr>
            <w:tcW w:type="dxa" w:w="3096"/>
            <w:shd w:val="clear" w:color="auto" w:fill="F6F1E6"/>
          </w:tcPr>
          <w:p>
            <w:pPr>
              <w:spacing w:after="20"/>
              <w:jc w:val="right"/>
            </w:pPr>
            <w:r>
              <w:rPr>
                <w:b/>
                <w:color w:val="1C3A36"/>
                <w:sz w:val="17"/>
              </w:rPr>
            </w:r>
          </w:p>
        </w:tc>
      </w:tr>
      <w:tr>
        <w:tc>
          <w:tcPr>
            <w:tcW w:type="dxa" w:w="2952"/>
          </w:tcPr>
          <w:p>
            <w:pPr>
              <w:spacing w:after="20"/>
            </w:pPr>
            <w:r>
              <w:rPr>
                <w:color w:val="1C3A36"/>
                <w:sz w:val="17"/>
              </w:rPr>
              <w:t>Terminal cost of capital</w:t>
            </w:r>
          </w:p>
        </w:tc>
        <w:tc>
          <w:tcPr>
            <w:tcW w:type="dxa" w:w="1656"/>
          </w:tcPr>
          <w:p>
            <w:pPr>
              <w:spacing w:after="20"/>
              <w:jc w:val="right"/>
            </w:pPr>
            <w:r>
              <w:rPr>
                <w:color w:val="1C3A36"/>
                <w:sz w:val="17"/>
              </w:rPr>
              <w:t>9.74%</w:t>
            </w:r>
          </w:p>
        </w:tc>
        <w:tc>
          <w:tcPr>
            <w:tcW w:type="dxa" w:w="2376"/>
          </w:tcPr>
          <w:p>
            <w:pPr>
              <w:spacing w:after="20"/>
              <w:jc w:val="right"/>
            </w:pPr>
            <w:r>
              <w:rPr>
                <w:color w:val="1C3A36"/>
                <w:sz w:val="17"/>
              </w:rPr>
              <w:t>—</w:t>
            </w:r>
          </w:p>
        </w:tc>
        <w:tc>
          <w:tcPr>
            <w:tcW w:type="dxa" w:w="3096"/>
          </w:tcPr>
          <w:p>
            <w:pPr>
              <w:spacing w:after="20"/>
              <w:jc w:val="right"/>
            </w:pPr>
            <w:r>
              <w:rPr>
                <w:color w:val="1C3A36"/>
                <w:sz w:val="17"/>
              </w:rPr>
              <w:t>on the terminal risk-free rate</w:t>
            </w:r>
          </w:p>
        </w:tc>
      </w:tr>
    </w:tbl>
    <w:p>
      <w:pPr>
        <w:spacing w:after="40"/>
      </w:pPr>
    </w:p>
    <w:p>
      <w:pPr>
        <w:spacing w:after="200" w:before="0"/>
      </w:pPr>
      <w:r>
        <w:rPr>
          <w:b w:val="0"/>
          <w:i/>
          <w:color w:val="6E7B77"/>
          <w:sz w:val="17"/>
        </w:rPr>
        <w:t>Both premium bases are published. The valuation runs on the ratings basis; the credit-default-swap basis is 35 basis points cheaper and would raise the cash-flow value slightly.</w:t>
      </w:r>
    </w:p>
    <w:p>
      <w:pPr>
        <w:spacing w:after="120" w:before="0"/>
      </w:pPr>
      <w:r>
        <w:rPr>
          <w:b w:val="0"/>
          <w:i w:val="0"/>
          <w:color w:val="1C3A36"/>
          <w:sz w:val="21"/>
        </w:rPr>
        <w:t>The cost of debt deserves a note, because Americana has no bank debt at all — none at the end of 2024, none at the end of 2025, and USD 42 thousand of commitment charges in the whole of last year. Its only borrowing is the lease estate. The rate used here is therefore the company's own incremental borrowing rate, read straight out of its lease accounting: USD 40.9 million of lease finance cost over an average lease liability of USD 608 million, or 6.72%. The same construction on the 2024 accounts gives 5.95%. Determining that rate is one of the two matters the auditor singles out as most significant in the audit. It sits above the Abu Dhabi sovereign, which is what a corporate borrowing in the same currency must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8847"/>
        <w:gridCol w:w="873"/>
      </w:tblGrid>
      <w:tr>
        <w:tc>
          <w:tcPr>
            <w:tcW w:type="dxa" w:w="8847"/>
            <w:shd w:val="clear" w:color="auto" w:fill="EAF0EE"/>
          </w:tcPr>
          <w:p>
            <w:pPr>
              <w:spacing w:after="20"/>
            </w:pPr>
            <w:r>
              <w:rPr>
                <w:b/>
                <w:color w:val="1C3A36"/>
                <w:sz w:val="18"/>
              </w:rPr>
              <w:t>Evidence on the cost of debt</w:t>
            </w:r>
          </w:p>
        </w:tc>
        <w:tc>
          <w:tcPr>
            <w:tcW w:type="dxa" w:w="873"/>
            <w:shd w:val="clear" w:color="auto" w:fill="EAF0EE"/>
          </w:tcPr>
          <w:p>
            <w:pPr>
              <w:spacing w:after="20"/>
            </w:pPr>
            <w:r>
              <w:rPr>
                <w:b/>
                <w:color w:val="1C3A36"/>
                <w:sz w:val="18"/>
              </w:rPr>
              <w:t>Rate</w:t>
            </w:r>
          </w:p>
        </w:tc>
      </w:tr>
      <w:tr>
        <w:tc>
          <w:tcPr>
            <w:tcW w:type="dxa" w:w="8847"/>
          </w:tcPr>
          <w:p>
            <w:pPr>
              <w:spacing w:after="20"/>
            </w:pPr>
            <w:r>
              <w:rPr>
                <w:color w:val="1C3A36"/>
                <w:sz w:val="18"/>
              </w:rPr>
              <w:t>Company incremental borrowing rate implied by FY2025 lease accounting</w:t>
            </w:r>
          </w:p>
        </w:tc>
        <w:tc>
          <w:tcPr>
            <w:tcW w:type="dxa" w:w="873"/>
          </w:tcPr>
          <w:p>
            <w:pPr>
              <w:spacing w:after="20"/>
              <w:jc w:val="right"/>
            </w:pPr>
            <w:r>
              <w:rPr>
                <w:color w:val="1C3A36"/>
                <w:sz w:val="18"/>
              </w:rPr>
              <w:t>6.72%</w:t>
            </w:r>
          </w:p>
        </w:tc>
      </w:tr>
      <w:tr>
        <w:tc>
          <w:tcPr>
            <w:tcW w:type="dxa" w:w="8847"/>
          </w:tcPr>
          <w:p>
            <w:pPr>
              <w:spacing w:after="20"/>
            </w:pPr>
            <w:r>
              <w:rPr>
                <w:color w:val="1C3A36"/>
                <w:sz w:val="18"/>
              </w:rPr>
              <w:t>The same construction on the FY2024 accounts</w:t>
            </w:r>
          </w:p>
        </w:tc>
        <w:tc>
          <w:tcPr>
            <w:tcW w:type="dxa" w:w="873"/>
          </w:tcPr>
          <w:p>
            <w:pPr>
              <w:spacing w:after="20"/>
              <w:jc w:val="right"/>
            </w:pPr>
            <w:r>
              <w:rPr>
                <w:color w:val="1C3A36"/>
                <w:sz w:val="18"/>
              </w:rPr>
              <w:t>5.95%</w:t>
            </w:r>
          </w:p>
        </w:tc>
      </w:tr>
      <w:tr>
        <w:tc>
          <w:tcPr>
            <w:tcW w:type="dxa" w:w="8847"/>
          </w:tcPr>
          <w:p>
            <w:pPr>
              <w:spacing w:after="20"/>
            </w:pPr>
            <w:r>
              <w:rPr>
                <w:color w:val="1C3A36"/>
                <w:sz w:val="18"/>
              </w:rPr>
              <w:t>Abu Dhabi ten-year sovereign, US dollars (Treasury plus the February 2026 new-issue spread of 55 basis points)</w:t>
            </w:r>
          </w:p>
        </w:tc>
        <w:tc>
          <w:tcPr>
            <w:tcW w:type="dxa" w:w="873"/>
          </w:tcPr>
          <w:p>
            <w:pPr>
              <w:spacing w:after="20"/>
              <w:jc w:val="right"/>
            </w:pPr>
            <w:r>
              <w:rPr>
                <w:color w:val="1C3A36"/>
                <w:sz w:val="18"/>
              </w:rPr>
              <w:t>4.90%</w:t>
            </w:r>
          </w:p>
        </w:tc>
      </w:tr>
      <w:tr>
        <w:tc>
          <w:tcPr>
            <w:tcW w:type="dxa" w:w="8847"/>
          </w:tcPr>
          <w:p>
            <w:pPr>
              <w:spacing w:after="20"/>
            </w:pPr>
            <w:r>
              <w:rPr>
                <w:color w:val="1C3A36"/>
                <w:sz w:val="18"/>
              </w:rPr>
              <w:t>US ten-year Treasury</w:t>
            </w:r>
          </w:p>
        </w:tc>
        <w:tc>
          <w:tcPr>
            <w:tcW w:type="dxa" w:w="873"/>
          </w:tcPr>
          <w:p>
            <w:pPr>
              <w:spacing w:after="20"/>
              <w:jc w:val="right"/>
            </w:pPr>
            <w:r>
              <w:rPr>
                <w:color w:val="1C3A36"/>
                <w:sz w:val="18"/>
              </w:rPr>
              <w:t>4.65%</w:t>
            </w:r>
          </w:p>
        </w:tc>
      </w:tr>
      <w:tr>
        <w:tc>
          <w:tcPr>
            <w:tcW w:type="dxa" w:w="8847"/>
          </w:tcPr>
          <w:p>
            <w:pPr>
              <w:spacing w:after="20"/>
            </w:pPr>
            <w:r>
              <w:rPr>
                <w:color w:val="1C3A36"/>
                <w:sz w:val="18"/>
              </w:rPr>
              <w:t>Bank debt outstanding at 31 December 2025</w:t>
            </w:r>
          </w:p>
        </w:tc>
        <w:tc>
          <w:tcPr>
            <w:tcW w:type="dxa" w:w="873"/>
          </w:tcPr>
          <w:p>
            <w:pPr>
              <w:spacing w:after="20"/>
              <w:jc w:val="right"/>
            </w:pPr>
            <w:r>
              <w:rPr>
                <w:color w:val="1C3A36"/>
                <w:sz w:val="18"/>
              </w:rPr>
              <w:t>none</w:t>
            </w:r>
          </w:p>
        </w:tc>
      </w:tr>
    </w:tbl>
    <w:p>
      <w:pPr>
        <w:spacing w:after="40"/>
      </w:pPr>
    </w:p>
    <w:p>
      <w:pPr>
        <w:spacing w:after="120" w:before="0"/>
      </w:pPr>
      <w:r>
        <w:rPr>
          <w:b w:val="0"/>
          <w:i w:val="0"/>
          <w:color w:val="1C3A36"/>
          <w:sz w:val="21"/>
        </w:rPr>
        <w:t>Beta is measured on the company's own share price against the published index of the exchange those shares trade on, the FTSE ADX General Index, whose history runs to 2026-07-24. The regression uses 183 complete weekly observations over windows labelled 2022-12-30 to 2026-07-17 — 3.55 years, the whole life of the listing, which began in December 2022 — and both series are screened for data quality before either is used. The result carries the lead-lag correction that applies when a stock and its index need not react to the same news on the same day: beta 0.930, standard error 0.412, R-squared 8.4%.</w:t>
      </w:r>
    </w:p>
    <w:p>
      <w:pPr>
        <w:spacing w:after="120" w:before="0"/>
      </w:pPr>
      <w:r>
        <w:rPr>
          <w:b w:val="0"/>
          <w:i w:val="0"/>
          <w:color w:val="1C3A36"/>
          <w:sz w:val="21"/>
        </w:rPr>
        <w:t>The imprecision is the honest headline here rather than a footnote. A 90% confidence interval on this estimate runs from 0.25 to 1.61, which is wide enough to contain almost every figure a reasonable person might argue for, so no part of this valuation should be read as resting on beta being exactly right. What can be said is that the level is corroborated: adjusting the raw coefficient toward the market in the standard way gives 0.953, and the company sits, as one would expect of a consumer operator, below the property and banking names that dominate this index and above a defensive food producer.</w:t>
      </w:r>
    </w:p>
    <w:p>
      <w:pPr>
        <w:spacing w:after="120" w:before="0"/>
      </w:pPr>
      <w:r>
        <w:rPr>
          <w:b w:val="0"/>
          <w:i w:val="0"/>
          <w:color w:val="1C3A36"/>
          <w:sz w:val="21"/>
        </w:rPr>
        <w:t>Three earlier estimates are on the record and none is used. Before the Abu Dhabi index history was available this study regressed the company's Riyadh-listed line against the Saudi index and obtained 0.894 — the same shares, but priced against a different country's market cycle. An equally weighted basket of eighteen UAE-listed names gave 0.586, and a US-listed fund tracking a UAE index, which prices hours after the Abu Dhabi close, gave 0.469. The last two understated the figure by roughly half. A basket of the companies this series happens to cover is not a market: it changes whenever another company is added to the coverage, it mixes two exchanges together, and it contains the very company being valued, so the shares would be regressed partly against themselves.</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035040" cy="2311292"/>
            <wp:docPr id="4" name="Picture 4"/>
            <wp:cNvGraphicFramePr>
              <a:graphicFrameLocks noChangeAspect="1"/>
            </wp:cNvGraphicFramePr>
            <a:graphic>
              <a:graphicData uri="http://schemas.openxmlformats.org/drawingml/2006/picture">
                <pic:pic>
                  <pic:nvPicPr>
                    <pic:cNvPr id="0" name="fig8_tornado.png"/>
                    <pic:cNvPicPr/>
                  </pic:nvPicPr>
                  <pic:blipFill>
                    <a:blip r:embed="rId12"/>
                    <a:stretch>
                      <a:fillRect/>
                    </a:stretch>
                  </pic:blipFill>
                  <pic:spPr>
                    <a:xfrm>
                      <a:off x="0" y="0"/>
                      <a:ext cx="6035040" cy="2311292"/>
                    </a:xfrm>
                    <a:prstGeom prst="rect"/>
                  </pic:spPr>
                </pic:pic>
              </a:graphicData>
            </a:graphic>
          </wp:inline>
        </w:drawing>
      </w:r>
    </w:p>
    <w:p>
      <w:pPr>
        <w:spacing w:after="200" w:before="0"/>
      </w:pPr>
      <w:r>
        <w:rPr>
          <w:b w:val="0"/>
          <w:i/>
          <w:color w:val="6E7B77"/>
          <w:sz w:val="17"/>
        </w:rPr>
        <w:t>One driver at a time. The margin row is the widest, which is why the margin question is the study rather than a footnote.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67"/>
        <w:gridCol w:w="1267"/>
        <w:gridCol w:w="1267"/>
        <w:gridCol w:w="1267"/>
        <w:gridCol w:w="1267"/>
      </w:tblGrid>
      <w:tr>
        <w:tc>
          <w:tcPr>
            <w:tcW w:type="dxa" w:w="3672"/>
            <w:shd w:val="clear" w:color="auto" w:fill="EAF0EE"/>
          </w:tcPr>
          <w:p>
            <w:pPr>
              <w:spacing w:after="20"/>
            </w:pPr>
            <w:r>
              <w:rPr>
                <w:b/>
                <w:color w:val="1C3A36"/>
                <w:sz w:val="18"/>
              </w:rPr>
              <w:t>Cost of capital \ terminal growth</w:t>
            </w:r>
          </w:p>
        </w:tc>
        <w:tc>
          <w:tcPr>
            <w:tcW w:type="dxa" w:w="1267"/>
            <w:shd w:val="clear" w:color="auto" w:fill="EAF0EE"/>
          </w:tcPr>
          <w:p>
            <w:pPr>
              <w:spacing w:after="20"/>
            </w:pPr>
            <w:r>
              <w:rPr>
                <w:b/>
                <w:color w:val="1C3A36"/>
                <w:sz w:val="18"/>
              </w:rPr>
              <w:t>2.0%</w:t>
            </w:r>
          </w:p>
        </w:tc>
        <w:tc>
          <w:tcPr>
            <w:tcW w:type="dxa" w:w="1267"/>
            <w:shd w:val="clear" w:color="auto" w:fill="EAF0EE"/>
          </w:tcPr>
          <w:p>
            <w:pPr>
              <w:spacing w:after="20"/>
            </w:pPr>
            <w:r>
              <w:rPr>
                <w:b/>
                <w:color w:val="1C3A36"/>
                <w:sz w:val="18"/>
              </w:rPr>
              <w:t>2.5%</w:t>
            </w:r>
          </w:p>
        </w:tc>
        <w:tc>
          <w:tcPr>
            <w:tcW w:type="dxa" w:w="1267"/>
            <w:shd w:val="clear" w:color="auto" w:fill="EAF0EE"/>
          </w:tcPr>
          <w:p>
            <w:pPr>
              <w:spacing w:after="20"/>
            </w:pPr>
            <w:r>
              <w:rPr>
                <w:b/>
                <w:color w:val="1C3A36"/>
                <w:sz w:val="18"/>
              </w:rPr>
              <w:t>3.0%</w:t>
            </w:r>
          </w:p>
        </w:tc>
        <w:tc>
          <w:tcPr>
            <w:tcW w:type="dxa" w:w="1267"/>
            <w:shd w:val="clear" w:color="auto" w:fill="EAF0EE"/>
          </w:tcPr>
          <w:p>
            <w:pPr>
              <w:spacing w:after="20"/>
            </w:pPr>
            <w:r>
              <w:rPr>
                <w:b/>
                <w:color w:val="1C3A36"/>
                <w:sz w:val="18"/>
              </w:rPr>
              <w:t>3.5%</w:t>
            </w:r>
          </w:p>
        </w:tc>
        <w:tc>
          <w:tcPr>
            <w:tcW w:type="dxa" w:w="1267"/>
            <w:shd w:val="clear" w:color="auto" w:fill="EAF0EE"/>
          </w:tcPr>
          <w:p>
            <w:pPr>
              <w:spacing w:after="20"/>
            </w:pPr>
            <w:r>
              <w:rPr>
                <w:b/>
                <w:color w:val="1C3A36"/>
                <w:sz w:val="18"/>
              </w:rPr>
              <w:t>4.0%</w:t>
            </w:r>
          </w:p>
        </w:tc>
      </w:tr>
      <w:tr>
        <w:tc>
          <w:tcPr>
            <w:tcW w:type="dxa" w:w="3672"/>
          </w:tcPr>
          <w:p>
            <w:pPr>
              <w:spacing w:after="20"/>
            </w:pPr>
            <w:r>
              <w:rPr>
                <w:color w:val="1C3A36"/>
                <w:sz w:val="18"/>
              </w:rPr>
              <w:t>8.23%</w:t>
            </w:r>
          </w:p>
        </w:tc>
        <w:tc>
          <w:tcPr>
            <w:tcW w:type="dxa" w:w="1267"/>
          </w:tcPr>
          <w:p>
            <w:pPr>
              <w:spacing w:after="20"/>
              <w:jc w:val="right"/>
            </w:pPr>
            <w:r>
              <w:rPr>
                <w:color w:val="1C3A36"/>
                <w:sz w:val="18"/>
              </w:rPr>
              <w:t>2.58</w:t>
            </w:r>
          </w:p>
        </w:tc>
        <w:tc>
          <w:tcPr>
            <w:tcW w:type="dxa" w:w="1267"/>
          </w:tcPr>
          <w:p>
            <w:pPr>
              <w:spacing w:after="20"/>
              <w:jc w:val="right"/>
            </w:pPr>
            <w:r>
              <w:rPr>
                <w:color w:val="1C3A36"/>
                <w:sz w:val="18"/>
              </w:rPr>
              <w:t>2.74</w:t>
            </w:r>
          </w:p>
        </w:tc>
        <w:tc>
          <w:tcPr>
            <w:tcW w:type="dxa" w:w="1267"/>
          </w:tcPr>
          <w:p>
            <w:pPr>
              <w:spacing w:after="20"/>
              <w:jc w:val="right"/>
            </w:pPr>
            <w:r>
              <w:rPr>
                <w:color w:val="1C3A36"/>
                <w:sz w:val="18"/>
              </w:rPr>
              <w:t>2.92</w:t>
            </w:r>
          </w:p>
        </w:tc>
        <w:tc>
          <w:tcPr>
            <w:tcW w:type="dxa" w:w="1267"/>
          </w:tcPr>
          <w:p>
            <w:pPr>
              <w:spacing w:after="20"/>
              <w:jc w:val="right"/>
            </w:pPr>
            <w:r>
              <w:rPr>
                <w:color w:val="1C3A36"/>
                <w:sz w:val="18"/>
              </w:rPr>
              <w:t>3.15</w:t>
            </w:r>
          </w:p>
        </w:tc>
        <w:tc>
          <w:tcPr>
            <w:tcW w:type="dxa" w:w="1267"/>
          </w:tcPr>
          <w:p>
            <w:pPr>
              <w:spacing w:after="20"/>
              <w:jc w:val="right"/>
            </w:pPr>
            <w:r>
              <w:rPr>
                <w:color w:val="1C3A36"/>
                <w:sz w:val="18"/>
              </w:rPr>
              <w:t>3.42</w:t>
            </w:r>
          </w:p>
        </w:tc>
      </w:tr>
      <w:tr>
        <w:tc>
          <w:tcPr>
            <w:tcW w:type="dxa" w:w="3672"/>
          </w:tcPr>
          <w:p>
            <w:pPr>
              <w:spacing w:after="20"/>
            </w:pPr>
            <w:r>
              <w:rPr>
                <w:color w:val="1C3A36"/>
                <w:sz w:val="18"/>
              </w:rPr>
              <w:t>8.98%</w:t>
            </w:r>
          </w:p>
        </w:tc>
        <w:tc>
          <w:tcPr>
            <w:tcW w:type="dxa" w:w="1267"/>
          </w:tcPr>
          <w:p>
            <w:pPr>
              <w:spacing w:after="20"/>
              <w:jc w:val="right"/>
            </w:pPr>
            <w:r>
              <w:rPr>
                <w:color w:val="1C3A36"/>
                <w:sz w:val="18"/>
              </w:rPr>
              <w:t>2.28</w:t>
            </w:r>
          </w:p>
        </w:tc>
        <w:tc>
          <w:tcPr>
            <w:tcW w:type="dxa" w:w="1267"/>
          </w:tcPr>
          <w:p>
            <w:pPr>
              <w:spacing w:after="20"/>
              <w:jc w:val="right"/>
            </w:pPr>
            <w:r>
              <w:rPr>
                <w:color w:val="1C3A36"/>
                <w:sz w:val="18"/>
              </w:rPr>
              <w:t>2.39</w:t>
            </w:r>
          </w:p>
        </w:tc>
        <w:tc>
          <w:tcPr>
            <w:tcW w:type="dxa" w:w="1267"/>
          </w:tcPr>
          <w:p>
            <w:pPr>
              <w:spacing w:after="20"/>
              <w:jc w:val="right"/>
            </w:pPr>
            <w:r>
              <w:rPr>
                <w:color w:val="1C3A36"/>
                <w:sz w:val="18"/>
              </w:rPr>
              <w:t>2.53</w:t>
            </w:r>
          </w:p>
        </w:tc>
        <w:tc>
          <w:tcPr>
            <w:tcW w:type="dxa" w:w="1267"/>
          </w:tcPr>
          <w:p>
            <w:pPr>
              <w:spacing w:after="20"/>
              <w:jc w:val="right"/>
            </w:pPr>
            <w:r>
              <w:rPr>
                <w:color w:val="1C3A36"/>
                <w:sz w:val="18"/>
              </w:rPr>
              <w:t>2.69</w:t>
            </w:r>
          </w:p>
        </w:tc>
        <w:tc>
          <w:tcPr>
            <w:tcW w:type="dxa" w:w="1267"/>
          </w:tcPr>
          <w:p>
            <w:pPr>
              <w:spacing w:after="20"/>
              <w:jc w:val="right"/>
            </w:pPr>
            <w:r>
              <w:rPr>
                <w:color w:val="1C3A36"/>
                <w:sz w:val="18"/>
              </w:rPr>
              <w:t>2.88</w:t>
            </w:r>
          </w:p>
        </w:tc>
      </w:tr>
      <w:tr>
        <w:tc>
          <w:tcPr>
            <w:tcW w:type="dxa" w:w="3672"/>
          </w:tcPr>
          <w:p>
            <w:pPr>
              <w:spacing w:after="20"/>
            </w:pPr>
            <w:r>
              <w:rPr>
                <w:color w:val="1C3A36"/>
                <w:sz w:val="18"/>
              </w:rPr>
              <w:t>9.73%</w:t>
            </w:r>
          </w:p>
        </w:tc>
        <w:tc>
          <w:tcPr>
            <w:tcW w:type="dxa" w:w="1267"/>
          </w:tcPr>
          <w:p>
            <w:pPr>
              <w:spacing w:after="20"/>
              <w:jc w:val="right"/>
            </w:pPr>
            <w:r>
              <w:rPr>
                <w:color w:val="1C3A36"/>
                <w:sz w:val="18"/>
              </w:rPr>
              <w:t>2.03</w:t>
            </w:r>
          </w:p>
        </w:tc>
        <w:tc>
          <w:tcPr>
            <w:tcW w:type="dxa" w:w="1267"/>
          </w:tcPr>
          <w:p>
            <w:pPr>
              <w:spacing w:after="20"/>
              <w:jc w:val="right"/>
            </w:pPr>
            <w:r>
              <w:rPr>
                <w:color w:val="1C3A36"/>
                <w:sz w:val="18"/>
              </w:rPr>
              <w:t>2.12</w:t>
            </w:r>
          </w:p>
        </w:tc>
        <w:tc>
          <w:tcPr>
            <w:tcW w:type="dxa" w:w="1267"/>
          </w:tcPr>
          <w:p>
            <w:pPr>
              <w:spacing w:after="20"/>
              <w:jc w:val="right"/>
            </w:pPr>
            <w:r>
              <w:rPr>
                <w:color w:val="1C3A36"/>
                <w:sz w:val="18"/>
              </w:rPr>
              <w:t>2.22</w:t>
            </w:r>
          </w:p>
        </w:tc>
        <w:tc>
          <w:tcPr>
            <w:tcW w:type="dxa" w:w="1267"/>
          </w:tcPr>
          <w:p>
            <w:pPr>
              <w:spacing w:after="20"/>
              <w:jc w:val="right"/>
            </w:pPr>
            <w:r>
              <w:rPr>
                <w:color w:val="1C3A36"/>
                <w:sz w:val="18"/>
              </w:rPr>
              <w:t>2.34</w:t>
            </w:r>
          </w:p>
        </w:tc>
        <w:tc>
          <w:tcPr>
            <w:tcW w:type="dxa" w:w="1267"/>
          </w:tcPr>
          <w:p>
            <w:pPr>
              <w:spacing w:after="20"/>
              <w:jc w:val="right"/>
            </w:pPr>
            <w:r>
              <w:rPr>
                <w:color w:val="1C3A36"/>
                <w:sz w:val="18"/>
              </w:rPr>
              <w:t>2.48</w:t>
            </w:r>
          </w:p>
        </w:tc>
      </w:tr>
      <w:tr>
        <w:tc>
          <w:tcPr>
            <w:tcW w:type="dxa" w:w="3672"/>
          </w:tcPr>
          <w:p>
            <w:pPr>
              <w:spacing w:after="20"/>
            </w:pPr>
            <w:r>
              <w:rPr>
                <w:color w:val="1C3A36"/>
                <w:sz w:val="18"/>
              </w:rPr>
              <w:t>10.48%</w:t>
            </w:r>
          </w:p>
        </w:tc>
        <w:tc>
          <w:tcPr>
            <w:tcW w:type="dxa" w:w="1267"/>
          </w:tcPr>
          <w:p>
            <w:pPr>
              <w:spacing w:after="20"/>
              <w:jc w:val="right"/>
            </w:pPr>
            <w:r>
              <w:rPr>
                <w:color w:val="1C3A36"/>
                <w:sz w:val="18"/>
              </w:rPr>
              <w:t>1.83</w:t>
            </w:r>
          </w:p>
        </w:tc>
        <w:tc>
          <w:tcPr>
            <w:tcW w:type="dxa" w:w="1267"/>
          </w:tcPr>
          <w:p>
            <w:pPr>
              <w:spacing w:after="20"/>
              <w:jc w:val="right"/>
            </w:pPr>
            <w:r>
              <w:rPr>
                <w:color w:val="1C3A36"/>
                <w:sz w:val="18"/>
              </w:rPr>
              <w:t>1.90</w:t>
            </w:r>
          </w:p>
        </w:tc>
        <w:tc>
          <w:tcPr>
            <w:tcW w:type="dxa" w:w="1267"/>
          </w:tcPr>
          <w:p>
            <w:pPr>
              <w:spacing w:after="20"/>
              <w:jc w:val="right"/>
            </w:pPr>
            <w:r>
              <w:rPr>
                <w:color w:val="1C3A36"/>
                <w:sz w:val="18"/>
              </w:rPr>
              <w:t>1.98</w:t>
            </w:r>
          </w:p>
        </w:tc>
        <w:tc>
          <w:tcPr>
            <w:tcW w:type="dxa" w:w="1267"/>
          </w:tcPr>
          <w:p>
            <w:pPr>
              <w:spacing w:after="20"/>
              <w:jc w:val="right"/>
            </w:pPr>
            <w:r>
              <w:rPr>
                <w:color w:val="1C3A36"/>
                <w:sz w:val="18"/>
              </w:rPr>
              <w:t>2.07</w:t>
            </w:r>
          </w:p>
        </w:tc>
        <w:tc>
          <w:tcPr>
            <w:tcW w:type="dxa" w:w="1267"/>
          </w:tcPr>
          <w:p>
            <w:pPr>
              <w:spacing w:after="20"/>
              <w:jc w:val="right"/>
            </w:pPr>
            <w:r>
              <w:rPr>
                <w:color w:val="1C3A36"/>
                <w:sz w:val="18"/>
              </w:rPr>
              <w:t>2.17</w:t>
            </w:r>
          </w:p>
        </w:tc>
      </w:tr>
      <w:tr>
        <w:tc>
          <w:tcPr>
            <w:tcW w:type="dxa" w:w="3672"/>
          </w:tcPr>
          <w:p>
            <w:pPr>
              <w:spacing w:after="20"/>
            </w:pPr>
            <w:r>
              <w:rPr>
                <w:color w:val="1C3A36"/>
                <w:sz w:val="18"/>
              </w:rPr>
              <w:t>11.23%</w:t>
            </w:r>
          </w:p>
        </w:tc>
        <w:tc>
          <w:tcPr>
            <w:tcW w:type="dxa" w:w="1267"/>
          </w:tcPr>
          <w:p>
            <w:pPr>
              <w:spacing w:after="20"/>
              <w:jc w:val="right"/>
            </w:pPr>
            <w:r>
              <w:rPr>
                <w:color w:val="1C3A36"/>
                <w:sz w:val="18"/>
              </w:rPr>
              <w:t>1.66</w:t>
            </w:r>
          </w:p>
        </w:tc>
        <w:tc>
          <w:tcPr>
            <w:tcW w:type="dxa" w:w="1267"/>
          </w:tcPr>
          <w:p>
            <w:pPr>
              <w:spacing w:after="20"/>
              <w:jc w:val="right"/>
            </w:pPr>
            <w:r>
              <w:rPr>
                <w:color w:val="1C3A36"/>
                <w:sz w:val="18"/>
              </w:rPr>
              <w:t>1.72</w:t>
            </w:r>
          </w:p>
        </w:tc>
        <w:tc>
          <w:tcPr>
            <w:tcW w:type="dxa" w:w="1267"/>
          </w:tcPr>
          <w:p>
            <w:pPr>
              <w:spacing w:after="20"/>
              <w:jc w:val="right"/>
            </w:pPr>
            <w:r>
              <w:rPr>
                <w:color w:val="1C3A36"/>
                <w:sz w:val="18"/>
              </w:rPr>
              <w:t>1.78</w:t>
            </w:r>
          </w:p>
        </w:tc>
        <w:tc>
          <w:tcPr>
            <w:tcW w:type="dxa" w:w="1267"/>
          </w:tcPr>
          <w:p>
            <w:pPr>
              <w:spacing w:after="20"/>
              <w:jc w:val="right"/>
            </w:pPr>
            <w:r>
              <w:rPr>
                <w:color w:val="1C3A36"/>
                <w:sz w:val="18"/>
              </w:rPr>
              <w:t>1.84</w:t>
            </w:r>
          </w:p>
        </w:tc>
        <w:tc>
          <w:tcPr>
            <w:tcW w:type="dxa" w:w="1267"/>
          </w:tcPr>
          <w:p>
            <w:pPr>
              <w:spacing w:after="20"/>
              <w:jc w:val="right"/>
            </w:pPr>
            <w:r>
              <w:rPr>
                <w:color w:val="1C3A36"/>
                <w:sz w:val="18"/>
              </w:rPr>
              <w:t>1.92</w:t>
            </w:r>
          </w:p>
        </w:tc>
      </w:tr>
    </w:tbl>
    <w:p>
      <w:pPr>
        <w:spacing w:after="40"/>
      </w:pPr>
    </w:p>
    <w:p>
      <w:pPr>
        <w:spacing w:after="200" w:before="0"/>
      </w:pPr>
      <w:r>
        <w:rPr>
          <w:b w:val="0"/>
          <w:i/>
          <w:color w:val="6E7B77"/>
          <w:sz w:val="17"/>
        </w:rPr>
        <w:t>AED a share. Each cell is a complete re-run of the model, including the unit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67"/>
        <w:gridCol w:w="1267"/>
        <w:gridCol w:w="1267"/>
        <w:gridCol w:w="1267"/>
        <w:gridCol w:w="1267"/>
      </w:tblGrid>
      <w:tr>
        <w:tc>
          <w:tcPr>
            <w:tcW w:type="dxa" w:w="3672"/>
            <w:shd w:val="clear" w:color="auto" w:fill="EAF0EE"/>
          </w:tcPr>
          <w:p>
            <w:pPr>
              <w:spacing w:after="20"/>
            </w:pPr>
            <w:r>
              <w:rPr>
                <w:b/>
                <w:color w:val="1C3A36"/>
                <w:sz w:val="18"/>
              </w:rPr>
              <w:t>Cost of capital \ EBITDA margin</w:t>
            </w:r>
          </w:p>
        </w:tc>
        <w:tc>
          <w:tcPr>
            <w:tcW w:type="dxa" w:w="1267"/>
            <w:shd w:val="clear" w:color="auto" w:fill="EAF0EE"/>
          </w:tcPr>
          <w:p>
            <w:pPr>
              <w:spacing w:after="20"/>
            </w:pPr>
            <w:r>
              <w:rPr>
                <w:b/>
                <w:color w:val="1C3A36"/>
                <w:sz w:val="18"/>
              </w:rPr>
              <w:t>-2pp</w:t>
            </w:r>
          </w:p>
        </w:tc>
        <w:tc>
          <w:tcPr>
            <w:tcW w:type="dxa" w:w="1267"/>
            <w:shd w:val="clear" w:color="auto" w:fill="EAF0EE"/>
          </w:tcPr>
          <w:p>
            <w:pPr>
              <w:spacing w:after="20"/>
            </w:pPr>
            <w:r>
              <w:rPr>
                <w:b/>
                <w:color w:val="1C3A36"/>
                <w:sz w:val="18"/>
              </w:rPr>
              <w:t>-1pp</w:t>
            </w:r>
          </w:p>
        </w:tc>
        <w:tc>
          <w:tcPr>
            <w:tcW w:type="dxa" w:w="1267"/>
            <w:shd w:val="clear" w:color="auto" w:fill="EAF0EE"/>
          </w:tcPr>
          <w:p>
            <w:pPr>
              <w:spacing w:after="20"/>
            </w:pPr>
            <w:r>
              <w:rPr>
                <w:b/>
                <w:color w:val="1C3A36"/>
                <w:sz w:val="18"/>
              </w:rPr>
              <w:t>+0pp</w:t>
            </w:r>
          </w:p>
        </w:tc>
        <w:tc>
          <w:tcPr>
            <w:tcW w:type="dxa" w:w="1267"/>
            <w:shd w:val="clear" w:color="auto" w:fill="EAF0EE"/>
          </w:tcPr>
          <w:p>
            <w:pPr>
              <w:spacing w:after="20"/>
            </w:pPr>
            <w:r>
              <w:rPr>
                <w:b/>
                <w:color w:val="1C3A36"/>
                <w:sz w:val="18"/>
              </w:rPr>
              <w:t>+1pp</w:t>
            </w:r>
          </w:p>
        </w:tc>
        <w:tc>
          <w:tcPr>
            <w:tcW w:type="dxa" w:w="1267"/>
            <w:shd w:val="clear" w:color="auto" w:fill="EAF0EE"/>
          </w:tcPr>
          <w:p>
            <w:pPr>
              <w:spacing w:after="20"/>
            </w:pPr>
            <w:r>
              <w:rPr>
                <w:b/>
                <w:color w:val="1C3A36"/>
                <w:sz w:val="18"/>
              </w:rPr>
              <w:t>+2pp</w:t>
            </w:r>
          </w:p>
        </w:tc>
      </w:tr>
      <w:tr>
        <w:tc>
          <w:tcPr>
            <w:tcW w:type="dxa" w:w="3672"/>
          </w:tcPr>
          <w:p>
            <w:pPr>
              <w:spacing w:after="20"/>
            </w:pPr>
            <w:r>
              <w:rPr>
                <w:color w:val="1C3A36"/>
                <w:sz w:val="18"/>
              </w:rPr>
              <w:t>8.23%</w:t>
            </w:r>
          </w:p>
        </w:tc>
        <w:tc>
          <w:tcPr>
            <w:tcW w:type="dxa" w:w="1267"/>
          </w:tcPr>
          <w:p>
            <w:pPr>
              <w:spacing w:after="20"/>
              <w:jc w:val="right"/>
            </w:pPr>
            <w:r>
              <w:rPr>
                <w:color w:val="1C3A36"/>
                <w:sz w:val="18"/>
              </w:rPr>
              <w:t>2.48</w:t>
            </w:r>
          </w:p>
        </w:tc>
        <w:tc>
          <w:tcPr>
            <w:tcW w:type="dxa" w:w="1267"/>
          </w:tcPr>
          <w:p>
            <w:pPr>
              <w:spacing w:after="20"/>
              <w:jc w:val="right"/>
            </w:pPr>
            <w:r>
              <w:rPr>
                <w:color w:val="1C3A36"/>
                <w:sz w:val="18"/>
              </w:rPr>
              <w:t>2.70</w:t>
            </w:r>
          </w:p>
        </w:tc>
        <w:tc>
          <w:tcPr>
            <w:tcW w:type="dxa" w:w="1267"/>
          </w:tcPr>
          <w:p>
            <w:pPr>
              <w:spacing w:after="20"/>
              <w:jc w:val="right"/>
            </w:pPr>
            <w:r>
              <w:rPr>
                <w:color w:val="1C3A36"/>
                <w:sz w:val="18"/>
              </w:rPr>
              <w:t>2.92</w:t>
            </w:r>
          </w:p>
        </w:tc>
        <w:tc>
          <w:tcPr>
            <w:tcW w:type="dxa" w:w="1267"/>
          </w:tcPr>
          <w:p>
            <w:pPr>
              <w:spacing w:after="20"/>
              <w:jc w:val="right"/>
            </w:pPr>
            <w:r>
              <w:rPr>
                <w:color w:val="1C3A36"/>
                <w:sz w:val="18"/>
              </w:rPr>
              <w:t>3.15</w:t>
            </w:r>
          </w:p>
        </w:tc>
        <w:tc>
          <w:tcPr>
            <w:tcW w:type="dxa" w:w="1267"/>
          </w:tcPr>
          <w:p>
            <w:pPr>
              <w:spacing w:after="20"/>
              <w:jc w:val="right"/>
            </w:pPr>
            <w:r>
              <w:rPr>
                <w:color w:val="1C3A36"/>
                <w:sz w:val="18"/>
              </w:rPr>
              <w:t>3.37</w:t>
            </w:r>
          </w:p>
        </w:tc>
      </w:tr>
      <w:tr>
        <w:tc>
          <w:tcPr>
            <w:tcW w:type="dxa" w:w="3672"/>
          </w:tcPr>
          <w:p>
            <w:pPr>
              <w:spacing w:after="20"/>
            </w:pPr>
            <w:r>
              <w:rPr>
                <w:color w:val="1C3A36"/>
                <w:sz w:val="18"/>
              </w:rPr>
              <w:t>8.98%</w:t>
            </w:r>
          </w:p>
        </w:tc>
        <w:tc>
          <w:tcPr>
            <w:tcW w:type="dxa" w:w="1267"/>
          </w:tcPr>
          <w:p>
            <w:pPr>
              <w:spacing w:after="20"/>
              <w:jc w:val="right"/>
            </w:pPr>
            <w:r>
              <w:rPr>
                <w:color w:val="1C3A36"/>
                <w:sz w:val="18"/>
              </w:rPr>
              <w:t>2.14</w:t>
            </w:r>
          </w:p>
        </w:tc>
        <w:tc>
          <w:tcPr>
            <w:tcW w:type="dxa" w:w="1267"/>
          </w:tcPr>
          <w:p>
            <w:pPr>
              <w:spacing w:after="20"/>
              <w:jc w:val="right"/>
            </w:pPr>
            <w:r>
              <w:rPr>
                <w:color w:val="1C3A36"/>
                <w:sz w:val="18"/>
              </w:rPr>
              <w:t>2.33</w:t>
            </w:r>
          </w:p>
        </w:tc>
        <w:tc>
          <w:tcPr>
            <w:tcW w:type="dxa" w:w="1267"/>
          </w:tcPr>
          <w:p>
            <w:pPr>
              <w:spacing w:after="20"/>
              <w:jc w:val="right"/>
            </w:pPr>
            <w:r>
              <w:rPr>
                <w:color w:val="1C3A36"/>
                <w:sz w:val="18"/>
              </w:rPr>
              <w:t>2.53</w:t>
            </w:r>
          </w:p>
        </w:tc>
        <w:tc>
          <w:tcPr>
            <w:tcW w:type="dxa" w:w="1267"/>
          </w:tcPr>
          <w:p>
            <w:pPr>
              <w:spacing w:after="20"/>
              <w:jc w:val="right"/>
            </w:pPr>
            <w:r>
              <w:rPr>
                <w:color w:val="1C3A36"/>
                <w:sz w:val="18"/>
              </w:rPr>
              <w:t>2.73</w:t>
            </w:r>
          </w:p>
        </w:tc>
        <w:tc>
          <w:tcPr>
            <w:tcW w:type="dxa" w:w="1267"/>
          </w:tcPr>
          <w:p>
            <w:pPr>
              <w:spacing w:after="20"/>
              <w:jc w:val="right"/>
            </w:pPr>
            <w:r>
              <w:rPr>
                <w:color w:val="1C3A36"/>
                <w:sz w:val="18"/>
              </w:rPr>
              <w:t>2.92</w:t>
            </w:r>
          </w:p>
        </w:tc>
      </w:tr>
      <w:tr>
        <w:tc>
          <w:tcPr>
            <w:tcW w:type="dxa" w:w="3672"/>
          </w:tcPr>
          <w:p>
            <w:pPr>
              <w:spacing w:after="20"/>
            </w:pPr>
            <w:r>
              <w:rPr>
                <w:color w:val="1C3A36"/>
                <w:sz w:val="18"/>
              </w:rPr>
              <w:t>9.73%</w:t>
            </w:r>
          </w:p>
        </w:tc>
        <w:tc>
          <w:tcPr>
            <w:tcW w:type="dxa" w:w="1267"/>
          </w:tcPr>
          <w:p>
            <w:pPr>
              <w:spacing w:after="20"/>
              <w:jc w:val="right"/>
            </w:pPr>
            <w:r>
              <w:rPr>
                <w:color w:val="1C3A36"/>
                <w:sz w:val="18"/>
              </w:rPr>
              <w:t>1.87</w:t>
            </w:r>
          </w:p>
        </w:tc>
        <w:tc>
          <w:tcPr>
            <w:tcW w:type="dxa" w:w="1267"/>
          </w:tcPr>
          <w:p>
            <w:pPr>
              <w:spacing w:after="20"/>
              <w:jc w:val="right"/>
            </w:pPr>
            <w:r>
              <w:rPr>
                <w:color w:val="1C3A36"/>
                <w:sz w:val="18"/>
              </w:rPr>
              <w:t>2.05</w:t>
            </w:r>
          </w:p>
        </w:tc>
        <w:tc>
          <w:tcPr>
            <w:tcW w:type="dxa" w:w="1267"/>
          </w:tcPr>
          <w:p>
            <w:pPr>
              <w:spacing w:after="20"/>
              <w:jc w:val="right"/>
            </w:pPr>
            <w:r>
              <w:rPr>
                <w:color w:val="1C3A36"/>
                <w:sz w:val="18"/>
              </w:rPr>
              <w:t>2.22</w:t>
            </w:r>
          </w:p>
        </w:tc>
        <w:tc>
          <w:tcPr>
            <w:tcW w:type="dxa" w:w="1267"/>
          </w:tcPr>
          <w:p>
            <w:pPr>
              <w:spacing w:after="20"/>
              <w:jc w:val="right"/>
            </w:pPr>
            <w:r>
              <w:rPr>
                <w:color w:val="1C3A36"/>
                <w:sz w:val="18"/>
              </w:rPr>
              <w:t>2.40</w:t>
            </w:r>
          </w:p>
        </w:tc>
        <w:tc>
          <w:tcPr>
            <w:tcW w:type="dxa" w:w="1267"/>
          </w:tcPr>
          <w:p>
            <w:pPr>
              <w:spacing w:after="20"/>
              <w:jc w:val="right"/>
            </w:pPr>
            <w:r>
              <w:rPr>
                <w:color w:val="1C3A36"/>
                <w:sz w:val="18"/>
              </w:rPr>
              <w:t>2.57</w:t>
            </w:r>
          </w:p>
        </w:tc>
      </w:tr>
      <w:tr>
        <w:tc>
          <w:tcPr>
            <w:tcW w:type="dxa" w:w="3672"/>
          </w:tcPr>
          <w:p>
            <w:pPr>
              <w:spacing w:after="20"/>
            </w:pPr>
            <w:r>
              <w:rPr>
                <w:color w:val="1C3A36"/>
                <w:sz w:val="18"/>
              </w:rPr>
              <w:t>10.48%</w:t>
            </w:r>
          </w:p>
        </w:tc>
        <w:tc>
          <w:tcPr>
            <w:tcW w:type="dxa" w:w="1267"/>
          </w:tcPr>
          <w:p>
            <w:pPr>
              <w:spacing w:after="20"/>
              <w:jc w:val="right"/>
            </w:pPr>
            <w:r>
              <w:rPr>
                <w:color w:val="1C3A36"/>
                <w:sz w:val="18"/>
              </w:rPr>
              <w:t>1.66</w:t>
            </w:r>
          </w:p>
        </w:tc>
        <w:tc>
          <w:tcPr>
            <w:tcW w:type="dxa" w:w="1267"/>
          </w:tcPr>
          <w:p>
            <w:pPr>
              <w:spacing w:after="20"/>
              <w:jc w:val="right"/>
            </w:pPr>
            <w:r>
              <w:rPr>
                <w:color w:val="1C3A36"/>
                <w:sz w:val="18"/>
              </w:rPr>
              <w:t>1.82</w:t>
            </w:r>
          </w:p>
        </w:tc>
        <w:tc>
          <w:tcPr>
            <w:tcW w:type="dxa" w:w="1267"/>
          </w:tcPr>
          <w:p>
            <w:pPr>
              <w:spacing w:after="20"/>
              <w:jc w:val="right"/>
            </w:pPr>
            <w:r>
              <w:rPr>
                <w:color w:val="1C3A36"/>
                <w:sz w:val="18"/>
              </w:rPr>
              <w:t>1.98</w:t>
            </w:r>
          </w:p>
        </w:tc>
        <w:tc>
          <w:tcPr>
            <w:tcW w:type="dxa" w:w="1267"/>
          </w:tcPr>
          <w:p>
            <w:pPr>
              <w:spacing w:after="20"/>
              <w:jc w:val="right"/>
            </w:pPr>
            <w:r>
              <w:rPr>
                <w:color w:val="1C3A36"/>
                <w:sz w:val="18"/>
              </w:rPr>
              <w:t>2.13</w:t>
            </w:r>
          </w:p>
        </w:tc>
        <w:tc>
          <w:tcPr>
            <w:tcW w:type="dxa" w:w="1267"/>
          </w:tcPr>
          <w:p>
            <w:pPr>
              <w:spacing w:after="20"/>
              <w:jc w:val="right"/>
            </w:pPr>
            <w:r>
              <w:rPr>
                <w:color w:val="1C3A36"/>
                <w:sz w:val="18"/>
              </w:rPr>
              <w:t>2.29</w:t>
            </w:r>
          </w:p>
        </w:tc>
      </w:tr>
      <w:tr>
        <w:tc>
          <w:tcPr>
            <w:tcW w:type="dxa" w:w="3672"/>
          </w:tcPr>
          <w:p>
            <w:pPr>
              <w:spacing w:after="20"/>
            </w:pPr>
            <w:r>
              <w:rPr>
                <w:color w:val="1C3A36"/>
                <w:sz w:val="18"/>
              </w:rPr>
              <w:t>11.23%</w:t>
            </w:r>
          </w:p>
        </w:tc>
        <w:tc>
          <w:tcPr>
            <w:tcW w:type="dxa" w:w="1267"/>
          </w:tcPr>
          <w:p>
            <w:pPr>
              <w:spacing w:after="20"/>
              <w:jc w:val="right"/>
            </w:pPr>
            <w:r>
              <w:rPr>
                <w:color w:val="1C3A36"/>
                <w:sz w:val="18"/>
              </w:rPr>
              <w:t>1.49</w:t>
            </w:r>
          </w:p>
        </w:tc>
        <w:tc>
          <w:tcPr>
            <w:tcW w:type="dxa" w:w="1267"/>
          </w:tcPr>
          <w:p>
            <w:pPr>
              <w:spacing w:after="20"/>
              <w:jc w:val="right"/>
            </w:pPr>
            <w:r>
              <w:rPr>
                <w:color w:val="1C3A36"/>
                <w:sz w:val="18"/>
              </w:rPr>
              <w:t>1.63</w:t>
            </w:r>
          </w:p>
        </w:tc>
        <w:tc>
          <w:tcPr>
            <w:tcW w:type="dxa" w:w="1267"/>
          </w:tcPr>
          <w:p>
            <w:pPr>
              <w:spacing w:after="20"/>
              <w:jc w:val="right"/>
            </w:pPr>
            <w:r>
              <w:rPr>
                <w:color w:val="1C3A36"/>
                <w:sz w:val="18"/>
              </w:rPr>
              <w:t>1.78</w:t>
            </w:r>
          </w:p>
        </w:tc>
        <w:tc>
          <w:tcPr>
            <w:tcW w:type="dxa" w:w="1267"/>
          </w:tcPr>
          <w:p>
            <w:pPr>
              <w:spacing w:after="20"/>
              <w:jc w:val="right"/>
            </w:pPr>
            <w:r>
              <w:rPr>
                <w:color w:val="1C3A36"/>
                <w:sz w:val="18"/>
              </w:rPr>
              <w:t>1.92</w:t>
            </w:r>
          </w:p>
        </w:tc>
        <w:tc>
          <w:tcPr>
            <w:tcW w:type="dxa" w:w="1267"/>
          </w:tcPr>
          <w:p>
            <w:pPr>
              <w:spacing w:after="20"/>
              <w:jc w:val="right"/>
            </w:pPr>
            <w:r>
              <w:rPr>
                <w:color w:val="1C3A36"/>
                <w:sz w:val="18"/>
              </w:rPr>
              <w:t>2.06</w:t>
            </w:r>
          </w:p>
        </w:tc>
      </w:tr>
    </w:tbl>
    <w:p>
      <w:pPr>
        <w:spacing w:after="40"/>
      </w:pPr>
    </w:p>
    <w:p>
      <w:pPr>
        <w:spacing w:after="200" w:before="0"/>
      </w:pPr>
      <w:r>
        <w:rPr>
          <w:b w:val="0"/>
          <w:i/>
          <w:color w:val="6E7B77"/>
          <w:sz w:val="17"/>
        </w:rPr>
        <w:t>The margin axis moves the answer further than the cost-of-capital axis across any range either could plausibly take.</w:t>
      </w:r>
    </w:p>
    <w:p>
      <w:pPr>
        <w:spacing w:after="120" w:before="280"/>
      </w:pPr>
      <w:r>
        <w:rPr>
          <w:b/>
          <w:i w:val="0"/>
          <w:color w:val="1C3A36"/>
          <w:sz w:val="30"/>
        </w:rPr>
        <w:t>2  Price structure</w:t>
      </w:r>
    </w:p>
    <w:p>
      <w:pPr>
        <w:spacing w:after="40"/>
        <w:jc w:val="center"/>
      </w:pPr>
      <w:r>
        <w:drawing>
          <wp:inline xmlns:a="http://schemas.openxmlformats.org/drawingml/2006/main" xmlns:pic="http://schemas.openxmlformats.org/drawingml/2006/picture">
            <wp:extent cx="6217920" cy="2728271"/>
            <wp:docPr id="5" name="Picture 5"/>
            <wp:cNvGraphicFramePr>
              <a:graphicFrameLocks noChangeAspect="1"/>
            </wp:cNvGraphicFramePr>
            <a:graphic>
              <a:graphicData uri="http://schemas.openxmlformats.org/drawingml/2006/picture">
                <pic:pic>
                  <pic:nvPicPr>
                    <pic:cNvPr id="0" name="fig3_price.png"/>
                    <pic:cNvPicPr/>
                  </pic:nvPicPr>
                  <pic:blipFill>
                    <a:blip r:embed="rId13"/>
                    <a:stretch>
                      <a:fillRect/>
                    </a:stretch>
                  </pic:blipFill>
                  <pic:spPr>
                    <a:xfrm>
                      <a:off x="0" y="0"/>
                      <a:ext cx="6217920" cy="2728271"/>
                    </a:xfrm>
                    <a:prstGeom prst="rect"/>
                  </pic:spPr>
                </pic:pic>
              </a:graphicData>
            </a:graphic>
          </wp:inline>
        </w:drawing>
      </w:r>
    </w:p>
    <w:p>
      <w:pPr>
        <w:spacing w:after="200" w:before="0"/>
      </w:pPr>
      <w:r>
        <w:rPr>
          <w:b w:val="0"/>
          <w:i/>
          <w:color w:val="6E7B77"/>
          <w:sz w:val="17"/>
        </w:rPr>
        <w:t>Two years of closing prices with the 50-day and 200-day averages, and the support and resistance levels computed from the same series.</w:t>
      </w:r>
    </w:p>
    <w:p>
      <w:pPr>
        <w:spacing w:after="120" w:before="0"/>
      </w:pPr>
      <w:r>
        <w:rPr>
          <w:b w:val="0"/>
          <w:i w:val="0"/>
          <w:color w:val="1C3A36"/>
          <w:sz w:val="21"/>
        </w:rPr>
        <w:t>The price closed 2.23 above a rising 20-day (2.11), a rising 50-day (2.05) and a rising 200-day (1.87). Momentum is firm: RSI(14) is ~64 and the daily ATR near 0.06 (~2.8%) points to a normal tape. MACD (12·26·9) is positive and rising (+0.05 / +0.04 / +0.01). Over the last year it has ranged 1.55–2.28; the last close sits 2% below that high and 44% above that low.</w:t>
      </w:r>
    </w:p>
    <w:p>
      <w:pPr>
        <w:spacing w:after="120" w:before="0"/>
      </w:pPr>
      <w:r>
        <w:rPr>
          <w:b w:val="0"/>
          <w:i w:val="0"/>
          <w:color w:val="1C3A36"/>
          <w:sz w:val="21"/>
        </w:rPr>
        <w:t>A daily close back above 2.36 would clear the nearest resistance and open the 2.68 zone. A close below 2.16 would break the nearest support and open the 1.82 zone.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4"/>
        <w:gridCol w:w="721"/>
        <w:gridCol w:w="4148"/>
      </w:tblGrid>
      <w:tr>
        <w:tc>
          <w:tcPr>
            <w:tcW w:type="dxa" w:w="2164"/>
            <w:shd w:val="clear" w:color="auto" w:fill="EAF0EE"/>
          </w:tcPr>
          <w:p>
            <w:pPr>
              <w:spacing w:after="20"/>
            </w:pPr>
            <w:r>
              <w:rPr>
                <w:b/>
                <w:color w:val="1C3A36"/>
                <w:sz w:val="18"/>
              </w:rPr>
              <w:t>Level</w:t>
            </w:r>
          </w:p>
        </w:tc>
        <w:tc>
          <w:tcPr>
            <w:tcW w:type="dxa" w:w="721"/>
            <w:shd w:val="clear" w:color="auto" w:fill="EAF0EE"/>
          </w:tcPr>
          <w:p>
            <w:pPr>
              <w:spacing w:after="20"/>
            </w:pPr>
            <w:r>
              <w:rPr>
                <w:b/>
                <w:color w:val="1C3A36"/>
                <w:sz w:val="18"/>
              </w:rPr>
              <w:t>AED</w:t>
            </w:r>
          </w:p>
        </w:tc>
        <w:tc>
          <w:tcPr>
            <w:tcW w:type="dxa" w:w="4148"/>
            <w:shd w:val="clear" w:color="auto" w:fill="EAF0EE"/>
          </w:tcPr>
          <w:p>
            <w:pPr>
              <w:spacing w:after="20"/>
            </w:pPr>
            <w:r>
              <w:rPr>
                <w:b/>
                <w:color w:val="1C3A36"/>
                <w:sz w:val="18"/>
              </w:rPr>
              <w:t>Distance from the close</w:t>
            </w:r>
          </w:p>
        </w:tc>
      </w:tr>
      <w:tr>
        <w:tc>
          <w:tcPr>
            <w:tcW w:type="dxa" w:w="2164"/>
          </w:tcPr>
          <w:p>
            <w:pPr>
              <w:spacing w:after="20"/>
            </w:pPr>
            <w:r>
              <w:rPr>
                <w:color w:val="1C3A36"/>
                <w:sz w:val="18"/>
              </w:rPr>
              <w:t>Resistance 1</w:t>
            </w:r>
          </w:p>
        </w:tc>
        <w:tc>
          <w:tcPr>
            <w:tcW w:type="dxa" w:w="721"/>
          </w:tcPr>
          <w:p>
            <w:pPr>
              <w:spacing w:after="20"/>
              <w:jc w:val="right"/>
            </w:pPr>
            <w:r>
              <w:rPr>
                <w:color w:val="1C3A36"/>
                <w:sz w:val="18"/>
              </w:rPr>
              <w:t>2.36</w:t>
            </w:r>
          </w:p>
        </w:tc>
        <w:tc>
          <w:tcPr>
            <w:tcW w:type="dxa" w:w="4148"/>
          </w:tcPr>
          <w:p>
            <w:pPr>
              <w:spacing w:after="20"/>
              <w:jc w:val="right"/>
            </w:pPr>
            <w:r>
              <w:rPr>
                <w:color w:val="1C3A36"/>
                <w:sz w:val="18"/>
              </w:rPr>
              <w:t>-1.3%</w:t>
            </w:r>
          </w:p>
        </w:tc>
      </w:tr>
      <w:tr>
        <w:tc>
          <w:tcPr>
            <w:tcW w:type="dxa" w:w="2164"/>
          </w:tcPr>
          <w:p>
            <w:pPr>
              <w:spacing w:after="20"/>
            </w:pPr>
            <w:r>
              <w:rPr>
                <w:color w:val="1C3A36"/>
                <w:sz w:val="18"/>
              </w:rPr>
              <w:t>Resistance 2</w:t>
            </w:r>
          </w:p>
        </w:tc>
        <w:tc>
          <w:tcPr>
            <w:tcW w:type="dxa" w:w="721"/>
          </w:tcPr>
          <w:p>
            <w:pPr>
              <w:spacing w:after="20"/>
              <w:jc w:val="right"/>
            </w:pPr>
            <w:r>
              <w:rPr>
                <w:color w:val="1C3A36"/>
                <w:sz w:val="18"/>
              </w:rPr>
              <w:t>2.46</w:t>
            </w:r>
          </w:p>
        </w:tc>
        <w:tc>
          <w:tcPr>
            <w:tcW w:type="dxa" w:w="4148"/>
          </w:tcPr>
          <w:p>
            <w:pPr>
              <w:spacing w:after="20"/>
              <w:jc w:val="right"/>
            </w:pPr>
            <w:r>
              <w:rPr>
                <w:color w:val="1C3A36"/>
                <w:sz w:val="18"/>
              </w:rPr>
              <w:t>2.9%</w:t>
            </w:r>
          </w:p>
        </w:tc>
      </w:tr>
      <w:tr>
        <w:tc>
          <w:tcPr>
            <w:tcW w:type="dxa" w:w="2164"/>
          </w:tcPr>
          <w:p>
            <w:pPr>
              <w:spacing w:after="20"/>
            </w:pPr>
            <w:r>
              <w:rPr>
                <w:color w:val="1C3A36"/>
                <w:sz w:val="18"/>
              </w:rPr>
              <w:t>Resistance 3</w:t>
            </w:r>
          </w:p>
        </w:tc>
        <w:tc>
          <w:tcPr>
            <w:tcW w:type="dxa" w:w="721"/>
          </w:tcPr>
          <w:p>
            <w:pPr>
              <w:spacing w:after="20"/>
              <w:jc w:val="right"/>
            </w:pPr>
            <w:r>
              <w:rPr>
                <w:color w:val="1C3A36"/>
                <w:sz w:val="18"/>
              </w:rPr>
              <w:t>2.68</w:t>
            </w:r>
          </w:p>
        </w:tc>
        <w:tc>
          <w:tcPr>
            <w:tcW w:type="dxa" w:w="4148"/>
          </w:tcPr>
          <w:p>
            <w:pPr>
              <w:spacing w:after="20"/>
              <w:jc w:val="right"/>
            </w:pPr>
            <w:r>
              <w:rPr>
                <w:color w:val="1C3A36"/>
                <w:sz w:val="18"/>
              </w:rPr>
              <w:t>12.1%</w:t>
            </w:r>
          </w:p>
        </w:tc>
      </w:tr>
      <w:tr>
        <w:tc>
          <w:tcPr>
            <w:tcW w:type="dxa" w:w="2164"/>
          </w:tcPr>
          <w:p>
            <w:pPr>
              <w:spacing w:after="20"/>
            </w:pPr>
            <w:r>
              <w:rPr>
                <w:color w:val="1C3A36"/>
                <w:sz w:val="18"/>
              </w:rPr>
              <w:t>Support 1</w:t>
            </w:r>
          </w:p>
        </w:tc>
        <w:tc>
          <w:tcPr>
            <w:tcW w:type="dxa" w:w="721"/>
          </w:tcPr>
          <w:p>
            <w:pPr>
              <w:spacing w:after="20"/>
              <w:jc w:val="right"/>
            </w:pPr>
            <w:r>
              <w:rPr>
                <w:color w:val="1C3A36"/>
                <w:sz w:val="18"/>
              </w:rPr>
              <w:t>2.16</w:t>
            </w:r>
          </w:p>
        </w:tc>
        <w:tc>
          <w:tcPr>
            <w:tcW w:type="dxa" w:w="4148"/>
          </w:tcPr>
          <w:p>
            <w:pPr>
              <w:spacing w:after="20"/>
              <w:jc w:val="right"/>
            </w:pPr>
            <w:r>
              <w:rPr>
                <w:color w:val="1C3A36"/>
                <w:sz w:val="18"/>
              </w:rPr>
              <w:t>-9.6%</w:t>
            </w:r>
          </w:p>
        </w:tc>
      </w:tr>
      <w:tr>
        <w:tc>
          <w:tcPr>
            <w:tcW w:type="dxa" w:w="2164"/>
          </w:tcPr>
          <w:p>
            <w:pPr>
              <w:spacing w:after="20"/>
            </w:pPr>
            <w:r>
              <w:rPr>
                <w:color w:val="1C3A36"/>
                <w:sz w:val="18"/>
              </w:rPr>
              <w:t>Support 2</w:t>
            </w:r>
          </w:p>
        </w:tc>
        <w:tc>
          <w:tcPr>
            <w:tcW w:type="dxa" w:w="721"/>
          </w:tcPr>
          <w:p>
            <w:pPr>
              <w:spacing w:after="20"/>
              <w:jc w:val="right"/>
            </w:pPr>
            <w:r>
              <w:rPr>
                <w:color w:val="1C3A36"/>
                <w:sz w:val="18"/>
              </w:rPr>
              <w:t>2.00</w:t>
            </w:r>
          </w:p>
        </w:tc>
        <w:tc>
          <w:tcPr>
            <w:tcW w:type="dxa" w:w="4148"/>
          </w:tcPr>
          <w:p>
            <w:pPr>
              <w:spacing w:after="20"/>
              <w:jc w:val="right"/>
            </w:pPr>
            <w:r>
              <w:rPr>
                <w:color w:val="1C3A36"/>
                <w:sz w:val="18"/>
              </w:rPr>
              <w:t>-16.3%</w:t>
            </w:r>
          </w:p>
        </w:tc>
      </w:tr>
      <w:tr>
        <w:tc>
          <w:tcPr>
            <w:tcW w:type="dxa" w:w="2164"/>
          </w:tcPr>
          <w:p>
            <w:pPr>
              <w:spacing w:after="20"/>
            </w:pPr>
            <w:r>
              <w:rPr>
                <w:color w:val="1C3A36"/>
                <w:sz w:val="18"/>
              </w:rPr>
              <w:t>Support 3</w:t>
            </w:r>
          </w:p>
        </w:tc>
        <w:tc>
          <w:tcPr>
            <w:tcW w:type="dxa" w:w="721"/>
          </w:tcPr>
          <w:p>
            <w:pPr>
              <w:spacing w:after="20"/>
              <w:jc w:val="right"/>
            </w:pPr>
            <w:r>
              <w:rPr>
                <w:color w:val="1C3A36"/>
                <w:sz w:val="18"/>
              </w:rPr>
              <w:t>1.82</w:t>
            </w:r>
          </w:p>
        </w:tc>
        <w:tc>
          <w:tcPr>
            <w:tcW w:type="dxa" w:w="4148"/>
          </w:tcPr>
          <w:p>
            <w:pPr>
              <w:spacing w:after="20"/>
              <w:jc w:val="right"/>
            </w:pPr>
            <w:r>
              <w:rPr>
                <w:color w:val="1C3A36"/>
                <w:sz w:val="18"/>
              </w:rPr>
              <w:t>-23.8%</w:t>
            </w:r>
          </w:p>
        </w:tc>
      </w:tr>
    </w:tbl>
    <w:p>
      <w:pPr>
        <w:spacing w:after="40"/>
      </w:pPr>
    </w:p>
    <w:p>
      <w:pPr>
        <w:spacing w:after="200" w:before="0"/>
      </w:pPr>
      <w:r>
        <w:rPr>
          <w:b w:val="0"/>
          <w:i/>
          <w:color w:val="6E7B77"/>
          <w:sz w:val="17"/>
        </w:rPr>
        <w:t>Computed from the daily price series used throughout this study (13 December 2022 to 7 August 2026, delivered in the study repository). Levels are clustered pivot highs and lows in the same cleaned price series the valuation and the probability map use; the first of each is the nearest to the last close. This is a description of the tape, and carries no view on value.</w:t>
      </w:r>
    </w:p>
    <w:p>
      <w:pPr>
        <w:spacing w:after="120" w:before="280"/>
      </w:pPr>
      <w:r>
        <w:rPr>
          <w:b/>
          <w:i w:val="0"/>
          <w:color w:val="1C3A36"/>
          <w:sz w:val="30"/>
        </w:rPr>
        <w:t>3  The probability price map</w:t>
      </w:r>
    </w:p>
    <w:p>
      <w:pPr>
        <w:spacing w:after="120" w:before="0"/>
      </w:pPr>
      <w:r>
        <w:rPr>
          <w:b w:val="0"/>
          <w:i w:val="0"/>
          <w:color w:val="1C3A36"/>
          <w:sz w:val="21"/>
        </w:rPr>
        <w:t>This section is about the share price, not the business. It answers a different question from everything above: given how this share has actually behaved, where could it be in one and three months? It is never blended with the valuation.</w:t>
      </w:r>
    </w:p>
    <w:p>
      <w:pPr>
        <w:spacing w:after="40"/>
        <w:jc w:val="center"/>
      </w:pPr>
      <w:r>
        <w:drawing>
          <wp:inline xmlns:a="http://schemas.openxmlformats.org/drawingml/2006/main" xmlns:pic="http://schemas.openxmlformats.org/drawingml/2006/picture">
            <wp:extent cx="6217920" cy="2728271"/>
            <wp:docPr id="6" name="Picture 6"/>
            <wp:cNvGraphicFramePr>
              <a:graphicFrameLocks noChangeAspect="1"/>
            </wp:cNvGraphicFramePr>
            <a:graphic>
              <a:graphicData uri="http://schemas.openxmlformats.org/drawingml/2006/picture">
                <pic:pic>
                  <pic:nvPicPr>
                    <pic:cNvPr id="0" name="fig4_cone.png"/>
                    <pic:cNvPicPr/>
                  </pic:nvPicPr>
                  <pic:blipFill>
                    <a:blip r:embed="rId14"/>
                    <a:stretch>
                      <a:fillRect/>
                    </a:stretch>
                  </pic:blipFill>
                  <pic:spPr>
                    <a:xfrm>
                      <a:off x="0" y="0"/>
                      <a:ext cx="6217920" cy="2728271"/>
                    </a:xfrm>
                    <a:prstGeom prst="rect"/>
                  </pic:spPr>
                </pic:pic>
              </a:graphicData>
            </a:graphic>
          </wp:inline>
        </w:drawing>
      </w:r>
    </w:p>
    <w:p>
      <w:pPr>
        <w:spacing w:after="200" w:before="0"/>
      </w:pPr>
      <w:r>
        <w:rPr>
          <w:b w:val="0"/>
          <w:i/>
          <w:color w:val="6E7B77"/>
          <w:sz w:val="17"/>
        </w:rPr>
        <w:t>The middle 50% and the middle 90% of simulated outcomes, from the last close.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152"/>
        <w:gridCol w:w="1152"/>
        <w:gridCol w:w="1224"/>
        <w:gridCol w:w="1152"/>
        <w:gridCol w:w="1152"/>
        <w:gridCol w:w="1440"/>
      </w:tblGrid>
      <w:tr>
        <w:tc>
          <w:tcPr>
            <w:tcW w:type="dxa" w:w="2808"/>
            <w:shd w:val="clear" w:color="auto" w:fill="EAF0EE"/>
          </w:tcPr>
          <w:p>
            <w:pPr>
              <w:spacing w:after="20"/>
            </w:pPr>
            <w:r>
              <w:rPr>
                <w:b/>
                <w:color w:val="1C3A36"/>
                <w:sz w:val="18"/>
              </w:rPr>
              <w:t>Horizon</w:t>
            </w:r>
          </w:p>
        </w:tc>
        <w:tc>
          <w:tcPr>
            <w:tcW w:type="dxa" w:w="1152"/>
            <w:shd w:val="clear" w:color="auto" w:fill="EAF0EE"/>
          </w:tcPr>
          <w:p>
            <w:pPr>
              <w:spacing w:after="20"/>
            </w:pPr>
            <w:r>
              <w:rPr>
                <w:b/>
                <w:color w:val="1C3A36"/>
                <w:sz w:val="18"/>
              </w:rPr>
              <w:t>5th</w:t>
            </w:r>
          </w:p>
        </w:tc>
        <w:tc>
          <w:tcPr>
            <w:tcW w:type="dxa" w:w="1152"/>
            <w:shd w:val="clear" w:color="auto" w:fill="EAF0EE"/>
          </w:tcPr>
          <w:p>
            <w:pPr>
              <w:spacing w:after="20"/>
            </w:pPr>
            <w:r>
              <w:rPr>
                <w:b/>
                <w:color w:val="1C3A36"/>
                <w:sz w:val="18"/>
              </w:rPr>
              <w:t>25th</w:t>
            </w:r>
          </w:p>
        </w:tc>
        <w:tc>
          <w:tcPr>
            <w:tcW w:type="dxa" w:w="1224"/>
            <w:shd w:val="clear" w:color="auto" w:fill="EAF0EE"/>
          </w:tcPr>
          <w:p>
            <w:pPr>
              <w:spacing w:after="20"/>
            </w:pPr>
            <w:r>
              <w:rPr>
                <w:b/>
                <w:color w:val="1C3A36"/>
                <w:sz w:val="18"/>
              </w:rPr>
              <w:t>Median</w:t>
            </w:r>
          </w:p>
        </w:tc>
        <w:tc>
          <w:tcPr>
            <w:tcW w:type="dxa" w:w="1152"/>
            <w:shd w:val="clear" w:color="auto" w:fill="EAF0EE"/>
          </w:tcPr>
          <w:p>
            <w:pPr>
              <w:spacing w:after="20"/>
            </w:pPr>
            <w:r>
              <w:rPr>
                <w:b/>
                <w:color w:val="1C3A36"/>
                <w:sz w:val="18"/>
              </w:rPr>
              <w:t>75th</w:t>
            </w:r>
          </w:p>
        </w:tc>
        <w:tc>
          <w:tcPr>
            <w:tcW w:type="dxa" w:w="1152"/>
            <w:shd w:val="clear" w:color="auto" w:fill="EAF0EE"/>
          </w:tcPr>
          <w:p>
            <w:pPr>
              <w:spacing w:after="20"/>
            </w:pPr>
            <w:r>
              <w:rPr>
                <w:b/>
                <w:color w:val="1C3A36"/>
                <w:sz w:val="18"/>
              </w:rPr>
              <w:t>95th</w:t>
            </w:r>
          </w:p>
        </w:tc>
        <w:tc>
          <w:tcPr>
            <w:tcW w:type="dxa" w:w="1440"/>
            <w:shd w:val="clear" w:color="auto" w:fill="EAF0EE"/>
          </w:tcPr>
          <w:p>
            <w:pPr>
              <w:spacing w:after="20"/>
            </w:pPr>
            <w:r>
              <w:rPr>
                <w:b/>
                <w:color w:val="1C3A36"/>
                <w:sz w:val="18"/>
              </w:rPr>
              <w:t>Chance above the market</w:t>
            </w:r>
          </w:p>
        </w:tc>
      </w:tr>
      <w:tr>
        <w:tc>
          <w:tcPr>
            <w:tcW w:type="dxa" w:w="2808"/>
          </w:tcPr>
          <w:p>
            <w:pPr>
              <w:spacing w:after="20"/>
            </w:pPr>
            <w:r>
              <w:rPr>
                <w:color w:val="1C3A36"/>
                <w:sz w:val="18"/>
              </w:rPr>
              <w:t>One month, to 2026-09-07</w:t>
            </w:r>
          </w:p>
        </w:tc>
        <w:tc>
          <w:tcPr>
            <w:tcW w:type="dxa" w:w="1152"/>
          </w:tcPr>
          <w:p>
            <w:pPr>
              <w:spacing w:after="20"/>
              <w:jc w:val="right"/>
            </w:pPr>
            <w:r>
              <w:rPr>
                <w:color w:val="1C3A36"/>
                <w:sz w:val="18"/>
              </w:rPr>
              <w:t>1.93</w:t>
            </w:r>
          </w:p>
        </w:tc>
        <w:tc>
          <w:tcPr>
            <w:tcW w:type="dxa" w:w="1152"/>
          </w:tcPr>
          <w:p>
            <w:pPr>
              <w:spacing w:after="20"/>
              <w:jc w:val="right"/>
            </w:pPr>
            <w:r>
              <w:rPr>
                <w:color w:val="1C3A36"/>
                <w:sz w:val="18"/>
              </w:rPr>
              <w:t>2.13</w:t>
            </w:r>
          </w:p>
        </w:tc>
        <w:tc>
          <w:tcPr>
            <w:tcW w:type="dxa" w:w="1224"/>
          </w:tcPr>
          <w:p>
            <w:pPr>
              <w:spacing w:after="20"/>
              <w:jc w:val="right"/>
            </w:pPr>
            <w:r>
              <w:rPr>
                <w:color w:val="1C3A36"/>
                <w:sz w:val="18"/>
              </w:rPr>
              <w:t>2.24</w:t>
            </w:r>
          </w:p>
        </w:tc>
        <w:tc>
          <w:tcPr>
            <w:tcW w:type="dxa" w:w="1152"/>
          </w:tcPr>
          <w:p>
            <w:pPr>
              <w:spacing w:after="20"/>
              <w:jc w:val="right"/>
            </w:pPr>
            <w:r>
              <w:rPr>
                <w:color w:val="1C3A36"/>
                <w:sz w:val="18"/>
              </w:rPr>
              <w:t>2.36</w:t>
            </w:r>
          </w:p>
        </w:tc>
        <w:tc>
          <w:tcPr>
            <w:tcW w:type="dxa" w:w="1152"/>
          </w:tcPr>
          <w:p>
            <w:pPr>
              <w:spacing w:after="20"/>
              <w:jc w:val="right"/>
            </w:pPr>
            <w:r>
              <w:rPr>
                <w:color w:val="1C3A36"/>
                <w:sz w:val="18"/>
              </w:rPr>
              <w:t>2.60</w:t>
            </w:r>
          </w:p>
        </w:tc>
        <w:tc>
          <w:tcPr>
            <w:tcW w:type="dxa" w:w="1440"/>
          </w:tcPr>
          <w:p>
            <w:pPr>
              <w:spacing w:after="20"/>
              <w:jc w:val="right"/>
            </w:pPr>
            <w:r>
              <w:rPr>
                <w:color w:val="1C3A36"/>
                <w:sz w:val="18"/>
              </w:rPr>
              <w:t>53%</w:t>
            </w:r>
          </w:p>
        </w:tc>
      </w:tr>
      <w:tr>
        <w:tc>
          <w:tcPr>
            <w:tcW w:type="dxa" w:w="2808"/>
          </w:tcPr>
          <w:p>
            <w:pPr>
              <w:spacing w:after="20"/>
            </w:pPr>
            <w:r>
              <w:rPr>
                <w:color w:val="1C3A36"/>
                <w:sz w:val="18"/>
              </w:rPr>
              <w:t>Three months, to 2026-11-09</w:t>
            </w:r>
          </w:p>
        </w:tc>
        <w:tc>
          <w:tcPr>
            <w:tcW w:type="dxa" w:w="1152"/>
          </w:tcPr>
          <w:p>
            <w:pPr>
              <w:spacing w:after="20"/>
              <w:jc w:val="right"/>
            </w:pPr>
            <w:r>
              <w:rPr>
                <w:color w:val="1C3A36"/>
                <w:sz w:val="18"/>
              </w:rPr>
              <w:t>1.73</w:t>
            </w:r>
          </w:p>
        </w:tc>
        <w:tc>
          <w:tcPr>
            <w:tcW w:type="dxa" w:w="1152"/>
          </w:tcPr>
          <w:p>
            <w:pPr>
              <w:spacing w:after="20"/>
              <w:jc w:val="right"/>
            </w:pPr>
            <w:r>
              <w:rPr>
                <w:color w:val="1C3A36"/>
                <w:sz w:val="18"/>
              </w:rPr>
              <w:t>2.05</w:t>
            </w:r>
          </w:p>
        </w:tc>
        <w:tc>
          <w:tcPr>
            <w:tcW w:type="dxa" w:w="1224"/>
          </w:tcPr>
          <w:p>
            <w:pPr>
              <w:spacing w:after="20"/>
              <w:jc w:val="right"/>
            </w:pPr>
            <w:r>
              <w:rPr>
                <w:color w:val="1C3A36"/>
                <w:sz w:val="18"/>
              </w:rPr>
              <w:t>2.25</w:t>
            </w:r>
          </w:p>
        </w:tc>
        <w:tc>
          <w:tcPr>
            <w:tcW w:type="dxa" w:w="1152"/>
          </w:tcPr>
          <w:p>
            <w:pPr>
              <w:spacing w:after="20"/>
              <w:jc w:val="right"/>
            </w:pPr>
            <w:r>
              <w:rPr>
                <w:color w:val="1C3A36"/>
                <w:sz w:val="18"/>
              </w:rPr>
              <w:t>2.47</w:t>
            </w:r>
          </w:p>
        </w:tc>
        <w:tc>
          <w:tcPr>
            <w:tcW w:type="dxa" w:w="1152"/>
          </w:tcPr>
          <w:p>
            <w:pPr>
              <w:spacing w:after="20"/>
              <w:jc w:val="right"/>
            </w:pPr>
            <w:r>
              <w:rPr>
                <w:color w:val="1C3A36"/>
                <w:sz w:val="18"/>
              </w:rPr>
              <w:t>2.94</w:t>
            </w:r>
          </w:p>
        </w:tc>
        <w:tc>
          <w:tcPr>
            <w:tcW w:type="dxa" w:w="1440"/>
          </w:tcPr>
          <w:p>
            <w:pPr>
              <w:spacing w:after="20"/>
              <w:jc w:val="right"/>
            </w:pPr>
            <w:r>
              <w:rPr>
                <w:color w:val="1C3A36"/>
                <w:sz w:val="18"/>
              </w:rPr>
              <w:t>53%</w:t>
            </w:r>
          </w:p>
        </w:tc>
      </w:tr>
    </w:tbl>
    <w:p>
      <w:pPr>
        <w:spacing w:after="40"/>
      </w:pPr>
    </w:p>
    <w:p>
      <w:pPr>
        <w:spacing w:after="200" w:before="0"/>
      </w:pPr>
      <w:r>
        <w:rPr>
          <w:b w:val="0"/>
          <w:i/>
          <w:color w:val="6E7B77"/>
          <w:sz w:val="17"/>
        </w:rPr>
        <w:t>AED a share. Fifty thousand simulated paths from the close of 7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92"/>
        <w:gridCol w:w="1623"/>
        <w:gridCol w:w="2164"/>
      </w:tblGrid>
      <w:tr>
        <w:tc>
          <w:tcPr>
            <w:tcW w:type="dxa" w:w="6292"/>
            <w:shd w:val="clear" w:color="auto" w:fill="EAF0EE"/>
          </w:tcPr>
          <w:p>
            <w:pPr>
              <w:spacing w:after="20"/>
            </w:pPr>
            <w:r>
              <w:rPr>
                <w:b/>
                <w:color w:val="1C3A36"/>
                <w:sz w:val="18"/>
              </w:rPr>
              <w:t>Level event</w:t>
            </w:r>
          </w:p>
        </w:tc>
        <w:tc>
          <w:tcPr>
            <w:tcW w:type="dxa" w:w="1623"/>
            <w:shd w:val="clear" w:color="auto" w:fill="EAF0EE"/>
          </w:tcPr>
          <w:p>
            <w:pPr>
              <w:spacing w:after="20"/>
            </w:pPr>
            <w:r>
              <w:rPr>
                <w:b/>
                <w:color w:val="1C3A36"/>
                <w:sz w:val="18"/>
              </w:rPr>
              <w:t>One month</w:t>
            </w:r>
          </w:p>
        </w:tc>
        <w:tc>
          <w:tcPr>
            <w:tcW w:type="dxa" w:w="2164"/>
            <w:shd w:val="clear" w:color="auto" w:fill="EAF0EE"/>
          </w:tcPr>
          <w:p>
            <w:pPr>
              <w:spacing w:after="20"/>
            </w:pPr>
            <w:r>
              <w:rPr>
                <w:b/>
                <w:color w:val="1C3A36"/>
                <w:sz w:val="18"/>
              </w:rPr>
              <w:t>Three months</w:t>
            </w:r>
          </w:p>
        </w:tc>
      </w:tr>
      <w:tr>
        <w:tc>
          <w:tcPr>
            <w:tcW w:type="dxa" w:w="6292"/>
          </w:tcPr>
          <w:p>
            <w:pPr>
              <w:spacing w:after="20"/>
            </w:pPr>
            <w:r>
              <w:rPr>
                <w:color w:val="1C3A36"/>
                <w:sz w:val="18"/>
              </w:rPr>
              <w:t>Finishes 10% or more above the market price</w:t>
            </w:r>
          </w:p>
        </w:tc>
        <w:tc>
          <w:tcPr>
            <w:tcW w:type="dxa" w:w="1623"/>
          </w:tcPr>
          <w:p>
            <w:pPr>
              <w:spacing w:after="20"/>
              <w:jc w:val="right"/>
            </w:pPr>
            <w:r>
              <w:rPr>
                <w:color w:val="1C3A36"/>
                <w:sz w:val="18"/>
              </w:rPr>
              <w:t>13%</w:t>
            </w:r>
          </w:p>
        </w:tc>
        <w:tc>
          <w:tcPr>
            <w:tcW w:type="dxa" w:w="2164"/>
          </w:tcPr>
          <w:p>
            <w:pPr>
              <w:spacing w:after="20"/>
              <w:jc w:val="right"/>
            </w:pPr>
            <w:r>
              <w:rPr>
                <w:color w:val="1C3A36"/>
                <w:sz w:val="18"/>
              </w:rPr>
              <w:t>27%</w:t>
            </w:r>
          </w:p>
        </w:tc>
      </w:tr>
      <w:tr>
        <w:tc>
          <w:tcPr>
            <w:tcW w:type="dxa" w:w="6292"/>
          </w:tcPr>
          <w:p>
            <w:pPr>
              <w:spacing w:after="20"/>
            </w:pPr>
            <w:r>
              <w:rPr>
                <w:color w:val="1C3A36"/>
                <w:sz w:val="18"/>
              </w:rPr>
              <w:t>Finishes 10% or more below</w:t>
            </w:r>
          </w:p>
        </w:tc>
        <w:tc>
          <w:tcPr>
            <w:tcW w:type="dxa" w:w="1623"/>
          </w:tcPr>
          <w:p>
            <w:pPr>
              <w:spacing w:after="20"/>
              <w:jc w:val="right"/>
            </w:pPr>
            <w:r>
              <w:rPr>
                <w:color w:val="1C3A36"/>
                <w:sz w:val="18"/>
              </w:rPr>
              <w:t>10%</w:t>
            </w:r>
          </w:p>
        </w:tc>
        <w:tc>
          <w:tcPr>
            <w:tcW w:type="dxa" w:w="2164"/>
          </w:tcPr>
          <w:p>
            <w:pPr>
              <w:spacing w:after="20"/>
              <w:jc w:val="right"/>
            </w:pPr>
            <w:r>
              <w:rPr>
                <w:color w:val="1C3A36"/>
                <w:sz w:val="18"/>
              </w:rPr>
              <w:t>20%</w:t>
            </w:r>
          </w:p>
        </w:tc>
      </w:tr>
      <w:tr>
        <w:tc>
          <w:tcPr>
            <w:tcW w:type="dxa" w:w="6292"/>
          </w:tcPr>
          <w:p>
            <w:pPr>
              <w:spacing w:after="20"/>
            </w:pPr>
            <w:r>
              <w:rPr>
                <w:color w:val="1C3A36"/>
                <w:sz w:val="18"/>
              </w:rPr>
              <w:t>Touches 10% above at any point</w:t>
            </w:r>
          </w:p>
        </w:tc>
        <w:tc>
          <w:tcPr>
            <w:tcW w:type="dxa" w:w="1623"/>
          </w:tcPr>
          <w:p>
            <w:pPr>
              <w:spacing w:after="20"/>
              <w:jc w:val="right"/>
            </w:pPr>
            <w:r>
              <w:rPr>
                <w:color w:val="1C3A36"/>
                <w:sz w:val="18"/>
              </w:rPr>
              <w:t>22%</w:t>
            </w:r>
          </w:p>
        </w:tc>
        <w:tc>
          <w:tcPr>
            <w:tcW w:type="dxa" w:w="2164"/>
          </w:tcPr>
          <w:p>
            <w:pPr>
              <w:spacing w:after="20"/>
              <w:jc w:val="right"/>
            </w:pPr>
            <w:r>
              <w:rPr>
                <w:color w:val="1C3A36"/>
                <w:sz w:val="18"/>
              </w:rPr>
              <w:t>47%</w:t>
            </w:r>
          </w:p>
        </w:tc>
      </w:tr>
      <w:tr>
        <w:tc>
          <w:tcPr>
            <w:tcW w:type="dxa" w:w="6292"/>
          </w:tcPr>
          <w:p>
            <w:pPr>
              <w:spacing w:after="20"/>
            </w:pPr>
            <w:r>
              <w:rPr>
                <w:color w:val="1C3A36"/>
                <w:sz w:val="18"/>
              </w:rPr>
              <w:t>Touches 10% below at any point</w:t>
            </w:r>
          </w:p>
        </w:tc>
        <w:tc>
          <w:tcPr>
            <w:tcW w:type="dxa" w:w="1623"/>
          </w:tcPr>
          <w:p>
            <w:pPr>
              <w:spacing w:after="20"/>
              <w:jc w:val="right"/>
            </w:pPr>
            <w:r>
              <w:rPr>
                <w:color w:val="1C3A36"/>
                <w:sz w:val="18"/>
              </w:rPr>
              <w:t>16%</w:t>
            </w:r>
          </w:p>
        </w:tc>
        <w:tc>
          <w:tcPr>
            <w:tcW w:type="dxa" w:w="2164"/>
          </w:tcPr>
          <w:p>
            <w:pPr>
              <w:spacing w:after="20"/>
              <w:jc w:val="right"/>
            </w:pPr>
            <w:r>
              <w:rPr>
                <w:color w:val="1C3A36"/>
                <w:sz w:val="18"/>
              </w:rPr>
              <w:t>39%</w:t>
            </w:r>
          </w:p>
        </w:tc>
      </w:tr>
    </w:tbl>
    <w:p>
      <w:pPr>
        <w:spacing w:after="40"/>
      </w:pPr>
    </w:p>
    <w:p>
      <w:pPr>
        <w:spacing w:after="40"/>
        <w:jc w:val="center"/>
      </w:pPr>
      <w:r>
        <w:drawing>
          <wp:inline xmlns:a="http://schemas.openxmlformats.org/drawingml/2006/main" xmlns:pic="http://schemas.openxmlformats.org/drawingml/2006/picture">
            <wp:extent cx="5943600" cy="2377440"/>
            <wp:docPr id="7" name="Picture 7"/>
            <wp:cNvGraphicFramePr>
              <a:graphicFrameLocks noChangeAspect="1"/>
            </wp:cNvGraphicFramePr>
            <a:graphic>
              <a:graphicData uri="http://schemas.openxmlformats.org/drawingml/2006/picture">
                <pic:pic>
                  <pic:nvPicPr>
                    <pic:cNvPr id="0" name="fig5_dist3m.png"/>
                    <pic:cNvPicPr/>
                  </pic:nvPicPr>
                  <pic:blipFill>
                    <a:blip r:embed="rId15"/>
                    <a:stretch>
                      <a:fillRect/>
                    </a:stretch>
                  </pic:blipFill>
                  <pic:spPr>
                    <a:xfrm>
                      <a:off x="0" y="0"/>
                      <a:ext cx="5943600" cy="2377440"/>
                    </a:xfrm>
                    <a:prstGeom prst="rect"/>
                  </pic:spPr>
                </pic:pic>
              </a:graphicData>
            </a:graphic>
          </wp:inline>
        </w:drawing>
      </w:r>
    </w:p>
    <w:p>
      <w:pPr>
        <w:spacing w:after="200" w:before="0"/>
      </w:pPr>
      <w:r>
        <w:rPr>
          <w:b w:val="0"/>
          <w:i/>
          <w:color w:val="6E7B77"/>
          <w:sz w:val="17"/>
        </w:rPr>
        <w:t>Three months — the whole distribution, not just its edges.</w:t>
      </w:r>
    </w:p>
    <w:p>
      <w:pPr>
        <w:spacing w:after="80" w:before="200"/>
      </w:pPr>
      <w:r>
        <w:rPr>
          <w:b/>
          <w:i w:val="0"/>
          <w:color w:val="1C3A36"/>
          <w:sz w:val="24"/>
        </w:rPr>
        <w:t>How much confidence this map deserves</w:t>
      </w:r>
    </w:p>
    <w:p>
      <w:pPr>
        <w:spacing w:after="120" w:before="0"/>
      </w:pPr>
      <w:r>
        <w:rPr>
          <w:b w:val="0"/>
          <w:i w:val="0"/>
          <w:color w:val="1C3A36"/>
          <w:sz w:val="21"/>
        </w:rPr>
        <w:t>The honest answer is: less than for most of the shares we cover, and here is exactly why. Americana listed on 12 December 2022. Its own price history supports only 10 non-overlapping three-month windows once a year of history is set aside to estimate volatility from — not the five years a proper single-name track record needs. Over those 10 windows the simulation scored -0.0054 against a random walk anchored on the same interest and dividend carry, which is marginally NEGATIVE: on this name's own short record the method has not beaten the simple benchmark. The spread of outcomes was well shaped — the realised price fell inside the 90% band in 100% of windows and inside the 80% band in 80% — and a formal test of whether outcomes land uniformly across the distribution is passed comfortably on the chi-square (p=0.35) and only marginally on the Kolmogorov-Smirnov (p=0.086). But ten windows cannot carry a strong claim either way.</w:t>
      </w:r>
    </w:p>
    <w:p>
      <w:pPr>
        <w:spacing w:after="120" w:before="0"/>
      </w:pPr>
      <w:r>
        <w:rPr>
          <w:b w:val="0"/>
          <w:i w:val="0"/>
          <w:color w:val="1C3A36"/>
          <w:sz w:val="21"/>
        </w:rPr>
        <w:t>The width and shape of the band are not fitted on Americana alone; they come from a pooled set of 19 UAE-listed shares. That set does carry the longer record: 271 windows over 4.25 years, on which the method scored +0.0065 against the same benchmark — positive, though the confidence interval still straddles zero. There the calibration is genuinely good: outcomes fell inside the 50%, 80% and 90% bands 53%, 80% and 89% of the time against targets of 50%, 80% and 90%, and the uniformity tests are comfortable (chi-square p=0.83, Kolmogorov-Smirnov p=0.808). The pooled window is 4.25 years rather than five because the United Arab Emirates changed its trading week in January 2022 and the earlier pattern of trading days is not comparable.</w:t>
      </w:r>
    </w:p>
    <w:p>
      <w:pPr>
        <w:spacing w:after="120" w:before="0"/>
      </w:pPr>
      <w:r>
        <w:rPr>
          <w:b w:val="0"/>
          <w:i w:val="0"/>
          <w:color w:val="1C3A36"/>
          <w:sz w:val="21"/>
        </w:rPr>
        <w:t>So: treat the shape of this distribution as reliable and the claim that it beats a coin toss as unproven for this particular share. Read the band, not the midpoint.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168"/>
        <w:gridCol w:w="1512"/>
        <w:gridCol w:w="2880"/>
      </w:tblGrid>
      <w:tr>
        <w:tc>
          <w:tcPr>
            <w:tcW w:type="dxa" w:w="2520"/>
            <w:shd w:val="clear" w:color="auto" w:fill="EAF0EE"/>
          </w:tcPr>
          <w:p>
            <w:pPr>
              <w:spacing w:after="20"/>
            </w:pPr>
            <w:r>
              <w:rPr>
                <w:b/>
                <w:color w:val="1C3A36"/>
                <w:sz w:val="18"/>
              </w:rPr>
              <w:t>Lens</w:t>
            </w:r>
          </w:p>
        </w:tc>
        <w:tc>
          <w:tcPr>
            <w:tcW w:type="dxa" w:w="3168"/>
            <w:shd w:val="clear" w:color="auto" w:fill="EAF0EE"/>
          </w:tcPr>
          <w:p>
            <w:pPr>
              <w:spacing w:after="20"/>
            </w:pPr>
            <w:r>
              <w:rPr>
                <w:b/>
                <w:color w:val="1C3A36"/>
                <w:sz w:val="18"/>
              </w:rPr>
              <w:t>What it is really measuring</w:t>
            </w:r>
          </w:p>
        </w:tc>
        <w:tc>
          <w:tcPr>
            <w:tcW w:type="dxa" w:w="1512"/>
            <w:shd w:val="clear" w:color="auto" w:fill="EAF0EE"/>
          </w:tcPr>
          <w:p>
            <w:pPr>
              <w:spacing w:after="20"/>
            </w:pPr>
            <w:r>
              <w:rPr>
                <w:b/>
                <w:color w:val="1C3A36"/>
                <w:sz w:val="18"/>
              </w:rPr>
              <w:t>Central (AED)</w:t>
            </w:r>
          </w:p>
        </w:tc>
        <w:tc>
          <w:tcPr>
            <w:tcW w:type="dxa" w:w="2880"/>
            <w:shd w:val="clear" w:color="auto" w:fill="EAF0EE"/>
          </w:tcPr>
          <w:p>
            <w:pPr>
              <w:spacing w:after="20"/>
            </w:pPr>
            <w:r>
              <w:rPr>
                <w:b/>
                <w:color w:val="1C3A36"/>
                <w:sz w:val="18"/>
              </w:rPr>
              <w:t>What would move it most</w:t>
            </w:r>
          </w:p>
        </w:tc>
      </w:tr>
      <w:tr>
        <w:tc>
          <w:tcPr>
            <w:tcW w:type="dxa" w:w="2520"/>
          </w:tcPr>
          <w:p>
            <w:pPr>
              <w:spacing w:after="20"/>
            </w:pPr>
            <w:r>
              <w:rPr>
                <w:color w:val="1C3A36"/>
                <w:sz w:val="18"/>
              </w:rPr>
              <w:t>Discounted cash flow</w:t>
            </w:r>
          </w:p>
        </w:tc>
        <w:tc>
          <w:tcPr>
            <w:tcW w:type="dxa" w:w="3168"/>
          </w:tcPr>
          <w:p>
            <w:pPr>
              <w:spacing w:after="20"/>
              <w:jc w:val="right"/>
            </w:pPr>
            <w:r>
              <w:rPr>
                <w:color w:val="1C3A36"/>
                <w:sz w:val="18"/>
              </w:rPr>
              <w:t>the cash the restaurants generate, discounted</w:t>
            </w:r>
          </w:p>
        </w:tc>
        <w:tc>
          <w:tcPr>
            <w:tcW w:type="dxa" w:w="1512"/>
          </w:tcPr>
          <w:p>
            <w:pPr>
              <w:spacing w:after="20"/>
              <w:jc w:val="right"/>
            </w:pPr>
            <w:r>
              <w:rPr>
                <w:color w:val="1C3A36"/>
                <w:sz w:val="18"/>
              </w:rPr>
              <w:t>2.22</w:t>
            </w:r>
          </w:p>
        </w:tc>
        <w:tc>
          <w:tcPr>
            <w:tcW w:type="dxa" w:w="2880"/>
          </w:tcPr>
          <w:p>
            <w:pPr>
              <w:spacing w:after="20"/>
              <w:jc w:val="right"/>
            </w:pPr>
            <w:r>
              <w:rPr>
                <w:color w:val="1C3A36"/>
                <w:sz w:val="18"/>
              </w:rPr>
              <w:t>the EBITDA margin, then terminal growth</w:t>
            </w:r>
          </w:p>
        </w:tc>
      </w:tr>
      <w:tr>
        <w:tc>
          <w:tcPr>
            <w:tcW w:type="dxa" w:w="2520"/>
          </w:tcPr>
          <w:p>
            <w:pPr>
              <w:spacing w:after="20"/>
            </w:pPr>
            <w:r>
              <w:rPr>
                <w:color w:val="1C3A36"/>
                <w:sz w:val="18"/>
              </w:rPr>
              <w:t>Relative multiples</w:t>
            </w:r>
          </w:p>
        </w:tc>
        <w:tc>
          <w:tcPr>
            <w:tcW w:type="dxa" w:w="3168"/>
          </w:tcPr>
          <w:p>
            <w:pPr>
              <w:spacing w:after="20"/>
              <w:jc w:val="right"/>
            </w:pPr>
            <w:r>
              <w:rPr>
                <w:color w:val="1C3A36"/>
                <w:sz w:val="18"/>
              </w:rPr>
              <w:t>what the market pays other operators for EBITDA</w:t>
            </w:r>
          </w:p>
        </w:tc>
        <w:tc>
          <w:tcPr>
            <w:tcW w:type="dxa" w:w="1512"/>
          </w:tcPr>
          <w:p>
            <w:pPr>
              <w:spacing w:after="20"/>
              <w:jc w:val="right"/>
            </w:pPr>
            <w:r>
              <w:rPr>
                <w:color w:val="1C3A36"/>
                <w:sz w:val="18"/>
              </w:rPr>
              <w:t>2.56</w:t>
            </w:r>
          </w:p>
        </w:tc>
        <w:tc>
          <w:tcPr>
            <w:tcW w:type="dxa" w:w="2880"/>
          </w:tcPr>
          <w:p>
            <w:pPr>
              <w:spacing w:after="20"/>
              <w:jc w:val="right"/>
            </w:pPr>
            <w:r>
              <w:rPr>
                <w:color w:val="1C3A36"/>
                <w:sz w:val="18"/>
              </w:rPr>
              <w:t>the multiple chosen, which no peer settles</w:t>
            </w:r>
          </w:p>
        </w:tc>
      </w:tr>
      <w:tr>
        <w:tc>
          <w:tcPr>
            <w:tcW w:type="dxa" w:w="2520"/>
          </w:tcPr>
          <w:p>
            <w:pPr>
              <w:spacing w:after="20"/>
            </w:pPr>
            <w:r>
              <w:rPr>
                <w:color w:val="1C3A36"/>
                <w:sz w:val="18"/>
              </w:rPr>
              <w:t>Normalised earnings power</w:t>
            </w:r>
          </w:p>
        </w:tc>
        <w:tc>
          <w:tcPr>
            <w:tcW w:type="dxa" w:w="3168"/>
          </w:tcPr>
          <w:p>
            <w:pPr>
              <w:spacing w:after="20"/>
              <w:jc w:val="right"/>
            </w:pPr>
            <w:r>
              <w:rPr>
                <w:color w:val="1C3A36"/>
                <w:sz w:val="18"/>
              </w:rPr>
              <w:t>mid-cycle earnings at today's scale</w:t>
            </w:r>
          </w:p>
        </w:tc>
        <w:tc>
          <w:tcPr>
            <w:tcW w:type="dxa" w:w="1512"/>
          </w:tcPr>
          <w:p>
            <w:pPr>
              <w:spacing w:after="20"/>
              <w:jc w:val="right"/>
            </w:pPr>
            <w:r>
              <w:rPr>
                <w:color w:val="1C3A36"/>
                <w:sz w:val="18"/>
              </w:rPr>
              <w:t>2.07</w:t>
            </w:r>
          </w:p>
        </w:tc>
        <w:tc>
          <w:tcPr>
            <w:tcW w:type="dxa" w:w="2880"/>
          </w:tcPr>
          <w:p>
            <w:pPr>
              <w:spacing w:after="20"/>
              <w:jc w:val="right"/>
            </w:pPr>
            <w:r>
              <w:rPr>
                <w:color w:val="1C3A36"/>
                <w:sz w:val="18"/>
              </w:rPr>
              <w:t>the mid-cycle margin, again</w:t>
            </w:r>
          </w:p>
        </w:tc>
      </w:tr>
      <w:tr>
        <w:tc>
          <w:tcPr>
            <w:tcW w:type="dxa" w:w="2520"/>
          </w:tcPr>
          <w:p>
            <w:pPr>
              <w:spacing w:after="20"/>
            </w:pPr>
            <w:r>
              <w:rPr>
                <w:color w:val="1C3A36"/>
                <w:sz w:val="18"/>
              </w:rPr>
              <w:t>Book value and sustainable return</w:t>
            </w:r>
          </w:p>
        </w:tc>
        <w:tc>
          <w:tcPr>
            <w:tcW w:type="dxa" w:w="3168"/>
          </w:tcPr>
          <w:p>
            <w:pPr>
              <w:spacing w:after="20"/>
              <w:jc w:val="right"/>
            </w:pPr>
            <w:r>
              <w:rPr>
                <w:color w:val="1C3A36"/>
                <w:sz w:val="18"/>
              </w:rPr>
              <w:t>the return earned on a very small book</w:t>
            </w:r>
          </w:p>
        </w:tc>
        <w:tc>
          <w:tcPr>
            <w:tcW w:type="dxa" w:w="1512"/>
          </w:tcPr>
          <w:p>
            <w:pPr>
              <w:spacing w:after="20"/>
              <w:jc w:val="right"/>
            </w:pPr>
            <w:r>
              <w:rPr>
                <w:color w:val="1C3A36"/>
                <w:sz w:val="18"/>
              </w:rPr>
              <w:t>1.04</w:t>
            </w:r>
          </w:p>
        </w:tc>
        <w:tc>
          <w:tcPr>
            <w:tcW w:type="dxa" w:w="2880"/>
          </w:tcPr>
          <w:p>
            <w:pPr>
              <w:spacing w:after="20"/>
              <w:jc w:val="right"/>
            </w:pPr>
            <w:r>
              <w:rPr>
                <w:color w:val="1C3A36"/>
                <w:sz w:val="18"/>
              </w:rPr>
              <w:t>almost anything — the base is tiny</w:t>
            </w:r>
          </w:p>
        </w:tc>
      </w:tr>
    </w:tbl>
    <w:p>
      <w:pPr>
        <w:spacing w:after="40"/>
      </w:pPr>
    </w:p>
    <w:p>
      <w:pPr>
        <w:spacing w:after="120" w:before="0"/>
      </w:pPr>
      <w:r>
        <w:rPr>
          <w:b w:val="0"/>
          <w:i w:val="0"/>
          <w:color w:val="1C3A36"/>
          <w:sz w:val="21"/>
        </w:rPr>
        <w:t>Three of the four converge, and they converge because they share an input: the margin. That is not four independent confirmations — it is one judgement seen from three angles. The reader should discount the apparent agreement accordingly. The fourth lens disagrees for a structural reason that has nothing to do with the margin, and is weighted down for it.</w:t>
      </w:r>
    </w:p>
    <w:p>
      <w:pPr>
        <w:spacing w:after="80" w:before="200"/>
      </w:pPr>
      <w:r>
        <w:rPr>
          <w:b/>
          <w:i w:val="0"/>
          <w:color w:val="1C3A36"/>
          <w:sz w:val="24"/>
        </w:rPr>
        <w:t>A second question, answered twice and worth less than expected</w:t>
      </w:r>
    </w:p>
    <w:p>
      <w:pPr>
        <w:spacing w:after="120" w:before="0"/>
      </w:pPr>
      <w:r>
        <w:rPr>
          <w:b w:val="0"/>
          <w:i w:val="0"/>
          <w:color w:val="1C3A36"/>
          <w:sz w:val="21"/>
        </w:rPr>
        <w:t>Americana leases essentially every restaurant it operates. At 31 December 2025 the capitalised lease liability was USD 637.5 million and the right-of-use asset USD 610.8 million — 35% of total assets, and larger than the entire owned property and equipment base. Determining the discount rate inside those leases is one of the two key audit matters in the filing. Whether that estate is treated as borrowed money or as next year's rent is a live question, so it is answered twice.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872"/>
        <w:gridCol w:w="2520"/>
        <w:gridCol w:w="2448"/>
      </w:tblGrid>
      <w:tr>
        <w:tc>
          <w:tcPr>
            <w:tcW w:type="dxa" w:w="3240"/>
            <w:shd w:val="clear" w:color="auto" w:fill="EAF0EE"/>
          </w:tcPr>
          <w:p>
            <w:pPr>
              <w:spacing w:after="20"/>
            </w:pPr>
            <w:r>
              <w:rPr>
                <w:b/>
                <w:color w:val="1C3A36"/>
                <w:sz w:val="18"/>
              </w:rPr>
              <w:t>Reading</w:t>
            </w:r>
          </w:p>
        </w:tc>
        <w:tc>
          <w:tcPr>
            <w:tcW w:type="dxa" w:w="1872"/>
            <w:shd w:val="clear" w:color="auto" w:fill="EAF0EE"/>
          </w:tcPr>
          <w:p>
            <w:pPr>
              <w:spacing w:after="20"/>
            </w:pPr>
            <w:r>
              <w:rPr>
                <w:b/>
                <w:color w:val="1C3A36"/>
                <w:sz w:val="18"/>
              </w:rPr>
              <w:t>Value (AED)</w:t>
            </w:r>
          </w:p>
        </w:tc>
        <w:tc>
          <w:tcPr>
            <w:tcW w:type="dxa" w:w="2520"/>
            <w:shd w:val="clear" w:color="auto" w:fill="EAF0EE"/>
          </w:tcPr>
          <w:p>
            <w:pPr>
              <w:spacing w:after="20"/>
            </w:pPr>
            <w:r>
              <w:rPr>
                <w:b/>
                <w:color w:val="1C3A36"/>
                <w:sz w:val="18"/>
              </w:rPr>
              <w:t>Enterprise value (USD m)</w:t>
            </w:r>
          </w:p>
        </w:tc>
        <w:tc>
          <w:tcPr>
            <w:tcW w:type="dxa" w:w="2448"/>
            <w:shd w:val="clear" w:color="auto" w:fill="EAF0EE"/>
          </w:tcPr>
          <w:p>
            <w:pPr>
              <w:spacing w:after="20"/>
            </w:pPr>
            <w:r>
              <w:rPr>
                <w:b/>
                <w:color w:val="1C3A36"/>
                <w:sz w:val="18"/>
              </w:rPr>
              <w:t>Deducted in the bridge (USD m)</w:t>
            </w:r>
          </w:p>
        </w:tc>
      </w:tr>
      <w:tr>
        <w:tc>
          <w:tcPr>
            <w:tcW w:type="dxa" w:w="3240"/>
          </w:tcPr>
          <w:p>
            <w:pPr>
              <w:spacing w:after="20"/>
            </w:pPr>
            <w:r>
              <w:rPr>
                <w:color w:val="1C3A36"/>
                <w:sz w:val="18"/>
              </w:rPr>
              <w:t>Leases capitalised, as the accounts present them</w:t>
            </w:r>
          </w:p>
        </w:tc>
        <w:tc>
          <w:tcPr>
            <w:tcW w:type="dxa" w:w="1872"/>
          </w:tcPr>
          <w:p>
            <w:pPr>
              <w:spacing w:after="20"/>
              <w:jc w:val="right"/>
            </w:pPr>
            <w:r>
              <w:rPr>
                <w:color w:val="1C3A36"/>
                <w:sz w:val="18"/>
              </w:rPr>
              <w:t>2.22</w:t>
            </w:r>
          </w:p>
        </w:tc>
        <w:tc>
          <w:tcPr>
            <w:tcW w:type="dxa" w:w="2520"/>
          </w:tcPr>
          <w:p>
            <w:pPr>
              <w:spacing w:after="20"/>
              <w:jc w:val="right"/>
            </w:pPr>
            <w:r>
              <w:rPr>
                <w:color w:val="1C3A36"/>
                <w:sz w:val="18"/>
              </w:rPr>
              <w:t>5,206</w:t>
            </w:r>
          </w:p>
        </w:tc>
        <w:tc>
          <w:tcPr>
            <w:tcW w:type="dxa" w:w="2448"/>
          </w:tcPr>
          <w:p>
            <w:pPr>
              <w:spacing w:after="20"/>
              <w:jc w:val="right"/>
            </w:pPr>
            <w:r>
              <w:rPr>
                <w:color w:val="1C3A36"/>
                <w:sz w:val="18"/>
              </w:rPr>
              <w:t>220</w:t>
            </w:r>
          </w:p>
        </w:tc>
      </w:tr>
      <w:tr>
        <w:tc>
          <w:tcPr>
            <w:tcW w:type="dxa" w:w="3240"/>
          </w:tcPr>
          <w:p>
            <w:pPr>
              <w:spacing w:after="20"/>
            </w:pPr>
            <w:r>
              <w:rPr>
                <w:color w:val="1C3A36"/>
                <w:sz w:val="18"/>
              </w:rPr>
              <w:t>Leases as an operating cost</w:t>
            </w:r>
          </w:p>
        </w:tc>
        <w:tc>
          <w:tcPr>
            <w:tcW w:type="dxa" w:w="1872"/>
          </w:tcPr>
          <w:p>
            <w:pPr>
              <w:spacing w:after="20"/>
              <w:jc w:val="right"/>
            </w:pPr>
            <w:r>
              <w:rPr>
                <w:color w:val="1C3A36"/>
                <w:sz w:val="18"/>
              </w:rPr>
              <w:t>2.20</w:t>
            </w:r>
          </w:p>
        </w:tc>
        <w:tc>
          <w:tcPr>
            <w:tcW w:type="dxa" w:w="2520"/>
          </w:tcPr>
          <w:p>
            <w:pPr>
              <w:spacing w:after="20"/>
              <w:jc w:val="right"/>
            </w:pPr>
            <w:r>
              <w:rPr>
                <w:color w:val="1C3A36"/>
                <w:sz w:val="18"/>
              </w:rPr>
              <w:t>4,511</w:t>
            </w:r>
          </w:p>
        </w:tc>
        <w:tc>
          <w:tcPr>
            <w:tcW w:type="dxa" w:w="2448"/>
          </w:tcPr>
          <w:p>
            <w:pPr>
              <w:spacing w:after="20"/>
              <w:jc w:val="right"/>
            </w:pPr>
            <w:r>
              <w:rPr>
                <w:color w:val="1C3A36"/>
                <w:sz w:val="18"/>
              </w:rPr>
              <w:t>-417</w:t>
            </w:r>
          </w:p>
        </w:tc>
      </w:tr>
    </w:tbl>
    <w:p>
      <w:pPr>
        <w:spacing w:after="40"/>
      </w:pPr>
    </w:p>
    <w:p>
      <w:pPr>
        <w:spacing w:after="120" w:before="0"/>
      </w:pPr>
      <w:r>
        <w:rPr>
          <w:b w:val="0"/>
          <w:i w:val="0"/>
          <w:color w:val="1C3A36"/>
          <w:sz w:val="21"/>
        </w:rPr>
        <w:t>The two readings differ by under two percent once each is built consistently — charging the right-of-use additions as investment on the capitalised reading, and charging the whole rent bill as a cost on the other. That is a result worth stating: the accounting choice that dominates the balance sheet turns out not to be the thing that decides the value.</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728"/>
        <w:gridCol w:w="5112"/>
      </w:tblGrid>
      <w:tr>
        <w:tc>
          <w:tcPr>
            <w:tcW w:type="dxa" w:w="3240"/>
            <w:shd w:val="clear" w:color="auto" w:fill="EAF0EE"/>
          </w:tcPr>
          <w:p>
            <w:pPr>
              <w:spacing w:after="20"/>
            </w:pPr>
            <w:r>
              <w:rPr>
                <w:b/>
                <w:color w:val="1C3A36"/>
                <w:sz w:val="17"/>
              </w:rPr>
              <w:t>What to watch</w:t>
            </w:r>
          </w:p>
        </w:tc>
        <w:tc>
          <w:tcPr>
            <w:tcW w:type="dxa" w:w="1728"/>
            <w:shd w:val="clear" w:color="auto" w:fill="EAF0EE"/>
          </w:tcPr>
          <w:p>
            <w:pPr>
              <w:spacing w:after="20"/>
            </w:pPr>
            <w:r>
              <w:rPr>
                <w:b/>
                <w:color w:val="1C3A36"/>
                <w:sz w:val="17"/>
              </w:rPr>
              <w:t>When</w:t>
            </w:r>
          </w:p>
        </w:tc>
        <w:tc>
          <w:tcPr>
            <w:tcW w:type="dxa" w:w="5112"/>
            <w:shd w:val="clear" w:color="auto" w:fill="EAF0EE"/>
          </w:tcPr>
          <w:p>
            <w:pPr>
              <w:spacing w:after="20"/>
            </w:pPr>
            <w:r>
              <w:rPr>
                <w:b/>
                <w:color w:val="1C3A36"/>
                <w:sz w:val="17"/>
              </w:rPr>
              <w:t>Why it matters</w:t>
            </w:r>
          </w:p>
        </w:tc>
      </w:tr>
      <w:tr>
        <w:tc>
          <w:tcPr>
            <w:tcW w:type="dxa" w:w="3240"/>
          </w:tcPr>
          <w:p>
            <w:pPr>
              <w:spacing w:after="20"/>
            </w:pPr>
            <w:r>
              <w:rPr>
                <w:color w:val="1C3A36"/>
                <w:sz w:val="17"/>
              </w:rPr>
              <w:t>Cost of food and packaging as a share of revenue</w:t>
            </w:r>
          </w:p>
        </w:tc>
        <w:tc>
          <w:tcPr>
            <w:tcW w:type="dxa" w:w="1728"/>
          </w:tcPr>
          <w:p>
            <w:pPr>
              <w:spacing w:after="20"/>
              <w:jc w:val="right"/>
            </w:pPr>
            <w:r>
              <w:rPr>
                <w:color w:val="1C3A36"/>
                <w:sz w:val="17"/>
              </w:rPr>
              <w:t>every quarter</w:t>
            </w:r>
          </w:p>
        </w:tc>
        <w:tc>
          <w:tcPr>
            <w:tcW w:type="dxa" w:w="5112"/>
          </w:tcPr>
          <w:p>
            <w:pPr>
              <w:spacing w:after="20"/>
              <w:jc w:val="right"/>
            </w:pPr>
            <w:r>
              <w:rPr>
                <w:color w:val="1C3A36"/>
                <w:sz w:val="17"/>
              </w:rPr>
              <w:t>the single observable test of the structural-versus-cyclical question; near 27% supports the higher value, drifting to 29% supports the lower</w:t>
            </w:r>
          </w:p>
        </w:tc>
      </w:tr>
      <w:tr>
        <w:tc>
          <w:tcPr>
            <w:tcW w:type="dxa" w:w="3240"/>
          </w:tcPr>
          <w:p>
            <w:pPr>
              <w:spacing w:after="20"/>
            </w:pPr>
            <w:r>
              <w:rPr>
                <w:color w:val="1C3A36"/>
                <w:sz w:val="17"/>
              </w:rPr>
              <w:t>Like-for-like sales growth</w:t>
            </w:r>
          </w:p>
        </w:tc>
        <w:tc>
          <w:tcPr>
            <w:tcW w:type="dxa" w:w="1728"/>
          </w:tcPr>
          <w:p>
            <w:pPr>
              <w:spacing w:after="20"/>
              <w:jc w:val="right"/>
            </w:pPr>
            <w:r>
              <w:rPr>
                <w:color w:val="1C3A36"/>
                <w:sz w:val="17"/>
              </w:rPr>
              <w:t>every quarter</w:t>
            </w:r>
          </w:p>
        </w:tc>
        <w:tc>
          <w:tcPr>
            <w:tcW w:type="dxa" w:w="5112"/>
          </w:tcPr>
          <w:p>
            <w:pPr>
              <w:spacing w:after="20"/>
              <w:jc w:val="right"/>
            </w:pPr>
            <w:r>
              <w:rPr>
                <w:color w:val="1C3A36"/>
                <w:sz w:val="17"/>
              </w:rPr>
              <w:t>management guides to mid-single digits for 2026; the model assumes 5.5% in 2026 tapering to 3.5%</w:t>
            </w:r>
          </w:p>
        </w:tc>
      </w:tr>
      <w:tr>
        <w:tc>
          <w:tcPr>
            <w:tcW w:type="dxa" w:w="3240"/>
          </w:tcPr>
          <w:p>
            <w:pPr>
              <w:spacing w:after="20"/>
            </w:pPr>
            <w:r>
              <w:rPr>
                <w:color w:val="1C3A36"/>
                <w:sz w:val="17"/>
              </w:rPr>
              <w:t>Net new restaurants against the 120–130 guidance</w:t>
            </w:r>
          </w:p>
        </w:tc>
        <w:tc>
          <w:tcPr>
            <w:tcW w:type="dxa" w:w="1728"/>
          </w:tcPr>
          <w:p>
            <w:pPr>
              <w:spacing w:after="20"/>
              <w:jc w:val="right"/>
            </w:pPr>
            <w:r>
              <w:rPr>
                <w:color w:val="1C3A36"/>
                <w:sz w:val="17"/>
              </w:rPr>
              <w:t>full year 2026</w:t>
            </w:r>
          </w:p>
        </w:tc>
        <w:tc>
          <w:tcPr>
            <w:tcW w:type="dxa" w:w="5112"/>
          </w:tcPr>
          <w:p>
            <w:pPr>
              <w:spacing w:after="20"/>
              <w:jc w:val="right"/>
            </w:pPr>
            <w:r>
              <w:rPr>
                <w:color w:val="1C3A36"/>
                <w:sz w:val="17"/>
              </w:rPr>
              <w:t>the volume half of the build; the model takes the 125 midpoint</w:t>
            </w:r>
          </w:p>
        </w:tc>
      </w:tr>
      <w:tr>
        <w:tc>
          <w:tcPr>
            <w:tcW w:type="dxa" w:w="3240"/>
          </w:tcPr>
          <w:p>
            <w:pPr>
              <w:spacing w:after="20"/>
            </w:pPr>
            <w:r>
              <w:rPr>
                <w:color w:val="1C3A36"/>
                <w:sz w:val="17"/>
              </w:rPr>
              <w:t>Malak Al Tawouk integration and the Kuwait launch</w:t>
            </w:r>
          </w:p>
        </w:tc>
        <w:tc>
          <w:tcPr>
            <w:tcW w:type="dxa" w:w="1728"/>
          </w:tcPr>
          <w:p>
            <w:pPr>
              <w:spacing w:after="20"/>
              <w:jc w:val="right"/>
            </w:pPr>
            <w:r>
              <w:rPr>
                <w:color w:val="1C3A36"/>
                <w:sz w:val="17"/>
              </w:rPr>
              <w:t>2026–2027</w:t>
            </w:r>
          </w:p>
        </w:tc>
        <w:tc>
          <w:tcPr>
            <w:tcW w:type="dxa" w:w="5112"/>
          </w:tcPr>
          <w:p>
            <w:pPr>
              <w:spacing w:after="20"/>
              <w:jc w:val="right"/>
            </w:pPr>
            <w:r>
              <w:rPr>
                <w:color w:val="1C3A36"/>
                <w:sz w:val="17"/>
              </w:rPr>
              <w:t>the first owned brand at scale, and the first test of whether the group can build rather than only license</w:t>
            </w:r>
          </w:p>
        </w:tc>
      </w:tr>
      <w:tr>
        <w:tc>
          <w:tcPr>
            <w:tcW w:type="dxa" w:w="3240"/>
          </w:tcPr>
          <w:p>
            <w:pPr>
              <w:spacing w:after="20"/>
            </w:pPr>
            <w:r>
              <w:rPr>
                <w:color w:val="1C3A36"/>
                <w:sz w:val="17"/>
              </w:rPr>
              <w:t>The ADNOC Distribution partnership</w:t>
            </w:r>
          </w:p>
        </w:tc>
        <w:tc>
          <w:tcPr>
            <w:tcW w:type="dxa" w:w="1728"/>
          </w:tcPr>
          <w:p>
            <w:pPr>
              <w:spacing w:after="20"/>
              <w:jc w:val="right"/>
            </w:pPr>
            <w:r>
              <w:rPr>
                <w:color w:val="1C3A36"/>
                <w:sz w:val="17"/>
              </w:rPr>
              <w:t>over five years</w:t>
            </w:r>
          </w:p>
        </w:tc>
        <w:tc>
          <w:tcPr>
            <w:tcW w:type="dxa" w:w="5112"/>
          </w:tcPr>
          <w:p>
            <w:pPr>
              <w:spacing w:after="20"/>
              <w:jc w:val="right"/>
            </w:pPr>
            <w:r>
              <w:rPr>
                <w:color w:val="1C3A36"/>
                <w:sz w:val="17"/>
              </w:rPr>
              <w:t>preferential access to 200 high-traffic sites on a shared capital model — cheaper volume growth than the base case assumes</w:t>
            </w:r>
          </w:p>
        </w:tc>
      </w:tr>
      <w:tr>
        <w:tc>
          <w:tcPr>
            <w:tcW w:type="dxa" w:w="3240"/>
          </w:tcPr>
          <w:p>
            <w:pPr>
              <w:spacing w:after="20"/>
            </w:pPr>
            <w:r>
              <w:rPr>
                <w:color w:val="1C3A36"/>
                <w:sz w:val="17"/>
              </w:rPr>
              <w:t>Domestic minimum top-up taxes in the remaining jurisdictions</w:t>
            </w:r>
          </w:p>
        </w:tc>
        <w:tc>
          <w:tcPr>
            <w:tcW w:type="dxa" w:w="1728"/>
          </w:tcPr>
          <w:p>
            <w:pPr>
              <w:spacing w:after="20"/>
              <w:jc w:val="right"/>
            </w:pPr>
            <w:r>
              <w:rPr>
                <w:color w:val="1C3A36"/>
                <w:sz w:val="17"/>
              </w:rPr>
              <w:t>2026–2028</w:t>
            </w:r>
          </w:p>
        </w:tc>
        <w:tc>
          <w:tcPr>
            <w:tcW w:type="dxa" w:w="5112"/>
          </w:tcPr>
          <w:p>
            <w:pPr>
              <w:spacing w:after="20"/>
              <w:jc w:val="right"/>
            </w:pPr>
            <w:r>
              <w:rPr>
                <w:color w:val="1C3A36"/>
                <w:sz w:val="17"/>
              </w:rPr>
              <w:t>the effective rate has gone from 4% to 14% in two years; the model carries it to 16%</w:t>
            </w:r>
          </w:p>
        </w:tc>
      </w:tr>
      <w:tr>
        <w:tc>
          <w:tcPr>
            <w:tcW w:type="dxa" w:w="3240"/>
          </w:tcPr>
          <w:p>
            <w:pPr>
              <w:spacing w:after="20"/>
            </w:pPr>
            <w:r>
              <w:rPr>
                <w:color w:val="1C3A36"/>
                <w:sz w:val="17"/>
              </w:rPr>
              <w:t>The dividend</w:t>
            </w:r>
          </w:p>
        </w:tc>
        <w:tc>
          <w:tcPr>
            <w:tcW w:type="dxa" w:w="1728"/>
          </w:tcPr>
          <w:p>
            <w:pPr>
              <w:spacing w:after="20"/>
              <w:jc w:val="right"/>
            </w:pPr>
            <w:r>
              <w:rPr>
                <w:color w:val="1C3A36"/>
                <w:sz w:val="17"/>
              </w:rPr>
              <w:t>twice a year</w:t>
            </w:r>
          </w:p>
        </w:tc>
        <w:tc>
          <w:tcPr>
            <w:tcW w:type="dxa" w:w="5112"/>
          </w:tcPr>
          <w:p>
            <w:pPr>
              <w:spacing w:after="20"/>
              <w:jc w:val="right"/>
            </w:pPr>
            <w:r>
              <w:rPr>
                <w:color w:val="1C3A36"/>
                <w:sz w:val="17"/>
              </w:rPr>
              <w:t>USD 201.6 million was declared against 2025 and USD 100.8 million as an interim against 2026; a cut would end the distributable-cash reading of the shares</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map in section 3 is not a forecast and the median is not a target. It says that if this share behaves over the next three months as it has behaved historically, and if nothing arrives that its past does not contain, then the middle half of the outcomes falls between AED 2.05 and AED 2.47, and nine times in ten it lands between AED 1.73 and AED 2.94.</w:t>
      </w:r>
    </w:p>
    <w:p>
      <w:pPr>
        <w:spacing w:after="120" w:before="0"/>
      </w:pPr>
      <w:r>
        <w:rPr>
          <w:b w:val="0"/>
          <w:i w:val="0"/>
          <w:color w:val="1C3A36"/>
          <w:sz w:val="21"/>
        </w:rPr>
        <w:t>The centre of that distribution is close to today's price by construction, not by judgement: the simulation is anchored on the interest rate less the dividend yield, which is what a share price is expected to do in the absence of news. It contains no view whatsoever on whether the shares are cheap. That view lives in sections 1 and 4, and it is a different kind of statement on a different time horizon — a valuation says where the price should settle over years, not where it will be in November.</w:t>
      </w:r>
    </w:p>
    <w:p>
      <w:pPr>
        <w:spacing w:after="120" w:before="0"/>
      </w:pPr>
      <w:r>
        <w:rPr>
          <w:b w:val="0"/>
          <w:i w:val="0"/>
          <w:color w:val="1C3A36"/>
          <w:sz w:val="21"/>
        </w:rPr>
        <w:t>The right way to use the two together: the valuation range and the three-month band overlap substantially. The valuation's central value of AED 2.14 sits at the 35% mark of the three-month distribution — inside it, not beyond it. Nothing in this study requires the market to be wrong within three months for the valuation to be right; it requires only that the business goes on earning what it earns.</w:t>
      </w:r>
    </w:p>
    <w:p>
      <w:pPr>
        <w:spacing w:after="40"/>
        <w:jc w:val="center"/>
      </w:pPr>
      <w:r>
        <w:drawing>
          <wp:inline xmlns:a="http://schemas.openxmlformats.org/drawingml/2006/main" xmlns:pic="http://schemas.openxmlformats.org/drawingml/2006/picture">
            <wp:extent cx="5852160" cy="2340864"/>
            <wp:docPr id="8" name="Picture 8"/>
            <wp:cNvGraphicFramePr>
              <a:graphicFrameLocks noChangeAspect="1"/>
            </wp:cNvGraphicFramePr>
            <a:graphic>
              <a:graphicData uri="http://schemas.openxmlformats.org/drawingml/2006/picture">
                <pic:pic>
                  <pic:nvPicPr>
                    <pic:cNvPr id="0" name="fig6_dist1m.png"/>
                    <pic:cNvPicPr/>
                  </pic:nvPicPr>
                  <pic:blipFill>
                    <a:blip r:embed="rId16"/>
                    <a:stretch>
                      <a:fillRect/>
                    </a:stretch>
                  </pic:blipFill>
                  <pic:spPr>
                    <a:xfrm>
                      <a:off x="0" y="0"/>
                      <a:ext cx="5852160" cy="2340864"/>
                    </a:xfrm>
                    <a:prstGeom prst="rect"/>
                  </pic:spPr>
                </pic:pic>
              </a:graphicData>
            </a:graphic>
          </wp:inline>
        </w:drawing>
      </w:r>
    </w:p>
    <w:p>
      <w:pPr>
        <w:spacing w:after="200" w:before="0"/>
      </w:pPr>
      <w:r>
        <w:rPr>
          <w:b w:val="0"/>
          <w:i/>
          <w:color w:val="6E7B77"/>
          <w:sz w:val="17"/>
        </w:rPr>
        <w:t>One month — a tighter distribution on the same construction.</w:t>
      </w:r>
    </w:p>
    <w:p>
      <w:pPr>
        <w:spacing w:after="120" w:before="280"/>
      </w:pPr>
      <w:r>
        <w:rPr>
          <w:b/>
          <w:i w:val="0"/>
          <w:color w:val="1C3A36"/>
          <w:sz w:val="30"/>
        </w:rPr>
        <w:t>7  Caveats, and what would change our mind</w:t>
      </w:r>
    </w:p>
    <w:p>
      <w:pPr>
        <w:spacing w:after="100" w:before="0"/>
      </w:pPr>
      <w:r>
        <w:rPr>
          <w:b/>
          <w:i w:val="0"/>
          <w:color w:val="1C3A36"/>
          <w:sz w:val="21"/>
        </w:rPr>
        <w:t xml:space="preserve">The margin. </w:t>
      </w:r>
      <w:r>
        <w:rPr>
          <w:b w:val="0"/>
          <w:i w:val="0"/>
          <w:color w:val="1C3A36"/>
          <w:sz w:val="21"/>
        </w:rPr>
        <w:t>Stated once more because it is the whole study. If the food-cost gain of the last year reverses, the cyclical column is the right one and these shares are worth less than the market is paying, not more.</w:t>
      </w:r>
    </w:p>
    <w:p>
      <w:pPr>
        <w:spacing w:after="100" w:before="0"/>
      </w:pPr>
      <w:r>
        <w:rPr>
          <w:b/>
          <w:i w:val="0"/>
          <w:color w:val="1C3A36"/>
          <w:sz w:val="21"/>
        </w:rPr>
        <w:t xml:space="preserve">Three-quarters of the value is beyond year five. </w:t>
      </w:r>
      <w:r>
        <w:rPr>
          <w:b w:val="0"/>
          <w:i w:val="0"/>
          <w:color w:val="1C3A36"/>
          <w:sz w:val="21"/>
        </w:rPr>
        <w:t>74% of the enterprise value in the cash-flow lens sits in the terminal value. That is normal for a growing, cash-generative business at a 9.6% cost of capital, but it means the answer is sensitive to two numbers — terminal growth and the terminal cost of capital — that no filing can confirm.</w:t>
      </w:r>
    </w:p>
    <w:p>
      <w:pPr>
        <w:spacing w:after="100" w:before="0"/>
      </w:pPr>
      <w:r>
        <w:rPr>
          <w:b/>
          <w:i w:val="0"/>
          <w:color w:val="1C3A36"/>
          <w:sz w:val="21"/>
        </w:rPr>
        <w:t xml:space="preserve">The price record is short. </w:t>
      </w:r>
      <w:r>
        <w:rPr>
          <w:b w:val="0"/>
          <w:i w:val="0"/>
          <w:color w:val="1C3A36"/>
          <w:sz w:val="21"/>
        </w:rPr>
        <w:t>The company listed in December 2022. Three and a half years of price history is enough to measure a beta and shape a distribution; it is not enough to prove the distribution beats a naive benchmark on this name, and section 3 says so plainly.</w:t>
      </w:r>
    </w:p>
    <w:p>
      <w:pPr>
        <w:spacing w:after="100" w:before="0"/>
      </w:pPr>
      <w:r>
        <w:rPr>
          <w:b/>
          <w:i w:val="0"/>
          <w:color w:val="1C3A36"/>
          <w:sz w:val="21"/>
        </w:rPr>
        <w:t xml:space="preserve">The allocation of new restaurants across markets is an estimate. </w:t>
      </w:r>
      <w:r>
        <w:rPr>
          <w:b w:val="0"/>
          <w:i w:val="0"/>
          <w:color w:val="1C3A36"/>
          <w:sz w:val="21"/>
        </w:rPr>
        <w:t>The company guides the total but does not publish the split by country. The allocation here follows where the estate has actually grown. The group result is not very sensitive to it, because the growth rates differ between markets by more than the revenue per restaurant does — but it is an estimate, and it is the only one in the revenue build.</w:t>
      </w:r>
    </w:p>
    <w:p>
      <w:pPr>
        <w:spacing w:after="100" w:before="0"/>
      </w:pPr>
      <w:r>
        <w:rPr>
          <w:b/>
          <w:i w:val="0"/>
          <w:color w:val="1C3A36"/>
          <w:sz w:val="21"/>
        </w:rPr>
        <w:t xml:space="preserve">The margin is capped by the channel mix. </w:t>
      </w:r>
      <w:r>
        <w:rPr>
          <w:b w:val="0"/>
          <w:i w:val="0"/>
          <w:color w:val="1C3A36"/>
          <w:sz w:val="21"/>
        </w:rPr>
        <w:t>The delivery channel is dearer to serve than the counter, and its share keeps rising; built as volume times price, the delivery line rises from 7.4% to 7.9% of revenue and holds the EBITDA margin near 25% rather than letting it expand indefinitely. The first edition of this study escalated delivery as a flat share and showed a higher terminal margin.</w:t>
      </w:r>
    </w:p>
    <w:p>
      <w:pPr>
        <w:spacing w:after="100" w:before="0"/>
      </w:pPr>
      <w:r>
        <w:rPr>
          <w:b/>
          <w:i w:val="0"/>
          <w:color w:val="1C3A36"/>
          <w:sz w:val="21"/>
        </w:rPr>
        <w:t xml:space="preserve">A controlled company. </w:t>
      </w:r>
      <w:r>
        <w:rPr>
          <w:b w:val="0"/>
          <w:i w:val="0"/>
          <w:color w:val="1C3A36"/>
          <w:sz w:val="21"/>
        </w:rPr>
        <w:t>Adeptio holds 66.0%. The free float is a third of the shares, and the dividend policy, the acquisition programme and the capital structure are set by a holder whose interests need not coincide with a minority's.</w:t>
      </w:r>
    </w:p>
    <w:p>
      <w:pPr>
        <w:spacing w:after="100" w:before="0"/>
      </w:pPr>
      <w:r>
        <w:rPr>
          <w:b/>
          <w:i w:val="0"/>
          <w:color w:val="1C3A36"/>
          <w:sz w:val="21"/>
        </w:rPr>
        <w:t xml:space="preserve">Egypt and Kazakhstan. </w:t>
      </w:r>
      <w:r>
        <w:rPr>
          <w:b w:val="0"/>
          <w:i w:val="0"/>
          <w:color w:val="1C3A36"/>
          <w:sz w:val="21"/>
        </w:rPr>
        <w:t>Together about 15% of revenue, in currencies that are not pegged and have not been stable. The model applies a currency drag to both; that drag is a judgement, not a disclosure.</w:t>
      </w:r>
    </w:p>
    <w:p>
      <w:pPr>
        <w:spacing w:after="100" w:before="0"/>
      </w:pPr>
      <w:r>
        <w:rPr>
          <w:b/>
          <w:i w:val="0"/>
          <w:color w:val="1C3A36"/>
          <w:sz w:val="21"/>
        </w:rPr>
        <w:t xml:space="preserve">What would change our mind. </w:t>
      </w:r>
      <w:r>
        <w:rPr>
          <w:b w:val="0"/>
          <w:i w:val="0"/>
          <w:color w:val="1C3A36"/>
          <w:sz w:val="21"/>
        </w:rPr>
        <w:t>Food and packaging costs back above 29% of revenue for two consecutive quarters; like-for-like growth falling below 3%; average capital expenditure per restaurant rising above USD 500 thousand while the payback lengthens past four years; or a cut to the dividend. Any one of those would move this study materially, and the first is the one to watch.</w:t>
      </w:r>
    </w:p>
    <w:p>
      <w:r>
        <w:br w:type="page"/>
      </w:r>
    </w:p>
    <w:p>
      <w:pPr>
        <w:spacing w:after="120" w:before="280"/>
      </w:pPr>
      <w:r>
        <w:rPr>
          <w:b/>
          <w:i w:val="0"/>
          <w:color w:val="1C3A36"/>
          <w:sz w:val="30"/>
        </w:rPr>
        <w:t>Appendix A  The statements</w:t>
      </w:r>
    </w:p>
    <w:p>
      <w:pPr>
        <w:spacing w:after="80" w:before="200"/>
      </w:pPr>
      <w:r>
        <w:rPr>
          <w:b/>
          <w:i w:val="0"/>
          <w:color w:val="1C3A36"/>
          <w:sz w:val="24"/>
        </w:rPr>
        <w:t>A.1  Income statement — three years audited, five years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907"/>
        <w:gridCol w:w="907"/>
        <w:gridCol w:w="907"/>
        <w:gridCol w:w="907"/>
        <w:gridCol w:w="907"/>
        <w:gridCol w:w="907"/>
        <w:gridCol w:w="907"/>
        <w:gridCol w:w="907"/>
      </w:tblGrid>
      <w:tr>
        <w:tc>
          <w:tcPr>
            <w:tcW w:type="dxa" w:w="2808"/>
            <w:shd w:val="clear" w:color="auto" w:fill="EAF0EE"/>
          </w:tcPr>
          <w:p>
            <w:pPr>
              <w:spacing w:after="20"/>
            </w:pPr>
            <w:r>
              <w:rPr>
                <w:b/>
                <w:color w:val="1C3A36"/>
                <w:sz w:val="16"/>
              </w:rPr>
              <w:t>USD million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FY2026E</w:t>
            </w:r>
          </w:p>
        </w:tc>
        <w:tc>
          <w:tcPr>
            <w:tcW w:type="dxa" w:w="907"/>
            <w:shd w:val="clear" w:color="auto" w:fill="EAF0EE"/>
          </w:tcPr>
          <w:p>
            <w:pPr>
              <w:spacing w:after="20"/>
            </w:pPr>
            <w:r>
              <w:rPr>
                <w:b/>
                <w:color w:val="1C3A36"/>
                <w:sz w:val="16"/>
              </w:rPr>
              <w:t>FY2027E</w:t>
            </w:r>
          </w:p>
        </w:tc>
        <w:tc>
          <w:tcPr>
            <w:tcW w:type="dxa" w:w="907"/>
            <w:shd w:val="clear" w:color="auto" w:fill="EAF0EE"/>
          </w:tcPr>
          <w:p>
            <w:pPr>
              <w:spacing w:after="20"/>
            </w:pPr>
            <w:r>
              <w:rPr>
                <w:b/>
                <w:color w:val="1C3A36"/>
                <w:sz w:val="16"/>
              </w:rPr>
              <w:t>FY2028E</w:t>
            </w:r>
          </w:p>
        </w:tc>
        <w:tc>
          <w:tcPr>
            <w:tcW w:type="dxa" w:w="907"/>
            <w:shd w:val="clear" w:color="auto" w:fill="EAF0EE"/>
          </w:tcPr>
          <w:p>
            <w:pPr>
              <w:spacing w:after="20"/>
            </w:pPr>
            <w:r>
              <w:rPr>
                <w:b/>
                <w:color w:val="1C3A36"/>
                <w:sz w:val="16"/>
              </w:rPr>
              <w:t>FY2029E</w:t>
            </w:r>
          </w:p>
        </w:tc>
        <w:tc>
          <w:tcPr>
            <w:tcW w:type="dxa" w:w="907"/>
            <w:shd w:val="clear" w:color="auto" w:fill="EAF0EE"/>
          </w:tcPr>
          <w:p>
            <w:pPr>
              <w:spacing w:after="20"/>
            </w:pPr>
            <w:r>
              <w:rPr>
                <w:b/>
                <w:color w:val="1C3A36"/>
                <w:sz w:val="16"/>
              </w:rPr>
              <w:t>FY2030E</w:t>
            </w:r>
          </w:p>
        </w:tc>
      </w:tr>
      <w:tr>
        <w:tc>
          <w:tcPr>
            <w:tcW w:type="dxa" w:w="2808"/>
          </w:tcPr>
          <w:p>
            <w:pPr>
              <w:spacing w:after="20"/>
            </w:pPr>
            <w:r>
              <w:rPr>
                <w:color w:val="1C3A36"/>
                <w:sz w:val="16"/>
              </w:rPr>
              <w:t>Revenue</w:t>
            </w:r>
          </w:p>
        </w:tc>
        <w:tc>
          <w:tcPr>
            <w:tcW w:type="dxa" w:w="907"/>
          </w:tcPr>
          <w:p>
            <w:pPr>
              <w:spacing w:after="20"/>
              <w:jc w:val="right"/>
            </w:pPr>
            <w:r>
              <w:rPr>
                <w:color w:val="1C3A36"/>
                <w:sz w:val="16"/>
              </w:rPr>
              <w:t>2,413</w:t>
            </w:r>
          </w:p>
        </w:tc>
        <w:tc>
          <w:tcPr>
            <w:tcW w:type="dxa" w:w="907"/>
          </w:tcPr>
          <w:p>
            <w:pPr>
              <w:spacing w:after="20"/>
              <w:jc w:val="right"/>
            </w:pPr>
            <w:r>
              <w:rPr>
                <w:color w:val="1C3A36"/>
                <w:sz w:val="16"/>
              </w:rPr>
              <w:t>2,197</w:t>
            </w:r>
          </w:p>
        </w:tc>
        <w:tc>
          <w:tcPr>
            <w:tcW w:type="dxa" w:w="907"/>
          </w:tcPr>
          <w:p>
            <w:pPr>
              <w:spacing w:after="20"/>
              <w:jc w:val="right"/>
            </w:pPr>
            <w:r>
              <w:rPr>
                <w:color w:val="1C3A36"/>
                <w:sz w:val="16"/>
              </w:rPr>
              <w:t>2,509</w:t>
            </w:r>
          </w:p>
        </w:tc>
        <w:tc>
          <w:tcPr>
            <w:tcW w:type="dxa" w:w="907"/>
          </w:tcPr>
          <w:p>
            <w:pPr>
              <w:spacing w:after="20"/>
              <w:jc w:val="right"/>
            </w:pPr>
            <w:r>
              <w:rPr>
                <w:color w:val="1C3A36"/>
                <w:sz w:val="16"/>
              </w:rPr>
              <w:t>2,787</w:t>
            </w:r>
          </w:p>
        </w:tc>
        <w:tc>
          <w:tcPr>
            <w:tcW w:type="dxa" w:w="907"/>
          </w:tcPr>
          <w:p>
            <w:pPr>
              <w:spacing w:after="20"/>
              <w:jc w:val="right"/>
            </w:pPr>
            <w:r>
              <w:rPr>
                <w:color w:val="1C3A36"/>
                <w:sz w:val="16"/>
              </w:rPr>
              <w:t>3,008</w:t>
            </w:r>
          </w:p>
        </w:tc>
        <w:tc>
          <w:tcPr>
            <w:tcW w:type="dxa" w:w="907"/>
          </w:tcPr>
          <w:p>
            <w:pPr>
              <w:spacing w:after="20"/>
              <w:jc w:val="right"/>
            </w:pPr>
            <w:r>
              <w:rPr>
                <w:color w:val="1C3A36"/>
                <w:sz w:val="16"/>
              </w:rPr>
              <w:t>3,256</w:t>
            </w:r>
          </w:p>
        </w:tc>
        <w:tc>
          <w:tcPr>
            <w:tcW w:type="dxa" w:w="907"/>
          </w:tcPr>
          <w:p>
            <w:pPr>
              <w:spacing w:after="20"/>
              <w:jc w:val="right"/>
            </w:pPr>
            <w:r>
              <w:rPr>
                <w:color w:val="1C3A36"/>
                <w:sz w:val="16"/>
              </w:rPr>
              <w:t>3,502</w:t>
            </w:r>
          </w:p>
        </w:tc>
        <w:tc>
          <w:tcPr>
            <w:tcW w:type="dxa" w:w="907"/>
          </w:tcPr>
          <w:p>
            <w:pPr>
              <w:spacing w:after="20"/>
              <w:jc w:val="right"/>
            </w:pPr>
            <w:r>
              <w:rPr>
                <w:color w:val="1C3A36"/>
                <w:sz w:val="16"/>
              </w:rPr>
              <w:t>3,749</w:t>
            </w:r>
          </w:p>
        </w:tc>
      </w:tr>
      <w:tr>
        <w:tc>
          <w:tcPr>
            <w:tcW w:type="dxa" w:w="2808"/>
          </w:tcPr>
          <w:p>
            <w:pPr>
              <w:spacing w:after="20"/>
            </w:pPr>
            <w:r>
              <w:rPr>
                <w:color w:val="1C3A36"/>
                <w:sz w:val="16"/>
              </w:rPr>
              <w:t>Cost of revenues</w:t>
            </w:r>
          </w:p>
        </w:tc>
        <w:tc>
          <w:tcPr>
            <w:tcW w:type="dxa" w:w="907"/>
          </w:tcPr>
          <w:p>
            <w:pPr>
              <w:spacing w:after="20"/>
              <w:jc w:val="right"/>
            </w:pPr>
            <w:r>
              <w:rPr>
                <w:color w:val="1C3A36"/>
                <w:sz w:val="16"/>
              </w:rPr>
              <w:t>(1,152)</w:t>
            </w:r>
          </w:p>
        </w:tc>
        <w:tc>
          <w:tcPr>
            <w:tcW w:type="dxa" w:w="907"/>
          </w:tcPr>
          <w:p>
            <w:pPr>
              <w:spacing w:after="20"/>
              <w:jc w:val="right"/>
            </w:pPr>
            <w:r>
              <w:rPr>
                <w:color w:val="1C3A36"/>
                <w:sz w:val="16"/>
              </w:rPr>
              <w:t>(1,029)</w:t>
            </w:r>
          </w:p>
        </w:tc>
        <w:tc>
          <w:tcPr>
            <w:tcW w:type="dxa" w:w="907"/>
          </w:tcPr>
          <w:p>
            <w:pPr>
              <w:spacing w:after="20"/>
              <w:jc w:val="right"/>
            </w:pPr>
            <w:r>
              <w:rPr>
                <w:color w:val="1C3A36"/>
                <w:sz w:val="16"/>
              </w:rPr>
              <w:t>(1,144)</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Gross profit</w:t>
            </w:r>
          </w:p>
        </w:tc>
        <w:tc>
          <w:tcPr>
            <w:tcW w:type="dxa" w:w="907"/>
          </w:tcPr>
          <w:p>
            <w:pPr>
              <w:spacing w:after="20"/>
              <w:jc w:val="right"/>
            </w:pPr>
            <w:r>
              <w:rPr>
                <w:color w:val="1C3A36"/>
                <w:sz w:val="16"/>
              </w:rPr>
              <w:t>1,262</w:t>
            </w:r>
          </w:p>
        </w:tc>
        <w:tc>
          <w:tcPr>
            <w:tcW w:type="dxa" w:w="907"/>
          </w:tcPr>
          <w:p>
            <w:pPr>
              <w:spacing w:after="20"/>
              <w:jc w:val="right"/>
            </w:pPr>
            <w:r>
              <w:rPr>
                <w:color w:val="1C3A36"/>
                <w:sz w:val="16"/>
              </w:rPr>
              <w:t>1,167</w:t>
            </w:r>
          </w:p>
        </w:tc>
        <w:tc>
          <w:tcPr>
            <w:tcW w:type="dxa" w:w="907"/>
          </w:tcPr>
          <w:p>
            <w:pPr>
              <w:spacing w:after="20"/>
              <w:jc w:val="right"/>
            </w:pPr>
            <w:r>
              <w:rPr>
                <w:color w:val="1C3A36"/>
                <w:sz w:val="16"/>
              </w:rPr>
              <w:t>1,365</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EBITDA</w:t>
            </w:r>
          </w:p>
        </w:tc>
        <w:tc>
          <w:tcPr>
            <w:tcW w:type="dxa" w:w="907"/>
          </w:tcPr>
          <w:p>
            <w:pPr>
              <w:spacing w:after="20"/>
              <w:jc w:val="right"/>
            </w:pPr>
            <w:r>
              <w:rPr>
                <w:color w:val="1C3A36"/>
                <w:sz w:val="16"/>
              </w:rPr>
              <w:t>546</w:t>
            </w:r>
          </w:p>
        </w:tc>
        <w:tc>
          <w:tcPr>
            <w:tcW w:type="dxa" w:w="907"/>
          </w:tcPr>
          <w:p>
            <w:pPr>
              <w:spacing w:after="20"/>
              <w:jc w:val="right"/>
            </w:pPr>
            <w:r>
              <w:rPr>
                <w:color w:val="1C3A36"/>
                <w:sz w:val="16"/>
              </w:rPr>
              <w:t>484</w:t>
            </w:r>
          </w:p>
        </w:tc>
        <w:tc>
          <w:tcPr>
            <w:tcW w:type="dxa" w:w="907"/>
          </w:tcPr>
          <w:p>
            <w:pPr>
              <w:spacing w:after="20"/>
              <w:jc w:val="right"/>
            </w:pPr>
            <w:r>
              <w:rPr>
                <w:color w:val="1C3A36"/>
                <w:sz w:val="16"/>
              </w:rPr>
              <w:t>596</w:t>
            </w:r>
          </w:p>
        </w:tc>
        <w:tc>
          <w:tcPr>
            <w:tcW w:type="dxa" w:w="907"/>
          </w:tcPr>
          <w:p>
            <w:pPr>
              <w:spacing w:after="20"/>
              <w:jc w:val="right"/>
            </w:pPr>
            <w:r>
              <w:rPr>
                <w:color w:val="1C3A36"/>
                <w:sz w:val="16"/>
              </w:rPr>
              <w:t>708</w:t>
            </w:r>
          </w:p>
        </w:tc>
        <w:tc>
          <w:tcPr>
            <w:tcW w:type="dxa" w:w="907"/>
          </w:tcPr>
          <w:p>
            <w:pPr>
              <w:spacing w:after="20"/>
              <w:jc w:val="right"/>
            </w:pPr>
            <w:r>
              <w:rPr>
                <w:color w:val="1C3A36"/>
                <w:sz w:val="16"/>
              </w:rPr>
              <w:t>760</w:t>
            </w:r>
          </w:p>
        </w:tc>
        <w:tc>
          <w:tcPr>
            <w:tcW w:type="dxa" w:w="907"/>
          </w:tcPr>
          <w:p>
            <w:pPr>
              <w:spacing w:after="20"/>
              <w:jc w:val="right"/>
            </w:pPr>
            <w:r>
              <w:rPr>
                <w:color w:val="1C3A36"/>
                <w:sz w:val="16"/>
              </w:rPr>
              <w:t>819</w:t>
            </w:r>
          </w:p>
        </w:tc>
        <w:tc>
          <w:tcPr>
            <w:tcW w:type="dxa" w:w="907"/>
          </w:tcPr>
          <w:p>
            <w:pPr>
              <w:spacing w:after="20"/>
              <w:jc w:val="right"/>
            </w:pPr>
            <w:r>
              <w:rPr>
                <w:color w:val="1C3A36"/>
                <w:sz w:val="16"/>
              </w:rPr>
              <w:t>876</w:t>
            </w:r>
          </w:p>
        </w:tc>
        <w:tc>
          <w:tcPr>
            <w:tcW w:type="dxa" w:w="907"/>
          </w:tcPr>
          <w:p>
            <w:pPr>
              <w:spacing w:after="20"/>
              <w:jc w:val="right"/>
            </w:pPr>
            <w:r>
              <w:rPr>
                <w:color w:val="1C3A36"/>
                <w:sz w:val="16"/>
              </w:rPr>
              <w:t>934</w:t>
            </w:r>
          </w:p>
        </w:tc>
      </w:tr>
      <w:tr>
        <w:tc>
          <w:tcPr>
            <w:tcW w:type="dxa" w:w="2808"/>
          </w:tcPr>
          <w:p>
            <w:pPr>
              <w:spacing w:after="20"/>
            </w:pPr>
            <w:r>
              <w:rPr>
                <w:color w:val="1C3A36"/>
                <w:sz w:val="16"/>
              </w:rPr>
              <w:t>EBITDA margin</w:t>
            </w:r>
          </w:p>
        </w:tc>
        <w:tc>
          <w:tcPr>
            <w:tcW w:type="dxa" w:w="907"/>
          </w:tcPr>
          <w:p>
            <w:pPr>
              <w:spacing w:after="20"/>
              <w:jc w:val="right"/>
            </w:pPr>
            <w:r>
              <w:rPr>
                <w:color w:val="1C3A36"/>
                <w:sz w:val="16"/>
              </w:rPr>
              <w:t>22.6%</w:t>
            </w:r>
          </w:p>
        </w:tc>
        <w:tc>
          <w:tcPr>
            <w:tcW w:type="dxa" w:w="907"/>
          </w:tcPr>
          <w:p>
            <w:pPr>
              <w:spacing w:after="20"/>
              <w:jc w:val="right"/>
            </w:pPr>
            <w:r>
              <w:rPr>
                <w:color w:val="1C3A36"/>
                <w:sz w:val="16"/>
              </w:rPr>
              <w:t>22.0%</w:t>
            </w:r>
          </w:p>
        </w:tc>
        <w:tc>
          <w:tcPr>
            <w:tcW w:type="dxa" w:w="907"/>
          </w:tcPr>
          <w:p>
            <w:pPr>
              <w:spacing w:after="20"/>
              <w:jc w:val="right"/>
            </w:pPr>
            <w:r>
              <w:rPr>
                <w:color w:val="1C3A36"/>
                <w:sz w:val="16"/>
              </w:rPr>
              <w:t>23.7%</w:t>
            </w:r>
          </w:p>
        </w:tc>
        <w:tc>
          <w:tcPr>
            <w:tcW w:type="dxa" w:w="907"/>
          </w:tcPr>
          <w:p>
            <w:pPr>
              <w:spacing w:after="20"/>
              <w:jc w:val="right"/>
            </w:pPr>
            <w:r>
              <w:rPr>
                <w:color w:val="1C3A36"/>
                <w:sz w:val="16"/>
              </w:rPr>
              <w:t>25.4%</w:t>
            </w:r>
          </w:p>
        </w:tc>
        <w:tc>
          <w:tcPr>
            <w:tcW w:type="dxa" w:w="907"/>
          </w:tcPr>
          <w:p>
            <w:pPr>
              <w:spacing w:after="20"/>
              <w:jc w:val="right"/>
            </w:pPr>
            <w:r>
              <w:rPr>
                <w:color w:val="1C3A36"/>
                <w:sz w:val="16"/>
              </w:rPr>
              <w:t>25.3%</w:t>
            </w:r>
          </w:p>
        </w:tc>
        <w:tc>
          <w:tcPr>
            <w:tcW w:type="dxa" w:w="907"/>
          </w:tcPr>
          <w:p>
            <w:pPr>
              <w:spacing w:after="20"/>
              <w:jc w:val="right"/>
            </w:pPr>
            <w:r>
              <w:rPr>
                <w:color w:val="1C3A36"/>
                <w:sz w:val="16"/>
              </w:rPr>
              <w:t>25.2%</w:t>
            </w:r>
          </w:p>
        </w:tc>
        <w:tc>
          <w:tcPr>
            <w:tcW w:type="dxa" w:w="907"/>
          </w:tcPr>
          <w:p>
            <w:pPr>
              <w:spacing w:after="20"/>
              <w:jc w:val="right"/>
            </w:pPr>
            <w:r>
              <w:rPr>
                <w:color w:val="1C3A36"/>
                <w:sz w:val="16"/>
              </w:rPr>
              <w:t>25.0%</w:t>
            </w:r>
          </w:p>
        </w:tc>
        <w:tc>
          <w:tcPr>
            <w:tcW w:type="dxa" w:w="907"/>
          </w:tcPr>
          <w:p>
            <w:pPr>
              <w:spacing w:after="20"/>
              <w:jc w:val="right"/>
            </w:pPr>
            <w:r>
              <w:rPr>
                <w:color w:val="1C3A36"/>
                <w:sz w:val="16"/>
              </w:rPr>
              <w:t>24.9%</w:t>
            </w:r>
          </w:p>
        </w:tc>
      </w:tr>
      <w:tr>
        <w:tc>
          <w:tcPr>
            <w:tcW w:type="dxa" w:w="2808"/>
          </w:tcPr>
          <w:p>
            <w:pPr>
              <w:spacing w:after="20"/>
            </w:pPr>
            <w:r>
              <w:rPr>
                <w:color w:val="1C3A36"/>
                <w:sz w:val="16"/>
              </w:rPr>
              <w:t>Depreciation and amortisation</w:t>
            </w:r>
          </w:p>
        </w:tc>
        <w:tc>
          <w:tcPr>
            <w:tcW w:type="dxa" w:w="907"/>
          </w:tcPr>
          <w:p>
            <w:pPr>
              <w:spacing w:after="20"/>
              <w:jc w:val="right"/>
            </w:pPr>
            <w:r>
              <w:rPr>
                <w:color w:val="1C3A36"/>
                <w:sz w:val="16"/>
              </w:rPr>
              <w:t>(252)</w:t>
            </w:r>
          </w:p>
        </w:tc>
        <w:tc>
          <w:tcPr>
            <w:tcW w:type="dxa" w:w="907"/>
          </w:tcPr>
          <w:p>
            <w:pPr>
              <w:spacing w:after="20"/>
              <w:jc w:val="right"/>
            </w:pPr>
            <w:r>
              <w:rPr>
                <w:color w:val="1C3A36"/>
                <w:sz w:val="16"/>
              </w:rPr>
              <w:t>(278)</w:t>
            </w:r>
          </w:p>
        </w:tc>
        <w:tc>
          <w:tcPr>
            <w:tcW w:type="dxa" w:w="907"/>
          </w:tcPr>
          <w:p>
            <w:pPr>
              <w:spacing w:after="20"/>
              <w:jc w:val="right"/>
            </w:pPr>
            <w:r>
              <w:rPr>
                <w:color w:val="1C3A36"/>
                <w:sz w:val="16"/>
              </w:rPr>
              <w:t>(307)</w:t>
            </w:r>
          </w:p>
        </w:tc>
        <w:tc>
          <w:tcPr>
            <w:tcW w:type="dxa" w:w="907"/>
          </w:tcPr>
          <w:p>
            <w:pPr>
              <w:spacing w:after="20"/>
              <w:jc w:val="right"/>
            </w:pPr>
            <w:r>
              <w:rPr>
                <w:color w:val="1C3A36"/>
                <w:sz w:val="16"/>
              </w:rPr>
              <w:t>(328)</w:t>
            </w:r>
          </w:p>
        </w:tc>
        <w:tc>
          <w:tcPr>
            <w:tcW w:type="dxa" w:w="907"/>
          </w:tcPr>
          <w:p>
            <w:pPr>
              <w:spacing w:after="20"/>
              <w:jc w:val="right"/>
            </w:pPr>
            <w:r>
              <w:rPr>
                <w:color w:val="1C3A36"/>
                <w:sz w:val="16"/>
              </w:rPr>
              <w:t>(337)</w:t>
            </w:r>
          </w:p>
        </w:tc>
        <w:tc>
          <w:tcPr>
            <w:tcW w:type="dxa" w:w="907"/>
          </w:tcPr>
          <w:p>
            <w:pPr>
              <w:spacing w:after="20"/>
              <w:jc w:val="right"/>
            </w:pPr>
            <w:r>
              <w:rPr>
                <w:color w:val="1C3A36"/>
                <w:sz w:val="16"/>
              </w:rPr>
              <w:t>(351)</w:t>
            </w:r>
          </w:p>
        </w:tc>
        <w:tc>
          <w:tcPr>
            <w:tcW w:type="dxa" w:w="907"/>
          </w:tcPr>
          <w:p>
            <w:pPr>
              <w:spacing w:after="20"/>
              <w:jc w:val="right"/>
            </w:pPr>
            <w:r>
              <w:rPr>
                <w:color w:val="1C3A36"/>
                <w:sz w:val="16"/>
              </w:rPr>
              <w:t>(370)</w:t>
            </w:r>
          </w:p>
        </w:tc>
        <w:tc>
          <w:tcPr>
            <w:tcW w:type="dxa" w:w="907"/>
          </w:tcPr>
          <w:p>
            <w:pPr>
              <w:spacing w:after="20"/>
              <w:jc w:val="right"/>
            </w:pPr>
            <w:r>
              <w:rPr>
                <w:color w:val="1C3A36"/>
                <w:sz w:val="16"/>
              </w:rPr>
              <w:t>(391)</w:t>
            </w:r>
          </w:p>
        </w:tc>
      </w:tr>
      <w:tr>
        <w:tc>
          <w:tcPr>
            <w:tcW w:type="dxa" w:w="2808"/>
          </w:tcPr>
          <w:p>
            <w:pPr>
              <w:spacing w:after="20"/>
            </w:pPr>
            <w:r>
              <w:rPr>
                <w:color w:val="1C3A36"/>
                <w:sz w:val="16"/>
              </w:rPr>
              <w:t>EBIT</w:t>
            </w:r>
          </w:p>
        </w:tc>
        <w:tc>
          <w:tcPr>
            <w:tcW w:type="dxa" w:w="907"/>
          </w:tcPr>
          <w:p>
            <w:pPr>
              <w:spacing w:after="20"/>
              <w:jc w:val="right"/>
            </w:pPr>
            <w:r>
              <w:rPr>
                <w:color w:val="1C3A36"/>
                <w:sz w:val="16"/>
              </w:rPr>
              <w:t>293</w:t>
            </w:r>
          </w:p>
        </w:tc>
        <w:tc>
          <w:tcPr>
            <w:tcW w:type="dxa" w:w="907"/>
          </w:tcPr>
          <w:p>
            <w:pPr>
              <w:spacing w:after="20"/>
              <w:jc w:val="right"/>
            </w:pPr>
            <w:r>
              <w:rPr>
                <w:color w:val="1C3A36"/>
                <w:sz w:val="16"/>
              </w:rPr>
              <w:t>206</w:t>
            </w:r>
          </w:p>
        </w:tc>
        <w:tc>
          <w:tcPr>
            <w:tcW w:type="dxa" w:w="907"/>
          </w:tcPr>
          <w:p>
            <w:pPr>
              <w:spacing w:after="20"/>
              <w:jc w:val="right"/>
            </w:pPr>
            <w:r>
              <w:rPr>
                <w:color w:val="1C3A36"/>
                <w:sz w:val="16"/>
              </w:rPr>
              <w:t>289</w:t>
            </w:r>
          </w:p>
        </w:tc>
        <w:tc>
          <w:tcPr>
            <w:tcW w:type="dxa" w:w="907"/>
          </w:tcPr>
          <w:p>
            <w:pPr>
              <w:spacing w:after="20"/>
              <w:jc w:val="right"/>
            </w:pPr>
            <w:r>
              <w:rPr>
                <w:color w:val="1C3A36"/>
                <w:sz w:val="16"/>
              </w:rPr>
              <w:t>371</w:t>
            </w:r>
          </w:p>
        </w:tc>
        <w:tc>
          <w:tcPr>
            <w:tcW w:type="dxa" w:w="907"/>
          </w:tcPr>
          <w:p>
            <w:pPr>
              <w:spacing w:after="20"/>
              <w:jc w:val="right"/>
            </w:pPr>
            <w:r>
              <w:rPr>
                <w:color w:val="1C3A36"/>
                <w:sz w:val="16"/>
              </w:rPr>
              <w:t>414</w:t>
            </w:r>
          </w:p>
        </w:tc>
        <w:tc>
          <w:tcPr>
            <w:tcW w:type="dxa" w:w="907"/>
          </w:tcPr>
          <w:p>
            <w:pPr>
              <w:spacing w:after="20"/>
              <w:jc w:val="right"/>
            </w:pPr>
            <w:r>
              <w:rPr>
                <w:color w:val="1C3A36"/>
                <w:sz w:val="16"/>
              </w:rPr>
              <w:t>458</w:t>
            </w:r>
          </w:p>
        </w:tc>
        <w:tc>
          <w:tcPr>
            <w:tcW w:type="dxa" w:w="907"/>
          </w:tcPr>
          <w:p>
            <w:pPr>
              <w:spacing w:after="20"/>
              <w:jc w:val="right"/>
            </w:pPr>
            <w:r>
              <w:rPr>
                <w:color w:val="1C3A36"/>
                <w:sz w:val="16"/>
              </w:rPr>
              <w:t>495</w:t>
            </w:r>
          </w:p>
        </w:tc>
        <w:tc>
          <w:tcPr>
            <w:tcW w:type="dxa" w:w="907"/>
          </w:tcPr>
          <w:p>
            <w:pPr>
              <w:spacing w:after="20"/>
              <w:jc w:val="right"/>
            </w:pPr>
            <w:r>
              <w:rPr>
                <w:color w:val="1C3A36"/>
                <w:sz w:val="16"/>
              </w:rPr>
              <w:t>531</w:t>
            </w:r>
          </w:p>
        </w:tc>
      </w:tr>
      <w:tr>
        <w:tc>
          <w:tcPr>
            <w:tcW w:type="dxa" w:w="2808"/>
          </w:tcPr>
          <w:p>
            <w:pPr>
              <w:spacing w:after="20"/>
            </w:pPr>
            <w:r>
              <w:rPr>
                <w:color w:val="1C3A36"/>
                <w:sz w:val="16"/>
              </w:rPr>
              <w:t>Impairments — audited, then the recurring charge</w:t>
            </w:r>
          </w:p>
        </w:tc>
        <w:tc>
          <w:tcPr>
            <w:tcW w:type="dxa" w:w="907"/>
          </w:tcPr>
          <w:p>
            <w:pPr>
              <w:spacing w:after="20"/>
              <w:jc w:val="right"/>
            </w:pPr>
            <w:r>
              <w:rPr>
                <w:color w:val="1C3A36"/>
                <w:sz w:val="16"/>
              </w:rPr>
              <w:t>(2)</w:t>
            </w:r>
          </w:p>
        </w:tc>
        <w:tc>
          <w:tcPr>
            <w:tcW w:type="dxa" w:w="907"/>
          </w:tcPr>
          <w:p>
            <w:pPr>
              <w:spacing w:after="20"/>
              <w:jc w:val="right"/>
            </w:pPr>
            <w:r>
              <w:rPr>
                <w:color w:val="1C3A36"/>
                <w:sz w:val="16"/>
              </w:rPr>
              <w:t>(14)</w:t>
            </w:r>
          </w:p>
        </w:tc>
        <w:tc>
          <w:tcPr>
            <w:tcW w:type="dxa" w:w="907"/>
          </w:tcPr>
          <w:p>
            <w:pPr>
              <w:spacing w:after="20"/>
              <w:jc w:val="right"/>
            </w:pPr>
            <w:r>
              <w:rPr>
                <w:color w:val="1C3A36"/>
                <w:sz w:val="16"/>
              </w:rPr>
              <w:t>(6)</w:t>
            </w:r>
          </w:p>
        </w:tc>
        <w:tc>
          <w:tcPr>
            <w:tcW w:type="dxa" w:w="907"/>
          </w:tcPr>
          <w:p>
            <w:pPr>
              <w:spacing w:after="20"/>
              <w:jc w:val="right"/>
            </w:pPr>
            <w:r>
              <w:rPr>
                <w:color w:val="1C3A36"/>
                <w:sz w:val="16"/>
              </w:rPr>
              <w:t>(9)</w:t>
            </w:r>
          </w:p>
        </w:tc>
        <w:tc>
          <w:tcPr>
            <w:tcW w:type="dxa" w:w="907"/>
          </w:tcPr>
          <w:p>
            <w:pPr>
              <w:spacing w:after="20"/>
              <w:jc w:val="right"/>
            </w:pPr>
            <w:r>
              <w:rPr>
                <w:color w:val="1C3A36"/>
                <w:sz w:val="16"/>
              </w:rPr>
              <w:t>(9)</w:t>
            </w:r>
          </w:p>
        </w:tc>
        <w:tc>
          <w:tcPr>
            <w:tcW w:type="dxa" w:w="907"/>
          </w:tcPr>
          <w:p>
            <w:pPr>
              <w:spacing w:after="20"/>
              <w:jc w:val="right"/>
            </w:pPr>
            <w:r>
              <w:rPr>
                <w:color w:val="1C3A36"/>
                <w:sz w:val="16"/>
              </w:rPr>
              <w:t>(10)</w:t>
            </w:r>
          </w:p>
        </w:tc>
        <w:tc>
          <w:tcPr>
            <w:tcW w:type="dxa" w:w="907"/>
          </w:tcPr>
          <w:p>
            <w:pPr>
              <w:spacing w:after="20"/>
              <w:jc w:val="right"/>
            </w:pPr>
            <w:r>
              <w:rPr>
                <w:color w:val="1C3A36"/>
                <w:sz w:val="16"/>
              </w:rPr>
              <w:t>(11)</w:t>
            </w:r>
          </w:p>
        </w:tc>
        <w:tc>
          <w:tcPr>
            <w:tcW w:type="dxa" w:w="907"/>
          </w:tcPr>
          <w:p>
            <w:pPr>
              <w:spacing w:after="20"/>
              <w:jc w:val="right"/>
            </w:pPr>
            <w:r>
              <w:rPr>
                <w:color w:val="1C3A36"/>
                <w:sz w:val="16"/>
              </w:rPr>
              <w:t>(12)</w:t>
            </w:r>
          </w:p>
        </w:tc>
      </w:tr>
      <w:tr>
        <w:tc>
          <w:tcPr>
            <w:tcW w:type="dxa" w:w="2808"/>
          </w:tcPr>
          <w:p>
            <w:pPr>
              <w:spacing w:after="20"/>
            </w:pPr>
            <w:r>
              <w:rPr>
                <w:color w:val="1C3A36"/>
                <w:sz w:val="16"/>
              </w:rPr>
              <w:t>Finance income</w:t>
            </w:r>
          </w:p>
        </w:tc>
        <w:tc>
          <w:tcPr>
            <w:tcW w:type="dxa" w:w="907"/>
          </w:tcPr>
          <w:p>
            <w:pPr>
              <w:spacing w:after="20"/>
              <w:jc w:val="right"/>
            </w:pPr>
            <w:r>
              <w:rPr>
                <w:color w:val="1C3A36"/>
                <w:sz w:val="16"/>
              </w:rPr>
              <w:t>15</w:t>
            </w:r>
          </w:p>
        </w:tc>
        <w:tc>
          <w:tcPr>
            <w:tcW w:type="dxa" w:w="907"/>
          </w:tcPr>
          <w:p>
            <w:pPr>
              <w:spacing w:after="20"/>
              <w:jc w:val="right"/>
            </w:pPr>
            <w:r>
              <w:rPr>
                <w:color w:val="1C3A36"/>
                <w:sz w:val="16"/>
              </w:rPr>
              <w:t>16</w:t>
            </w:r>
          </w:p>
        </w:tc>
        <w:tc>
          <w:tcPr>
            <w:tcW w:type="dxa" w:w="907"/>
          </w:tcPr>
          <w:p>
            <w:pPr>
              <w:spacing w:after="20"/>
              <w:jc w:val="right"/>
            </w:pPr>
            <w:r>
              <w:rPr>
                <w:color w:val="1C3A36"/>
                <w:sz w:val="16"/>
              </w:rPr>
              <w:t>16</w:t>
            </w:r>
          </w:p>
        </w:tc>
        <w:tc>
          <w:tcPr>
            <w:tcW w:type="dxa" w:w="907"/>
          </w:tcPr>
          <w:p>
            <w:pPr>
              <w:spacing w:after="20"/>
              <w:jc w:val="right"/>
            </w:pPr>
            <w:r>
              <w:rPr>
                <w:color w:val="1C3A36"/>
                <w:sz w:val="16"/>
              </w:rPr>
              <w:t>18</w:t>
            </w:r>
          </w:p>
        </w:tc>
        <w:tc>
          <w:tcPr>
            <w:tcW w:type="dxa" w:w="907"/>
          </w:tcPr>
          <w:p>
            <w:pPr>
              <w:spacing w:after="20"/>
              <w:jc w:val="right"/>
            </w:pPr>
            <w:r>
              <w:rPr>
                <w:color w:val="1C3A36"/>
                <w:sz w:val="16"/>
              </w:rPr>
              <w:t>22</w:t>
            </w:r>
          </w:p>
        </w:tc>
        <w:tc>
          <w:tcPr>
            <w:tcW w:type="dxa" w:w="907"/>
          </w:tcPr>
          <w:p>
            <w:pPr>
              <w:spacing w:after="20"/>
              <w:jc w:val="right"/>
            </w:pPr>
            <w:r>
              <w:rPr>
                <w:color w:val="1C3A36"/>
                <w:sz w:val="16"/>
              </w:rPr>
              <w:t>25</w:t>
            </w:r>
          </w:p>
        </w:tc>
        <w:tc>
          <w:tcPr>
            <w:tcW w:type="dxa" w:w="907"/>
          </w:tcPr>
          <w:p>
            <w:pPr>
              <w:spacing w:after="20"/>
              <w:jc w:val="right"/>
            </w:pPr>
            <w:r>
              <w:rPr>
                <w:color w:val="1C3A36"/>
                <w:sz w:val="16"/>
              </w:rPr>
              <w:t>28</w:t>
            </w:r>
          </w:p>
        </w:tc>
        <w:tc>
          <w:tcPr>
            <w:tcW w:type="dxa" w:w="907"/>
          </w:tcPr>
          <w:p>
            <w:pPr>
              <w:spacing w:after="20"/>
              <w:jc w:val="right"/>
            </w:pPr>
            <w:r>
              <w:rPr>
                <w:color w:val="1C3A36"/>
                <w:sz w:val="16"/>
              </w:rPr>
              <w:t>31</w:t>
            </w:r>
          </w:p>
        </w:tc>
      </w:tr>
      <w:tr>
        <w:tc>
          <w:tcPr>
            <w:tcW w:type="dxa" w:w="2808"/>
          </w:tcPr>
          <w:p>
            <w:pPr>
              <w:spacing w:after="20"/>
            </w:pPr>
            <w:r>
              <w:rPr>
                <w:color w:val="1C3A36"/>
                <w:sz w:val="16"/>
              </w:rPr>
              <w:t>Finance costs</w:t>
            </w:r>
          </w:p>
        </w:tc>
        <w:tc>
          <w:tcPr>
            <w:tcW w:type="dxa" w:w="907"/>
          </w:tcPr>
          <w:p>
            <w:pPr>
              <w:spacing w:after="20"/>
              <w:jc w:val="right"/>
            </w:pPr>
            <w:r>
              <w:rPr>
                <w:color w:val="1C3A36"/>
                <w:sz w:val="16"/>
              </w:rPr>
              <w:t>(31)</w:t>
            </w:r>
          </w:p>
        </w:tc>
        <w:tc>
          <w:tcPr>
            <w:tcW w:type="dxa" w:w="907"/>
          </w:tcPr>
          <w:p>
            <w:pPr>
              <w:spacing w:after="20"/>
              <w:jc w:val="right"/>
            </w:pPr>
            <w:r>
              <w:rPr>
                <w:color w:val="1C3A36"/>
                <w:sz w:val="16"/>
              </w:rPr>
              <w:t>(36)</w:t>
            </w:r>
          </w:p>
        </w:tc>
        <w:tc>
          <w:tcPr>
            <w:tcW w:type="dxa" w:w="907"/>
          </w:tcPr>
          <w:p>
            <w:pPr>
              <w:spacing w:after="20"/>
              <w:jc w:val="right"/>
            </w:pPr>
            <w:r>
              <w:rPr>
                <w:color w:val="1C3A36"/>
                <w:sz w:val="16"/>
              </w:rPr>
              <w:t>(44)</w:t>
            </w:r>
          </w:p>
        </w:tc>
        <w:tc>
          <w:tcPr>
            <w:tcW w:type="dxa" w:w="907"/>
          </w:tcPr>
          <w:p>
            <w:pPr>
              <w:spacing w:after="20"/>
              <w:jc w:val="right"/>
            </w:pPr>
            <w:r>
              <w:rPr>
                <w:color w:val="1C3A36"/>
                <w:sz w:val="16"/>
              </w:rPr>
              <w:t>(46)</w:t>
            </w:r>
          </w:p>
        </w:tc>
        <w:tc>
          <w:tcPr>
            <w:tcW w:type="dxa" w:w="907"/>
          </w:tcPr>
          <w:p>
            <w:pPr>
              <w:spacing w:after="20"/>
              <w:jc w:val="right"/>
            </w:pPr>
            <w:r>
              <w:rPr>
                <w:color w:val="1C3A36"/>
                <w:sz w:val="16"/>
              </w:rPr>
              <w:t>(49)</w:t>
            </w:r>
          </w:p>
        </w:tc>
        <w:tc>
          <w:tcPr>
            <w:tcW w:type="dxa" w:w="907"/>
          </w:tcPr>
          <w:p>
            <w:pPr>
              <w:spacing w:after="20"/>
              <w:jc w:val="right"/>
            </w:pPr>
            <w:r>
              <w:rPr>
                <w:color w:val="1C3A36"/>
                <w:sz w:val="16"/>
              </w:rPr>
              <w:t>(51)</w:t>
            </w:r>
          </w:p>
        </w:tc>
        <w:tc>
          <w:tcPr>
            <w:tcW w:type="dxa" w:w="907"/>
          </w:tcPr>
          <w:p>
            <w:pPr>
              <w:spacing w:after="20"/>
              <w:jc w:val="right"/>
            </w:pPr>
            <w:r>
              <w:rPr>
                <w:color w:val="1C3A36"/>
                <w:sz w:val="16"/>
              </w:rPr>
              <w:t>(54)</w:t>
            </w:r>
          </w:p>
        </w:tc>
        <w:tc>
          <w:tcPr>
            <w:tcW w:type="dxa" w:w="907"/>
          </w:tcPr>
          <w:p>
            <w:pPr>
              <w:spacing w:after="20"/>
              <w:jc w:val="right"/>
            </w:pPr>
            <w:r>
              <w:rPr>
                <w:color w:val="1C3A36"/>
                <w:sz w:val="16"/>
              </w:rPr>
              <w:t>(57)</w:t>
            </w:r>
          </w:p>
        </w:tc>
      </w:tr>
      <w:tr>
        <w:tc>
          <w:tcPr>
            <w:tcW w:type="dxa" w:w="2808"/>
          </w:tcPr>
          <w:p>
            <w:pPr>
              <w:spacing w:after="20"/>
            </w:pPr>
            <w:r>
              <w:rPr>
                <w:color w:val="1C3A36"/>
                <w:sz w:val="16"/>
              </w:rPr>
              <w:t>Profit before tax</w:t>
            </w:r>
          </w:p>
        </w:tc>
        <w:tc>
          <w:tcPr>
            <w:tcW w:type="dxa" w:w="907"/>
          </w:tcPr>
          <w:p>
            <w:pPr>
              <w:spacing w:after="20"/>
              <w:jc w:val="right"/>
            </w:pPr>
            <w:r>
              <w:rPr>
                <w:color w:val="1C3A36"/>
                <w:sz w:val="16"/>
              </w:rPr>
              <w:t>275</w:t>
            </w:r>
          </w:p>
        </w:tc>
        <w:tc>
          <w:tcPr>
            <w:tcW w:type="dxa" w:w="907"/>
          </w:tcPr>
          <w:p>
            <w:pPr>
              <w:spacing w:after="20"/>
              <w:jc w:val="right"/>
            </w:pPr>
            <w:r>
              <w:rPr>
                <w:color w:val="1C3A36"/>
                <w:sz w:val="16"/>
              </w:rPr>
              <w:t>172</w:t>
            </w:r>
          </w:p>
        </w:tc>
        <w:tc>
          <w:tcPr>
            <w:tcW w:type="dxa" w:w="907"/>
          </w:tcPr>
          <w:p>
            <w:pPr>
              <w:spacing w:after="20"/>
              <w:jc w:val="right"/>
            </w:pPr>
            <w:r>
              <w:rPr>
                <w:color w:val="1C3A36"/>
                <w:sz w:val="16"/>
              </w:rPr>
              <w:t>254</w:t>
            </w:r>
          </w:p>
        </w:tc>
        <w:tc>
          <w:tcPr>
            <w:tcW w:type="dxa" w:w="907"/>
          </w:tcPr>
          <w:p>
            <w:pPr>
              <w:spacing w:after="20"/>
              <w:jc w:val="right"/>
            </w:pPr>
            <w:r>
              <w:rPr>
                <w:color w:val="1C3A36"/>
                <w:sz w:val="16"/>
              </w:rPr>
              <w:t>343</w:t>
            </w:r>
          </w:p>
        </w:tc>
        <w:tc>
          <w:tcPr>
            <w:tcW w:type="dxa" w:w="907"/>
          </w:tcPr>
          <w:p>
            <w:pPr>
              <w:spacing w:after="20"/>
              <w:jc w:val="right"/>
            </w:pPr>
            <w:r>
              <w:rPr>
                <w:color w:val="1C3A36"/>
                <w:sz w:val="16"/>
              </w:rPr>
              <w:t>387</w:t>
            </w:r>
          </w:p>
        </w:tc>
        <w:tc>
          <w:tcPr>
            <w:tcW w:type="dxa" w:w="907"/>
          </w:tcPr>
          <w:p>
            <w:pPr>
              <w:spacing w:after="20"/>
              <w:jc w:val="right"/>
            </w:pPr>
            <w:r>
              <w:rPr>
                <w:color w:val="1C3A36"/>
                <w:sz w:val="16"/>
              </w:rPr>
              <w:t>431</w:t>
            </w:r>
          </w:p>
        </w:tc>
        <w:tc>
          <w:tcPr>
            <w:tcW w:type="dxa" w:w="907"/>
          </w:tcPr>
          <w:p>
            <w:pPr>
              <w:spacing w:after="20"/>
              <w:jc w:val="right"/>
            </w:pPr>
            <w:r>
              <w:rPr>
                <w:color w:val="1C3A36"/>
                <w:sz w:val="16"/>
              </w:rPr>
              <w:t>469</w:t>
            </w:r>
          </w:p>
        </w:tc>
        <w:tc>
          <w:tcPr>
            <w:tcW w:type="dxa" w:w="907"/>
          </w:tcPr>
          <w:p>
            <w:pPr>
              <w:spacing w:after="20"/>
              <w:jc w:val="right"/>
            </w:pPr>
            <w:r>
              <w:rPr>
                <w:color w:val="1C3A36"/>
                <w:sz w:val="16"/>
              </w:rPr>
              <w:t>505</w:t>
            </w:r>
          </w:p>
        </w:tc>
      </w:tr>
      <w:tr>
        <w:tc>
          <w:tcPr>
            <w:tcW w:type="dxa" w:w="2808"/>
          </w:tcPr>
          <w:p>
            <w:pPr>
              <w:spacing w:after="20"/>
            </w:pPr>
            <w:r>
              <w:rPr>
                <w:color w:val="1C3A36"/>
                <w:sz w:val="16"/>
              </w:rPr>
              <w:t>Income tax and zakat</w:t>
            </w:r>
          </w:p>
        </w:tc>
        <w:tc>
          <w:tcPr>
            <w:tcW w:type="dxa" w:w="907"/>
          </w:tcPr>
          <w:p>
            <w:pPr>
              <w:spacing w:after="20"/>
              <w:jc w:val="right"/>
            </w:pPr>
            <w:r>
              <w:rPr>
                <w:color w:val="1C3A36"/>
                <w:sz w:val="16"/>
              </w:rPr>
              <w:t>(13)</w:t>
            </w:r>
          </w:p>
        </w:tc>
        <w:tc>
          <w:tcPr>
            <w:tcW w:type="dxa" w:w="907"/>
          </w:tcPr>
          <w:p>
            <w:pPr>
              <w:spacing w:after="20"/>
              <w:jc w:val="right"/>
            </w:pPr>
            <w:r>
              <w:rPr>
                <w:color w:val="1C3A36"/>
                <w:sz w:val="16"/>
              </w:rPr>
              <w:t>(21)</w:t>
            </w:r>
          </w:p>
        </w:tc>
        <w:tc>
          <w:tcPr>
            <w:tcW w:type="dxa" w:w="907"/>
          </w:tcPr>
          <w:p>
            <w:pPr>
              <w:spacing w:after="20"/>
              <w:jc w:val="right"/>
            </w:pPr>
            <w:r>
              <w:rPr>
                <w:color w:val="1C3A36"/>
                <w:sz w:val="16"/>
              </w:rPr>
              <w:t>(36)</w:t>
            </w:r>
          </w:p>
        </w:tc>
        <w:tc>
          <w:tcPr>
            <w:tcW w:type="dxa" w:w="907"/>
          </w:tcPr>
          <w:p>
            <w:pPr>
              <w:spacing w:after="20"/>
              <w:jc w:val="right"/>
            </w:pPr>
            <w:r>
              <w:rPr>
                <w:color w:val="1C3A36"/>
                <w:sz w:val="16"/>
              </w:rPr>
              <w:t>(50)</w:t>
            </w:r>
          </w:p>
        </w:tc>
        <w:tc>
          <w:tcPr>
            <w:tcW w:type="dxa" w:w="907"/>
          </w:tcPr>
          <w:p>
            <w:pPr>
              <w:spacing w:after="20"/>
              <w:jc w:val="right"/>
            </w:pPr>
            <w:r>
              <w:rPr>
                <w:color w:val="1C3A36"/>
                <w:sz w:val="16"/>
              </w:rPr>
              <w:t>(58)</w:t>
            </w:r>
          </w:p>
        </w:tc>
        <w:tc>
          <w:tcPr>
            <w:tcW w:type="dxa" w:w="907"/>
          </w:tcPr>
          <w:p>
            <w:pPr>
              <w:spacing w:after="20"/>
              <w:jc w:val="right"/>
            </w:pPr>
            <w:r>
              <w:rPr>
                <w:color w:val="1C3A36"/>
                <w:sz w:val="16"/>
              </w:rPr>
              <w:t>(67)</w:t>
            </w:r>
          </w:p>
        </w:tc>
        <w:tc>
          <w:tcPr>
            <w:tcW w:type="dxa" w:w="907"/>
          </w:tcPr>
          <w:p>
            <w:pPr>
              <w:spacing w:after="20"/>
              <w:jc w:val="right"/>
            </w:pPr>
            <w:r>
              <w:rPr>
                <w:color w:val="1C3A36"/>
                <w:sz w:val="16"/>
              </w:rPr>
              <w:t>(75)</w:t>
            </w:r>
          </w:p>
        </w:tc>
        <w:tc>
          <w:tcPr>
            <w:tcW w:type="dxa" w:w="907"/>
          </w:tcPr>
          <w:p>
            <w:pPr>
              <w:spacing w:after="20"/>
              <w:jc w:val="right"/>
            </w:pPr>
            <w:r>
              <w:rPr>
                <w:color w:val="1C3A36"/>
                <w:sz w:val="16"/>
              </w:rPr>
              <w:t>(81)</w:t>
            </w:r>
          </w:p>
        </w:tc>
      </w:tr>
      <w:tr>
        <w:tc>
          <w:tcPr>
            <w:tcW w:type="dxa" w:w="2808"/>
          </w:tcPr>
          <w:p>
            <w:pPr>
              <w:spacing w:after="20"/>
            </w:pPr>
            <w:r>
              <w:rPr>
                <w:color w:val="1C3A36"/>
                <w:sz w:val="16"/>
              </w:rPr>
              <w:t>Profit for the year</w:t>
            </w:r>
          </w:p>
        </w:tc>
        <w:tc>
          <w:tcPr>
            <w:tcW w:type="dxa" w:w="907"/>
          </w:tcPr>
          <w:p>
            <w:pPr>
              <w:spacing w:after="20"/>
              <w:jc w:val="right"/>
            </w:pPr>
            <w:r>
              <w:rPr>
                <w:color w:val="1C3A36"/>
                <w:sz w:val="16"/>
              </w:rPr>
              <w:t>262</w:t>
            </w:r>
          </w:p>
        </w:tc>
        <w:tc>
          <w:tcPr>
            <w:tcW w:type="dxa" w:w="907"/>
          </w:tcPr>
          <w:p>
            <w:pPr>
              <w:spacing w:after="20"/>
              <w:jc w:val="right"/>
            </w:pPr>
            <w:r>
              <w:rPr>
                <w:color w:val="1C3A36"/>
                <w:sz w:val="16"/>
              </w:rPr>
              <w:t>151</w:t>
            </w:r>
          </w:p>
        </w:tc>
        <w:tc>
          <w:tcPr>
            <w:tcW w:type="dxa" w:w="907"/>
          </w:tcPr>
          <w:p>
            <w:pPr>
              <w:spacing w:after="20"/>
              <w:jc w:val="right"/>
            </w:pPr>
            <w:r>
              <w:rPr>
                <w:color w:val="1C3A36"/>
                <w:sz w:val="16"/>
              </w:rPr>
              <w:t>218</w:t>
            </w:r>
          </w:p>
        </w:tc>
        <w:tc>
          <w:tcPr>
            <w:tcW w:type="dxa" w:w="907"/>
          </w:tcPr>
          <w:p>
            <w:pPr>
              <w:spacing w:after="20"/>
              <w:jc w:val="right"/>
            </w:pPr>
            <w:r>
              <w:rPr>
                <w:color w:val="1C3A36"/>
                <w:sz w:val="16"/>
              </w:rPr>
              <w:t>293</w:t>
            </w:r>
          </w:p>
        </w:tc>
        <w:tc>
          <w:tcPr>
            <w:tcW w:type="dxa" w:w="907"/>
          </w:tcPr>
          <w:p>
            <w:pPr>
              <w:spacing w:after="20"/>
              <w:jc w:val="right"/>
            </w:pPr>
            <w:r>
              <w:rPr>
                <w:color w:val="1C3A36"/>
                <w:sz w:val="16"/>
              </w:rPr>
              <w:t>329</w:t>
            </w:r>
          </w:p>
        </w:tc>
        <w:tc>
          <w:tcPr>
            <w:tcW w:type="dxa" w:w="907"/>
          </w:tcPr>
          <w:p>
            <w:pPr>
              <w:spacing w:after="20"/>
              <w:jc w:val="right"/>
            </w:pPr>
            <w:r>
              <w:rPr>
                <w:color w:val="1C3A36"/>
                <w:sz w:val="16"/>
              </w:rPr>
              <w:t>365</w:t>
            </w:r>
          </w:p>
        </w:tc>
        <w:tc>
          <w:tcPr>
            <w:tcW w:type="dxa" w:w="907"/>
          </w:tcPr>
          <w:p>
            <w:pPr>
              <w:spacing w:after="20"/>
              <w:jc w:val="right"/>
            </w:pPr>
            <w:r>
              <w:rPr>
                <w:color w:val="1C3A36"/>
                <w:sz w:val="16"/>
              </w:rPr>
              <w:t>394</w:t>
            </w:r>
          </w:p>
        </w:tc>
        <w:tc>
          <w:tcPr>
            <w:tcW w:type="dxa" w:w="907"/>
          </w:tcPr>
          <w:p>
            <w:pPr>
              <w:spacing w:after="20"/>
              <w:jc w:val="right"/>
            </w:pPr>
            <w:r>
              <w:rPr>
                <w:color w:val="1C3A36"/>
                <w:sz w:val="16"/>
              </w:rPr>
              <w:t>424</w:t>
            </w:r>
          </w:p>
        </w:tc>
      </w:tr>
      <w:tr>
        <w:tc>
          <w:tcPr>
            <w:tcW w:type="dxa" w:w="2808"/>
          </w:tcPr>
          <w:p>
            <w:pPr>
              <w:spacing w:after="20"/>
            </w:pPr>
            <w:r>
              <w:rPr>
                <w:color w:val="1C3A36"/>
                <w:sz w:val="16"/>
              </w:rPr>
              <w:t>Non-controlling interests</w:t>
            </w:r>
          </w:p>
        </w:tc>
        <w:tc>
          <w:tcPr>
            <w:tcW w:type="dxa" w:w="907"/>
          </w:tcPr>
          <w:p>
            <w:pPr>
              <w:spacing w:after="20"/>
              <w:jc w:val="right"/>
            </w:pPr>
            <w:r>
              <w:rPr>
                <w:color w:val="1C3A36"/>
                <w:sz w:val="16"/>
              </w:rPr>
              <w:t>-2.9</w:t>
            </w:r>
          </w:p>
        </w:tc>
        <w:tc>
          <w:tcPr>
            <w:tcW w:type="dxa" w:w="907"/>
          </w:tcPr>
          <w:p>
            <w:pPr>
              <w:spacing w:after="20"/>
              <w:jc w:val="right"/>
            </w:pPr>
            <w:r>
              <w:rPr>
                <w:color w:val="1C3A36"/>
                <w:sz w:val="16"/>
              </w:rPr>
              <w:t>7.4</w:t>
            </w:r>
          </w:p>
        </w:tc>
        <w:tc>
          <w:tcPr>
            <w:tcW w:type="dxa" w:w="907"/>
          </w:tcPr>
          <w:p>
            <w:pPr>
              <w:spacing w:after="20"/>
              <w:jc w:val="right"/>
            </w:pPr>
            <w:r>
              <w:rPr>
                <w:color w:val="1C3A36"/>
                <w:sz w:val="16"/>
              </w:rPr>
              <w:t>0.7</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Profit attributable to shareholders</w:t>
            </w:r>
          </w:p>
        </w:tc>
        <w:tc>
          <w:tcPr>
            <w:tcW w:type="dxa" w:w="907"/>
          </w:tcPr>
          <w:p>
            <w:pPr>
              <w:spacing w:after="20"/>
              <w:jc w:val="right"/>
            </w:pPr>
            <w:r>
              <w:rPr>
                <w:color w:val="1C3A36"/>
                <w:sz w:val="16"/>
              </w:rPr>
              <w:t>259</w:t>
            </w:r>
          </w:p>
        </w:tc>
        <w:tc>
          <w:tcPr>
            <w:tcW w:type="dxa" w:w="907"/>
          </w:tcPr>
          <w:p>
            <w:pPr>
              <w:spacing w:after="20"/>
              <w:jc w:val="right"/>
            </w:pPr>
            <w:r>
              <w:rPr>
                <w:color w:val="1C3A36"/>
                <w:sz w:val="16"/>
              </w:rPr>
              <w:t>159</w:t>
            </w:r>
          </w:p>
        </w:tc>
        <w:tc>
          <w:tcPr>
            <w:tcW w:type="dxa" w:w="907"/>
          </w:tcPr>
          <w:p>
            <w:pPr>
              <w:spacing w:after="20"/>
              <w:jc w:val="right"/>
            </w:pPr>
            <w:r>
              <w:rPr>
                <w:color w:val="1C3A36"/>
                <w:sz w:val="16"/>
              </w:rPr>
              <w:t>219</w:t>
            </w:r>
          </w:p>
        </w:tc>
        <w:tc>
          <w:tcPr>
            <w:tcW w:type="dxa" w:w="907"/>
          </w:tcPr>
          <w:p>
            <w:pPr>
              <w:spacing w:after="20"/>
              <w:jc w:val="right"/>
            </w:pPr>
            <w:r>
              <w:rPr>
                <w:color w:val="1C3A36"/>
                <w:sz w:val="16"/>
              </w:rPr>
              <w:t>293</w:t>
            </w:r>
          </w:p>
        </w:tc>
        <w:tc>
          <w:tcPr>
            <w:tcW w:type="dxa" w:w="907"/>
          </w:tcPr>
          <w:p>
            <w:pPr>
              <w:spacing w:after="20"/>
              <w:jc w:val="right"/>
            </w:pPr>
            <w:r>
              <w:rPr>
                <w:color w:val="1C3A36"/>
                <w:sz w:val="16"/>
              </w:rPr>
              <w:t>329</w:t>
            </w:r>
          </w:p>
        </w:tc>
        <w:tc>
          <w:tcPr>
            <w:tcW w:type="dxa" w:w="907"/>
          </w:tcPr>
          <w:p>
            <w:pPr>
              <w:spacing w:after="20"/>
              <w:jc w:val="right"/>
            </w:pPr>
            <w:r>
              <w:rPr>
                <w:color w:val="1C3A36"/>
                <w:sz w:val="16"/>
              </w:rPr>
              <w:t>365</w:t>
            </w:r>
          </w:p>
        </w:tc>
        <w:tc>
          <w:tcPr>
            <w:tcW w:type="dxa" w:w="907"/>
          </w:tcPr>
          <w:p>
            <w:pPr>
              <w:spacing w:after="20"/>
              <w:jc w:val="right"/>
            </w:pPr>
            <w:r>
              <w:rPr>
                <w:color w:val="1C3A36"/>
                <w:sz w:val="16"/>
              </w:rPr>
              <w:t>394</w:t>
            </w:r>
          </w:p>
        </w:tc>
        <w:tc>
          <w:tcPr>
            <w:tcW w:type="dxa" w:w="907"/>
          </w:tcPr>
          <w:p>
            <w:pPr>
              <w:spacing w:after="20"/>
              <w:jc w:val="right"/>
            </w:pPr>
            <w:r>
              <w:rPr>
                <w:color w:val="1C3A36"/>
                <w:sz w:val="16"/>
              </w:rPr>
              <w:t>424</w:t>
            </w:r>
          </w:p>
        </w:tc>
      </w:tr>
      <w:tr>
        <w:tc>
          <w:tcPr>
            <w:tcW w:type="dxa" w:w="2808"/>
          </w:tcPr>
          <w:p>
            <w:pPr>
              <w:spacing w:after="20"/>
            </w:pPr>
            <w:r>
              <w:rPr>
                <w:color w:val="1C3A36"/>
                <w:sz w:val="16"/>
              </w:rPr>
              <w:t>Earnings per share (USD)</w:t>
            </w:r>
          </w:p>
        </w:tc>
        <w:tc>
          <w:tcPr>
            <w:tcW w:type="dxa" w:w="907"/>
          </w:tcPr>
          <w:p>
            <w:pPr>
              <w:spacing w:after="20"/>
              <w:jc w:val="right"/>
            </w:pPr>
            <w:r>
              <w:rPr>
                <w:color w:val="1C3A36"/>
                <w:sz w:val="16"/>
              </w:rPr>
              <w:t>0.0309</w:t>
            </w:r>
          </w:p>
        </w:tc>
        <w:tc>
          <w:tcPr>
            <w:tcW w:type="dxa" w:w="907"/>
          </w:tcPr>
          <w:p>
            <w:pPr>
              <w:spacing w:after="20"/>
              <w:jc w:val="right"/>
            </w:pPr>
            <w:r>
              <w:rPr>
                <w:color w:val="1C3A36"/>
                <w:sz w:val="16"/>
              </w:rPr>
              <w:t>0.0189</w:t>
            </w:r>
          </w:p>
        </w:tc>
        <w:tc>
          <w:tcPr>
            <w:tcW w:type="dxa" w:w="907"/>
          </w:tcPr>
          <w:p>
            <w:pPr>
              <w:spacing w:after="20"/>
              <w:jc w:val="right"/>
            </w:pPr>
            <w:r>
              <w:rPr>
                <w:color w:val="1C3A36"/>
                <w:sz w:val="16"/>
              </w:rPr>
              <w:t>0.0261</w:t>
            </w:r>
          </w:p>
        </w:tc>
        <w:tc>
          <w:tcPr>
            <w:tcW w:type="dxa" w:w="907"/>
          </w:tcPr>
          <w:p>
            <w:pPr>
              <w:spacing w:after="20"/>
              <w:jc w:val="right"/>
            </w:pPr>
            <w:r>
              <w:rPr>
                <w:color w:val="1C3A36"/>
                <w:sz w:val="16"/>
              </w:rPr>
              <w:t>0.0349</w:t>
            </w:r>
          </w:p>
        </w:tc>
        <w:tc>
          <w:tcPr>
            <w:tcW w:type="dxa" w:w="907"/>
          </w:tcPr>
          <w:p>
            <w:pPr>
              <w:spacing w:after="20"/>
              <w:jc w:val="right"/>
            </w:pPr>
            <w:r>
              <w:rPr>
                <w:color w:val="1C3A36"/>
                <w:sz w:val="16"/>
              </w:rPr>
              <w:t>0.0392</w:t>
            </w:r>
          </w:p>
        </w:tc>
        <w:tc>
          <w:tcPr>
            <w:tcW w:type="dxa" w:w="907"/>
          </w:tcPr>
          <w:p>
            <w:pPr>
              <w:spacing w:after="20"/>
              <w:jc w:val="right"/>
            </w:pPr>
            <w:r>
              <w:rPr>
                <w:color w:val="1C3A36"/>
                <w:sz w:val="16"/>
              </w:rPr>
              <w:t>0.0434</w:t>
            </w:r>
          </w:p>
        </w:tc>
        <w:tc>
          <w:tcPr>
            <w:tcW w:type="dxa" w:w="907"/>
          </w:tcPr>
          <w:p>
            <w:pPr>
              <w:spacing w:after="20"/>
              <w:jc w:val="right"/>
            </w:pPr>
            <w:r>
              <w:rPr>
                <w:color w:val="1C3A36"/>
                <w:sz w:val="16"/>
              </w:rPr>
              <w:t>0.0469</w:t>
            </w:r>
          </w:p>
        </w:tc>
        <w:tc>
          <w:tcPr>
            <w:tcW w:type="dxa" w:w="907"/>
          </w:tcPr>
          <w:p>
            <w:pPr>
              <w:spacing w:after="20"/>
              <w:jc w:val="right"/>
            </w:pPr>
            <w:r>
              <w:rPr>
                <w:color w:val="1C3A36"/>
                <w:sz w:val="16"/>
              </w:rPr>
              <w:t>0.0505</w:t>
            </w:r>
          </w:p>
        </w:tc>
      </w:tr>
    </w:tbl>
    <w:p>
      <w:pPr>
        <w:spacing w:after="40"/>
      </w:pPr>
    </w:p>
    <w:p>
      <w:pPr>
        <w:spacing w:after="200" w:before="0"/>
      </w:pPr>
      <w:r>
        <w:rPr>
          <w:b w:val="0"/>
          <w:i/>
          <w:color w:val="6E7B77"/>
          <w:sz w:val="17"/>
        </w:rPr>
        <w:t>EBIT is EBITDA less depreciation, above the impairment line; the audited operating profit is EBIT after it. The forecast charges a recurring impairment of 0.31% of revenue — the three-year audited average — rather than assuming a perfect estate. The non-controlling interest was 4.9% of FY2024 profit and has since collapsed to a rounding item; the forecast carries none.</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907"/>
        <w:gridCol w:w="907"/>
        <w:gridCol w:w="907"/>
        <w:gridCol w:w="907"/>
        <w:gridCol w:w="907"/>
        <w:gridCol w:w="907"/>
        <w:gridCol w:w="907"/>
        <w:gridCol w:w="907"/>
      </w:tblGrid>
      <w:tr>
        <w:tc>
          <w:tcPr>
            <w:tcW w:type="dxa" w:w="2808"/>
            <w:shd w:val="clear" w:color="auto" w:fill="EAF0EE"/>
          </w:tcPr>
          <w:p>
            <w:pPr>
              <w:spacing w:after="20"/>
            </w:pPr>
            <w:r>
              <w:rPr>
                <w:b/>
                <w:color w:val="1C3A36"/>
                <w:sz w:val="16"/>
              </w:rPr>
              <w:t>USD million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FY2026E</w:t>
            </w:r>
          </w:p>
        </w:tc>
        <w:tc>
          <w:tcPr>
            <w:tcW w:type="dxa" w:w="907"/>
            <w:shd w:val="clear" w:color="auto" w:fill="EAF0EE"/>
          </w:tcPr>
          <w:p>
            <w:pPr>
              <w:spacing w:after="20"/>
            </w:pPr>
            <w:r>
              <w:rPr>
                <w:b/>
                <w:color w:val="1C3A36"/>
                <w:sz w:val="16"/>
              </w:rPr>
              <w:t>FY2027E</w:t>
            </w:r>
          </w:p>
        </w:tc>
        <w:tc>
          <w:tcPr>
            <w:tcW w:type="dxa" w:w="907"/>
            <w:shd w:val="clear" w:color="auto" w:fill="EAF0EE"/>
          </w:tcPr>
          <w:p>
            <w:pPr>
              <w:spacing w:after="20"/>
            </w:pPr>
            <w:r>
              <w:rPr>
                <w:b/>
                <w:color w:val="1C3A36"/>
                <w:sz w:val="16"/>
              </w:rPr>
              <w:t>FY2028E</w:t>
            </w:r>
          </w:p>
        </w:tc>
        <w:tc>
          <w:tcPr>
            <w:tcW w:type="dxa" w:w="907"/>
            <w:shd w:val="clear" w:color="auto" w:fill="EAF0EE"/>
          </w:tcPr>
          <w:p>
            <w:pPr>
              <w:spacing w:after="20"/>
            </w:pPr>
            <w:r>
              <w:rPr>
                <w:b/>
                <w:color w:val="1C3A36"/>
                <w:sz w:val="16"/>
              </w:rPr>
              <w:t>FY2029E</w:t>
            </w:r>
          </w:p>
        </w:tc>
        <w:tc>
          <w:tcPr>
            <w:tcW w:type="dxa" w:w="907"/>
            <w:shd w:val="clear" w:color="auto" w:fill="EAF0EE"/>
          </w:tcPr>
          <w:p>
            <w:pPr>
              <w:spacing w:after="20"/>
            </w:pPr>
            <w:r>
              <w:rPr>
                <w:b/>
                <w:color w:val="1C3A36"/>
                <w:sz w:val="16"/>
              </w:rPr>
              <w:t>FY2030E</w:t>
            </w:r>
          </w:p>
        </w:tc>
      </w:tr>
      <w:tr>
        <w:tc>
          <w:tcPr>
            <w:tcW w:type="dxa" w:w="2808"/>
          </w:tcPr>
          <w:p>
            <w:pPr>
              <w:spacing w:after="20"/>
            </w:pPr>
            <w:r>
              <w:rPr>
                <w:color w:val="1C3A36"/>
                <w:sz w:val="16"/>
              </w:rPr>
              <w:t>Property, equipment, intangibles and investment property</w:t>
            </w:r>
          </w:p>
        </w:tc>
        <w:tc>
          <w:tcPr>
            <w:tcW w:type="dxa" w:w="907"/>
          </w:tcPr>
          <w:p>
            <w:pPr>
              <w:spacing w:after="20"/>
              <w:jc w:val="right"/>
            </w:pPr>
            <w:r>
              <w:rPr>
                <w:color w:val="1C3A36"/>
                <w:sz w:val="16"/>
              </w:rPr>
              <w:t>399</w:t>
            </w:r>
          </w:p>
        </w:tc>
        <w:tc>
          <w:tcPr>
            <w:tcW w:type="dxa" w:w="907"/>
          </w:tcPr>
          <w:p>
            <w:pPr>
              <w:spacing w:after="20"/>
              <w:jc w:val="right"/>
            </w:pPr>
            <w:r>
              <w:rPr>
                <w:color w:val="1C3A36"/>
                <w:sz w:val="16"/>
              </w:rPr>
              <w:t>391</w:t>
            </w:r>
          </w:p>
        </w:tc>
        <w:tc>
          <w:tcPr>
            <w:tcW w:type="dxa" w:w="907"/>
          </w:tcPr>
          <w:p>
            <w:pPr>
              <w:spacing w:after="20"/>
              <w:jc w:val="right"/>
            </w:pPr>
            <w:r>
              <w:rPr>
                <w:color w:val="1C3A36"/>
                <w:sz w:val="16"/>
              </w:rPr>
              <w:t>408</w:t>
            </w:r>
          </w:p>
        </w:tc>
        <w:tc>
          <w:tcPr>
            <w:tcW w:type="dxa" w:w="907"/>
          </w:tcPr>
          <w:p>
            <w:pPr>
              <w:spacing w:after="20"/>
              <w:jc w:val="right"/>
            </w:pPr>
            <w:r>
              <w:rPr>
                <w:color w:val="1C3A36"/>
                <w:sz w:val="16"/>
              </w:rPr>
              <w:t>422</w:t>
            </w:r>
          </w:p>
        </w:tc>
        <w:tc>
          <w:tcPr>
            <w:tcW w:type="dxa" w:w="907"/>
          </w:tcPr>
          <w:p>
            <w:pPr>
              <w:spacing w:after="20"/>
              <w:jc w:val="right"/>
            </w:pPr>
            <w:r>
              <w:rPr>
                <w:color w:val="1C3A36"/>
                <w:sz w:val="16"/>
              </w:rPr>
              <w:t>438</w:t>
            </w:r>
          </w:p>
        </w:tc>
        <w:tc>
          <w:tcPr>
            <w:tcW w:type="dxa" w:w="907"/>
          </w:tcPr>
          <w:p>
            <w:pPr>
              <w:spacing w:after="20"/>
              <w:jc w:val="right"/>
            </w:pPr>
            <w:r>
              <w:rPr>
                <w:color w:val="1C3A36"/>
                <w:sz w:val="16"/>
              </w:rPr>
              <w:t>455</w:t>
            </w:r>
          </w:p>
        </w:tc>
        <w:tc>
          <w:tcPr>
            <w:tcW w:type="dxa" w:w="907"/>
          </w:tcPr>
          <w:p>
            <w:pPr>
              <w:spacing w:after="20"/>
              <w:jc w:val="right"/>
            </w:pPr>
            <w:r>
              <w:rPr>
                <w:color w:val="1C3A36"/>
                <w:sz w:val="16"/>
              </w:rPr>
              <w:t>471</w:t>
            </w:r>
          </w:p>
        </w:tc>
        <w:tc>
          <w:tcPr>
            <w:tcW w:type="dxa" w:w="907"/>
          </w:tcPr>
          <w:p>
            <w:pPr>
              <w:spacing w:after="20"/>
              <w:jc w:val="right"/>
            </w:pPr>
            <w:r>
              <w:rPr>
                <w:color w:val="1C3A36"/>
                <w:sz w:val="16"/>
              </w:rPr>
              <w:t>486</w:t>
            </w:r>
          </w:p>
        </w:tc>
      </w:tr>
      <w:tr>
        <w:tc>
          <w:tcPr>
            <w:tcW w:type="dxa" w:w="2808"/>
          </w:tcPr>
          <w:p>
            <w:pPr>
              <w:spacing w:after="20"/>
            </w:pPr>
            <w:r>
              <w:rPr>
                <w:color w:val="1C3A36"/>
                <w:sz w:val="16"/>
              </w:rPr>
              <w:t>Right-of-use assets</w:t>
            </w:r>
          </w:p>
        </w:tc>
        <w:tc>
          <w:tcPr>
            <w:tcW w:type="dxa" w:w="907"/>
          </w:tcPr>
          <w:p>
            <w:pPr>
              <w:spacing w:after="20"/>
              <w:jc w:val="right"/>
            </w:pPr>
            <w:r>
              <w:rPr>
                <w:color w:val="1C3A36"/>
                <w:sz w:val="16"/>
              </w:rPr>
              <w:t>499</w:t>
            </w:r>
          </w:p>
        </w:tc>
        <w:tc>
          <w:tcPr>
            <w:tcW w:type="dxa" w:w="907"/>
          </w:tcPr>
          <w:p>
            <w:pPr>
              <w:spacing w:after="20"/>
              <w:jc w:val="right"/>
            </w:pPr>
            <w:r>
              <w:rPr>
                <w:color w:val="1C3A36"/>
                <w:sz w:val="16"/>
              </w:rPr>
              <w:t>566</w:t>
            </w:r>
          </w:p>
        </w:tc>
        <w:tc>
          <w:tcPr>
            <w:tcW w:type="dxa" w:w="907"/>
          </w:tcPr>
          <w:p>
            <w:pPr>
              <w:spacing w:after="20"/>
              <w:jc w:val="right"/>
            </w:pPr>
            <w:r>
              <w:rPr>
                <w:color w:val="1C3A36"/>
                <w:sz w:val="16"/>
              </w:rPr>
              <w:t>611</w:t>
            </w:r>
          </w:p>
        </w:tc>
        <w:tc>
          <w:tcPr>
            <w:tcW w:type="dxa" w:w="907"/>
          </w:tcPr>
          <w:p>
            <w:pPr>
              <w:spacing w:after="20"/>
              <w:jc w:val="right"/>
            </w:pPr>
            <w:r>
              <w:rPr>
                <w:color w:val="1C3A36"/>
                <w:sz w:val="16"/>
              </w:rPr>
              <w:t>626</w:t>
            </w:r>
          </w:p>
        </w:tc>
        <w:tc>
          <w:tcPr>
            <w:tcW w:type="dxa" w:w="907"/>
          </w:tcPr>
          <w:p>
            <w:pPr>
              <w:spacing w:after="20"/>
              <w:jc w:val="right"/>
            </w:pPr>
            <w:r>
              <w:rPr>
                <w:color w:val="1C3A36"/>
                <w:sz w:val="16"/>
              </w:rPr>
              <w:t>654</w:t>
            </w:r>
          </w:p>
        </w:tc>
        <w:tc>
          <w:tcPr>
            <w:tcW w:type="dxa" w:w="907"/>
          </w:tcPr>
          <w:p>
            <w:pPr>
              <w:spacing w:after="20"/>
              <w:jc w:val="right"/>
            </w:pPr>
            <w:r>
              <w:rPr>
                <w:color w:val="1C3A36"/>
                <w:sz w:val="16"/>
              </w:rPr>
              <w:t>693</w:t>
            </w:r>
          </w:p>
        </w:tc>
        <w:tc>
          <w:tcPr>
            <w:tcW w:type="dxa" w:w="907"/>
          </w:tcPr>
          <w:p>
            <w:pPr>
              <w:spacing w:after="20"/>
              <w:jc w:val="right"/>
            </w:pPr>
            <w:r>
              <w:rPr>
                <w:color w:val="1C3A36"/>
                <w:sz w:val="16"/>
              </w:rPr>
              <w:t>739</w:t>
            </w:r>
          </w:p>
        </w:tc>
        <w:tc>
          <w:tcPr>
            <w:tcW w:type="dxa" w:w="907"/>
          </w:tcPr>
          <w:p>
            <w:pPr>
              <w:spacing w:after="20"/>
              <w:jc w:val="right"/>
            </w:pPr>
            <w:r>
              <w:rPr>
                <w:color w:val="1C3A36"/>
                <w:sz w:val="16"/>
              </w:rPr>
              <w:t>789</w:t>
            </w:r>
          </w:p>
        </w:tc>
      </w:tr>
      <w:tr>
        <w:tc>
          <w:tcPr>
            <w:tcW w:type="dxa" w:w="2808"/>
          </w:tcPr>
          <w:p>
            <w:pPr>
              <w:spacing w:after="20"/>
            </w:pPr>
            <w:r>
              <w:rPr>
                <w:color w:val="1C3A36"/>
                <w:sz w:val="16"/>
              </w:rPr>
              <w:t>Inventories</w:t>
            </w:r>
          </w:p>
        </w:tc>
        <w:tc>
          <w:tcPr>
            <w:tcW w:type="dxa" w:w="907"/>
          </w:tcPr>
          <w:p>
            <w:pPr>
              <w:spacing w:after="20"/>
              <w:jc w:val="right"/>
            </w:pPr>
            <w:r>
              <w:rPr>
                <w:color w:val="1C3A36"/>
                <w:sz w:val="16"/>
              </w:rPr>
              <w:t>156</w:t>
            </w:r>
          </w:p>
        </w:tc>
        <w:tc>
          <w:tcPr>
            <w:tcW w:type="dxa" w:w="907"/>
          </w:tcPr>
          <w:p>
            <w:pPr>
              <w:spacing w:after="20"/>
              <w:jc w:val="right"/>
            </w:pPr>
            <w:r>
              <w:rPr>
                <w:color w:val="1C3A36"/>
                <w:sz w:val="16"/>
              </w:rPr>
              <w:t>134</w:t>
            </w:r>
          </w:p>
        </w:tc>
        <w:tc>
          <w:tcPr>
            <w:tcW w:type="dxa" w:w="907"/>
          </w:tcPr>
          <w:p>
            <w:pPr>
              <w:spacing w:after="20"/>
              <w:jc w:val="right"/>
            </w:pPr>
            <w:r>
              <w:rPr>
                <w:color w:val="1C3A36"/>
                <w:sz w:val="16"/>
              </w:rPr>
              <w:t>155</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Trade and other receivables</w:t>
            </w:r>
          </w:p>
        </w:tc>
        <w:tc>
          <w:tcPr>
            <w:tcW w:type="dxa" w:w="907"/>
          </w:tcPr>
          <w:p>
            <w:pPr>
              <w:spacing w:after="20"/>
              <w:jc w:val="right"/>
            </w:pPr>
            <w:r>
              <w:rPr>
                <w:color w:val="1C3A36"/>
                <w:sz w:val="16"/>
              </w:rPr>
              <w:t>109</w:t>
            </w:r>
          </w:p>
        </w:tc>
        <w:tc>
          <w:tcPr>
            <w:tcW w:type="dxa" w:w="907"/>
          </w:tcPr>
          <w:p>
            <w:pPr>
              <w:spacing w:after="20"/>
              <w:jc w:val="right"/>
            </w:pPr>
            <w:r>
              <w:rPr>
                <w:color w:val="1C3A36"/>
                <w:sz w:val="16"/>
              </w:rPr>
              <w:t>110</w:t>
            </w:r>
          </w:p>
        </w:tc>
        <w:tc>
          <w:tcPr>
            <w:tcW w:type="dxa" w:w="907"/>
          </w:tcPr>
          <w:p>
            <w:pPr>
              <w:spacing w:after="20"/>
              <w:jc w:val="right"/>
            </w:pPr>
            <w:r>
              <w:rPr>
                <w:color w:val="1C3A36"/>
                <w:sz w:val="16"/>
              </w:rPr>
              <w:t>128</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Cash and bank deposits</w:t>
            </w:r>
          </w:p>
        </w:tc>
        <w:tc>
          <w:tcPr>
            <w:tcW w:type="dxa" w:w="907"/>
          </w:tcPr>
          <w:p>
            <w:pPr>
              <w:spacing w:after="20"/>
              <w:jc w:val="right"/>
            </w:pPr>
            <w:r>
              <w:rPr>
                <w:color w:val="1C3A36"/>
                <w:sz w:val="16"/>
              </w:rPr>
              <w:t>384</w:t>
            </w:r>
          </w:p>
        </w:tc>
        <w:tc>
          <w:tcPr>
            <w:tcW w:type="dxa" w:w="907"/>
          </w:tcPr>
          <w:p>
            <w:pPr>
              <w:spacing w:after="20"/>
              <w:jc w:val="right"/>
            </w:pPr>
            <w:r>
              <w:rPr>
                <w:color w:val="1C3A36"/>
                <w:sz w:val="16"/>
              </w:rPr>
              <w:t>295</w:t>
            </w:r>
          </w:p>
        </w:tc>
        <w:tc>
          <w:tcPr>
            <w:tcW w:type="dxa" w:w="907"/>
          </w:tcPr>
          <w:p>
            <w:pPr>
              <w:spacing w:after="20"/>
              <w:jc w:val="right"/>
            </w:pPr>
            <w:r>
              <w:rPr>
                <w:color w:val="1C3A36"/>
                <w:sz w:val="16"/>
              </w:rPr>
              <w:t>417</w:t>
            </w:r>
          </w:p>
        </w:tc>
        <w:tc>
          <w:tcPr>
            <w:tcW w:type="dxa" w:w="907"/>
          </w:tcPr>
          <w:p>
            <w:pPr>
              <w:spacing w:after="20"/>
              <w:jc w:val="right"/>
            </w:pPr>
            <w:r>
              <w:rPr>
                <w:color w:val="1C3A36"/>
                <w:sz w:val="16"/>
              </w:rPr>
              <w:t>501</w:t>
            </w:r>
          </w:p>
        </w:tc>
        <w:tc>
          <w:tcPr>
            <w:tcW w:type="dxa" w:w="907"/>
          </w:tcPr>
          <w:p>
            <w:pPr>
              <w:spacing w:after="20"/>
              <w:jc w:val="right"/>
            </w:pPr>
            <w:r>
              <w:rPr>
                <w:color w:val="1C3A36"/>
                <w:sz w:val="16"/>
              </w:rPr>
              <w:t>570</w:t>
            </w:r>
          </w:p>
        </w:tc>
        <w:tc>
          <w:tcPr>
            <w:tcW w:type="dxa" w:w="907"/>
          </w:tcPr>
          <w:p>
            <w:pPr>
              <w:spacing w:after="20"/>
              <w:jc w:val="right"/>
            </w:pPr>
            <w:r>
              <w:rPr>
                <w:color w:val="1C3A36"/>
                <w:sz w:val="16"/>
              </w:rPr>
              <w:t>637</w:t>
            </w:r>
          </w:p>
        </w:tc>
        <w:tc>
          <w:tcPr>
            <w:tcW w:type="dxa" w:w="907"/>
          </w:tcPr>
          <w:p>
            <w:pPr>
              <w:spacing w:after="20"/>
              <w:jc w:val="right"/>
            </w:pPr>
            <w:r>
              <w:rPr>
                <w:color w:val="1C3A36"/>
                <w:sz w:val="16"/>
              </w:rPr>
              <w:t>705</w:t>
            </w:r>
          </w:p>
        </w:tc>
        <w:tc>
          <w:tcPr>
            <w:tcW w:type="dxa" w:w="907"/>
          </w:tcPr>
          <w:p>
            <w:pPr>
              <w:spacing w:after="20"/>
              <w:jc w:val="right"/>
            </w:pPr>
            <w:r>
              <w:rPr>
                <w:color w:val="1C3A36"/>
                <w:sz w:val="16"/>
              </w:rPr>
              <w:t>776</w:t>
            </w:r>
          </w:p>
        </w:tc>
      </w:tr>
      <w:tr>
        <w:tc>
          <w:tcPr>
            <w:tcW w:type="dxa" w:w="2808"/>
          </w:tcPr>
          <w:p>
            <w:pPr>
              <w:spacing w:after="20"/>
            </w:pPr>
            <w:r>
              <w:rPr>
                <w:color w:val="1C3A36"/>
                <w:sz w:val="16"/>
              </w:rPr>
              <w:t>Other assets, not broken out in this table (residual)</w:t>
            </w:r>
          </w:p>
        </w:tc>
        <w:tc>
          <w:tcPr>
            <w:tcW w:type="dxa" w:w="907"/>
          </w:tcPr>
          <w:p>
            <w:pPr>
              <w:spacing w:after="20"/>
              <w:jc w:val="right"/>
            </w:pPr>
            <w:r>
              <w:rPr>
                <w:color w:val="1C3A36"/>
                <w:sz w:val="16"/>
              </w:rPr>
              <w:t>10</w:t>
            </w:r>
          </w:p>
        </w:tc>
        <w:tc>
          <w:tcPr>
            <w:tcW w:type="dxa" w:w="907"/>
          </w:tcPr>
          <w:p>
            <w:pPr>
              <w:spacing w:after="20"/>
              <w:jc w:val="right"/>
            </w:pPr>
            <w:r>
              <w:rPr>
                <w:color w:val="1C3A36"/>
                <w:sz w:val="16"/>
              </w:rPr>
              <w:t>10</w:t>
            </w:r>
          </w:p>
        </w:tc>
        <w:tc>
          <w:tcPr>
            <w:tcW w:type="dxa" w:w="907"/>
          </w:tcPr>
          <w:p>
            <w:pPr>
              <w:spacing w:after="20"/>
              <w:jc w:val="right"/>
            </w:pPr>
            <w:r>
              <w:rPr>
                <w:color w:val="1C3A36"/>
                <w:sz w:val="16"/>
              </w:rPr>
              <w:t>14</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Total assets</w:t>
            </w:r>
          </w:p>
        </w:tc>
        <w:tc>
          <w:tcPr>
            <w:tcW w:type="dxa" w:w="907"/>
          </w:tcPr>
          <w:p>
            <w:pPr>
              <w:spacing w:after="20"/>
              <w:jc w:val="right"/>
            </w:pPr>
            <w:r>
              <w:rPr>
                <w:color w:val="1C3A36"/>
                <w:sz w:val="16"/>
              </w:rPr>
              <w:t>1,557</w:t>
            </w:r>
          </w:p>
        </w:tc>
        <w:tc>
          <w:tcPr>
            <w:tcW w:type="dxa" w:w="907"/>
          </w:tcPr>
          <w:p>
            <w:pPr>
              <w:spacing w:after="20"/>
              <w:jc w:val="right"/>
            </w:pPr>
            <w:r>
              <w:rPr>
                <w:color w:val="1C3A36"/>
                <w:sz w:val="16"/>
              </w:rPr>
              <w:t>1,507</w:t>
            </w:r>
          </w:p>
        </w:tc>
        <w:tc>
          <w:tcPr>
            <w:tcW w:type="dxa" w:w="907"/>
          </w:tcPr>
          <w:p>
            <w:pPr>
              <w:spacing w:after="20"/>
              <w:jc w:val="right"/>
            </w:pPr>
            <w:r>
              <w:rPr>
                <w:color w:val="1C3A36"/>
                <w:sz w:val="16"/>
              </w:rPr>
              <w:t>1,734</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Payables, tax and provisions</w:t>
            </w:r>
          </w:p>
        </w:tc>
        <w:tc>
          <w:tcPr>
            <w:tcW w:type="dxa" w:w="907"/>
          </w:tcPr>
          <w:p>
            <w:pPr>
              <w:spacing w:after="20"/>
              <w:jc w:val="right"/>
            </w:pPr>
            <w:r>
              <w:rPr>
                <w:color w:val="1C3A36"/>
                <w:sz w:val="16"/>
              </w:rPr>
              <w:t>487</w:t>
            </w:r>
          </w:p>
        </w:tc>
        <w:tc>
          <w:tcPr>
            <w:tcW w:type="dxa" w:w="907"/>
          </w:tcPr>
          <w:p>
            <w:pPr>
              <w:spacing w:after="20"/>
              <w:jc w:val="right"/>
            </w:pPr>
            <w:r>
              <w:rPr>
                <w:color w:val="1C3A36"/>
                <w:sz w:val="16"/>
              </w:rPr>
              <w:t>440</w:t>
            </w:r>
          </w:p>
        </w:tc>
        <w:tc>
          <w:tcPr>
            <w:tcW w:type="dxa" w:w="907"/>
          </w:tcPr>
          <w:p>
            <w:pPr>
              <w:spacing w:after="20"/>
              <w:jc w:val="right"/>
            </w:pPr>
            <w:r>
              <w:rPr>
                <w:color w:val="1C3A36"/>
                <w:sz w:val="16"/>
              </w:rPr>
              <w:t>531</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Lease liabilities</w:t>
            </w:r>
          </w:p>
        </w:tc>
        <w:tc>
          <w:tcPr>
            <w:tcW w:type="dxa" w:w="907"/>
          </w:tcPr>
          <w:p>
            <w:pPr>
              <w:spacing w:after="20"/>
              <w:jc w:val="right"/>
            </w:pPr>
            <w:r>
              <w:rPr>
                <w:color w:val="1C3A36"/>
                <w:sz w:val="16"/>
              </w:rPr>
              <w:t>507</w:t>
            </w:r>
          </w:p>
        </w:tc>
        <w:tc>
          <w:tcPr>
            <w:tcW w:type="dxa" w:w="907"/>
          </w:tcPr>
          <w:p>
            <w:pPr>
              <w:spacing w:after="20"/>
              <w:jc w:val="right"/>
            </w:pPr>
            <w:r>
              <w:rPr>
                <w:color w:val="1C3A36"/>
                <w:sz w:val="16"/>
              </w:rPr>
              <w:t>579</w:t>
            </w:r>
          </w:p>
        </w:tc>
        <w:tc>
          <w:tcPr>
            <w:tcW w:type="dxa" w:w="907"/>
          </w:tcPr>
          <w:p>
            <w:pPr>
              <w:spacing w:after="20"/>
              <w:jc w:val="right"/>
            </w:pPr>
            <w:r>
              <w:rPr>
                <w:color w:val="1C3A36"/>
                <w:sz w:val="16"/>
              </w:rPr>
              <w:t>637</w:t>
            </w:r>
          </w:p>
        </w:tc>
        <w:tc>
          <w:tcPr>
            <w:tcW w:type="dxa" w:w="907"/>
          </w:tcPr>
          <w:p>
            <w:pPr>
              <w:spacing w:after="20"/>
              <w:jc w:val="right"/>
            </w:pPr>
            <w:r>
              <w:rPr>
                <w:color w:val="1C3A36"/>
                <w:sz w:val="16"/>
              </w:rPr>
              <w:t>669</w:t>
            </w:r>
          </w:p>
        </w:tc>
        <w:tc>
          <w:tcPr>
            <w:tcW w:type="dxa" w:w="907"/>
          </w:tcPr>
          <w:p>
            <w:pPr>
              <w:spacing w:after="20"/>
              <w:jc w:val="right"/>
            </w:pPr>
            <w:r>
              <w:rPr>
                <w:color w:val="1C3A36"/>
                <w:sz w:val="16"/>
              </w:rPr>
              <w:t>702</w:t>
            </w:r>
          </w:p>
        </w:tc>
        <w:tc>
          <w:tcPr>
            <w:tcW w:type="dxa" w:w="907"/>
          </w:tcPr>
          <w:p>
            <w:pPr>
              <w:spacing w:after="20"/>
              <w:jc w:val="right"/>
            </w:pPr>
            <w:r>
              <w:rPr>
                <w:color w:val="1C3A36"/>
                <w:sz w:val="16"/>
              </w:rPr>
              <w:t>736</w:t>
            </w:r>
          </w:p>
        </w:tc>
        <w:tc>
          <w:tcPr>
            <w:tcW w:type="dxa" w:w="907"/>
          </w:tcPr>
          <w:p>
            <w:pPr>
              <w:spacing w:after="20"/>
              <w:jc w:val="right"/>
            </w:pPr>
            <w:r>
              <w:rPr>
                <w:color w:val="1C3A36"/>
                <w:sz w:val="16"/>
              </w:rPr>
              <w:t>772</w:t>
            </w:r>
          </w:p>
        </w:tc>
        <w:tc>
          <w:tcPr>
            <w:tcW w:type="dxa" w:w="907"/>
          </w:tcPr>
          <w:p>
            <w:pPr>
              <w:spacing w:after="20"/>
              <w:jc w:val="right"/>
            </w:pPr>
            <w:r>
              <w:rPr>
                <w:color w:val="1C3A36"/>
                <w:sz w:val="16"/>
              </w:rPr>
              <w:t>809</w:t>
            </w:r>
          </w:p>
        </w:tc>
      </w:tr>
      <w:tr>
        <w:tc>
          <w:tcPr>
            <w:tcW w:type="dxa" w:w="2808"/>
          </w:tcPr>
          <w:p>
            <w:pPr>
              <w:spacing w:after="20"/>
            </w:pPr>
            <w:r>
              <w:rPr>
                <w:color w:val="1C3A36"/>
                <w:sz w:val="16"/>
              </w:rPr>
              <w:t>Bank debt</w:t>
            </w:r>
          </w:p>
        </w:tc>
        <w:tc>
          <w:tcPr>
            <w:tcW w:type="dxa" w:w="907"/>
          </w:tcPr>
          <w:p>
            <w:pPr>
              <w:spacing w:after="20"/>
              <w:jc w:val="right"/>
            </w:pPr>
            <w:r>
              <w:rPr>
                <w:color w:val="1C3A36"/>
                <w:sz w:val="16"/>
              </w:rPr>
              <w:t>4</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Equity attributable to shareholders</w:t>
            </w:r>
          </w:p>
        </w:tc>
        <w:tc>
          <w:tcPr>
            <w:tcW w:type="dxa" w:w="907"/>
          </w:tcPr>
          <w:p>
            <w:pPr>
              <w:spacing w:after="20"/>
              <w:jc w:val="right"/>
            </w:pPr>
            <w:r>
              <w:rPr>
                <w:color w:val="1C3A36"/>
                <w:sz w:val="16"/>
              </w:rPr>
              <w:t>439</w:t>
            </w:r>
          </w:p>
        </w:tc>
        <w:tc>
          <w:tcPr>
            <w:tcW w:type="dxa" w:w="907"/>
          </w:tcPr>
          <w:p>
            <w:pPr>
              <w:spacing w:after="20"/>
              <w:jc w:val="right"/>
            </w:pPr>
            <w:r>
              <w:rPr>
                <w:color w:val="1C3A36"/>
                <w:sz w:val="16"/>
              </w:rPr>
              <w:t>394</w:t>
            </w:r>
          </w:p>
        </w:tc>
        <w:tc>
          <w:tcPr>
            <w:tcW w:type="dxa" w:w="907"/>
          </w:tcPr>
          <w:p>
            <w:pPr>
              <w:spacing w:after="20"/>
              <w:jc w:val="right"/>
            </w:pPr>
            <w:r>
              <w:rPr>
                <w:color w:val="1C3A36"/>
                <w:sz w:val="16"/>
              </w:rPr>
              <w:t>489</w:t>
            </w:r>
          </w:p>
        </w:tc>
        <w:tc>
          <w:tcPr>
            <w:tcW w:type="dxa" w:w="907"/>
          </w:tcPr>
          <w:p>
            <w:pPr>
              <w:spacing w:after="20"/>
              <w:jc w:val="right"/>
            </w:pPr>
            <w:r>
              <w:rPr>
                <w:color w:val="1C3A36"/>
                <w:sz w:val="16"/>
              </w:rPr>
              <w:t>533</w:t>
            </w:r>
          </w:p>
        </w:tc>
        <w:tc>
          <w:tcPr>
            <w:tcW w:type="dxa" w:w="907"/>
          </w:tcPr>
          <w:p>
            <w:pPr>
              <w:spacing w:after="20"/>
              <w:jc w:val="right"/>
            </w:pPr>
            <w:r>
              <w:rPr>
                <w:color w:val="1C3A36"/>
                <w:sz w:val="16"/>
              </w:rPr>
              <w:t>582</w:t>
            </w:r>
          </w:p>
        </w:tc>
        <w:tc>
          <w:tcPr>
            <w:tcW w:type="dxa" w:w="907"/>
          </w:tcPr>
          <w:p>
            <w:pPr>
              <w:spacing w:after="20"/>
              <w:jc w:val="right"/>
            </w:pPr>
            <w:r>
              <w:rPr>
                <w:color w:val="1C3A36"/>
                <w:sz w:val="16"/>
              </w:rPr>
              <w:t>637</w:t>
            </w:r>
          </w:p>
        </w:tc>
        <w:tc>
          <w:tcPr>
            <w:tcW w:type="dxa" w:w="907"/>
          </w:tcPr>
          <w:p>
            <w:pPr>
              <w:spacing w:after="20"/>
              <w:jc w:val="right"/>
            </w:pPr>
            <w:r>
              <w:rPr>
                <w:color w:val="1C3A36"/>
                <w:sz w:val="16"/>
              </w:rPr>
              <w:t>696</w:t>
            </w:r>
          </w:p>
        </w:tc>
        <w:tc>
          <w:tcPr>
            <w:tcW w:type="dxa" w:w="907"/>
          </w:tcPr>
          <w:p>
            <w:pPr>
              <w:spacing w:after="20"/>
              <w:jc w:val="right"/>
            </w:pPr>
            <w:r>
              <w:rPr>
                <w:color w:val="1C3A36"/>
                <w:sz w:val="16"/>
              </w:rPr>
              <w:t>760</w:t>
            </w:r>
          </w:p>
        </w:tc>
      </w:tr>
      <w:tr>
        <w:tc>
          <w:tcPr>
            <w:tcW w:type="dxa" w:w="2808"/>
          </w:tcPr>
          <w:p>
            <w:pPr>
              <w:spacing w:after="20"/>
            </w:pPr>
            <w:r>
              <w:rPr>
                <w:color w:val="1C3A36"/>
                <w:sz w:val="16"/>
              </w:rPr>
              <w:t>Net working capital</w:t>
            </w:r>
          </w:p>
        </w:tc>
        <w:tc>
          <w:tcPr>
            <w:tcW w:type="dxa" w:w="907"/>
          </w:tcPr>
          <w:p>
            <w:pPr>
              <w:spacing w:after="20"/>
              <w:jc w:val="right"/>
            </w:pPr>
            <w:r>
              <w:rPr>
                <w:color w:val="1C3A36"/>
                <w:sz w:val="16"/>
              </w:rPr>
              <w:t>(222)</w:t>
            </w:r>
          </w:p>
        </w:tc>
        <w:tc>
          <w:tcPr>
            <w:tcW w:type="dxa" w:w="907"/>
          </w:tcPr>
          <w:p>
            <w:pPr>
              <w:spacing w:after="20"/>
              <w:jc w:val="right"/>
            </w:pPr>
            <w:r>
              <w:rPr>
                <w:color w:val="1C3A36"/>
                <w:sz w:val="16"/>
              </w:rPr>
              <w:t>(195)</w:t>
            </w:r>
          </w:p>
        </w:tc>
        <w:tc>
          <w:tcPr>
            <w:tcW w:type="dxa" w:w="907"/>
          </w:tcPr>
          <w:p>
            <w:pPr>
              <w:spacing w:after="20"/>
              <w:jc w:val="right"/>
            </w:pPr>
            <w:r>
              <w:rPr>
                <w:color w:val="1C3A36"/>
                <w:sz w:val="16"/>
              </w:rPr>
              <w:t>(248)</w:t>
            </w:r>
          </w:p>
        </w:tc>
        <w:tc>
          <w:tcPr>
            <w:tcW w:type="dxa" w:w="907"/>
          </w:tcPr>
          <w:p>
            <w:pPr>
              <w:spacing w:after="20"/>
              <w:jc w:val="right"/>
            </w:pPr>
            <w:r>
              <w:rPr>
                <w:color w:val="1C3A36"/>
                <w:sz w:val="16"/>
              </w:rPr>
              <w:t>(275)</w:t>
            </w:r>
          </w:p>
        </w:tc>
        <w:tc>
          <w:tcPr>
            <w:tcW w:type="dxa" w:w="907"/>
          </w:tcPr>
          <w:p>
            <w:pPr>
              <w:spacing w:after="20"/>
              <w:jc w:val="right"/>
            </w:pPr>
            <w:r>
              <w:rPr>
                <w:color w:val="1C3A36"/>
                <w:sz w:val="16"/>
              </w:rPr>
              <w:t>(297)</w:t>
            </w:r>
          </w:p>
        </w:tc>
        <w:tc>
          <w:tcPr>
            <w:tcW w:type="dxa" w:w="907"/>
          </w:tcPr>
          <w:p>
            <w:pPr>
              <w:spacing w:after="20"/>
              <w:jc w:val="right"/>
            </w:pPr>
            <w:r>
              <w:rPr>
                <w:color w:val="1C3A36"/>
                <w:sz w:val="16"/>
              </w:rPr>
              <w:t>(322)</w:t>
            </w:r>
          </w:p>
        </w:tc>
        <w:tc>
          <w:tcPr>
            <w:tcW w:type="dxa" w:w="907"/>
          </w:tcPr>
          <w:p>
            <w:pPr>
              <w:spacing w:after="20"/>
              <w:jc w:val="right"/>
            </w:pPr>
            <w:r>
              <w:rPr>
                <w:color w:val="1C3A36"/>
                <w:sz w:val="16"/>
              </w:rPr>
              <w:t>(346)</w:t>
            </w:r>
          </w:p>
        </w:tc>
        <w:tc>
          <w:tcPr>
            <w:tcW w:type="dxa" w:w="907"/>
          </w:tcPr>
          <w:p>
            <w:pPr>
              <w:spacing w:after="20"/>
              <w:jc w:val="right"/>
            </w:pPr>
            <w:r>
              <w:rPr>
                <w:color w:val="1C3A36"/>
                <w:sz w:val="16"/>
              </w:rPr>
              <w:t>(371)</w:t>
            </w:r>
          </w:p>
        </w:tc>
      </w:tr>
      <w:tr>
        <w:tc>
          <w:tcPr>
            <w:tcW w:type="dxa" w:w="2808"/>
          </w:tcPr>
          <w:p>
            <w:pPr>
              <w:spacing w:after="20"/>
            </w:pPr>
            <w:r>
              <w:rPr>
                <w:color w:val="1C3A36"/>
                <w:sz w:val="16"/>
              </w:rPr>
              <w:t>Net debt</w:t>
            </w:r>
          </w:p>
        </w:tc>
        <w:tc>
          <w:tcPr>
            <w:tcW w:type="dxa" w:w="907"/>
          </w:tcPr>
          <w:p>
            <w:pPr>
              <w:spacing w:after="20"/>
              <w:jc w:val="right"/>
            </w:pPr>
            <w:r>
              <w:rPr>
                <w:color w:val="1C3A36"/>
                <w:sz w:val="16"/>
              </w:rPr>
              <w:t>128</w:t>
            </w:r>
          </w:p>
        </w:tc>
        <w:tc>
          <w:tcPr>
            <w:tcW w:type="dxa" w:w="907"/>
          </w:tcPr>
          <w:p>
            <w:pPr>
              <w:spacing w:after="20"/>
              <w:jc w:val="right"/>
            </w:pPr>
            <w:r>
              <w:rPr>
                <w:color w:val="1C3A36"/>
                <w:sz w:val="16"/>
              </w:rPr>
              <w:t>284</w:t>
            </w:r>
          </w:p>
        </w:tc>
        <w:tc>
          <w:tcPr>
            <w:tcW w:type="dxa" w:w="907"/>
          </w:tcPr>
          <w:p>
            <w:pPr>
              <w:spacing w:after="20"/>
              <w:jc w:val="right"/>
            </w:pPr>
            <w:r>
              <w:rPr>
                <w:color w:val="1C3A36"/>
                <w:sz w:val="16"/>
              </w:rPr>
              <w:t>220</w:t>
            </w:r>
          </w:p>
        </w:tc>
        <w:tc>
          <w:tcPr>
            <w:tcW w:type="dxa" w:w="907"/>
          </w:tcPr>
          <w:p>
            <w:pPr>
              <w:spacing w:after="20"/>
              <w:jc w:val="right"/>
            </w:pPr>
            <w:r>
              <w:rPr>
                <w:color w:val="1C3A36"/>
                <w:sz w:val="16"/>
              </w:rPr>
              <w:t>168</w:t>
            </w:r>
          </w:p>
        </w:tc>
        <w:tc>
          <w:tcPr>
            <w:tcW w:type="dxa" w:w="907"/>
          </w:tcPr>
          <w:p>
            <w:pPr>
              <w:spacing w:after="20"/>
              <w:jc w:val="right"/>
            </w:pPr>
            <w:r>
              <w:rPr>
                <w:color w:val="1C3A36"/>
                <w:sz w:val="16"/>
              </w:rPr>
              <w:t>133</w:t>
            </w:r>
          </w:p>
        </w:tc>
        <w:tc>
          <w:tcPr>
            <w:tcW w:type="dxa" w:w="907"/>
          </w:tcPr>
          <w:p>
            <w:pPr>
              <w:spacing w:after="20"/>
              <w:jc w:val="right"/>
            </w:pPr>
            <w:r>
              <w:rPr>
                <w:color w:val="1C3A36"/>
                <w:sz w:val="16"/>
              </w:rPr>
              <w:t>100</w:t>
            </w:r>
          </w:p>
        </w:tc>
        <w:tc>
          <w:tcPr>
            <w:tcW w:type="dxa" w:w="907"/>
          </w:tcPr>
          <w:p>
            <w:pPr>
              <w:spacing w:after="20"/>
              <w:jc w:val="right"/>
            </w:pPr>
            <w:r>
              <w:rPr>
                <w:color w:val="1C3A36"/>
                <w:sz w:val="16"/>
              </w:rPr>
              <w:t>67</w:t>
            </w:r>
          </w:p>
        </w:tc>
        <w:tc>
          <w:tcPr>
            <w:tcW w:type="dxa" w:w="907"/>
          </w:tcPr>
          <w:p>
            <w:pPr>
              <w:spacing w:after="20"/>
              <w:jc w:val="right"/>
            </w:pPr>
            <w:r>
              <w:rPr>
                <w:color w:val="1C3A36"/>
                <w:sz w:val="16"/>
              </w:rPr>
              <w:t>32</w:t>
            </w:r>
          </w:p>
        </w:tc>
      </w:tr>
    </w:tbl>
    <w:p>
      <w:pPr>
        <w:spacing w:after="40"/>
      </w:pPr>
    </w:p>
    <w:p>
      <w:pPr>
        <w:spacing w:after="200" w:before="0"/>
      </w:pPr>
      <w:r>
        <w:rPr>
          <w:b w:val="0"/>
          <w:i/>
          <w:color w:val="6E7B77"/>
          <w:sz w:val="17"/>
        </w:rPr>
        <w:t>A condensed layout: it does not foot to zero, because provisions, the employee end-of-service liability, deferred tax and related-party balances are not shown separately. Every historical line is the audited closing figure.</w:t>
      </w:r>
    </w:p>
    <w:p>
      <w:pPr>
        <w:spacing w:after="80" w:before="200"/>
      </w:pPr>
      <w:r>
        <w:rPr>
          <w:b/>
          <w:i w:val="0"/>
          <w:color w:val="1C3A36"/>
          <w:sz w:val="24"/>
        </w:rPr>
        <w:t>A.3  Cash flow and the forecast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907"/>
        <w:gridCol w:w="907"/>
        <w:gridCol w:w="907"/>
        <w:gridCol w:w="907"/>
        <w:gridCol w:w="907"/>
        <w:gridCol w:w="907"/>
        <w:gridCol w:w="907"/>
        <w:gridCol w:w="907"/>
      </w:tblGrid>
      <w:tr>
        <w:tc>
          <w:tcPr>
            <w:tcW w:type="dxa" w:w="2808"/>
            <w:shd w:val="clear" w:color="auto" w:fill="EAF0EE"/>
          </w:tcPr>
          <w:p>
            <w:pPr>
              <w:spacing w:after="20"/>
            </w:pPr>
            <w:r>
              <w:rPr>
                <w:b/>
                <w:color w:val="1C3A36"/>
                <w:sz w:val="16"/>
              </w:rPr>
              <w:t>USD million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FY2026E</w:t>
            </w:r>
          </w:p>
        </w:tc>
        <w:tc>
          <w:tcPr>
            <w:tcW w:type="dxa" w:w="907"/>
            <w:shd w:val="clear" w:color="auto" w:fill="EAF0EE"/>
          </w:tcPr>
          <w:p>
            <w:pPr>
              <w:spacing w:after="20"/>
            </w:pPr>
            <w:r>
              <w:rPr>
                <w:b/>
                <w:color w:val="1C3A36"/>
                <w:sz w:val="16"/>
              </w:rPr>
              <w:t>FY2027E</w:t>
            </w:r>
          </w:p>
        </w:tc>
        <w:tc>
          <w:tcPr>
            <w:tcW w:type="dxa" w:w="907"/>
            <w:shd w:val="clear" w:color="auto" w:fill="EAF0EE"/>
          </w:tcPr>
          <w:p>
            <w:pPr>
              <w:spacing w:after="20"/>
            </w:pPr>
            <w:r>
              <w:rPr>
                <w:b/>
                <w:color w:val="1C3A36"/>
                <w:sz w:val="16"/>
              </w:rPr>
              <w:t>FY2028E</w:t>
            </w:r>
          </w:p>
        </w:tc>
        <w:tc>
          <w:tcPr>
            <w:tcW w:type="dxa" w:w="907"/>
            <w:shd w:val="clear" w:color="auto" w:fill="EAF0EE"/>
          </w:tcPr>
          <w:p>
            <w:pPr>
              <w:spacing w:after="20"/>
            </w:pPr>
            <w:r>
              <w:rPr>
                <w:b/>
                <w:color w:val="1C3A36"/>
                <w:sz w:val="16"/>
              </w:rPr>
              <w:t>FY2029E</w:t>
            </w:r>
          </w:p>
        </w:tc>
        <w:tc>
          <w:tcPr>
            <w:tcW w:type="dxa" w:w="907"/>
            <w:shd w:val="clear" w:color="auto" w:fill="EAF0EE"/>
          </w:tcPr>
          <w:p>
            <w:pPr>
              <w:spacing w:after="20"/>
            </w:pPr>
            <w:r>
              <w:rPr>
                <w:b/>
                <w:color w:val="1C3A36"/>
                <w:sz w:val="16"/>
              </w:rPr>
              <w:t>FY2030E</w:t>
            </w:r>
          </w:p>
        </w:tc>
      </w:tr>
      <w:tr>
        <w:tc>
          <w:tcPr>
            <w:tcW w:type="dxa" w:w="2808"/>
          </w:tcPr>
          <w:p>
            <w:pPr>
              <w:spacing w:after="20"/>
            </w:pPr>
            <w:r>
              <w:rPr>
                <w:color w:val="1C3A36"/>
                <w:sz w:val="16"/>
              </w:rPr>
              <w:t>EBITDA</w:t>
            </w:r>
          </w:p>
        </w:tc>
        <w:tc>
          <w:tcPr>
            <w:tcW w:type="dxa" w:w="907"/>
          </w:tcPr>
          <w:p>
            <w:pPr>
              <w:spacing w:after="20"/>
              <w:jc w:val="right"/>
            </w:pPr>
            <w:r>
              <w:rPr>
                <w:color w:val="1C3A36"/>
                <w:sz w:val="16"/>
              </w:rPr>
              <w:t>546</w:t>
            </w:r>
          </w:p>
        </w:tc>
        <w:tc>
          <w:tcPr>
            <w:tcW w:type="dxa" w:w="907"/>
          </w:tcPr>
          <w:p>
            <w:pPr>
              <w:spacing w:after="20"/>
              <w:jc w:val="right"/>
            </w:pPr>
            <w:r>
              <w:rPr>
                <w:color w:val="1C3A36"/>
                <w:sz w:val="16"/>
              </w:rPr>
              <w:t>484</w:t>
            </w:r>
          </w:p>
        </w:tc>
        <w:tc>
          <w:tcPr>
            <w:tcW w:type="dxa" w:w="907"/>
          </w:tcPr>
          <w:p>
            <w:pPr>
              <w:spacing w:after="20"/>
              <w:jc w:val="right"/>
            </w:pPr>
            <w:r>
              <w:rPr>
                <w:color w:val="1C3A36"/>
                <w:sz w:val="16"/>
              </w:rPr>
              <w:t>596</w:t>
            </w:r>
          </w:p>
        </w:tc>
        <w:tc>
          <w:tcPr>
            <w:tcW w:type="dxa" w:w="907"/>
          </w:tcPr>
          <w:p>
            <w:pPr>
              <w:spacing w:after="20"/>
              <w:jc w:val="right"/>
            </w:pPr>
            <w:r>
              <w:rPr>
                <w:color w:val="1C3A36"/>
                <w:sz w:val="16"/>
              </w:rPr>
              <w:t>708</w:t>
            </w:r>
          </w:p>
        </w:tc>
        <w:tc>
          <w:tcPr>
            <w:tcW w:type="dxa" w:w="907"/>
          </w:tcPr>
          <w:p>
            <w:pPr>
              <w:spacing w:after="20"/>
              <w:jc w:val="right"/>
            </w:pPr>
            <w:r>
              <w:rPr>
                <w:color w:val="1C3A36"/>
                <w:sz w:val="16"/>
              </w:rPr>
              <w:t>760</w:t>
            </w:r>
          </w:p>
        </w:tc>
        <w:tc>
          <w:tcPr>
            <w:tcW w:type="dxa" w:w="907"/>
          </w:tcPr>
          <w:p>
            <w:pPr>
              <w:spacing w:after="20"/>
              <w:jc w:val="right"/>
            </w:pPr>
            <w:r>
              <w:rPr>
                <w:color w:val="1C3A36"/>
                <w:sz w:val="16"/>
              </w:rPr>
              <w:t>819</w:t>
            </w:r>
          </w:p>
        </w:tc>
        <w:tc>
          <w:tcPr>
            <w:tcW w:type="dxa" w:w="907"/>
          </w:tcPr>
          <w:p>
            <w:pPr>
              <w:spacing w:after="20"/>
              <w:jc w:val="right"/>
            </w:pPr>
            <w:r>
              <w:rPr>
                <w:color w:val="1C3A36"/>
                <w:sz w:val="16"/>
              </w:rPr>
              <w:t>876</w:t>
            </w:r>
          </w:p>
        </w:tc>
        <w:tc>
          <w:tcPr>
            <w:tcW w:type="dxa" w:w="907"/>
          </w:tcPr>
          <w:p>
            <w:pPr>
              <w:spacing w:after="20"/>
              <w:jc w:val="right"/>
            </w:pPr>
            <w:r>
              <w:rPr>
                <w:color w:val="1C3A36"/>
                <w:sz w:val="16"/>
              </w:rPr>
              <w:t>934</w:t>
            </w:r>
          </w:p>
        </w:tc>
      </w:tr>
      <w:tr>
        <w:tc>
          <w:tcPr>
            <w:tcW w:type="dxa" w:w="2808"/>
          </w:tcPr>
          <w:p>
            <w:pPr>
              <w:spacing w:after="20"/>
            </w:pPr>
            <w:r>
              <w:rPr>
                <w:color w:val="1C3A36"/>
                <w:sz w:val="16"/>
              </w:rPr>
              <w:t>Owned capital expenditure</w:t>
            </w:r>
          </w:p>
        </w:tc>
        <w:tc>
          <w:tcPr>
            <w:tcW w:type="dxa" w:w="907"/>
          </w:tcPr>
          <w:p>
            <w:pPr>
              <w:spacing w:after="20"/>
              <w:jc w:val="right"/>
            </w:pPr>
            <w:r>
              <w:rPr>
                <w:color w:val="1C3A36"/>
                <w:sz w:val="16"/>
              </w:rPr>
              <w:t>(150)</w:t>
            </w:r>
          </w:p>
        </w:tc>
        <w:tc>
          <w:tcPr>
            <w:tcW w:type="dxa" w:w="907"/>
          </w:tcPr>
          <w:p>
            <w:pPr>
              <w:spacing w:after="20"/>
              <w:jc w:val="right"/>
            </w:pPr>
            <w:r>
              <w:rPr>
                <w:color w:val="1C3A36"/>
                <w:sz w:val="16"/>
              </w:rPr>
              <w:t>(124)</w:t>
            </w:r>
          </w:p>
        </w:tc>
        <w:tc>
          <w:tcPr>
            <w:tcW w:type="dxa" w:w="907"/>
          </w:tcPr>
          <w:p>
            <w:pPr>
              <w:spacing w:after="20"/>
              <w:jc w:val="right"/>
            </w:pPr>
            <w:r>
              <w:rPr>
                <w:color w:val="1C3A36"/>
                <w:sz w:val="16"/>
              </w:rPr>
              <w:t>(109)</w:t>
            </w:r>
          </w:p>
        </w:tc>
        <w:tc>
          <w:tcPr>
            <w:tcW w:type="dxa" w:w="907"/>
          </w:tcPr>
          <w:p>
            <w:pPr>
              <w:spacing w:after="20"/>
              <w:jc w:val="right"/>
            </w:pPr>
            <w:r>
              <w:rPr>
                <w:color w:val="1C3A36"/>
                <w:sz w:val="16"/>
              </w:rPr>
              <w:t>(119)</w:t>
            </w:r>
          </w:p>
        </w:tc>
        <w:tc>
          <w:tcPr>
            <w:tcW w:type="dxa" w:w="907"/>
          </w:tcPr>
          <w:p>
            <w:pPr>
              <w:spacing w:after="20"/>
              <w:jc w:val="right"/>
            </w:pPr>
            <w:r>
              <w:rPr>
                <w:color w:val="1C3A36"/>
                <w:sz w:val="16"/>
              </w:rPr>
              <w:t>(126)</w:t>
            </w:r>
          </w:p>
        </w:tc>
        <w:tc>
          <w:tcPr>
            <w:tcW w:type="dxa" w:w="907"/>
          </w:tcPr>
          <w:p>
            <w:pPr>
              <w:spacing w:after="20"/>
              <w:jc w:val="right"/>
            </w:pPr>
            <w:r>
              <w:rPr>
                <w:color w:val="1C3A36"/>
                <w:sz w:val="16"/>
              </w:rPr>
              <w:t>(131)</w:t>
            </w:r>
          </w:p>
        </w:tc>
        <w:tc>
          <w:tcPr>
            <w:tcW w:type="dxa" w:w="907"/>
          </w:tcPr>
          <w:p>
            <w:pPr>
              <w:spacing w:after="20"/>
              <w:jc w:val="right"/>
            </w:pPr>
            <w:r>
              <w:rPr>
                <w:color w:val="1C3A36"/>
                <w:sz w:val="16"/>
              </w:rPr>
              <w:t>(134)</w:t>
            </w:r>
          </w:p>
        </w:tc>
        <w:tc>
          <w:tcPr>
            <w:tcW w:type="dxa" w:w="907"/>
          </w:tcPr>
          <w:p>
            <w:pPr>
              <w:spacing w:after="20"/>
              <w:jc w:val="right"/>
            </w:pPr>
            <w:r>
              <w:rPr>
                <w:color w:val="1C3A36"/>
                <w:sz w:val="16"/>
              </w:rPr>
              <w:t>(137)</w:t>
            </w:r>
          </w:p>
        </w:tc>
      </w:tr>
      <w:tr>
        <w:tc>
          <w:tcPr>
            <w:tcW w:type="dxa" w:w="2808"/>
          </w:tcPr>
          <w:p>
            <w:pPr>
              <w:spacing w:after="20"/>
            </w:pPr>
            <w:r>
              <w:rPr>
                <w:color w:val="1C3A36"/>
                <w:sz w:val="16"/>
              </w:rPr>
              <w:t>Additions to right-of-use assets</w:t>
            </w:r>
          </w:p>
        </w:tc>
        <w:tc>
          <w:tcPr>
            <w:tcW w:type="dxa" w:w="907"/>
          </w:tcPr>
          <w:p>
            <w:pPr>
              <w:spacing w:after="20"/>
              <w:jc w:val="right"/>
            </w:pPr>
            <w:r>
              <w:rPr>
                <w:color w:val="1C3A36"/>
                <w:sz w:val="16"/>
              </w:rPr>
              <w:t>—</w:t>
            </w:r>
          </w:p>
        </w:tc>
        <w:tc>
          <w:tcPr>
            <w:tcW w:type="dxa" w:w="907"/>
          </w:tcPr>
          <w:p>
            <w:pPr>
              <w:spacing w:after="20"/>
              <w:jc w:val="right"/>
            </w:pPr>
            <w:r>
              <w:rPr>
                <w:color w:val="1C3A36"/>
                <w:sz w:val="16"/>
              </w:rPr>
              <w:t>279</w:t>
            </w:r>
          </w:p>
        </w:tc>
        <w:tc>
          <w:tcPr>
            <w:tcW w:type="dxa" w:w="907"/>
          </w:tcPr>
          <w:p>
            <w:pPr>
              <w:spacing w:after="20"/>
              <w:jc w:val="right"/>
            </w:pPr>
            <w:r>
              <w:rPr>
                <w:color w:val="1C3A36"/>
                <w:sz w:val="16"/>
              </w:rPr>
              <w:t>255</w:t>
            </w:r>
          </w:p>
        </w:tc>
        <w:tc>
          <w:tcPr>
            <w:tcW w:type="dxa" w:w="907"/>
          </w:tcPr>
          <w:p>
            <w:pPr>
              <w:spacing w:after="20"/>
              <w:jc w:val="right"/>
            </w:pPr>
            <w:r>
              <w:rPr>
                <w:color w:val="1C3A36"/>
                <w:sz w:val="16"/>
              </w:rPr>
              <w:t>237</w:t>
            </w:r>
          </w:p>
        </w:tc>
        <w:tc>
          <w:tcPr>
            <w:tcW w:type="dxa" w:w="907"/>
          </w:tcPr>
          <w:p>
            <w:pPr>
              <w:spacing w:after="20"/>
              <w:jc w:val="right"/>
            </w:pPr>
            <w:r>
              <w:rPr>
                <w:color w:val="1C3A36"/>
                <w:sz w:val="16"/>
              </w:rPr>
              <w:t>256</w:t>
            </w:r>
          </w:p>
        </w:tc>
        <w:tc>
          <w:tcPr>
            <w:tcW w:type="dxa" w:w="907"/>
          </w:tcPr>
          <w:p>
            <w:pPr>
              <w:spacing w:after="20"/>
              <w:jc w:val="right"/>
            </w:pPr>
            <w:r>
              <w:rPr>
                <w:color w:val="1C3A36"/>
                <w:sz w:val="16"/>
              </w:rPr>
              <w:t>277</w:t>
            </w:r>
          </w:p>
        </w:tc>
        <w:tc>
          <w:tcPr>
            <w:tcW w:type="dxa" w:w="907"/>
          </w:tcPr>
          <w:p>
            <w:pPr>
              <w:spacing w:after="20"/>
              <w:jc w:val="right"/>
            </w:pPr>
            <w:r>
              <w:rPr>
                <w:color w:val="1C3A36"/>
                <w:sz w:val="16"/>
              </w:rPr>
              <w:t>298</w:t>
            </w:r>
          </w:p>
        </w:tc>
        <w:tc>
          <w:tcPr>
            <w:tcW w:type="dxa" w:w="907"/>
          </w:tcPr>
          <w:p>
            <w:pPr>
              <w:spacing w:after="20"/>
              <w:jc w:val="right"/>
            </w:pPr>
            <w:r>
              <w:rPr>
                <w:color w:val="1C3A36"/>
                <w:sz w:val="16"/>
              </w:rPr>
              <w:t>319</w:t>
            </w:r>
          </w:p>
        </w:tc>
      </w:tr>
      <w:tr>
        <w:tc>
          <w:tcPr>
            <w:tcW w:type="dxa" w:w="2808"/>
          </w:tcPr>
          <w:p>
            <w:pPr>
              <w:spacing w:after="20"/>
            </w:pPr>
            <w:r>
              <w:rPr>
                <w:color w:val="1C3A36"/>
                <w:sz w:val="16"/>
              </w:rPr>
              <w:t>Lease payments — principal and interest</w:t>
            </w:r>
          </w:p>
        </w:tc>
        <w:tc>
          <w:tcPr>
            <w:tcW w:type="dxa" w:w="907"/>
          </w:tcPr>
          <w:p>
            <w:pPr>
              <w:spacing w:after="20"/>
              <w:jc w:val="right"/>
            </w:pPr>
            <w:r>
              <w:rPr>
                <w:color w:val="1C3A36"/>
                <w:sz w:val="16"/>
              </w:rPr>
              <w:t>(200)</w:t>
            </w:r>
          </w:p>
        </w:tc>
        <w:tc>
          <w:tcPr>
            <w:tcW w:type="dxa" w:w="907"/>
          </w:tcPr>
          <w:p>
            <w:pPr>
              <w:spacing w:after="20"/>
              <w:jc w:val="right"/>
            </w:pPr>
            <w:r>
              <w:rPr>
                <w:color w:val="1C3A36"/>
                <w:sz w:val="16"/>
              </w:rPr>
              <w:t>(212)</w:t>
            </w:r>
          </w:p>
        </w:tc>
        <w:tc>
          <w:tcPr>
            <w:tcW w:type="dxa" w:w="907"/>
          </w:tcPr>
          <w:p>
            <w:pPr>
              <w:spacing w:after="20"/>
              <w:jc w:val="right"/>
            </w:pPr>
            <w:r>
              <w:rPr>
                <w:color w:val="1C3A36"/>
                <w:sz w:val="16"/>
              </w:rPr>
              <w:t>(233)</w:t>
            </w:r>
          </w:p>
        </w:tc>
        <w:tc>
          <w:tcPr>
            <w:tcW w:type="dxa" w:w="907"/>
          </w:tcPr>
          <w:p>
            <w:pPr>
              <w:spacing w:after="20"/>
              <w:jc w:val="right"/>
            </w:pPr>
            <w:r>
              <w:rPr>
                <w:color w:val="1C3A36"/>
                <w:sz w:val="16"/>
              </w:rPr>
              <w:t>(248)</w:t>
            </w:r>
          </w:p>
        </w:tc>
        <w:tc>
          <w:tcPr>
            <w:tcW w:type="dxa" w:w="907"/>
          </w:tcPr>
          <w:p>
            <w:pPr>
              <w:spacing w:after="20"/>
              <w:jc w:val="right"/>
            </w:pPr>
            <w:r>
              <w:rPr>
                <w:color w:val="1C3A36"/>
                <w:sz w:val="16"/>
              </w:rPr>
              <w:t>(268)</w:t>
            </w:r>
          </w:p>
        </w:tc>
        <w:tc>
          <w:tcPr>
            <w:tcW w:type="dxa" w:w="907"/>
          </w:tcPr>
          <w:p>
            <w:pPr>
              <w:spacing w:after="20"/>
              <w:jc w:val="right"/>
            </w:pPr>
            <w:r>
              <w:rPr>
                <w:color w:val="1C3A36"/>
                <w:sz w:val="16"/>
              </w:rPr>
              <w:t>(290)</w:t>
            </w:r>
          </w:p>
        </w:tc>
        <w:tc>
          <w:tcPr>
            <w:tcW w:type="dxa" w:w="907"/>
          </w:tcPr>
          <w:p>
            <w:pPr>
              <w:spacing w:after="20"/>
              <w:jc w:val="right"/>
            </w:pPr>
            <w:r>
              <w:rPr>
                <w:color w:val="1C3A36"/>
                <w:sz w:val="16"/>
              </w:rPr>
              <w:t>(312)</w:t>
            </w:r>
          </w:p>
        </w:tc>
        <w:tc>
          <w:tcPr>
            <w:tcW w:type="dxa" w:w="907"/>
          </w:tcPr>
          <w:p>
            <w:pPr>
              <w:spacing w:after="20"/>
              <w:jc w:val="right"/>
            </w:pPr>
            <w:r>
              <w:rPr>
                <w:color w:val="1C3A36"/>
                <w:sz w:val="16"/>
              </w:rPr>
              <w:t>(334)</w:t>
            </w:r>
          </w:p>
        </w:tc>
      </w:tr>
      <w:tr>
        <w:tc>
          <w:tcPr>
            <w:tcW w:type="dxa" w:w="2808"/>
          </w:tcPr>
          <w:p>
            <w:pPr>
              <w:spacing w:after="20"/>
            </w:pPr>
            <w:r>
              <w:rPr>
                <w:color w:val="1C3A36"/>
                <w:sz w:val="16"/>
              </w:rPr>
              <w:t>Income tax and zakat</w:t>
            </w:r>
          </w:p>
        </w:tc>
        <w:tc>
          <w:tcPr>
            <w:tcW w:type="dxa" w:w="907"/>
          </w:tcPr>
          <w:p>
            <w:pPr>
              <w:spacing w:after="20"/>
              <w:jc w:val="right"/>
            </w:pPr>
            <w:r>
              <w:rPr>
                <w:color w:val="1C3A36"/>
                <w:sz w:val="16"/>
              </w:rPr>
              <w:t>(13)</w:t>
            </w:r>
          </w:p>
        </w:tc>
        <w:tc>
          <w:tcPr>
            <w:tcW w:type="dxa" w:w="907"/>
          </w:tcPr>
          <w:p>
            <w:pPr>
              <w:spacing w:after="20"/>
              <w:jc w:val="right"/>
            </w:pPr>
            <w:r>
              <w:rPr>
                <w:color w:val="1C3A36"/>
                <w:sz w:val="16"/>
              </w:rPr>
              <w:t>(21)</w:t>
            </w:r>
          </w:p>
        </w:tc>
        <w:tc>
          <w:tcPr>
            <w:tcW w:type="dxa" w:w="907"/>
          </w:tcPr>
          <w:p>
            <w:pPr>
              <w:spacing w:after="20"/>
              <w:jc w:val="right"/>
            </w:pPr>
            <w:r>
              <w:rPr>
                <w:color w:val="1C3A36"/>
                <w:sz w:val="16"/>
              </w:rPr>
              <w:t>(36)</w:t>
            </w:r>
          </w:p>
        </w:tc>
        <w:tc>
          <w:tcPr>
            <w:tcW w:type="dxa" w:w="907"/>
          </w:tcPr>
          <w:p>
            <w:pPr>
              <w:spacing w:after="20"/>
              <w:jc w:val="right"/>
            </w:pPr>
            <w:r>
              <w:rPr>
                <w:color w:val="1C3A36"/>
                <w:sz w:val="16"/>
              </w:rPr>
              <w:t>(50)</w:t>
            </w:r>
          </w:p>
        </w:tc>
        <w:tc>
          <w:tcPr>
            <w:tcW w:type="dxa" w:w="907"/>
          </w:tcPr>
          <w:p>
            <w:pPr>
              <w:spacing w:after="20"/>
              <w:jc w:val="right"/>
            </w:pPr>
            <w:r>
              <w:rPr>
                <w:color w:val="1C3A36"/>
                <w:sz w:val="16"/>
              </w:rPr>
              <w:t>(58)</w:t>
            </w:r>
          </w:p>
        </w:tc>
        <w:tc>
          <w:tcPr>
            <w:tcW w:type="dxa" w:w="907"/>
          </w:tcPr>
          <w:p>
            <w:pPr>
              <w:spacing w:after="20"/>
              <w:jc w:val="right"/>
            </w:pPr>
            <w:r>
              <w:rPr>
                <w:color w:val="1C3A36"/>
                <w:sz w:val="16"/>
              </w:rPr>
              <w:t>(67)</w:t>
            </w:r>
          </w:p>
        </w:tc>
        <w:tc>
          <w:tcPr>
            <w:tcW w:type="dxa" w:w="907"/>
          </w:tcPr>
          <w:p>
            <w:pPr>
              <w:spacing w:after="20"/>
              <w:jc w:val="right"/>
            </w:pPr>
            <w:r>
              <w:rPr>
                <w:color w:val="1C3A36"/>
                <w:sz w:val="16"/>
              </w:rPr>
              <w:t>(75)</w:t>
            </w:r>
          </w:p>
        </w:tc>
        <w:tc>
          <w:tcPr>
            <w:tcW w:type="dxa" w:w="907"/>
          </w:tcPr>
          <w:p>
            <w:pPr>
              <w:spacing w:after="20"/>
              <w:jc w:val="right"/>
            </w:pPr>
            <w:r>
              <w:rPr>
                <w:color w:val="1C3A36"/>
                <w:sz w:val="16"/>
              </w:rPr>
              <w:t>(81)</w:t>
            </w:r>
          </w:p>
        </w:tc>
      </w:tr>
      <w:tr>
        <w:tc>
          <w:tcPr>
            <w:tcW w:type="dxa" w:w="2808"/>
          </w:tcPr>
          <w:p>
            <w:pPr>
              <w:spacing w:after="20"/>
            </w:pPr>
            <w:r>
              <w:rPr>
                <w:color w:val="1C3A36"/>
                <w:sz w:val="16"/>
              </w:rPr>
              <w:t>Cash generated from operations, as reported</w:t>
            </w:r>
          </w:p>
        </w:tc>
        <w:tc>
          <w:tcPr>
            <w:tcW w:type="dxa" w:w="907"/>
          </w:tcPr>
          <w:p>
            <w:pPr>
              <w:spacing w:after="20"/>
              <w:jc w:val="right"/>
            </w:pPr>
            <w:r>
              <w:rPr>
                <w:color w:val="1C3A36"/>
                <w:sz w:val="16"/>
              </w:rPr>
              <w:t>540</w:t>
            </w:r>
          </w:p>
        </w:tc>
        <w:tc>
          <w:tcPr>
            <w:tcW w:type="dxa" w:w="907"/>
          </w:tcPr>
          <w:p>
            <w:pPr>
              <w:spacing w:after="20"/>
              <w:jc w:val="right"/>
            </w:pPr>
            <w:r>
              <w:rPr>
                <w:color w:val="1C3A36"/>
                <w:sz w:val="16"/>
              </w:rPr>
              <w:t>433</w:t>
            </w:r>
          </w:p>
        </w:tc>
        <w:tc>
          <w:tcPr>
            <w:tcW w:type="dxa" w:w="907"/>
          </w:tcPr>
          <w:p>
            <w:pPr>
              <w:spacing w:after="20"/>
              <w:jc w:val="right"/>
            </w:pPr>
            <w:r>
              <w:rPr>
                <w:color w:val="1C3A36"/>
                <w:sz w:val="16"/>
              </w:rPr>
              <w:t>589</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r>
      <w:tr>
        <w:tc>
          <w:tcPr>
            <w:tcW w:type="dxa" w:w="2808"/>
          </w:tcPr>
          <w:p>
            <w:pPr>
              <w:spacing w:after="20"/>
            </w:pPr>
            <w:r>
              <w:rPr>
                <w:color w:val="1C3A36"/>
                <w:sz w:val="16"/>
              </w:rPr>
              <w:t>Free cash flow to the firm</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317</w:t>
            </w:r>
          </w:p>
        </w:tc>
        <w:tc>
          <w:tcPr>
            <w:tcW w:type="dxa" w:w="907"/>
          </w:tcPr>
          <w:p>
            <w:pPr>
              <w:spacing w:after="20"/>
              <w:jc w:val="right"/>
            </w:pPr>
            <w:r>
              <w:rPr>
                <w:color w:val="1C3A36"/>
                <w:sz w:val="16"/>
              </w:rPr>
              <w:t>329</w:t>
            </w:r>
          </w:p>
        </w:tc>
        <w:tc>
          <w:tcPr>
            <w:tcW w:type="dxa" w:w="907"/>
          </w:tcPr>
          <w:p>
            <w:pPr>
              <w:spacing w:after="20"/>
              <w:jc w:val="right"/>
            </w:pPr>
            <w:r>
              <w:rPr>
                <w:color w:val="1C3A36"/>
                <w:sz w:val="16"/>
              </w:rPr>
              <w:t>355</w:t>
            </w:r>
          </w:p>
        </w:tc>
        <w:tc>
          <w:tcPr>
            <w:tcW w:type="dxa" w:w="907"/>
          </w:tcPr>
          <w:p>
            <w:pPr>
              <w:spacing w:after="20"/>
              <w:jc w:val="right"/>
            </w:pPr>
            <w:r>
              <w:rPr>
                <w:color w:val="1C3A36"/>
                <w:sz w:val="16"/>
              </w:rPr>
              <w:t>379</w:t>
            </w:r>
          </w:p>
        </w:tc>
        <w:tc>
          <w:tcPr>
            <w:tcW w:type="dxa" w:w="907"/>
          </w:tcPr>
          <w:p>
            <w:pPr>
              <w:spacing w:after="20"/>
              <w:jc w:val="right"/>
            </w:pPr>
            <w:r>
              <w:rPr>
                <w:color w:val="1C3A36"/>
                <w:sz w:val="16"/>
              </w:rPr>
              <w:t>406</w:t>
            </w:r>
          </w:p>
        </w:tc>
      </w:tr>
      <w:tr>
        <w:tc>
          <w:tcPr>
            <w:tcW w:type="dxa" w:w="2808"/>
          </w:tcPr>
          <w:p>
            <w:pPr>
              <w:spacing w:after="20"/>
            </w:pPr>
            <w:r>
              <w:rPr>
                <w:color w:val="1C3A36"/>
                <w:sz w:val="16"/>
              </w:rPr>
              <w:t>Dividends paid</w:t>
            </w:r>
          </w:p>
        </w:tc>
        <w:tc>
          <w:tcPr>
            <w:tcW w:type="dxa" w:w="907"/>
          </w:tcPr>
          <w:p>
            <w:pPr>
              <w:spacing w:after="20"/>
              <w:jc w:val="right"/>
            </w:pPr>
            <w:r>
              <w:rPr>
                <w:color w:val="1C3A36"/>
                <w:sz w:val="16"/>
              </w:rPr>
              <w:t>(103)</w:t>
            </w:r>
          </w:p>
        </w:tc>
        <w:tc>
          <w:tcPr>
            <w:tcW w:type="dxa" w:w="907"/>
          </w:tcPr>
          <w:p>
            <w:pPr>
              <w:spacing w:after="20"/>
              <w:jc w:val="right"/>
            </w:pPr>
            <w:r>
              <w:rPr>
                <w:color w:val="1C3A36"/>
                <w:sz w:val="16"/>
              </w:rPr>
              <w:t>(179)</w:t>
            </w:r>
          </w:p>
        </w:tc>
        <w:tc>
          <w:tcPr>
            <w:tcW w:type="dxa" w:w="907"/>
          </w:tcPr>
          <w:p>
            <w:pPr>
              <w:spacing w:after="20"/>
              <w:jc w:val="right"/>
            </w:pPr>
            <w:r>
              <w:rPr>
                <w:color w:val="1C3A36"/>
                <w:sz w:val="16"/>
              </w:rPr>
              <w:t>(127)</w:t>
            </w:r>
          </w:p>
        </w:tc>
        <w:tc>
          <w:tcPr>
            <w:tcW w:type="dxa" w:w="907"/>
          </w:tcPr>
          <w:p>
            <w:pPr>
              <w:spacing w:after="20"/>
              <w:jc w:val="right"/>
            </w:pPr>
            <w:r>
              <w:rPr>
                <w:color w:val="1C3A36"/>
                <w:sz w:val="16"/>
              </w:rPr>
              <w:t>(249)</w:t>
            </w:r>
          </w:p>
        </w:tc>
        <w:tc>
          <w:tcPr>
            <w:tcW w:type="dxa" w:w="907"/>
          </w:tcPr>
          <w:p>
            <w:pPr>
              <w:spacing w:after="20"/>
              <w:jc w:val="right"/>
            </w:pPr>
            <w:r>
              <w:rPr>
                <w:color w:val="1C3A36"/>
                <w:sz w:val="16"/>
              </w:rPr>
              <w:t>(280)</w:t>
            </w:r>
          </w:p>
        </w:tc>
        <w:tc>
          <w:tcPr>
            <w:tcW w:type="dxa" w:w="907"/>
          </w:tcPr>
          <w:p>
            <w:pPr>
              <w:spacing w:after="20"/>
              <w:jc w:val="right"/>
            </w:pPr>
            <w:r>
              <w:rPr>
                <w:color w:val="1C3A36"/>
                <w:sz w:val="16"/>
              </w:rPr>
              <w:t>(310)</w:t>
            </w:r>
          </w:p>
        </w:tc>
        <w:tc>
          <w:tcPr>
            <w:tcW w:type="dxa" w:w="907"/>
          </w:tcPr>
          <w:p>
            <w:pPr>
              <w:spacing w:after="20"/>
              <w:jc w:val="right"/>
            </w:pPr>
            <w:r>
              <w:rPr>
                <w:color w:val="1C3A36"/>
                <w:sz w:val="16"/>
              </w:rPr>
              <w:t>(335)</w:t>
            </w:r>
          </w:p>
        </w:tc>
        <w:tc>
          <w:tcPr>
            <w:tcW w:type="dxa" w:w="907"/>
          </w:tcPr>
          <w:p>
            <w:pPr>
              <w:spacing w:after="20"/>
              <w:jc w:val="right"/>
            </w:pPr>
            <w:r>
              <w:rPr>
                <w:color w:val="1C3A36"/>
                <w:sz w:val="16"/>
              </w:rPr>
              <w:t>(361)</w:t>
            </w:r>
          </w:p>
        </w:tc>
      </w:tr>
      <w:tr>
        <w:tc>
          <w:tcPr>
            <w:tcW w:type="dxa" w:w="2808"/>
          </w:tcPr>
          <w:p>
            <w:pPr>
              <w:spacing w:after="20"/>
            </w:pPr>
            <w:r>
              <w:rPr>
                <w:color w:val="1C3A36"/>
                <w:sz w:val="16"/>
              </w:rPr>
              <w:t>Return on invested capital</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w:t>
            </w:r>
          </w:p>
        </w:tc>
        <w:tc>
          <w:tcPr>
            <w:tcW w:type="dxa" w:w="907"/>
          </w:tcPr>
          <w:p>
            <w:pPr>
              <w:spacing w:after="20"/>
              <w:jc w:val="right"/>
            </w:pPr>
            <w:r>
              <w:rPr>
                <w:color w:val="1C3A36"/>
                <w:sz w:val="16"/>
              </w:rPr>
              <w:t>41.1%</w:t>
            </w:r>
          </w:p>
        </w:tc>
        <w:tc>
          <w:tcPr>
            <w:tcW w:type="dxa" w:w="907"/>
          </w:tcPr>
          <w:p>
            <w:pPr>
              <w:spacing w:after="20"/>
              <w:jc w:val="right"/>
            </w:pPr>
            <w:r>
              <w:rPr>
                <w:color w:val="1C3A36"/>
                <w:sz w:val="16"/>
              </w:rPr>
              <w:t>44.3%</w:t>
            </w:r>
          </w:p>
        </w:tc>
        <w:tc>
          <w:tcPr>
            <w:tcW w:type="dxa" w:w="907"/>
          </w:tcPr>
          <w:p>
            <w:pPr>
              <w:spacing w:after="20"/>
              <w:jc w:val="right"/>
            </w:pPr>
            <w:r>
              <w:rPr>
                <w:color w:val="1C3A36"/>
                <w:sz w:val="16"/>
              </w:rPr>
              <w:t>46.8%</w:t>
            </w:r>
          </w:p>
        </w:tc>
        <w:tc>
          <w:tcPr>
            <w:tcW w:type="dxa" w:w="907"/>
          </w:tcPr>
          <w:p>
            <w:pPr>
              <w:spacing w:after="20"/>
              <w:jc w:val="right"/>
            </w:pPr>
            <w:r>
              <w:rPr>
                <w:color w:val="1C3A36"/>
                <w:sz w:val="16"/>
              </w:rPr>
              <w:t>48.2%</w:t>
            </w:r>
          </w:p>
        </w:tc>
        <w:tc>
          <w:tcPr>
            <w:tcW w:type="dxa" w:w="907"/>
          </w:tcPr>
          <w:p>
            <w:pPr>
              <w:spacing w:after="20"/>
              <w:jc w:val="right"/>
            </w:pPr>
            <w:r>
              <w:rPr>
                <w:color w:val="1C3A36"/>
                <w:sz w:val="16"/>
              </w:rPr>
              <w:t>49.4%</w:t>
            </w:r>
          </w:p>
        </w:tc>
      </w:tr>
    </w:tbl>
    <w:p>
      <w:pPr>
        <w:spacing w:after="40"/>
      </w:pPr>
    </w:p>
    <w:p>
      <w:r>
        <w:br w:type="page"/>
      </w:r>
    </w:p>
    <w:p>
      <w:pPr>
        <w:spacing w:after="120" w:before="280"/>
      </w:pPr>
      <w:r>
        <w:rPr>
          <w:b/>
          <w:i w:val="0"/>
          <w:color w:val="1C3A36"/>
          <w:sz w:val="30"/>
        </w:rPr>
        <w:t>Appendix B  Peers, risks and sources</w:t>
      </w:r>
    </w:p>
    <w:p>
      <w:pPr>
        <w:spacing w:after="80" w:before="200"/>
      </w:pPr>
      <w:r>
        <w:rPr>
          <w:b/>
          <w:i w:val="0"/>
          <w:color w:val="1C3A36"/>
          <w:sz w:val="24"/>
        </w:rPr>
        <w:t>B.1  Peer frame</w:t>
      </w:r>
    </w:p>
    <w:p>
      <w:pPr>
        <w:spacing w:after="120" w:before="0"/>
      </w:pPr>
      <w:r>
        <w:rPr>
          <w:b w:val="0"/>
          <w:i w:val="0"/>
          <w:color w:val="1C3A36"/>
          <w:sz w:val="21"/>
        </w:rPr>
        <w:t>Reproduced from section 1.3 with the reason each name is present. A cross-check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944"/>
        <w:gridCol w:w="5616"/>
      </w:tblGrid>
      <w:tr>
        <w:tc>
          <w:tcPr>
            <w:tcW w:type="dxa" w:w="2520"/>
            <w:shd w:val="clear" w:color="auto" w:fill="EAF0EE"/>
          </w:tcPr>
          <w:p>
            <w:pPr>
              <w:spacing w:after="20"/>
            </w:pPr>
            <w:r>
              <w:rPr>
                <w:b/>
                <w:color w:val="1C3A36"/>
                <w:sz w:val="17"/>
              </w:rPr>
              <w:t>Company</w:t>
            </w:r>
          </w:p>
        </w:tc>
        <w:tc>
          <w:tcPr>
            <w:tcW w:type="dxa" w:w="1944"/>
            <w:shd w:val="clear" w:color="auto" w:fill="EAF0EE"/>
          </w:tcPr>
          <w:p>
            <w:pPr>
              <w:spacing w:after="20"/>
            </w:pPr>
            <w:r>
              <w:rPr>
                <w:b/>
                <w:color w:val="1C3A36"/>
                <w:sz w:val="17"/>
              </w:rPr>
              <w:t>Market</w:t>
            </w:r>
          </w:p>
        </w:tc>
        <w:tc>
          <w:tcPr>
            <w:tcW w:type="dxa" w:w="5616"/>
            <w:shd w:val="clear" w:color="auto" w:fill="EAF0EE"/>
          </w:tcPr>
          <w:p>
            <w:pPr>
              <w:spacing w:after="20"/>
            </w:pPr>
            <w:r>
              <w:rPr>
                <w:b/>
                <w:color w:val="1C3A36"/>
                <w:sz w:val="17"/>
              </w:rPr>
              <w:t>Why it is here</w:t>
            </w:r>
          </w:p>
        </w:tc>
      </w:tr>
      <w:tr>
        <w:tc>
          <w:tcPr>
            <w:tcW w:type="dxa" w:w="2520"/>
          </w:tcPr>
          <w:p>
            <w:pPr>
              <w:spacing w:after="20"/>
            </w:pPr>
            <w:r>
              <w:rPr>
                <w:color w:val="1C3A36"/>
                <w:sz w:val="17"/>
              </w:rPr>
              <w:t>Alamar Foods</w:t>
            </w:r>
          </w:p>
        </w:tc>
        <w:tc>
          <w:tcPr>
            <w:tcW w:type="dxa" w:w="1944"/>
          </w:tcPr>
          <w:p>
            <w:pPr>
              <w:spacing w:after="20"/>
              <w:jc w:val="right"/>
            </w:pPr>
            <w:r>
              <w:rPr>
                <w:color w:val="1C3A36"/>
                <w:sz w:val="17"/>
              </w:rPr>
              <w:t>Saudi Arabia</w:t>
            </w:r>
          </w:p>
        </w:tc>
        <w:tc>
          <w:tcPr>
            <w:tcW w:type="dxa" w:w="5616"/>
          </w:tcPr>
          <w:p>
            <w:pPr>
              <w:spacing w:after="20"/>
              <w:jc w:val="right"/>
            </w:pPr>
            <w:r>
              <w:rPr>
                <w:color w:val="1C3A36"/>
                <w:sz w:val="17"/>
              </w:rPr>
              <w:t>Regional franchisee operator (Domino’s, Wendy’s MENA)</w:t>
            </w:r>
          </w:p>
        </w:tc>
      </w:tr>
      <w:tr>
        <w:tc>
          <w:tcPr>
            <w:tcW w:type="dxa" w:w="2520"/>
          </w:tcPr>
          <w:p>
            <w:pPr>
              <w:spacing w:after="20"/>
            </w:pPr>
            <w:r>
              <w:rPr>
                <w:color w:val="1C3A36"/>
                <w:sz w:val="17"/>
              </w:rPr>
              <w:t>Herfy Food Services</w:t>
            </w:r>
          </w:p>
        </w:tc>
        <w:tc>
          <w:tcPr>
            <w:tcW w:type="dxa" w:w="1944"/>
          </w:tcPr>
          <w:p>
            <w:pPr>
              <w:spacing w:after="20"/>
              <w:jc w:val="right"/>
            </w:pPr>
            <w:r>
              <w:rPr>
                <w:color w:val="1C3A36"/>
                <w:sz w:val="17"/>
              </w:rPr>
              <w:t>Saudi Arabia</w:t>
            </w:r>
          </w:p>
        </w:tc>
        <w:tc>
          <w:tcPr>
            <w:tcW w:type="dxa" w:w="5616"/>
          </w:tcPr>
          <w:p>
            <w:pPr>
              <w:spacing w:after="20"/>
              <w:jc w:val="right"/>
            </w:pPr>
            <w:r>
              <w:rPr>
                <w:color w:val="1C3A36"/>
                <w:sz w:val="17"/>
              </w:rPr>
              <w:t>Saudi QSR operator and food manufacturer</w:t>
            </w:r>
          </w:p>
        </w:tc>
      </w:tr>
      <w:tr>
        <w:tc>
          <w:tcPr>
            <w:tcW w:type="dxa" w:w="2520"/>
          </w:tcPr>
          <w:p>
            <w:pPr>
              <w:spacing w:after="20"/>
            </w:pPr>
            <w:r>
              <w:rPr>
                <w:color w:val="1C3A36"/>
                <w:sz w:val="17"/>
              </w:rPr>
              <w:t>Halwani Bros</w:t>
            </w:r>
          </w:p>
        </w:tc>
        <w:tc>
          <w:tcPr>
            <w:tcW w:type="dxa" w:w="1944"/>
          </w:tcPr>
          <w:p>
            <w:pPr>
              <w:spacing w:after="20"/>
              <w:jc w:val="right"/>
            </w:pPr>
            <w:r>
              <w:rPr>
                <w:color w:val="1C3A36"/>
                <w:sz w:val="17"/>
              </w:rPr>
              <w:t>Saudi Arabia</w:t>
            </w:r>
          </w:p>
        </w:tc>
        <w:tc>
          <w:tcPr>
            <w:tcW w:type="dxa" w:w="5616"/>
          </w:tcPr>
          <w:p>
            <w:pPr>
              <w:spacing w:after="20"/>
              <w:jc w:val="right"/>
            </w:pPr>
            <w:r>
              <w:rPr>
                <w:color w:val="1C3A36"/>
                <w:sz w:val="17"/>
              </w:rPr>
              <w:t>Saudi packaged-food peer (consumer cross-check)</w:t>
            </w:r>
          </w:p>
        </w:tc>
      </w:tr>
      <w:tr>
        <w:tc>
          <w:tcPr>
            <w:tcW w:type="dxa" w:w="2520"/>
          </w:tcPr>
          <w:p>
            <w:pPr>
              <w:spacing w:after="20"/>
            </w:pPr>
            <w:r>
              <w:rPr>
                <w:color w:val="1C3A36"/>
                <w:sz w:val="17"/>
              </w:rPr>
              <w:t>Alsea</w:t>
            </w:r>
          </w:p>
        </w:tc>
        <w:tc>
          <w:tcPr>
            <w:tcW w:type="dxa" w:w="1944"/>
          </w:tcPr>
          <w:p>
            <w:pPr>
              <w:spacing w:after="20"/>
              <w:jc w:val="right"/>
            </w:pPr>
            <w:r>
              <w:rPr>
                <w:color w:val="1C3A36"/>
                <w:sz w:val="17"/>
              </w:rPr>
              <w:t>Mexico</w:t>
            </w:r>
          </w:p>
        </w:tc>
        <w:tc>
          <w:tcPr>
            <w:tcW w:type="dxa" w:w="5616"/>
          </w:tcPr>
          <w:p>
            <w:pPr>
              <w:spacing w:after="20"/>
              <w:jc w:val="right"/>
            </w:pPr>
            <w:r>
              <w:rPr>
                <w:color w:val="1C3A36"/>
                <w:sz w:val="17"/>
              </w:rPr>
              <w:t>Largest Latin-American franchisee operator (Starbucks, Domino’s, BK)</w:t>
            </w:r>
          </w:p>
        </w:tc>
      </w:tr>
      <w:tr>
        <w:tc>
          <w:tcPr>
            <w:tcW w:type="dxa" w:w="2520"/>
          </w:tcPr>
          <w:p>
            <w:pPr>
              <w:spacing w:after="20"/>
            </w:pPr>
            <w:r>
              <w:rPr>
                <w:color w:val="1C3A36"/>
                <w:sz w:val="17"/>
              </w:rPr>
              <w:t>Jubilant FoodWorks</w:t>
            </w:r>
          </w:p>
        </w:tc>
        <w:tc>
          <w:tcPr>
            <w:tcW w:type="dxa" w:w="1944"/>
          </w:tcPr>
          <w:p>
            <w:pPr>
              <w:spacing w:after="20"/>
              <w:jc w:val="right"/>
            </w:pPr>
            <w:r>
              <w:rPr>
                <w:color w:val="1C3A36"/>
                <w:sz w:val="17"/>
              </w:rPr>
              <w:t>India</w:t>
            </w:r>
          </w:p>
        </w:tc>
        <w:tc>
          <w:tcPr>
            <w:tcW w:type="dxa" w:w="5616"/>
          </w:tcPr>
          <w:p>
            <w:pPr>
              <w:spacing w:after="20"/>
              <w:jc w:val="right"/>
            </w:pPr>
            <w:r>
              <w:rPr>
                <w:color w:val="1C3A36"/>
                <w:sz w:val="17"/>
              </w:rPr>
              <w:t>Master franchisee, Domino’s India</w:t>
            </w:r>
          </w:p>
        </w:tc>
      </w:tr>
      <w:tr>
        <w:tc>
          <w:tcPr>
            <w:tcW w:type="dxa" w:w="2520"/>
          </w:tcPr>
          <w:p>
            <w:pPr>
              <w:spacing w:after="20"/>
            </w:pPr>
            <w:r>
              <w:rPr>
                <w:color w:val="1C3A36"/>
                <w:sz w:val="17"/>
              </w:rPr>
              <w:t>Devyani International</w:t>
            </w:r>
          </w:p>
        </w:tc>
        <w:tc>
          <w:tcPr>
            <w:tcW w:type="dxa" w:w="1944"/>
          </w:tcPr>
          <w:p>
            <w:pPr>
              <w:spacing w:after="20"/>
              <w:jc w:val="right"/>
            </w:pPr>
            <w:r>
              <w:rPr>
                <w:color w:val="1C3A36"/>
                <w:sz w:val="17"/>
              </w:rPr>
              <w:t>India</w:t>
            </w:r>
          </w:p>
        </w:tc>
        <w:tc>
          <w:tcPr>
            <w:tcW w:type="dxa" w:w="5616"/>
          </w:tcPr>
          <w:p>
            <w:pPr>
              <w:spacing w:after="20"/>
              <w:jc w:val="right"/>
            </w:pPr>
            <w:r>
              <w:rPr>
                <w:color w:val="1C3A36"/>
                <w:sz w:val="17"/>
              </w:rPr>
              <w:t>Master franchisee, KFC/Pizza Hut India — closest structural analogue</w:t>
            </w:r>
          </w:p>
        </w:tc>
      </w:tr>
      <w:tr>
        <w:tc>
          <w:tcPr>
            <w:tcW w:type="dxa" w:w="2520"/>
          </w:tcPr>
          <w:p>
            <w:pPr>
              <w:spacing w:after="20"/>
            </w:pPr>
            <w:r>
              <w:rPr>
                <w:color w:val="1C3A36"/>
                <w:sz w:val="17"/>
              </w:rPr>
              <w:t>Sapphire Foods</w:t>
            </w:r>
          </w:p>
        </w:tc>
        <w:tc>
          <w:tcPr>
            <w:tcW w:type="dxa" w:w="1944"/>
          </w:tcPr>
          <w:p>
            <w:pPr>
              <w:spacing w:after="20"/>
              <w:jc w:val="right"/>
            </w:pPr>
            <w:r>
              <w:rPr>
                <w:color w:val="1C3A36"/>
                <w:sz w:val="17"/>
              </w:rPr>
              <w:t>India</w:t>
            </w:r>
          </w:p>
        </w:tc>
        <w:tc>
          <w:tcPr>
            <w:tcW w:type="dxa" w:w="5616"/>
          </w:tcPr>
          <w:p>
            <w:pPr>
              <w:spacing w:after="20"/>
              <w:jc w:val="right"/>
            </w:pPr>
            <w:r>
              <w:rPr>
                <w:color w:val="1C3A36"/>
                <w:sz w:val="17"/>
              </w:rPr>
              <w:t>Master franchisee, KFC/Pizza Hut India</w:t>
            </w:r>
          </w:p>
        </w:tc>
      </w:tr>
      <w:tr>
        <w:tc>
          <w:tcPr>
            <w:tcW w:type="dxa" w:w="2520"/>
          </w:tcPr>
          <w:p>
            <w:pPr>
              <w:spacing w:after="20"/>
            </w:pPr>
            <w:r>
              <w:rPr>
                <w:color w:val="1C3A36"/>
                <w:sz w:val="17"/>
              </w:rPr>
              <w:t>Yum! Brands</w:t>
            </w:r>
          </w:p>
        </w:tc>
        <w:tc>
          <w:tcPr>
            <w:tcW w:type="dxa" w:w="1944"/>
          </w:tcPr>
          <w:p>
            <w:pPr>
              <w:spacing w:after="20"/>
              <w:jc w:val="right"/>
            </w:pPr>
            <w:r>
              <w:rPr>
                <w:color w:val="1C3A36"/>
                <w:sz w:val="17"/>
              </w:rPr>
              <w:t>United States</w:t>
            </w:r>
          </w:p>
        </w:tc>
        <w:tc>
          <w:tcPr>
            <w:tcW w:type="dxa" w:w="5616"/>
          </w:tcPr>
          <w:p>
            <w:pPr>
              <w:spacing w:after="20"/>
              <w:jc w:val="right"/>
            </w:pPr>
            <w:r>
              <w:rPr>
                <w:color w:val="1C3A36"/>
                <w:sz w:val="17"/>
              </w:rPr>
              <w:t>Franchisor of KFC, Pizza Hut, Taco Bell</w:t>
            </w:r>
          </w:p>
        </w:tc>
      </w:tr>
      <w:tr>
        <w:tc>
          <w:tcPr>
            <w:tcW w:type="dxa" w:w="2520"/>
          </w:tcPr>
          <w:p>
            <w:pPr>
              <w:spacing w:after="20"/>
            </w:pPr>
            <w:r>
              <w:rPr>
                <w:color w:val="1C3A36"/>
                <w:sz w:val="17"/>
              </w:rPr>
              <w:t>Yum China</w:t>
            </w:r>
          </w:p>
        </w:tc>
        <w:tc>
          <w:tcPr>
            <w:tcW w:type="dxa" w:w="1944"/>
          </w:tcPr>
          <w:p>
            <w:pPr>
              <w:spacing w:after="20"/>
              <w:jc w:val="right"/>
            </w:pPr>
            <w:r>
              <w:rPr>
                <w:color w:val="1C3A36"/>
                <w:sz w:val="17"/>
              </w:rPr>
              <w:t>China</w:t>
            </w:r>
          </w:p>
        </w:tc>
        <w:tc>
          <w:tcPr>
            <w:tcW w:type="dxa" w:w="5616"/>
          </w:tcPr>
          <w:p>
            <w:pPr>
              <w:spacing w:after="20"/>
              <w:jc w:val="right"/>
            </w:pPr>
            <w:r>
              <w:rPr>
                <w:color w:val="1C3A36"/>
                <w:sz w:val="17"/>
              </w:rPr>
              <w:t>Licensee-operator of KFC/Pizza Hut in China</w:t>
            </w:r>
          </w:p>
        </w:tc>
      </w:tr>
      <w:tr>
        <w:tc>
          <w:tcPr>
            <w:tcW w:type="dxa" w:w="2520"/>
          </w:tcPr>
          <w:p>
            <w:pPr>
              <w:spacing w:after="20"/>
            </w:pPr>
            <w:r>
              <w:rPr>
                <w:color w:val="1C3A36"/>
                <w:sz w:val="17"/>
              </w:rPr>
              <w:t>Restaurant Brands Intl.</w:t>
            </w:r>
          </w:p>
        </w:tc>
        <w:tc>
          <w:tcPr>
            <w:tcW w:type="dxa" w:w="1944"/>
          </w:tcPr>
          <w:p>
            <w:pPr>
              <w:spacing w:after="20"/>
              <w:jc w:val="right"/>
            </w:pPr>
            <w:r>
              <w:rPr>
                <w:color w:val="1C3A36"/>
                <w:sz w:val="17"/>
              </w:rPr>
              <w:t>Canada</w:t>
            </w:r>
          </w:p>
        </w:tc>
        <w:tc>
          <w:tcPr>
            <w:tcW w:type="dxa" w:w="5616"/>
          </w:tcPr>
          <w:p>
            <w:pPr>
              <w:spacing w:after="20"/>
              <w:jc w:val="right"/>
            </w:pPr>
            <w:r>
              <w:rPr>
                <w:color w:val="1C3A36"/>
                <w:sz w:val="17"/>
              </w:rPr>
              <w:t>Franchisor of Burger King, Tim Hortons, Popeyes</w:t>
            </w:r>
          </w:p>
        </w:tc>
      </w:tr>
      <w:tr>
        <w:tc>
          <w:tcPr>
            <w:tcW w:type="dxa" w:w="2520"/>
          </w:tcPr>
          <w:p>
            <w:pPr>
              <w:spacing w:after="20"/>
            </w:pPr>
            <w:r>
              <w:rPr>
                <w:color w:val="1C3A36"/>
                <w:sz w:val="17"/>
              </w:rPr>
              <w:t>Domino's Pizza</w:t>
            </w:r>
          </w:p>
        </w:tc>
        <w:tc>
          <w:tcPr>
            <w:tcW w:type="dxa" w:w="1944"/>
          </w:tcPr>
          <w:p>
            <w:pPr>
              <w:spacing w:after="20"/>
              <w:jc w:val="right"/>
            </w:pPr>
            <w:r>
              <w:rPr>
                <w:color w:val="1C3A36"/>
                <w:sz w:val="17"/>
              </w:rPr>
              <w:t>United States</w:t>
            </w:r>
          </w:p>
        </w:tc>
        <w:tc>
          <w:tcPr>
            <w:tcW w:type="dxa" w:w="5616"/>
          </w:tcPr>
          <w:p>
            <w:pPr>
              <w:spacing w:after="20"/>
              <w:jc w:val="right"/>
            </w:pPr>
            <w:r>
              <w:rPr>
                <w:color w:val="1C3A36"/>
                <w:sz w:val="17"/>
              </w:rPr>
              <w:t>Franchisor, delivery-led QSR</w:t>
            </w:r>
          </w:p>
        </w:tc>
      </w:tr>
    </w:tbl>
    <w:p>
      <w:pPr>
        <w:spacing w:after="40"/>
      </w:pP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816"/>
        <w:gridCol w:w="4032"/>
      </w:tblGrid>
      <w:tr>
        <w:tc>
          <w:tcPr>
            <w:tcW w:type="dxa" w:w="2232"/>
            <w:shd w:val="clear" w:color="auto" w:fill="EAF0EE"/>
          </w:tcPr>
          <w:p>
            <w:pPr>
              <w:spacing w:after="20"/>
            </w:pPr>
            <w:r>
              <w:rPr>
                <w:b/>
                <w:color w:val="1C3A36"/>
                <w:sz w:val="17"/>
              </w:rPr>
              <w:t>Risk</w:t>
            </w:r>
          </w:p>
        </w:tc>
        <w:tc>
          <w:tcPr>
            <w:tcW w:type="dxa" w:w="3816"/>
            <w:shd w:val="clear" w:color="auto" w:fill="EAF0EE"/>
          </w:tcPr>
          <w:p>
            <w:pPr>
              <w:spacing w:after="20"/>
            </w:pPr>
            <w:r>
              <w:rPr>
                <w:b/>
                <w:color w:val="1C3A36"/>
                <w:sz w:val="17"/>
              </w:rPr>
              <w:t>How it would show up</w:t>
            </w:r>
          </w:p>
        </w:tc>
        <w:tc>
          <w:tcPr>
            <w:tcW w:type="dxa" w:w="4032"/>
            <w:shd w:val="clear" w:color="auto" w:fill="EAF0EE"/>
          </w:tcPr>
          <w:p>
            <w:pPr>
              <w:spacing w:after="20"/>
            </w:pPr>
            <w:r>
              <w:rPr>
                <w:b/>
                <w:color w:val="1C3A36"/>
                <w:sz w:val="17"/>
              </w:rPr>
              <w:t>Where it is priced</w:t>
            </w:r>
          </w:p>
        </w:tc>
      </w:tr>
      <w:tr>
        <w:tc>
          <w:tcPr>
            <w:tcW w:type="dxa" w:w="2232"/>
          </w:tcPr>
          <w:p>
            <w:pPr>
              <w:spacing w:after="20"/>
            </w:pPr>
            <w:r>
              <w:rPr>
                <w:color w:val="1C3A36"/>
                <w:sz w:val="17"/>
              </w:rPr>
              <w:t>Margin reversion</w:t>
            </w:r>
          </w:p>
        </w:tc>
        <w:tc>
          <w:tcPr>
            <w:tcW w:type="dxa" w:w="3816"/>
          </w:tcPr>
          <w:p>
            <w:pPr>
              <w:spacing w:after="20"/>
              <w:jc w:val="right"/>
            </w:pPr>
            <w:r>
              <w:rPr>
                <w:color w:val="1C3A36"/>
                <w:sz w:val="17"/>
              </w:rPr>
              <w:t>food and packaging cost back toward 29% of revenue</w:t>
            </w:r>
          </w:p>
        </w:tc>
        <w:tc>
          <w:tcPr>
            <w:tcW w:type="dxa" w:w="4032"/>
          </w:tcPr>
          <w:p>
            <w:pPr>
              <w:spacing w:after="20"/>
              <w:jc w:val="right"/>
            </w:pPr>
            <w:r>
              <w:rPr>
                <w:color w:val="1C3A36"/>
                <w:sz w:val="17"/>
              </w:rPr>
              <w:t>the cyclical column, 1.91 a share</w:t>
            </w:r>
          </w:p>
        </w:tc>
      </w:tr>
      <w:tr>
        <w:tc>
          <w:tcPr>
            <w:tcW w:type="dxa" w:w="2232"/>
          </w:tcPr>
          <w:p>
            <w:pPr>
              <w:spacing w:after="20"/>
            </w:pPr>
            <w:r>
              <w:rPr>
                <w:color w:val="1C3A36"/>
                <w:sz w:val="17"/>
              </w:rPr>
              <w:t>Concentration in three markets</w:t>
            </w:r>
          </w:p>
        </w:tc>
        <w:tc>
          <w:tcPr>
            <w:tcW w:type="dxa" w:w="3816"/>
          </w:tcPr>
          <w:p>
            <w:pPr>
              <w:spacing w:after="20"/>
              <w:jc w:val="right"/>
            </w:pPr>
            <w:r>
              <w:rPr>
                <w:color w:val="1C3A36"/>
                <w:sz w:val="17"/>
              </w:rPr>
              <w:t>a demand shock in the UAE, Saudi Arabia or Kuwait, which together are 72% of revenue</w:t>
            </w:r>
          </w:p>
        </w:tc>
        <w:tc>
          <w:tcPr>
            <w:tcW w:type="dxa" w:w="4032"/>
          </w:tcPr>
          <w:p>
            <w:pPr>
              <w:spacing w:after="20"/>
              <w:jc w:val="right"/>
            </w:pPr>
            <w:r>
              <w:rPr>
                <w:color w:val="1C3A36"/>
                <w:sz w:val="17"/>
              </w:rPr>
              <w:t>the like-for-like sensitivity</w:t>
            </w:r>
          </w:p>
        </w:tc>
      </w:tr>
      <w:tr>
        <w:tc>
          <w:tcPr>
            <w:tcW w:type="dxa" w:w="2232"/>
          </w:tcPr>
          <w:p>
            <w:pPr>
              <w:spacing w:after="20"/>
            </w:pPr>
            <w:r>
              <w:rPr>
                <w:color w:val="1C3A36"/>
                <w:sz w:val="17"/>
              </w:rPr>
              <w:t>Franchisor relationships</w:t>
            </w:r>
          </w:p>
        </w:tc>
        <w:tc>
          <w:tcPr>
            <w:tcW w:type="dxa" w:w="3816"/>
          </w:tcPr>
          <w:p>
            <w:pPr>
              <w:spacing w:after="20"/>
              <w:jc w:val="right"/>
            </w:pPr>
            <w:r>
              <w:rPr>
                <w:color w:val="1C3A36"/>
                <w:sz w:val="17"/>
              </w:rPr>
              <w:t>loss or repricing of a master franchise agreement</w:t>
            </w:r>
          </w:p>
        </w:tc>
        <w:tc>
          <w:tcPr>
            <w:tcW w:type="dxa" w:w="4032"/>
          </w:tcPr>
          <w:p>
            <w:pPr>
              <w:spacing w:after="20"/>
              <w:jc w:val="right"/>
            </w:pPr>
            <w:r>
              <w:rPr>
                <w:color w:val="1C3A36"/>
                <w:sz w:val="17"/>
              </w:rPr>
              <w:t>not priced — it would invalidate the model rather than move it</w:t>
            </w:r>
          </w:p>
        </w:tc>
      </w:tr>
      <w:tr>
        <w:tc>
          <w:tcPr>
            <w:tcW w:type="dxa" w:w="2232"/>
          </w:tcPr>
          <w:p>
            <w:pPr>
              <w:spacing w:after="20"/>
            </w:pPr>
            <w:r>
              <w:rPr>
                <w:color w:val="1C3A36"/>
                <w:sz w:val="17"/>
              </w:rPr>
              <w:t>Currency in Egypt and Kazakhstan</w:t>
            </w:r>
          </w:p>
        </w:tc>
        <w:tc>
          <w:tcPr>
            <w:tcW w:type="dxa" w:w="3816"/>
          </w:tcPr>
          <w:p>
            <w:pPr>
              <w:spacing w:after="20"/>
              <w:jc w:val="right"/>
            </w:pPr>
            <w:r>
              <w:rPr>
                <w:color w:val="1C3A36"/>
                <w:sz w:val="17"/>
              </w:rPr>
              <w:t>a further devaluation cutting dollar revenue</w:t>
            </w:r>
          </w:p>
        </w:tc>
        <w:tc>
          <w:tcPr>
            <w:tcW w:type="dxa" w:w="4032"/>
          </w:tcPr>
          <w:p>
            <w:pPr>
              <w:spacing w:after="20"/>
              <w:jc w:val="right"/>
            </w:pPr>
            <w:r>
              <w:rPr>
                <w:color w:val="1C3A36"/>
                <w:sz w:val="17"/>
              </w:rPr>
              <w:t>the currency drag in the unit build</w:t>
            </w:r>
          </w:p>
        </w:tc>
      </w:tr>
      <w:tr>
        <w:tc>
          <w:tcPr>
            <w:tcW w:type="dxa" w:w="2232"/>
          </w:tcPr>
          <w:p>
            <w:pPr>
              <w:spacing w:after="20"/>
            </w:pPr>
            <w:r>
              <w:rPr>
                <w:color w:val="1C3A36"/>
                <w:sz w:val="17"/>
              </w:rPr>
              <w:t>Tax</w:t>
            </w:r>
          </w:p>
        </w:tc>
        <w:tc>
          <w:tcPr>
            <w:tcW w:type="dxa" w:w="3816"/>
          </w:tcPr>
          <w:p>
            <w:pPr>
              <w:spacing w:after="20"/>
              <w:jc w:val="right"/>
            </w:pPr>
            <w:r>
              <w:rPr>
                <w:color w:val="1C3A36"/>
                <w:sz w:val="17"/>
              </w:rPr>
              <w:t>further domestic minimum top-up taxes as more jurisdictions adopt them</w:t>
            </w:r>
          </w:p>
        </w:tc>
        <w:tc>
          <w:tcPr>
            <w:tcW w:type="dxa" w:w="4032"/>
          </w:tcPr>
          <w:p>
            <w:pPr>
              <w:spacing w:after="20"/>
              <w:jc w:val="right"/>
            </w:pPr>
            <w:r>
              <w:rPr>
                <w:color w:val="1C3A36"/>
                <w:sz w:val="17"/>
              </w:rPr>
              <w:t>the effective rate path to 16%</w:t>
            </w:r>
          </w:p>
        </w:tc>
      </w:tr>
      <w:tr>
        <w:tc>
          <w:tcPr>
            <w:tcW w:type="dxa" w:w="2232"/>
          </w:tcPr>
          <w:p>
            <w:pPr>
              <w:spacing w:after="20"/>
            </w:pPr>
            <w:r>
              <w:rPr>
                <w:color w:val="1C3A36"/>
                <w:sz w:val="17"/>
              </w:rPr>
              <w:t>Lease renewal terms</w:t>
            </w:r>
          </w:p>
        </w:tc>
        <w:tc>
          <w:tcPr>
            <w:tcW w:type="dxa" w:w="3816"/>
          </w:tcPr>
          <w:p>
            <w:pPr>
              <w:spacing w:after="20"/>
              <w:jc w:val="right"/>
            </w:pPr>
            <w:r>
              <w:rPr>
                <w:color w:val="1C3A36"/>
                <w:sz w:val="17"/>
              </w:rPr>
              <w:t>landlords repricing on renewal in a strong retail market</w:t>
            </w:r>
          </w:p>
        </w:tc>
        <w:tc>
          <w:tcPr>
            <w:tcW w:type="dxa" w:w="4032"/>
          </w:tcPr>
          <w:p>
            <w:pPr>
              <w:spacing w:after="20"/>
              <w:jc w:val="right"/>
            </w:pPr>
            <w:r>
              <w:rPr>
                <w:color w:val="1C3A36"/>
                <w:sz w:val="17"/>
              </w:rPr>
              <w:t>the lease payment and right-of-use addition ratios</w:t>
            </w:r>
          </w:p>
        </w:tc>
      </w:tr>
      <w:tr>
        <w:tc>
          <w:tcPr>
            <w:tcW w:type="dxa" w:w="2232"/>
          </w:tcPr>
          <w:p>
            <w:pPr>
              <w:spacing w:after="20"/>
            </w:pPr>
            <w:r>
              <w:rPr>
                <w:color w:val="1C3A36"/>
                <w:sz w:val="17"/>
              </w:rPr>
              <w:t>Controlling shareholder</w:t>
            </w:r>
          </w:p>
        </w:tc>
        <w:tc>
          <w:tcPr>
            <w:tcW w:type="dxa" w:w="3816"/>
          </w:tcPr>
          <w:p>
            <w:pPr>
              <w:spacing w:after="20"/>
              <w:jc w:val="right"/>
            </w:pPr>
            <w:r>
              <w:rPr>
                <w:color w:val="1C3A36"/>
                <w:sz w:val="17"/>
              </w:rPr>
              <w:t>a change in dividend or capital policy</w:t>
            </w:r>
          </w:p>
        </w:tc>
        <w:tc>
          <w:tcPr>
            <w:tcW w:type="dxa" w:w="4032"/>
          </w:tcPr>
          <w:p>
            <w:pPr>
              <w:spacing w:after="20"/>
              <w:jc w:val="right"/>
            </w:pPr>
            <w:r>
              <w:rPr>
                <w:color w:val="1C3A36"/>
                <w:sz w:val="17"/>
              </w:rPr>
              <w:t>the payout assumption; the enterprise value is unaffected</w:t>
            </w:r>
          </w:p>
        </w:tc>
      </w:tr>
      <w:tr>
        <w:tc>
          <w:tcPr>
            <w:tcW w:type="dxa" w:w="2232"/>
          </w:tcPr>
          <w:p>
            <w:pPr>
              <w:spacing w:after="20"/>
            </w:pPr>
            <w:r>
              <w:rPr>
                <w:color w:val="1C3A36"/>
                <w:sz w:val="17"/>
              </w:rPr>
              <w:t>Acquisition integration</w:t>
            </w:r>
          </w:p>
        </w:tc>
        <w:tc>
          <w:tcPr>
            <w:tcW w:type="dxa" w:w="3816"/>
          </w:tcPr>
          <w:p>
            <w:pPr>
              <w:spacing w:after="20"/>
              <w:jc w:val="right"/>
            </w:pPr>
            <w:r>
              <w:rPr>
                <w:color w:val="1C3A36"/>
                <w:sz w:val="17"/>
              </w:rPr>
              <w:t>Malak Al Tawouk and Pizza Hut Oman failing to scale</w:t>
            </w:r>
          </w:p>
        </w:tc>
        <w:tc>
          <w:tcPr>
            <w:tcW w:type="dxa" w:w="4032"/>
          </w:tcPr>
          <w:p>
            <w:pPr>
              <w:spacing w:after="20"/>
              <w:jc w:val="right"/>
            </w:pPr>
            <w:r>
              <w:rPr>
                <w:color w:val="1C3A36"/>
                <w:sz w:val="17"/>
              </w:rPr>
              <w:t>not priced separately — organic guidance is used</w:t>
            </w:r>
          </w:p>
        </w:tc>
      </w:tr>
    </w:tbl>
    <w:p>
      <w:pPr>
        <w:spacing w:after="40"/>
      </w:pPr>
    </w:p>
    <w:p>
      <w:pPr>
        <w:spacing w:after="80" w:before="200"/>
      </w:pPr>
      <w:r>
        <w:rPr>
          <w:b/>
          <w:i w:val="0"/>
          <w:color w:val="1C3A36"/>
          <w:sz w:val="24"/>
        </w:rPr>
        <w:t>B.3  Research register — what was consulted, and what was looked for and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
        <w:gridCol w:w="1008"/>
        <w:gridCol w:w="1872"/>
        <w:gridCol w:w="3312"/>
        <w:gridCol w:w="2520"/>
        <w:gridCol w:w="1008"/>
      </w:tblGrid>
      <w:tr>
        <w:tc>
          <w:tcPr>
            <w:tcW w:type="dxa" w:w="576"/>
            <w:shd w:val="clear" w:color="auto" w:fill="EAF0EE"/>
          </w:tcPr>
          <w:p>
            <w:pPr>
              <w:spacing w:after="20"/>
            </w:pPr>
            <w:r>
              <w:rPr>
                <w:b/>
                <w:color w:val="1C3A36"/>
                <w:sz w:val="14"/>
              </w:rPr>
              <w:t>#</w:t>
            </w:r>
          </w:p>
        </w:tc>
        <w:tc>
          <w:tcPr>
            <w:tcW w:type="dxa" w:w="1008"/>
            <w:shd w:val="clear" w:color="auto" w:fill="EAF0EE"/>
          </w:tcPr>
          <w:p>
            <w:pPr>
              <w:spacing w:after="20"/>
            </w:pPr>
            <w:r>
              <w:rPr>
                <w:b/>
                <w:color w:val="1C3A36"/>
                <w:sz w:val="14"/>
              </w:rPr>
              <w:t>Layer</w:t>
            </w:r>
          </w:p>
        </w:tc>
        <w:tc>
          <w:tcPr>
            <w:tcW w:type="dxa" w:w="1872"/>
            <w:shd w:val="clear" w:color="auto" w:fill="EAF0EE"/>
          </w:tcPr>
          <w:p>
            <w:pPr>
              <w:spacing w:after="20"/>
            </w:pPr>
            <w:r>
              <w:rPr>
                <w:b/>
                <w:color w:val="1C3A36"/>
                <w:sz w:val="14"/>
              </w:rPr>
              <w:t>Topic</w:t>
            </w:r>
          </w:p>
        </w:tc>
        <w:tc>
          <w:tcPr>
            <w:tcW w:type="dxa" w:w="3312"/>
            <w:shd w:val="clear" w:color="auto" w:fill="EAF0EE"/>
          </w:tcPr>
          <w:p>
            <w:pPr>
              <w:spacing w:after="20"/>
            </w:pPr>
            <w:r>
              <w:rPr>
                <w:b/>
                <w:color w:val="1C3A36"/>
                <w:sz w:val="14"/>
              </w:rPr>
              <w:t>Finding</w:t>
            </w:r>
          </w:p>
        </w:tc>
        <w:tc>
          <w:tcPr>
            <w:tcW w:type="dxa" w:w="2520"/>
            <w:shd w:val="clear" w:color="auto" w:fill="EAF0EE"/>
          </w:tcPr>
          <w:p>
            <w:pPr>
              <w:spacing w:after="20"/>
            </w:pPr>
            <w:r>
              <w:rPr>
                <w:b/>
                <w:color w:val="1C3A36"/>
                <w:sz w:val="14"/>
              </w:rPr>
              <w:t>Source</w:t>
            </w:r>
          </w:p>
        </w:tc>
        <w:tc>
          <w:tcPr>
            <w:tcW w:type="dxa" w:w="1008"/>
            <w:shd w:val="clear" w:color="auto" w:fill="EAF0EE"/>
          </w:tcPr>
          <w:p>
            <w:pPr>
              <w:spacing w:after="20"/>
            </w:pPr>
            <w:r>
              <w:rPr>
                <w:b/>
                <w:color w:val="1C3A36"/>
                <w:sz w:val="14"/>
              </w:rPr>
              <w:t>Date</w:t>
            </w:r>
          </w:p>
        </w:tc>
      </w:tr>
      <w:tr>
        <w:tc>
          <w:tcPr>
            <w:tcW w:type="dxa" w:w="576"/>
          </w:tcPr>
          <w:p>
            <w:pPr>
              <w:spacing w:after="20"/>
            </w:pPr>
            <w:r>
              <w:rPr>
                <w:color w:val="1C3A36"/>
                <w:sz w:val="14"/>
              </w:rPr>
              <w:t>F01</w:t>
            </w:r>
          </w:p>
        </w:tc>
        <w:tc>
          <w:tcPr>
            <w:tcW w:type="dxa" w:w="1008"/>
          </w:tcPr>
          <w:p>
            <w:pPr>
              <w:spacing w:after="20"/>
              <w:jc w:val="right"/>
            </w:pPr>
            <w:r>
              <w:rPr>
                <w:color w:val="1C3A36"/>
                <w:sz w:val="14"/>
              </w:rPr>
              <w:t>Global</w:t>
            </w:r>
          </w:p>
        </w:tc>
        <w:tc>
          <w:tcPr>
            <w:tcW w:type="dxa" w:w="1872"/>
          </w:tcPr>
          <w:p>
            <w:pPr>
              <w:spacing w:after="20"/>
              <w:jc w:val="right"/>
            </w:pPr>
            <w:r>
              <w:rPr>
                <w:color w:val="1C3A36"/>
                <w:sz w:val="14"/>
              </w:rPr>
              <w:t>rate cycle &amp; USD/FX regime</w:t>
            </w:r>
          </w:p>
        </w:tc>
        <w:tc>
          <w:tcPr>
            <w:tcW w:type="dxa" w:w="3312"/>
          </w:tcPr>
          <w:p>
            <w:pPr>
              <w:spacing w:after="20"/>
              <w:jc w:val="right"/>
            </w:pPr>
            <w:r>
              <w:rPr>
                <w:color w:val="1C3A36"/>
                <w:sz w:val="14"/>
              </w:rPr>
              <w:t>The US ten-year Treasury yields 4.66% and the Federal Reserve has eased to a 3.50–3.75% policy target; the dirham and riyal are pegged to the dollar, so this is the group's own rate cycle, not a foreign one</w:t>
            </w:r>
          </w:p>
        </w:tc>
        <w:tc>
          <w:tcPr>
            <w:tcW w:type="dxa" w:w="2520"/>
          </w:tcPr>
          <w:p>
            <w:pPr>
              <w:spacing w:after="20"/>
              <w:jc w:val="right"/>
            </w:pPr>
            <w:r>
              <w:rPr>
                <w:color w:val="1C3A36"/>
                <w:sz w:val="14"/>
              </w:rPr>
              <w:t>US Treasury constant-maturity yield, close of 7 August 2026; Federal Reserve policy target</w:t>
            </w:r>
          </w:p>
        </w:tc>
        <w:tc>
          <w:tcPr>
            <w:tcW w:type="dxa" w:w="1008"/>
          </w:tcPr>
          <w:p>
            <w:pPr>
              <w:spacing w:after="20"/>
              <w:jc w:val="right"/>
            </w:pPr>
            <w:r>
              <w:rPr>
                <w:color w:val="1C3A36"/>
                <w:sz w:val="14"/>
              </w:rPr>
              <w:t>2026-08-07</w:t>
            </w:r>
          </w:p>
        </w:tc>
      </w:tr>
      <w:tr>
        <w:tc>
          <w:tcPr>
            <w:tcW w:type="dxa" w:w="576"/>
          </w:tcPr>
          <w:p>
            <w:pPr>
              <w:spacing w:after="20"/>
            </w:pPr>
            <w:r>
              <w:rPr>
                <w:color w:val="1C3A36"/>
                <w:sz w:val="14"/>
              </w:rPr>
              <w:t>F02</w:t>
            </w:r>
          </w:p>
        </w:tc>
        <w:tc>
          <w:tcPr>
            <w:tcW w:type="dxa" w:w="1008"/>
          </w:tcPr>
          <w:p>
            <w:pPr>
              <w:spacing w:after="20"/>
              <w:jc w:val="right"/>
            </w:pPr>
            <w:r>
              <w:rPr>
                <w:color w:val="1C3A36"/>
                <w:sz w:val="14"/>
              </w:rPr>
              <w:t>Global</w:t>
            </w:r>
          </w:p>
        </w:tc>
        <w:tc>
          <w:tcPr>
            <w:tcW w:type="dxa" w:w="1872"/>
          </w:tcPr>
          <w:p>
            <w:pPr>
              <w:spacing w:after="20"/>
              <w:jc w:val="right"/>
            </w:pPr>
            <w:r>
              <w:rPr>
                <w:color w:val="1C3A36"/>
                <w:sz w:val="14"/>
              </w:rPr>
              <w:t>commodity complex (input/output)</w:t>
            </w:r>
          </w:p>
        </w:tc>
        <w:tc>
          <w:tcPr>
            <w:tcW w:type="dxa" w:w="3312"/>
          </w:tcPr>
          <w:p>
            <w:pPr>
              <w:spacing w:after="20"/>
              <w:jc w:val="right"/>
            </w:pPr>
            <w:r>
              <w:rPr>
                <w:color w:val="1C3A36"/>
                <w:sz w:val="14"/>
              </w:rPr>
              <w:t xml:space="preserve">Food and packaging input costs fell as a share of revenue through 2025 and into 2026 — 29.2% of sales in the first half of 2025 against 27.4% a year later — which the company attributes to procurement and menu </w:t>
            </w:r>
          </w:p>
        </w:tc>
        <w:tc>
          <w:tcPr>
            <w:tcW w:type="dxa" w:w="2520"/>
          </w:tcPr>
          <w:p>
            <w:pPr>
              <w:spacing w:after="20"/>
              <w:jc w:val="right"/>
            </w:pPr>
            <w:r>
              <w:rPr>
                <w:color w:val="1C3A36"/>
                <w:sz w:val="14"/>
              </w:rPr>
              <w:t>H1 2026 earnings presentation, cost of inventory evolution</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F03</w:t>
            </w:r>
          </w:p>
        </w:tc>
        <w:tc>
          <w:tcPr>
            <w:tcW w:type="dxa" w:w="1008"/>
          </w:tcPr>
          <w:p>
            <w:pPr>
              <w:spacing w:after="20"/>
              <w:jc w:val="right"/>
            </w:pPr>
            <w:r>
              <w:rPr>
                <w:color w:val="1C3A36"/>
                <w:sz w:val="14"/>
              </w:rPr>
              <w:t>Global</w:t>
            </w:r>
          </w:p>
        </w:tc>
        <w:tc>
          <w:tcPr>
            <w:tcW w:type="dxa" w:w="1872"/>
          </w:tcPr>
          <w:p>
            <w:pPr>
              <w:spacing w:after="20"/>
              <w:jc w:val="right"/>
            </w:pPr>
            <w:r>
              <w:rPr>
                <w:color w:val="1C3A36"/>
                <w:sz w:val="14"/>
              </w:rPr>
              <w:t>global sector demand</w:t>
            </w:r>
          </w:p>
        </w:tc>
        <w:tc>
          <w:tcPr>
            <w:tcW w:type="dxa" w:w="3312"/>
          </w:tcPr>
          <w:p>
            <w:pPr>
              <w:spacing w:after="20"/>
              <w:jc w:val="right"/>
            </w:pPr>
            <w:r>
              <w:rPr>
                <w:color w:val="1C3A36"/>
                <w:sz w:val="14"/>
              </w:rPr>
              <w:t>Listed quick-service comparators outside the region trade on a wide spread of enterprise value to EBITDA, with franchisors at the top of the range and operator-franchisees well below it — the structural split t</w:t>
            </w:r>
          </w:p>
        </w:tc>
        <w:tc>
          <w:tcPr>
            <w:tcW w:type="dxa" w:w="2520"/>
          </w:tcPr>
          <w:p>
            <w:pPr>
              <w:spacing w:after="20"/>
              <w:jc w:val="right"/>
            </w:pPr>
            <w:r>
              <w:rPr>
                <w:color w:val="1C3A36"/>
                <w:sz w:val="14"/>
              </w:rPr>
              <w:t>Peer market data, retrieved 9 August 2026, used as a cross-check only</w:t>
            </w:r>
          </w:p>
        </w:tc>
        <w:tc>
          <w:tcPr>
            <w:tcW w:type="dxa" w:w="1008"/>
          </w:tcPr>
          <w:p>
            <w:pPr>
              <w:spacing w:after="20"/>
              <w:jc w:val="right"/>
            </w:pPr>
            <w:r>
              <w:rPr>
                <w:color w:val="1C3A36"/>
                <w:sz w:val="14"/>
              </w:rPr>
              <w:t>2026-08-09</w:t>
            </w:r>
          </w:p>
        </w:tc>
      </w:tr>
      <w:tr>
        <w:tc>
          <w:tcPr>
            <w:tcW w:type="dxa" w:w="576"/>
          </w:tcPr>
          <w:p>
            <w:pPr>
              <w:spacing w:after="20"/>
            </w:pPr>
            <w:r>
              <w:rPr>
                <w:color w:val="1C3A36"/>
                <w:sz w:val="14"/>
              </w:rPr>
              <w:t>F04</w:t>
            </w:r>
          </w:p>
        </w:tc>
        <w:tc>
          <w:tcPr>
            <w:tcW w:type="dxa" w:w="1008"/>
          </w:tcPr>
          <w:p>
            <w:pPr>
              <w:spacing w:after="20"/>
              <w:jc w:val="right"/>
            </w:pPr>
            <w:r>
              <w:rPr>
                <w:color w:val="1C3A36"/>
                <w:sz w:val="14"/>
              </w:rPr>
              <w:t>Global</w:t>
            </w:r>
          </w:p>
        </w:tc>
        <w:tc>
          <w:tcPr>
            <w:tcW w:type="dxa" w:w="1872"/>
          </w:tcPr>
          <w:p>
            <w:pPr>
              <w:spacing w:after="20"/>
              <w:jc w:val="right"/>
            </w:pPr>
            <w:r>
              <w:rPr>
                <w:color w:val="1C3A36"/>
                <w:sz w:val="14"/>
              </w:rPr>
              <w:t>trade / sanctions / supply chains</w:t>
            </w:r>
          </w:p>
        </w:tc>
        <w:tc>
          <w:tcPr>
            <w:tcW w:type="dxa" w:w="3312"/>
          </w:tcPr>
          <w:p>
            <w:pPr>
              <w:spacing w:after="20"/>
              <w:jc w:val="right"/>
            </w:pPr>
            <w:r>
              <w:rPr>
                <w:color w:val="1C3A36"/>
                <w:sz w:val="14"/>
              </w:rPr>
              <w:t xml:space="preserve">Negative search — nothing found (searched the 2025 annual report, the FY2025 and H1 2026 filings and both earnings releases for supply-chain interruption, sanctions exposure and import restriction disclosures; </w:t>
            </w:r>
          </w:p>
        </w:tc>
        <w:tc>
          <w:tcPr>
            <w:tcW w:type="dxa" w:w="2520"/>
          </w:tcPr>
          <w:p>
            <w:pPr>
              <w:spacing w:after="20"/>
              <w:jc w:val="right"/>
            </w:pPr>
            <w:r>
              <w:rPr>
                <w:color w:val="1C3A36"/>
                <w:sz w:val="14"/>
              </w:rPr>
              <w:t>negative search</w:t>
            </w:r>
          </w:p>
        </w:tc>
        <w:tc>
          <w:tcPr>
            <w:tcW w:type="dxa" w:w="1008"/>
          </w:tcPr>
          <w:p>
            <w:pPr>
              <w:spacing w:after="20"/>
              <w:jc w:val="right"/>
            </w:pPr>
            <w:r>
              <w:rPr>
                <w:color w:val="1C3A36"/>
                <w:sz w:val="14"/>
              </w:rPr>
              <w:t>2026-08-09</w:t>
            </w:r>
          </w:p>
        </w:tc>
      </w:tr>
      <w:tr>
        <w:tc>
          <w:tcPr>
            <w:tcW w:type="dxa" w:w="576"/>
          </w:tcPr>
          <w:p>
            <w:pPr>
              <w:spacing w:after="20"/>
            </w:pPr>
            <w:r>
              <w:rPr>
                <w:color w:val="1C3A36"/>
                <w:sz w:val="14"/>
              </w:rPr>
              <w:t>F05</w:t>
            </w:r>
          </w:p>
        </w:tc>
        <w:tc>
          <w:tcPr>
            <w:tcW w:type="dxa" w:w="1008"/>
          </w:tcPr>
          <w:p>
            <w:pPr>
              <w:spacing w:after="20"/>
              <w:jc w:val="right"/>
            </w:pPr>
            <w:r>
              <w:rPr>
                <w:color w:val="1C3A36"/>
                <w:sz w:val="14"/>
              </w:rPr>
              <w:t>Country</w:t>
            </w:r>
          </w:p>
        </w:tc>
        <w:tc>
          <w:tcPr>
            <w:tcW w:type="dxa" w:w="1872"/>
          </w:tcPr>
          <w:p>
            <w:pPr>
              <w:spacing w:after="20"/>
              <w:jc w:val="right"/>
            </w:pPr>
            <w:r>
              <w:rPr>
                <w:color w:val="1C3A36"/>
                <w:sz w:val="14"/>
              </w:rPr>
              <w:t>regulatory environment (regulator, caps, tariffs, tax/subsidy)</w:t>
            </w:r>
          </w:p>
        </w:tc>
        <w:tc>
          <w:tcPr>
            <w:tcW w:type="dxa" w:w="3312"/>
          </w:tcPr>
          <w:p>
            <w:pPr>
              <w:spacing w:after="20"/>
              <w:jc w:val="right"/>
            </w:pPr>
            <w:r>
              <w:rPr>
                <w:color w:val="1C3A36"/>
                <w:sz w:val="14"/>
              </w:rPr>
              <w:t>The OECD Pillar Two global minimum tax now bites: the group booked USD 14.0 million of domestic minimum top-up tax in FY2025, and the legislation was effective at the reporting date in the United Arab Emirates,</w:t>
            </w:r>
          </w:p>
        </w:tc>
        <w:tc>
          <w:tcPr>
            <w:tcW w:type="dxa" w:w="2520"/>
          </w:tcPr>
          <w:p>
            <w:pPr>
              <w:spacing w:after="20"/>
              <w:jc w:val="right"/>
            </w:pPr>
            <w:r>
              <w:rPr>
                <w:color w:val="1C3A36"/>
                <w:sz w:val="14"/>
              </w:rPr>
              <w:t>Audited consolidated financial statements for the year ended 31 December 2025, note 28</w:t>
            </w:r>
          </w:p>
        </w:tc>
        <w:tc>
          <w:tcPr>
            <w:tcW w:type="dxa" w:w="1008"/>
          </w:tcPr>
          <w:p>
            <w:pPr>
              <w:spacing w:after="20"/>
              <w:jc w:val="right"/>
            </w:pPr>
            <w:r>
              <w:rPr>
                <w:color w:val="1C3A36"/>
                <w:sz w:val="14"/>
              </w:rPr>
              <w:t>2026-02-06</w:t>
            </w:r>
          </w:p>
        </w:tc>
      </w:tr>
      <w:tr>
        <w:tc>
          <w:tcPr>
            <w:tcW w:type="dxa" w:w="576"/>
          </w:tcPr>
          <w:p>
            <w:pPr>
              <w:spacing w:after="20"/>
            </w:pPr>
            <w:r>
              <w:rPr>
                <w:color w:val="1C3A36"/>
                <w:sz w:val="14"/>
              </w:rPr>
              <w:t>F06</w:t>
            </w:r>
          </w:p>
        </w:tc>
        <w:tc>
          <w:tcPr>
            <w:tcW w:type="dxa" w:w="1008"/>
          </w:tcPr>
          <w:p>
            <w:pPr>
              <w:spacing w:after="20"/>
              <w:jc w:val="right"/>
            </w:pPr>
            <w:r>
              <w:rPr>
                <w:color w:val="1C3A36"/>
                <w:sz w:val="14"/>
              </w:rPr>
              <w:t>Country</w:t>
            </w:r>
          </w:p>
        </w:tc>
        <w:tc>
          <w:tcPr>
            <w:tcW w:type="dxa" w:w="1872"/>
          </w:tcPr>
          <w:p>
            <w:pPr>
              <w:spacing w:after="20"/>
              <w:jc w:val="right"/>
            </w:pPr>
            <w:r>
              <w:rPr>
                <w:color w:val="1C3A36"/>
                <w:sz w:val="14"/>
              </w:rPr>
              <w:t>sovereign macro (inflation, policy rate, FX/deval risk)</w:t>
            </w:r>
          </w:p>
        </w:tc>
        <w:tc>
          <w:tcPr>
            <w:tcW w:type="dxa" w:w="3312"/>
          </w:tcPr>
          <w:p>
            <w:pPr>
              <w:spacing w:after="20"/>
              <w:jc w:val="right"/>
            </w:pPr>
            <w:r>
              <w:rPr>
                <w:color w:val="1C3A36"/>
                <w:sz w:val="14"/>
              </w:rPr>
              <w:t>The IMF projects about 2% inflation from 2028 in the pegged Gulf markets that produce most of the revenue, against 5–6% in Egypt and 5–9% in Kazakhstan, the two large non-pegged exposures</w:t>
            </w:r>
          </w:p>
        </w:tc>
        <w:tc>
          <w:tcPr>
            <w:tcW w:type="dxa" w:w="2520"/>
          </w:tcPr>
          <w:p>
            <w:pPr>
              <w:spacing w:after="20"/>
              <w:jc w:val="right"/>
            </w:pPr>
            <w:r>
              <w:rPr>
                <w:color w:val="1C3A36"/>
                <w:sz w:val="14"/>
              </w:rPr>
              <w:t>IMF World Economic Outlook, retrieved through the IMF DataMapper API</w:t>
            </w:r>
          </w:p>
        </w:tc>
        <w:tc>
          <w:tcPr>
            <w:tcW w:type="dxa" w:w="1008"/>
          </w:tcPr>
          <w:p>
            <w:pPr>
              <w:spacing w:after="20"/>
              <w:jc w:val="right"/>
            </w:pPr>
            <w:r>
              <w:rPr>
                <w:color w:val="1C3A36"/>
                <w:sz w:val="14"/>
              </w:rPr>
              <w:t>2026-08-09</w:t>
            </w:r>
          </w:p>
        </w:tc>
      </w:tr>
      <w:tr>
        <w:tc>
          <w:tcPr>
            <w:tcW w:type="dxa" w:w="576"/>
          </w:tcPr>
          <w:p>
            <w:pPr>
              <w:spacing w:after="20"/>
            </w:pPr>
            <w:r>
              <w:rPr>
                <w:color w:val="1C3A36"/>
                <w:sz w:val="14"/>
              </w:rPr>
              <w:t>F07</w:t>
            </w:r>
          </w:p>
        </w:tc>
        <w:tc>
          <w:tcPr>
            <w:tcW w:type="dxa" w:w="1008"/>
          </w:tcPr>
          <w:p>
            <w:pPr>
              <w:spacing w:after="20"/>
              <w:jc w:val="right"/>
            </w:pPr>
            <w:r>
              <w:rPr>
                <w:color w:val="1C3A36"/>
                <w:sz w:val="14"/>
              </w:rPr>
              <w:t>Country</w:t>
            </w:r>
          </w:p>
        </w:tc>
        <w:tc>
          <w:tcPr>
            <w:tcW w:type="dxa" w:w="1872"/>
          </w:tcPr>
          <w:p>
            <w:pPr>
              <w:spacing w:after="20"/>
              <w:jc w:val="right"/>
            </w:pPr>
            <w:r>
              <w:rPr>
                <w:color w:val="1C3A36"/>
                <w:sz w:val="14"/>
              </w:rPr>
              <w:t>fiscal / political events with sector read-through</w:t>
            </w:r>
          </w:p>
        </w:tc>
        <w:tc>
          <w:tcPr>
            <w:tcW w:type="dxa" w:w="3312"/>
          </w:tcPr>
          <w:p>
            <w:pPr>
              <w:spacing w:after="20"/>
              <w:jc w:val="right"/>
            </w:pPr>
            <w:r>
              <w:rPr>
                <w:color w:val="1C3A36"/>
                <w:sz w:val="14"/>
              </w:rPr>
              <w:t>Sovereign risk across the twelve operating countries spans an equity risk premium of 4.87% in the United Arab Emirates and Qatar to 13.94% in Egypt and Iraq and 30.89% in Lebanon</w:t>
            </w:r>
          </w:p>
        </w:tc>
        <w:tc>
          <w:tcPr>
            <w:tcW w:type="dxa" w:w="2520"/>
          </w:tcPr>
          <w:p>
            <w:pPr>
              <w:spacing w:after="20"/>
              <w:jc w:val="right"/>
            </w:pPr>
            <w:r>
              <w:rPr>
                <w:color w:val="1C3A36"/>
                <w:sz w:val="14"/>
              </w:rPr>
              <w:t>Country default spreads and risk premiums, Aswath Damodaran, NYU Stern, read from the original data file</w:t>
            </w:r>
          </w:p>
        </w:tc>
        <w:tc>
          <w:tcPr>
            <w:tcW w:type="dxa" w:w="1008"/>
          </w:tcPr>
          <w:p>
            <w:pPr>
              <w:spacing w:after="20"/>
              <w:jc w:val="right"/>
            </w:pPr>
            <w:r>
              <w:rPr>
                <w:color w:val="1C3A36"/>
                <w:sz w:val="14"/>
              </w:rPr>
              <w:t>2026-01-05</w:t>
            </w:r>
          </w:p>
        </w:tc>
      </w:tr>
      <w:tr>
        <w:tc>
          <w:tcPr>
            <w:tcW w:type="dxa" w:w="576"/>
          </w:tcPr>
          <w:p>
            <w:pPr>
              <w:spacing w:after="20"/>
            </w:pPr>
            <w:r>
              <w:rPr>
                <w:color w:val="1C3A36"/>
                <w:sz w:val="14"/>
              </w:rPr>
              <w:t>F08</w:t>
            </w:r>
          </w:p>
        </w:tc>
        <w:tc>
          <w:tcPr>
            <w:tcW w:type="dxa" w:w="1008"/>
          </w:tcPr>
          <w:p>
            <w:pPr>
              <w:spacing w:after="20"/>
              <w:jc w:val="right"/>
            </w:pPr>
            <w:r>
              <w:rPr>
                <w:color w:val="1C3A36"/>
                <w:sz w:val="14"/>
              </w:rPr>
              <w:t>Industry</w:t>
            </w:r>
          </w:p>
        </w:tc>
        <w:tc>
          <w:tcPr>
            <w:tcW w:type="dxa" w:w="1872"/>
          </w:tcPr>
          <w:p>
            <w:pPr>
              <w:spacing w:after="20"/>
              <w:jc w:val="right"/>
            </w:pPr>
            <w:r>
              <w:rPr>
                <w:color w:val="1C3A36"/>
                <w:sz w:val="14"/>
              </w:rPr>
              <w:t>demand drivers &amp; capacity/supply balance</w:t>
            </w:r>
          </w:p>
        </w:tc>
        <w:tc>
          <w:tcPr>
            <w:tcW w:type="dxa" w:w="3312"/>
          </w:tcPr>
          <w:p>
            <w:pPr>
              <w:spacing w:after="20"/>
              <w:jc w:val="right"/>
            </w:pPr>
            <w:r>
              <w:rPr>
                <w:color w:val="1C3A36"/>
                <w:sz w:val="14"/>
              </w:rPr>
              <w:t>The restaurant estate is disclosed country by country and brand by brand at each period end — 2,590 at the end of 2024, 2,749 at the end of 2025 and 2,746 at 30 June 2026 — which is what makes a volume-times-pr</w:t>
            </w:r>
          </w:p>
        </w:tc>
        <w:tc>
          <w:tcPr>
            <w:tcW w:type="dxa" w:w="2520"/>
          </w:tcPr>
          <w:p>
            <w:pPr>
              <w:spacing w:after="20"/>
              <w:jc w:val="right"/>
            </w:pPr>
            <w:r>
              <w:rPr>
                <w:color w:val="1C3A36"/>
                <w:sz w:val="14"/>
              </w:rPr>
              <w:t>FY 2024, FY 2025 and H1 2026 earnings presentations, portfolio evolution appendices</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F09</w:t>
            </w:r>
          </w:p>
        </w:tc>
        <w:tc>
          <w:tcPr>
            <w:tcW w:type="dxa" w:w="1008"/>
          </w:tcPr>
          <w:p>
            <w:pPr>
              <w:spacing w:after="20"/>
              <w:jc w:val="right"/>
            </w:pPr>
            <w:r>
              <w:rPr>
                <w:color w:val="1C3A36"/>
                <w:sz w:val="14"/>
              </w:rPr>
              <w:t>Industry</w:t>
            </w:r>
          </w:p>
        </w:tc>
        <w:tc>
          <w:tcPr>
            <w:tcW w:type="dxa" w:w="1872"/>
          </w:tcPr>
          <w:p>
            <w:pPr>
              <w:spacing w:after="20"/>
              <w:jc w:val="right"/>
            </w:pPr>
            <w:r>
              <w:rPr>
                <w:color w:val="1C3A36"/>
                <w:sz w:val="14"/>
              </w:rPr>
              <w:t>pricing</w:t>
            </w:r>
          </w:p>
        </w:tc>
        <w:tc>
          <w:tcPr>
            <w:tcW w:type="dxa" w:w="3312"/>
          </w:tcPr>
          <w:p>
            <w:pPr>
              <w:spacing w:after="20"/>
              <w:jc w:val="right"/>
            </w:pPr>
            <w:r>
              <w:rPr>
                <w:color w:val="1C3A36"/>
                <w:sz w:val="14"/>
              </w:rPr>
              <w:t>Like-for-like sales grew 9.7% in FY2025 and 6.3% in the first half of 2026, and management guides to mid-single-digit like-for-like growth for the full year</w:t>
            </w:r>
          </w:p>
        </w:tc>
        <w:tc>
          <w:tcPr>
            <w:tcW w:type="dxa" w:w="2520"/>
          </w:tcPr>
          <w:p>
            <w:pPr>
              <w:spacing w:after="20"/>
              <w:jc w:val="right"/>
            </w:pPr>
            <w:r>
              <w:rPr>
                <w:color w:val="1C3A36"/>
                <w:sz w:val="14"/>
              </w:rPr>
              <w:t>FY 2025 earnings presentation; H1 2026 earnings release</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F10</w:t>
            </w:r>
          </w:p>
        </w:tc>
        <w:tc>
          <w:tcPr>
            <w:tcW w:type="dxa" w:w="1008"/>
          </w:tcPr>
          <w:p>
            <w:pPr>
              <w:spacing w:after="20"/>
              <w:jc w:val="right"/>
            </w:pPr>
            <w:r>
              <w:rPr>
                <w:color w:val="1C3A36"/>
                <w:sz w:val="14"/>
              </w:rPr>
              <w:t>Industry</w:t>
            </w:r>
          </w:p>
        </w:tc>
        <w:tc>
          <w:tcPr>
            <w:tcW w:type="dxa" w:w="1872"/>
          </w:tcPr>
          <w:p>
            <w:pPr>
              <w:spacing w:after="20"/>
              <w:jc w:val="right"/>
            </w:pPr>
            <w:r>
              <w:rPr>
                <w:color w:val="1C3A36"/>
                <w:sz w:val="14"/>
              </w:rPr>
              <w:t>new entrants (named-competitor level)</w:t>
            </w:r>
          </w:p>
        </w:tc>
        <w:tc>
          <w:tcPr>
            <w:tcW w:type="dxa" w:w="3312"/>
          </w:tcPr>
          <w:p>
            <w:pPr>
              <w:spacing w:after="20"/>
              <w:jc w:val="right"/>
            </w:pPr>
            <w:r>
              <w:rPr>
                <w:color w:val="1C3A36"/>
                <w:sz w:val="14"/>
              </w:rPr>
              <w:t>The company entered the premium retail category with the launch of carpo in Qatar and acquired the Malak Al Tawouk business in the United Arab Emirates and Saudi Arabia, moving into the Arabic category where lo</w:t>
            </w:r>
          </w:p>
        </w:tc>
        <w:tc>
          <w:tcPr>
            <w:tcW w:type="dxa" w:w="2520"/>
          </w:tcPr>
          <w:p>
            <w:pPr>
              <w:spacing w:after="20"/>
              <w:jc w:val="right"/>
            </w:pPr>
            <w:r>
              <w:rPr>
                <w:color w:val="1C3A36"/>
                <w:sz w:val="14"/>
              </w:rPr>
              <w:t>H1 2026 earnings release and presentation</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F11</w:t>
            </w:r>
          </w:p>
        </w:tc>
        <w:tc>
          <w:tcPr>
            <w:tcW w:type="dxa" w:w="1008"/>
          </w:tcPr>
          <w:p>
            <w:pPr>
              <w:spacing w:after="20"/>
              <w:jc w:val="right"/>
            </w:pPr>
            <w:r>
              <w:rPr>
                <w:color w:val="1C3A36"/>
                <w:sz w:val="14"/>
              </w:rPr>
              <w:t>Industry</w:t>
            </w:r>
          </w:p>
        </w:tc>
        <w:tc>
          <w:tcPr>
            <w:tcW w:type="dxa" w:w="1872"/>
          </w:tcPr>
          <w:p>
            <w:pPr>
              <w:spacing w:after="20"/>
              <w:jc w:val="right"/>
            </w:pPr>
            <w:r>
              <w:rPr>
                <w:color w:val="1C3A36"/>
                <w:sz w:val="14"/>
              </w:rPr>
              <w:t>technology substitution</w:t>
            </w:r>
          </w:p>
        </w:tc>
        <w:tc>
          <w:tcPr>
            <w:tcW w:type="dxa" w:w="3312"/>
          </w:tcPr>
          <w:p>
            <w:pPr>
              <w:spacing w:after="20"/>
              <w:jc w:val="right"/>
            </w:pPr>
            <w:r>
              <w:rPr>
                <w:color w:val="1C3A36"/>
                <w:sz w:val="14"/>
              </w:rPr>
              <w:t>Home delivery is now 52% of revenue against 44% two years ago, and the company reports improving unit economics in the channel through its own ordering application rather than third-party platforms</w:t>
            </w:r>
          </w:p>
        </w:tc>
        <w:tc>
          <w:tcPr>
            <w:tcW w:type="dxa" w:w="2520"/>
          </w:tcPr>
          <w:p>
            <w:pPr>
              <w:spacing w:after="20"/>
              <w:jc w:val="right"/>
            </w:pPr>
            <w:r>
              <w:rPr>
                <w:color w:val="1C3A36"/>
                <w:sz w:val="14"/>
              </w:rPr>
              <w:t>FY 2025 and H1 2026 earnings presentations, channel mix</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F12</w:t>
            </w:r>
          </w:p>
        </w:tc>
        <w:tc>
          <w:tcPr>
            <w:tcW w:type="dxa" w:w="1008"/>
          </w:tcPr>
          <w:p>
            <w:pPr>
              <w:spacing w:after="20"/>
              <w:jc w:val="right"/>
            </w:pPr>
            <w:r>
              <w:rPr>
                <w:color w:val="1C3A36"/>
                <w:sz w:val="14"/>
              </w:rPr>
              <w:t>Industry</w:t>
            </w:r>
          </w:p>
        </w:tc>
        <w:tc>
          <w:tcPr>
            <w:tcW w:type="dxa" w:w="1872"/>
          </w:tcPr>
          <w:p>
            <w:pPr>
              <w:spacing w:after="20"/>
              <w:jc w:val="right"/>
            </w:pPr>
            <w:r>
              <w:rPr>
                <w:color w:val="1C3A36"/>
                <w:sz w:val="14"/>
              </w:rPr>
              <w:t>competitor capacity / price moves (named)</w:t>
            </w:r>
          </w:p>
        </w:tc>
        <w:tc>
          <w:tcPr>
            <w:tcW w:type="dxa" w:w="3312"/>
          </w:tcPr>
          <w:p>
            <w:pPr>
              <w:spacing w:after="20"/>
              <w:jc w:val="right"/>
            </w:pPr>
            <w:r>
              <w:rPr>
                <w:color w:val="1C3A36"/>
                <w:sz w:val="14"/>
              </w:rPr>
              <w:t>Negative search — nothing found (searched for disclosed capacity or price actions by named regional quick-service competitors — Alamar Foods, Herfy Food Services and the unlisted local operators — in company fi</w:t>
            </w:r>
          </w:p>
        </w:tc>
        <w:tc>
          <w:tcPr>
            <w:tcW w:type="dxa" w:w="2520"/>
          </w:tcPr>
          <w:p>
            <w:pPr>
              <w:spacing w:after="20"/>
              <w:jc w:val="right"/>
            </w:pPr>
            <w:r>
              <w:rPr>
                <w:color w:val="1C3A36"/>
                <w:sz w:val="14"/>
              </w:rPr>
              <w:t>negative search</w:t>
            </w:r>
          </w:p>
        </w:tc>
        <w:tc>
          <w:tcPr>
            <w:tcW w:type="dxa" w:w="1008"/>
          </w:tcPr>
          <w:p>
            <w:pPr>
              <w:spacing w:after="20"/>
              <w:jc w:val="right"/>
            </w:pPr>
            <w:r>
              <w:rPr>
                <w:color w:val="1C3A36"/>
                <w:sz w:val="14"/>
              </w:rPr>
              <w:t>2026-08-09</w:t>
            </w:r>
          </w:p>
        </w:tc>
      </w:tr>
      <w:tr>
        <w:tc>
          <w:tcPr>
            <w:tcW w:type="dxa" w:w="576"/>
          </w:tcPr>
          <w:p>
            <w:pPr>
              <w:spacing w:after="20"/>
            </w:pPr>
            <w:r>
              <w:rPr>
                <w:color w:val="1C3A36"/>
                <w:sz w:val="14"/>
              </w:rPr>
              <w:t>F13</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official financial statements</w:t>
            </w:r>
          </w:p>
        </w:tc>
        <w:tc>
          <w:tcPr>
            <w:tcW w:type="dxa" w:w="3312"/>
          </w:tcPr>
          <w:p>
            <w:pPr>
              <w:spacing w:after="20"/>
              <w:jc w:val="right"/>
            </w:pPr>
            <w:r>
              <w:rPr>
                <w:color w:val="1C3A36"/>
                <w:sz w:val="14"/>
              </w:rPr>
              <w:t>Audited consolidated financial statements for the year ended 31 December 2025: revenue USD 2,508.8 million, EBITDA USD 595.6 million, profit attributable to shareholders USD 219.1 million, total assets USD 1,73</w:t>
            </w:r>
          </w:p>
        </w:tc>
        <w:tc>
          <w:tcPr>
            <w:tcW w:type="dxa" w:w="2520"/>
          </w:tcPr>
          <w:p>
            <w:pPr>
              <w:spacing w:after="20"/>
              <w:jc w:val="right"/>
            </w:pPr>
            <w:r>
              <w:rPr>
                <w:color w:val="1C3A36"/>
                <w:sz w:val="14"/>
              </w:rPr>
              <w:t xml:space="preserve">Audited consolidated financial statements for the year ended 31 December 2025, audited by Deloitte &amp; Touche (M.E.) LLP, </w:t>
            </w:r>
          </w:p>
        </w:tc>
        <w:tc>
          <w:tcPr>
            <w:tcW w:type="dxa" w:w="1008"/>
          </w:tcPr>
          <w:p>
            <w:pPr>
              <w:spacing w:after="20"/>
              <w:jc w:val="right"/>
            </w:pPr>
            <w:r>
              <w:rPr>
                <w:color w:val="1C3A36"/>
                <w:sz w:val="14"/>
              </w:rPr>
              <w:t>2026-02-06</w:t>
            </w:r>
          </w:p>
        </w:tc>
      </w:tr>
      <w:tr>
        <w:tc>
          <w:tcPr>
            <w:tcW w:type="dxa" w:w="576"/>
          </w:tcPr>
          <w:p>
            <w:pPr>
              <w:spacing w:after="20"/>
            </w:pPr>
            <w:r>
              <w:rPr>
                <w:color w:val="1C3A36"/>
                <w:sz w:val="14"/>
              </w:rPr>
              <w:t>F14</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official financial statements</w:t>
            </w:r>
          </w:p>
        </w:tc>
        <w:tc>
          <w:tcPr>
            <w:tcW w:type="dxa" w:w="3312"/>
          </w:tcPr>
          <w:p>
            <w:pPr>
              <w:spacing w:after="20"/>
              <w:jc w:val="right"/>
            </w:pPr>
            <w:r>
              <w:rPr>
                <w:color w:val="1C3A36"/>
                <w:sz w:val="14"/>
              </w:rPr>
              <w:t>Audited consolidated financial statements for the year ended 31 December 2024: revenue USD 2,196.8 million, EBITDA USD 483.7 million, profit attributable to shareholders USD 158.8 million</w:t>
            </w:r>
          </w:p>
        </w:tc>
        <w:tc>
          <w:tcPr>
            <w:tcW w:type="dxa" w:w="2520"/>
          </w:tcPr>
          <w:p>
            <w:pPr>
              <w:spacing w:after="20"/>
              <w:jc w:val="right"/>
            </w:pPr>
            <w:r>
              <w:rPr>
                <w:color w:val="1C3A36"/>
                <w:sz w:val="14"/>
              </w:rPr>
              <w:t>Audited consolidated financial statements for the year ended 31 December 2024, audited by Deloitte &amp; Touche (M.E.) LLP</w:t>
            </w:r>
          </w:p>
        </w:tc>
        <w:tc>
          <w:tcPr>
            <w:tcW w:type="dxa" w:w="1008"/>
          </w:tcPr>
          <w:p>
            <w:pPr>
              <w:spacing w:after="20"/>
              <w:jc w:val="right"/>
            </w:pPr>
            <w:r>
              <w:rPr>
                <w:color w:val="1C3A36"/>
                <w:sz w:val="14"/>
              </w:rPr>
              <w:t>2025-02-11</w:t>
            </w:r>
          </w:p>
        </w:tc>
      </w:tr>
      <w:tr>
        <w:tc>
          <w:tcPr>
            <w:tcW w:type="dxa" w:w="576"/>
          </w:tcPr>
          <w:p>
            <w:pPr>
              <w:spacing w:after="20"/>
            </w:pPr>
            <w:r>
              <w:rPr>
                <w:color w:val="1C3A36"/>
                <w:sz w:val="14"/>
              </w:rPr>
              <w:t>F15</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official financial statements</w:t>
            </w:r>
          </w:p>
        </w:tc>
        <w:tc>
          <w:tcPr>
            <w:tcW w:type="dxa" w:w="3312"/>
          </w:tcPr>
          <w:p>
            <w:pPr>
              <w:spacing w:after="20"/>
              <w:jc w:val="right"/>
            </w:pPr>
            <w:r>
              <w:rPr>
                <w:color w:val="1C3A36"/>
                <w:sz w:val="14"/>
              </w:rPr>
              <w:t>Audited consolidated financial statements for the year ended 31 December 2023: revenue USD 2,413.1 million, EBITDA USD 546.0 million, profit attributable to shareholders USD 259.5 million — the peak year the tw</w:t>
            </w:r>
          </w:p>
        </w:tc>
        <w:tc>
          <w:tcPr>
            <w:tcW w:type="dxa" w:w="2520"/>
          </w:tcPr>
          <w:p>
            <w:pPr>
              <w:spacing w:after="20"/>
              <w:jc w:val="right"/>
            </w:pPr>
            <w:r>
              <w:rPr>
                <w:color w:val="1C3A36"/>
                <w:sz w:val="14"/>
              </w:rPr>
              <w:t>Audited consolidated financial statements for the year ended 31 December 2023</w:t>
            </w:r>
          </w:p>
        </w:tc>
        <w:tc>
          <w:tcPr>
            <w:tcW w:type="dxa" w:w="1008"/>
          </w:tcPr>
          <w:p>
            <w:pPr>
              <w:spacing w:after="20"/>
              <w:jc w:val="right"/>
            </w:pPr>
            <w:r>
              <w:rPr>
                <w:color w:val="1C3A36"/>
                <w:sz w:val="14"/>
              </w:rPr>
              <w:t>2024-02-15</w:t>
            </w:r>
          </w:p>
        </w:tc>
      </w:tr>
      <w:tr>
        <w:tc>
          <w:tcPr>
            <w:tcW w:type="dxa" w:w="576"/>
          </w:tcPr>
          <w:p>
            <w:pPr>
              <w:spacing w:after="20"/>
            </w:pPr>
            <w:r>
              <w:rPr>
                <w:color w:val="1C3A36"/>
                <w:sz w:val="14"/>
              </w:rPr>
              <w:t>F16</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official financial statements</w:t>
            </w:r>
          </w:p>
        </w:tc>
        <w:tc>
          <w:tcPr>
            <w:tcW w:type="dxa" w:w="3312"/>
          </w:tcPr>
          <w:p>
            <w:pPr>
              <w:spacing w:after="20"/>
              <w:jc w:val="right"/>
            </w:pPr>
            <w:r>
              <w:rPr>
                <w:color w:val="1C3A36"/>
                <w:sz w:val="14"/>
              </w:rPr>
              <w:t>Audited consolidated financial statements for the year ended 31 December 2022, carried as the comparative column of the FY2023 filing: revenue USD 2,378.5 million, operating profit USD 292.6 million, profit att</w:t>
            </w:r>
          </w:p>
        </w:tc>
        <w:tc>
          <w:tcPr>
            <w:tcW w:type="dxa" w:w="2520"/>
          </w:tcPr>
          <w:p>
            <w:pPr>
              <w:spacing w:after="20"/>
              <w:jc w:val="right"/>
            </w:pPr>
            <w:r>
              <w:rPr>
                <w:color w:val="1C3A36"/>
                <w:sz w:val="14"/>
              </w:rPr>
              <w:t>Audited consolidated financial statements for the year ended 31 December 2023, comparative column and note 34 — the comp</w:t>
            </w:r>
          </w:p>
        </w:tc>
        <w:tc>
          <w:tcPr>
            <w:tcW w:type="dxa" w:w="1008"/>
          </w:tcPr>
          <w:p>
            <w:pPr>
              <w:spacing w:after="20"/>
              <w:jc w:val="right"/>
            </w:pPr>
            <w:r>
              <w:rPr>
                <w:color w:val="1C3A36"/>
                <w:sz w:val="14"/>
              </w:rPr>
              <w:t>2024-02-15</w:t>
            </w:r>
          </w:p>
        </w:tc>
      </w:tr>
      <w:tr>
        <w:tc>
          <w:tcPr>
            <w:tcW w:type="dxa" w:w="576"/>
          </w:tcPr>
          <w:p>
            <w:pPr>
              <w:spacing w:after="20"/>
            </w:pPr>
            <w:r>
              <w:rPr>
                <w:color w:val="1C3A36"/>
                <w:sz w:val="14"/>
              </w:rPr>
              <w:t>F17</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split of planned restaurant openings by market</w:t>
            </w:r>
          </w:p>
        </w:tc>
        <w:tc>
          <w:tcPr>
            <w:tcW w:type="dxa" w:w="3312"/>
          </w:tcPr>
          <w:p>
            <w:pPr>
              <w:spacing w:after="20"/>
              <w:jc w:val="right"/>
            </w:pPr>
            <w:r>
              <w:rPr>
                <w:color w:val="1C3A36"/>
                <w:sz w:val="14"/>
              </w:rPr>
              <w:t>Negative search — nothing found (searched the H1 2026 and FY 2025 earnings presentations, both earnings releases and the 2025 annual report for a country-level breakdown of the 120-130 net new restaurants guide</w:t>
            </w:r>
          </w:p>
        </w:tc>
        <w:tc>
          <w:tcPr>
            <w:tcW w:type="dxa" w:w="2520"/>
          </w:tcPr>
          <w:p>
            <w:pPr>
              <w:spacing w:after="20"/>
              <w:jc w:val="right"/>
            </w:pPr>
            <w:r>
              <w:rPr>
                <w:color w:val="1C3A36"/>
                <w:sz w:val="14"/>
              </w:rPr>
              <w:t>negative search</w:t>
            </w:r>
          </w:p>
        </w:tc>
        <w:tc>
          <w:tcPr>
            <w:tcW w:type="dxa" w:w="1008"/>
          </w:tcPr>
          <w:p>
            <w:pPr>
              <w:spacing w:after="20"/>
              <w:jc w:val="right"/>
            </w:pPr>
            <w:r>
              <w:rPr>
                <w:color w:val="1C3A36"/>
                <w:sz w:val="14"/>
              </w:rPr>
              <w:t>2026-08-09</w:t>
            </w:r>
          </w:p>
        </w:tc>
      </w:tr>
      <w:tr>
        <w:tc>
          <w:tcPr>
            <w:tcW w:type="dxa" w:w="576"/>
          </w:tcPr>
          <w:p>
            <w:pPr>
              <w:spacing w:after="20"/>
            </w:pPr>
            <w:r>
              <w:rPr>
                <w:color w:val="1C3A36"/>
                <w:sz w:val="14"/>
              </w:rPr>
              <w:t>F18</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regular disclosures</w:t>
            </w:r>
          </w:p>
        </w:tc>
        <w:tc>
          <w:tcPr>
            <w:tcW w:type="dxa" w:w="3312"/>
          </w:tcPr>
          <w:p>
            <w:pPr>
              <w:spacing w:after="20"/>
              <w:jc w:val="right"/>
            </w:pPr>
            <w:r>
              <w:rPr>
                <w:color w:val="1C3A36"/>
                <w:sz w:val="14"/>
              </w:rPr>
              <w:t>Reviewed condensed consolidated interim financial statements for the three months ended 31 March 2026: revenue USD 649.7 million</w:t>
            </w:r>
          </w:p>
        </w:tc>
        <w:tc>
          <w:tcPr>
            <w:tcW w:type="dxa" w:w="2520"/>
          </w:tcPr>
          <w:p>
            <w:pPr>
              <w:spacing w:after="20"/>
              <w:jc w:val="right"/>
            </w:pPr>
            <w:r>
              <w:rPr>
                <w:color w:val="1C3A36"/>
                <w:sz w:val="14"/>
              </w:rPr>
              <w:t>Reviewed condensed consolidated interim financial statements, three months ended 31 March 2026</w:t>
            </w:r>
          </w:p>
        </w:tc>
        <w:tc>
          <w:tcPr>
            <w:tcW w:type="dxa" w:w="1008"/>
          </w:tcPr>
          <w:p>
            <w:pPr>
              <w:spacing w:after="20"/>
              <w:jc w:val="right"/>
            </w:pPr>
            <w:r>
              <w:rPr>
                <w:color w:val="1C3A36"/>
                <w:sz w:val="14"/>
              </w:rPr>
              <w:t>2026-04-28</w:t>
            </w:r>
          </w:p>
        </w:tc>
      </w:tr>
      <w:tr>
        <w:tc>
          <w:tcPr>
            <w:tcW w:type="dxa" w:w="576"/>
          </w:tcPr>
          <w:p>
            <w:pPr>
              <w:spacing w:after="20"/>
            </w:pPr>
            <w:r>
              <w:rPr>
                <w:color w:val="1C3A36"/>
                <w:sz w:val="14"/>
              </w:rPr>
              <w:t>F19</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regular disclosures</w:t>
            </w:r>
          </w:p>
        </w:tc>
        <w:tc>
          <w:tcPr>
            <w:tcW w:type="dxa" w:w="3312"/>
          </w:tcPr>
          <w:p>
            <w:pPr>
              <w:spacing w:after="20"/>
              <w:jc w:val="right"/>
            </w:pPr>
            <w:r>
              <w:rPr>
                <w:color w:val="1C3A36"/>
                <w:sz w:val="14"/>
              </w:rPr>
              <w:t>Reviewed condensed consolidated interim financial statements for the six months ended 30 June 2026: revenue USD 1,364.5 million, up 12.1%; EBITDA USD 348.2 million at a 25.5% margin, up 290 basis points; profit</w:t>
            </w:r>
          </w:p>
        </w:tc>
        <w:tc>
          <w:tcPr>
            <w:tcW w:type="dxa" w:w="2520"/>
          </w:tcPr>
          <w:p>
            <w:pPr>
              <w:spacing w:after="20"/>
              <w:jc w:val="right"/>
            </w:pPr>
            <w:r>
              <w:rPr>
                <w:color w:val="1C3A36"/>
                <w:sz w:val="14"/>
              </w:rPr>
              <w:t>Reviewed condensed consolidated interim financial statements, six months ended 30 June 2026, review report by Deloitte &amp;</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F20</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strategic plans &amp; guidance</w:t>
            </w:r>
          </w:p>
        </w:tc>
        <w:tc>
          <w:tcPr>
            <w:tcW w:type="dxa" w:w="3312"/>
          </w:tcPr>
          <w:p>
            <w:pPr>
              <w:spacing w:after="20"/>
              <w:jc w:val="right"/>
            </w:pPr>
            <w:r>
              <w:rPr>
                <w:color w:val="1C3A36"/>
                <w:sz w:val="14"/>
              </w:rPr>
              <w:t>Management guides to 120–130 net new restaurants in 2026, mid-single-digit like-for-like growth, and net income margin expansion of 100 to 150 basis points against 2025</w:t>
            </w:r>
          </w:p>
        </w:tc>
        <w:tc>
          <w:tcPr>
            <w:tcW w:type="dxa" w:w="2520"/>
          </w:tcPr>
          <w:p>
            <w:pPr>
              <w:spacing w:after="20"/>
              <w:jc w:val="right"/>
            </w:pPr>
            <w:r>
              <w:rPr>
                <w:color w:val="1C3A36"/>
                <w:sz w:val="14"/>
              </w:rPr>
              <w:t>H1 2026 earnings release and presentation</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F21</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IR communications (calls, presentations, releases)</w:t>
            </w:r>
          </w:p>
        </w:tc>
        <w:tc>
          <w:tcPr>
            <w:tcW w:type="dxa" w:w="3312"/>
          </w:tcPr>
          <w:p>
            <w:pPr>
              <w:spacing w:after="20"/>
              <w:jc w:val="right"/>
            </w:pPr>
            <w:r>
              <w:rPr>
                <w:color w:val="1C3A36"/>
                <w:sz w:val="14"/>
              </w:rPr>
              <w:t>The company publishes average capital expenditure per restaurant by brand (USD 402 thousand across 356 gross openings, three-year average payback), four-wall EBITDA, net working capital, channel mix and the fre</w:t>
            </w:r>
          </w:p>
        </w:tc>
        <w:tc>
          <w:tcPr>
            <w:tcW w:type="dxa" w:w="2520"/>
          </w:tcPr>
          <w:p>
            <w:pPr>
              <w:spacing w:after="20"/>
              <w:jc w:val="right"/>
            </w:pPr>
            <w:r>
              <w:rPr>
                <w:color w:val="1C3A36"/>
                <w:sz w:val="14"/>
              </w:rPr>
              <w:t>H1 2026 earnings presentation, key metrics by restaurant and the appendix</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F22</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one-off base-resetting transactions</w:t>
            </w:r>
          </w:p>
        </w:tc>
        <w:tc>
          <w:tcPr>
            <w:tcW w:type="dxa" w:w="3312"/>
          </w:tcPr>
          <w:p>
            <w:pPr>
              <w:spacing w:after="20"/>
              <w:jc w:val="right"/>
            </w:pPr>
            <w:r>
              <w:rPr>
                <w:color w:val="1C3A36"/>
                <w:sz w:val="14"/>
              </w:rPr>
              <w:t>Two named acquisitions: the Pizza Hut business in Oman, bought on 23 January 2025 for USD 10.6 million net of cash acquired and adding 40 net restaurants, and Malak Al Tawouk, whose United Arab Emirates franchi</w:t>
            </w:r>
          </w:p>
        </w:tc>
        <w:tc>
          <w:tcPr>
            <w:tcW w:type="dxa" w:w="2520"/>
          </w:tcPr>
          <w:p>
            <w:pPr>
              <w:spacing w:after="20"/>
              <w:jc w:val="right"/>
            </w:pPr>
            <w:r>
              <w:rPr>
                <w:color w:val="1C3A36"/>
                <w:sz w:val="14"/>
              </w:rPr>
              <w:t>Audited consolidated financial statements for the year ended 31 December 2025, note 36; H1 2026 earnings presentation</w:t>
            </w:r>
          </w:p>
        </w:tc>
        <w:tc>
          <w:tcPr>
            <w:tcW w:type="dxa" w:w="1008"/>
          </w:tcPr>
          <w:p>
            <w:pPr>
              <w:spacing w:after="20"/>
              <w:jc w:val="right"/>
            </w:pPr>
            <w:r>
              <w:rPr>
                <w:color w:val="1C3A36"/>
                <w:sz w:val="14"/>
              </w:rPr>
              <w:t>2026-02-06</w:t>
            </w:r>
          </w:p>
        </w:tc>
      </w:tr>
      <w:tr>
        <w:tc>
          <w:tcPr>
            <w:tcW w:type="dxa" w:w="576"/>
          </w:tcPr>
          <w:p>
            <w:pPr>
              <w:spacing w:after="20"/>
            </w:pPr>
            <w:r>
              <w:rPr>
                <w:color w:val="1C3A36"/>
                <w:sz w:val="14"/>
              </w:rPr>
              <w:t>F23</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ownership / stake changes (named-transaction rule)</w:t>
            </w:r>
          </w:p>
        </w:tc>
        <w:tc>
          <w:tcPr>
            <w:tcW w:type="dxa" w:w="3312"/>
          </w:tcPr>
          <w:p>
            <w:pPr>
              <w:spacing w:after="20"/>
              <w:jc w:val="right"/>
            </w:pPr>
            <w:r>
              <w:rPr>
                <w:color w:val="1C3A36"/>
                <w:sz w:val="14"/>
              </w:rPr>
              <w:t>Adeptio AD Investments holds 66.03% of the company. Adeptio AD Holdings, its parent, is owned equally by Mohamed Ali Rashed Alabbar and the Saudi Company for Gulf Food Investments, a subsidiary of the Public In</w:t>
            </w:r>
          </w:p>
        </w:tc>
        <w:tc>
          <w:tcPr>
            <w:tcW w:type="dxa" w:w="2520"/>
          </w:tcPr>
          <w:p>
            <w:pPr>
              <w:spacing w:after="20"/>
              <w:jc w:val="right"/>
            </w:pPr>
            <w:r>
              <w:rPr>
                <w:color w:val="1C3A36"/>
                <w:sz w:val="14"/>
              </w:rPr>
              <w:t>Audited consolidated financial statements for the year ended 31 December 2025, note 1; confirmed unchanged in the interi</w:t>
            </w:r>
          </w:p>
        </w:tc>
        <w:tc>
          <w:tcPr>
            <w:tcW w:type="dxa" w:w="1008"/>
          </w:tcPr>
          <w:p>
            <w:pPr>
              <w:spacing w:after="20"/>
              <w:jc w:val="right"/>
            </w:pPr>
            <w:r>
              <w:rPr>
                <w:color w:val="1C3A36"/>
                <w:sz w:val="14"/>
              </w:rPr>
              <w:t>2026-07-28</w:t>
            </w:r>
          </w:p>
        </w:tc>
      </w:tr>
      <w:tr>
        <w:tc>
          <w:tcPr>
            <w:tcW w:type="dxa" w:w="576"/>
          </w:tcPr>
          <w:p>
            <w:pPr>
              <w:spacing w:after="20"/>
            </w:pPr>
            <w:r>
              <w:rPr>
                <w:color w:val="1C3A36"/>
                <w:sz w:val="14"/>
              </w:rPr>
              <w:t>F24</w:t>
            </w:r>
          </w:p>
        </w:tc>
        <w:tc>
          <w:tcPr>
            <w:tcW w:type="dxa" w:w="1008"/>
          </w:tcPr>
          <w:p>
            <w:pPr>
              <w:spacing w:after="20"/>
              <w:jc w:val="right"/>
            </w:pPr>
            <w:r>
              <w:rPr>
                <w:color w:val="1C3A36"/>
                <w:sz w:val="14"/>
              </w:rPr>
              <w:t>Company</w:t>
            </w:r>
          </w:p>
        </w:tc>
        <w:tc>
          <w:tcPr>
            <w:tcW w:type="dxa" w:w="1872"/>
          </w:tcPr>
          <w:p>
            <w:pPr>
              <w:spacing w:after="20"/>
              <w:jc w:val="right"/>
            </w:pPr>
            <w:r>
              <w:rPr>
                <w:color w:val="1C3A36"/>
                <w:sz w:val="14"/>
              </w:rPr>
              <w:t>management &amp; capital actions</w:t>
            </w:r>
          </w:p>
        </w:tc>
        <w:tc>
          <w:tcPr>
            <w:tcW w:type="dxa" w:w="3312"/>
          </w:tcPr>
          <w:p>
            <w:pPr>
              <w:spacing w:after="20"/>
              <w:jc w:val="right"/>
            </w:pPr>
            <w:r>
              <w:rPr>
                <w:color w:val="1C3A36"/>
                <w:sz w:val="14"/>
              </w:rPr>
              <w:t xml:space="preserve">The board declared USD 201.6 million against FY2025 — 91.99% of net profit — and has already declared a USD 100.8 million interim, USD 0.012 a share, against 2026. It holds 25 million treasury shares against a </w:t>
            </w:r>
          </w:p>
        </w:tc>
        <w:tc>
          <w:tcPr>
            <w:tcW w:type="dxa" w:w="2520"/>
          </w:tcPr>
          <w:p>
            <w:pPr>
              <w:spacing w:after="20"/>
              <w:jc w:val="right"/>
            </w:pPr>
            <w:r>
              <w:rPr>
                <w:color w:val="1C3A36"/>
                <w:sz w:val="14"/>
              </w:rPr>
              <w:t>FY 2025 earnings presentation; H1 2026 earnings release; signature pages of the FY2025 and H1 2026 statements</w:t>
            </w:r>
          </w:p>
        </w:tc>
        <w:tc>
          <w:tcPr>
            <w:tcW w:type="dxa" w:w="1008"/>
          </w:tcPr>
          <w:p>
            <w:pPr>
              <w:spacing w:after="20"/>
              <w:jc w:val="right"/>
            </w:pPr>
            <w:r>
              <w:rPr>
                <w:color w:val="1C3A36"/>
                <w:sz w:val="14"/>
              </w:rPr>
              <w:t>2026-07-28</w:t>
            </w:r>
          </w:p>
        </w:tc>
      </w:tr>
    </w:tbl>
    <w:p>
      <w:pPr>
        <w:spacing w:after="40"/>
      </w:pPr>
    </w:p>
    <w:p>
      <w:pPr>
        <w:spacing w:after="200" w:before="0"/>
      </w:pPr>
      <w:r>
        <w:rPr>
          <w:b w:val="0"/>
          <w:i/>
          <w:color w:val="6E7B77"/>
          <w:sz w:val="17"/>
        </w:rPr>
        <w:t>Entries marked as a negative search record a category that was searched with nothing found — recorded so a reader can see what was looked for, not only what was located. The full source list, with every input and where it came from, is in the companion bibliography document.</w:t>
      </w:r>
    </w:p>
    <w:p>
      <w:r>
        <w:br w:type="page"/>
      </w:r>
    </w:p>
    <w:p>
      <w:pPr>
        <w:spacing w:after="120" w:before="280"/>
      </w:pPr>
      <w:r>
        <w:rPr>
          <w:b/>
          <w:i w:val="0"/>
          <w:color w:val="1C3A36"/>
          <w:sz w:val="30"/>
        </w:rPr>
        <w:t>Appendix C  The expert panel</w:t>
      </w:r>
    </w:p>
    <w:p>
      <w:pPr>
        <w:spacing w:after="120" w:before="0"/>
      </w:pPr>
      <w:r>
        <w:rPr>
          <w:b w:val="0"/>
          <w:i w:val="0"/>
          <w:color w:val="1C3A36"/>
          <w:sz w:val="21"/>
        </w:rPr>
        <w:t>Three valuation specialists, each working from a genuinely different method, each shown in full: the worldview, when the method works and when it fails, a worked valuation with every intermediate line, a named sensitivity with numbers, and a falsification condition stated in advance. They are then cross-examined against each other.</w:t>
      </w:r>
    </w:p>
    <w:p>
      <w:pPr>
        <w:spacing w:after="40"/>
        <w:jc w:val="center"/>
      </w:pPr>
      <w:r>
        <w:drawing>
          <wp:inline xmlns:a="http://schemas.openxmlformats.org/drawingml/2006/main" xmlns:pic="http://schemas.openxmlformats.org/drawingml/2006/picture">
            <wp:extent cx="5943600" cy="2023353"/>
            <wp:docPr id="9" name="Picture 9"/>
            <wp:cNvGraphicFramePr>
              <a:graphicFrameLocks noChangeAspect="1"/>
            </wp:cNvGraphicFramePr>
            <a:graphic>
              <a:graphicData uri="http://schemas.openxmlformats.org/drawingml/2006/picture">
                <pic:pic>
                  <pic:nvPicPr>
                    <pic:cNvPr id="0" name="fig9_experts.png"/>
                    <pic:cNvPicPr/>
                  </pic:nvPicPr>
                  <pic:blipFill>
                    <a:blip r:embed="rId17"/>
                    <a:stretch>
                      <a:fillRect/>
                    </a:stretch>
                  </pic:blipFill>
                  <pic:spPr>
                    <a:xfrm>
                      <a:off x="0" y="0"/>
                      <a:ext cx="5943600" cy="2023353"/>
                    </a:xfrm>
                    <a:prstGeom prst="rect"/>
                  </pic:spPr>
                </pic:pic>
              </a:graphicData>
            </a:graphic>
          </wp:inline>
        </w:drawing>
      </w:r>
    </w:p>
    <w:p>
      <w:pPr>
        <w:spacing w:after="200" w:before="0"/>
      </w:pPr>
      <w:r>
        <w:rPr>
          <w:b w:val="0"/>
          <w:i/>
          <w:color w:val="6E7B77"/>
          <w:sz w:val="17"/>
        </w:rPr>
        <w:t>Three methods, three answers, and the market price.</w:t>
      </w:r>
    </w:p>
    <w:p>
      <w:pPr>
        <w:spacing w:after="80" w:before="200"/>
      </w:pPr>
      <w:r>
        <w:rPr>
          <w:b/>
          <w:i w:val="0"/>
          <w:color w:val="1C3A36"/>
          <w:sz w:val="24"/>
        </w:rPr>
        <w:t>C.1  Expert 1 — Restaurant-level unit economics</w:t>
      </w:r>
    </w:p>
    <w:p>
      <w:pPr>
        <w:spacing w:after="80" w:before="0"/>
      </w:pPr>
      <w:r>
        <w:rPr>
          <w:b/>
          <w:i w:val="0"/>
          <w:color w:val="1C3A36"/>
          <w:sz w:val="21"/>
        </w:rPr>
        <w:t xml:space="preserve">Worldview. </w:t>
      </w:r>
      <w:r>
        <w:rPr>
          <w:b w:val="0"/>
          <w:i w:val="0"/>
          <w:color w:val="1C3A36"/>
          <w:sz w:val="21"/>
        </w:rPr>
        <w:t>A restaurant chain is a portfolio of individual cash machines. Value it by what one restaurant earns against what one restaurant costs to build, then count the restaurants and take off what head office and the landlords cost.</w:t>
      </w:r>
    </w:p>
    <w:p>
      <w:pPr>
        <w:spacing w:after="80" w:before="0"/>
      </w:pPr>
      <w:r>
        <w:rPr>
          <w:b/>
          <w:i w:val="0"/>
          <w:color w:val="1C3A36"/>
          <w:sz w:val="21"/>
        </w:rPr>
        <w:t xml:space="preserve">When it works. </w:t>
      </w:r>
      <w:r>
        <w:rPr>
          <w:b w:val="0"/>
          <w:i w:val="0"/>
          <w:color w:val="1C3A36"/>
          <w:sz w:val="21"/>
        </w:rPr>
        <w:t>When the operator publishes store-level economics, as this one does, and when the estate is homogeneous enough for an average to mean something.</w:t>
      </w:r>
    </w:p>
    <w:p>
      <w:pPr>
        <w:spacing w:after="80" w:before="0"/>
      </w:pPr>
      <w:r>
        <w:rPr>
          <w:b/>
          <w:i w:val="0"/>
          <w:color w:val="1C3A36"/>
          <w:sz w:val="21"/>
        </w:rPr>
        <w:t xml:space="preserve">When it fails. </w:t>
      </w:r>
      <w:r>
        <w:rPr>
          <w:b w:val="0"/>
          <w:i w:val="0"/>
          <w:color w:val="1C3A36"/>
          <w:sz w:val="21"/>
        </w:rPr>
        <w:t>When new restaurants are systematically worse than the ones already open, so the portfolio average flatters the marginal decision — and when a large part of the estate sits in markets where the currency, not the restaurant, drives the result.</w:t>
      </w:r>
    </w:p>
    <w:p>
      <w:pPr>
        <w:spacing w:after="120" w:before="0"/>
      </w:pPr>
      <w:r>
        <w:rPr>
          <w:b/>
          <w:i w:val="0"/>
          <w:color w:val="1C3A36"/>
          <w:sz w:val="21"/>
        </w:rPr>
        <w:t xml:space="preserve">Falsifier, stated in advance. </w:t>
      </w:r>
      <w:r>
        <w:rPr>
          <w:b w:val="0"/>
          <w:i w:val="0"/>
          <w:color w:val="1C3A36"/>
          <w:sz w:val="21"/>
        </w:rPr>
        <w:t>Average capital expenditure per restaurant rising above roughly USD 500 thousand while payback lengthens beyond four years would break the arithmetic this lens rests on.</w:t>
      </w:r>
    </w:p>
    <w:p>
      <w:pPr>
        <w:spacing w:after="80" w:before="200"/>
      </w:pPr>
      <w:r>
        <w:rPr>
          <w:b/>
          <w:i w:val="0"/>
          <w:color w:val="1C3A36"/>
          <w:sz w:val="24"/>
        </w:rPr>
        <w:t>C.2  Expert 2 — Distributable cash as a perpetuity</w:t>
      </w:r>
    </w:p>
    <w:p>
      <w:pPr>
        <w:spacing w:after="80" w:before="0"/>
      </w:pPr>
      <w:r>
        <w:rPr>
          <w:b/>
          <w:i w:val="0"/>
          <w:color w:val="1C3A36"/>
          <w:sz w:val="21"/>
        </w:rPr>
        <w:t xml:space="preserve">Worldview. </w:t>
      </w:r>
      <w:r>
        <w:rPr>
          <w:b w:val="0"/>
          <w:i w:val="0"/>
          <w:color w:val="1C3A36"/>
          <w:sz w:val="21"/>
        </w:rPr>
        <w:t>The only thing an outside shareholder in a controlled company receives is the dividend. Capitalise what is actually paid, at the return the risk demands, and grow it at what the business can sustain.</w:t>
      </w:r>
    </w:p>
    <w:p>
      <w:pPr>
        <w:spacing w:after="80" w:before="0"/>
      </w:pPr>
      <w:r>
        <w:rPr>
          <w:b/>
          <w:i w:val="0"/>
          <w:color w:val="1C3A36"/>
          <w:sz w:val="21"/>
        </w:rPr>
        <w:t xml:space="preserve">When it works. </w:t>
      </w:r>
      <w:r>
        <w:rPr>
          <w:b w:val="0"/>
          <w:i w:val="0"/>
          <w:color w:val="1C3A36"/>
          <w:sz w:val="21"/>
        </w:rPr>
        <w:t>When the payout is high, established and covered by cash rather than by accounting profit — as here, at roughly 92% of FY2025 earnings and with an interim already declared against 2026.</w:t>
      </w:r>
    </w:p>
    <w:p>
      <w:pPr>
        <w:spacing w:after="80" w:before="0"/>
      </w:pPr>
      <w:r>
        <w:rPr>
          <w:b/>
          <w:i w:val="0"/>
          <w:color w:val="1C3A36"/>
          <w:sz w:val="21"/>
        </w:rPr>
        <w:t xml:space="preserve">When it fails. </w:t>
      </w:r>
      <w:r>
        <w:rPr>
          <w:b w:val="0"/>
          <w:i w:val="0"/>
          <w:color w:val="1C3A36"/>
          <w:sz w:val="21"/>
        </w:rPr>
        <w:t>When the payout is discretionary and the controlling shareholder has a reason to change it, or when the dividend is funded from a balance sheet that is quietly running down.</w:t>
      </w:r>
    </w:p>
    <w:p>
      <w:pPr>
        <w:spacing w:after="120" w:before="0"/>
      </w:pPr>
      <w:r>
        <w:rPr>
          <w:b/>
          <w:i w:val="0"/>
          <w:color w:val="1C3A36"/>
          <w:sz w:val="21"/>
        </w:rPr>
        <w:t xml:space="preserve">Falsifier, stated in advance. </w:t>
      </w:r>
      <w:r>
        <w:rPr>
          <w:b w:val="0"/>
          <w:i w:val="0"/>
          <w:color w:val="1C3A36"/>
          <w:sz w:val="21"/>
        </w:rPr>
        <w:t>A cut in the declared dividend, or free cash flow falling below the distribution for two consecutive years, would end this reading.</w:t>
      </w:r>
    </w:p>
    <w:p>
      <w:pPr>
        <w:spacing w:after="80" w:before="200"/>
      </w:pPr>
      <w:r>
        <w:rPr>
          <w:b/>
          <w:i w:val="0"/>
          <w:color w:val="1C3A36"/>
          <w:sz w:val="24"/>
        </w:rPr>
        <w:t>C.3  Expert 3 — Return on capital against the cost of capital</w:t>
      </w:r>
    </w:p>
    <w:p>
      <w:pPr>
        <w:spacing w:after="80" w:before="0"/>
      </w:pPr>
      <w:r>
        <w:rPr>
          <w:b/>
          <w:i w:val="0"/>
          <w:color w:val="1C3A36"/>
          <w:sz w:val="21"/>
        </w:rPr>
        <w:t xml:space="preserve">Worldview. </w:t>
      </w:r>
      <w:r>
        <w:rPr>
          <w:b w:val="0"/>
          <w:i w:val="0"/>
          <w:color w:val="1C3A36"/>
          <w:sz w:val="21"/>
        </w:rPr>
        <w:t>Value is the capitalised current profit plus whatever the business earns above its cost of capital on the capital it goes on to invest. If the spread is positive, growth is worth paying for; if it is not, growth destroys value.</w:t>
      </w:r>
    </w:p>
    <w:p>
      <w:pPr>
        <w:spacing w:after="80" w:before="0"/>
      </w:pPr>
      <w:r>
        <w:rPr>
          <w:b/>
          <w:i w:val="0"/>
          <w:color w:val="1C3A36"/>
          <w:sz w:val="21"/>
        </w:rPr>
        <w:t xml:space="preserve">When it works. </w:t>
      </w:r>
      <w:r>
        <w:rPr>
          <w:b w:val="0"/>
          <w:i w:val="0"/>
          <w:color w:val="1C3A36"/>
          <w:sz w:val="21"/>
        </w:rPr>
        <w:t>When invested capital is measurable and the spread is wide and stable, so the growth term is not doing all the work.</w:t>
      </w:r>
    </w:p>
    <w:p>
      <w:pPr>
        <w:spacing w:after="80" w:before="0"/>
      </w:pPr>
      <w:r>
        <w:rPr>
          <w:b/>
          <w:i w:val="0"/>
          <w:color w:val="1C3A36"/>
          <w:sz w:val="21"/>
        </w:rPr>
        <w:t xml:space="preserve">When it fails. </w:t>
      </w:r>
      <w:r>
        <w:rPr>
          <w:b w:val="0"/>
          <w:i w:val="0"/>
          <w:color w:val="1C3A36"/>
          <w:sz w:val="21"/>
        </w:rPr>
        <w:t>When most of the invested capital is a right-of-use asset whose measurement depends on lease-term judgements — which is exactly the key audit matter in this filing.</w:t>
      </w:r>
    </w:p>
    <w:p>
      <w:pPr>
        <w:spacing w:after="120" w:before="0"/>
      </w:pPr>
      <w:r>
        <w:rPr>
          <w:b/>
          <w:i w:val="0"/>
          <w:color w:val="1C3A36"/>
          <w:sz w:val="21"/>
        </w:rPr>
        <w:t xml:space="preserve">Falsifier, stated in advance. </w:t>
      </w:r>
      <w:r>
        <w:rPr>
          <w:b w:val="0"/>
          <w:i w:val="0"/>
          <w:color w:val="1C3A36"/>
          <w:sz w:val="21"/>
        </w:rPr>
        <w:t>The return on invested capital falling to the cost of capital would collapse the growth term to zero and take roughly a fifth off this value.</w:t>
      </w:r>
    </w:p>
    <w:p>
      <w:pPr>
        <w:spacing w:after="80" w:before="200"/>
      </w:pPr>
      <w:r>
        <w:rPr>
          <w:b/>
          <w:i w:val="0"/>
          <w:color w:val="1C3A36"/>
          <w:sz w:val="24"/>
        </w:rPr>
        <w:t>C.1 continued — Expert 1, the working</w:t>
      </w:r>
    </w:p>
    <w:p>
      <w:pPr>
        <w:spacing w:after="120" w:before="0"/>
      </w:pPr>
      <w:r>
        <w:rPr>
          <w:b w:val="0"/>
          <w:i w:val="0"/>
          <w:color w:val="1C3A36"/>
          <w:sz w:val="21"/>
        </w:rPr>
        <w:t>The estate is valued as a portfolio of restaurants: what one earns against what one costs to build, multiplied by the number of them, less what head office and the landlords take.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2088"/>
        <w:gridCol w:w="4464"/>
      </w:tblGrid>
      <w:tr>
        <w:tc>
          <w:tcPr>
            <w:tcW w:type="dxa" w:w="3528"/>
            <w:shd w:val="clear" w:color="auto" w:fill="EAF0EE"/>
          </w:tcPr>
          <w:p>
            <w:pPr>
              <w:spacing w:after="20"/>
            </w:pPr>
            <w:r>
              <w:rPr>
                <w:b/>
                <w:color w:val="1C3A36"/>
                <w:sz w:val="17"/>
              </w:rPr>
              <w:t>Line</w:t>
            </w:r>
          </w:p>
        </w:tc>
        <w:tc>
          <w:tcPr>
            <w:tcW w:type="dxa" w:w="2088"/>
            <w:shd w:val="clear" w:color="auto" w:fill="EAF0EE"/>
          </w:tcPr>
          <w:p>
            <w:pPr>
              <w:spacing w:after="20"/>
            </w:pPr>
            <w:r>
              <w:rPr>
                <w:b/>
                <w:color w:val="1C3A36"/>
                <w:sz w:val="17"/>
              </w:rPr>
              <w:t>Value</w:t>
            </w:r>
          </w:p>
        </w:tc>
        <w:tc>
          <w:tcPr>
            <w:tcW w:type="dxa" w:w="4464"/>
            <w:shd w:val="clear" w:color="auto" w:fill="EAF0EE"/>
          </w:tcPr>
          <w:p>
            <w:pPr>
              <w:spacing w:after="20"/>
            </w:pPr>
            <w:r>
              <w:rPr>
                <w:b/>
                <w:color w:val="1C3A36"/>
                <w:sz w:val="17"/>
              </w:rPr>
              <w:t>Where it comes from</w:t>
            </w:r>
          </w:p>
        </w:tc>
      </w:tr>
      <w:tr>
        <w:tc>
          <w:tcPr>
            <w:tcW w:type="dxa" w:w="3528"/>
          </w:tcPr>
          <w:p>
            <w:pPr>
              <w:spacing w:after="20"/>
            </w:pPr>
            <w:r>
              <w:rPr>
                <w:color w:val="1C3A36"/>
                <w:sz w:val="17"/>
              </w:rPr>
              <w:t>Four-wall EBITDA, first half of 2026 (USD m)</w:t>
            </w:r>
          </w:p>
        </w:tc>
        <w:tc>
          <w:tcPr>
            <w:tcW w:type="dxa" w:w="2088"/>
          </w:tcPr>
          <w:p>
            <w:pPr>
              <w:spacing w:after="20"/>
              <w:jc w:val="right"/>
            </w:pPr>
            <w:r>
              <w:rPr>
                <w:color w:val="1C3A36"/>
                <w:sz w:val="17"/>
              </w:rPr>
              <w:t>433</w:t>
            </w:r>
          </w:p>
        </w:tc>
        <w:tc>
          <w:tcPr>
            <w:tcW w:type="dxa" w:w="4464"/>
          </w:tcPr>
          <w:p>
            <w:pPr>
              <w:spacing w:after="20"/>
              <w:jc w:val="right"/>
            </w:pPr>
            <w:r>
              <w:rPr>
                <w:color w:val="1C3A36"/>
                <w:sz w:val="17"/>
              </w:rPr>
              <w:t>disclosed — revenue less cost of revenues and selling costs, before depreciation</w:t>
            </w:r>
          </w:p>
        </w:tc>
      </w:tr>
      <w:tr>
        <w:tc>
          <w:tcPr>
            <w:tcW w:type="dxa" w:w="3528"/>
          </w:tcPr>
          <w:p>
            <w:pPr>
              <w:spacing w:after="20"/>
            </w:pPr>
            <w:r>
              <w:rPr>
                <w:color w:val="1C3A36"/>
                <w:sz w:val="17"/>
              </w:rPr>
              <w:t>Annualised (USD m)</w:t>
            </w:r>
          </w:p>
        </w:tc>
        <w:tc>
          <w:tcPr>
            <w:tcW w:type="dxa" w:w="2088"/>
          </w:tcPr>
          <w:p>
            <w:pPr>
              <w:spacing w:after="20"/>
              <w:jc w:val="right"/>
            </w:pPr>
            <w:r>
              <w:rPr>
                <w:color w:val="1C3A36"/>
                <w:sz w:val="17"/>
              </w:rPr>
              <w:t>866</w:t>
            </w:r>
          </w:p>
        </w:tc>
        <w:tc>
          <w:tcPr>
            <w:tcW w:type="dxa" w:w="4464"/>
          </w:tcPr>
          <w:p>
            <w:pPr>
              <w:spacing w:after="20"/>
              <w:jc w:val="right"/>
            </w:pPr>
            <w:r>
              <w:rPr>
                <w:color w:val="1C3A36"/>
                <w:sz w:val="17"/>
              </w:rPr>
              <w:t>doubled</w:t>
            </w:r>
          </w:p>
        </w:tc>
      </w:tr>
      <w:tr>
        <w:tc>
          <w:tcPr>
            <w:tcW w:type="dxa" w:w="3528"/>
          </w:tcPr>
          <w:p>
            <w:pPr>
              <w:spacing w:after="20"/>
            </w:pPr>
            <w:r>
              <w:rPr>
                <w:color w:val="1C3A36"/>
                <w:sz w:val="17"/>
              </w:rPr>
              <w:t>Restaurants at 31 December 2025</w:t>
            </w:r>
          </w:p>
        </w:tc>
        <w:tc>
          <w:tcPr>
            <w:tcW w:type="dxa" w:w="2088"/>
          </w:tcPr>
          <w:p>
            <w:pPr>
              <w:spacing w:after="20"/>
              <w:jc w:val="right"/>
            </w:pPr>
            <w:r>
              <w:rPr>
                <w:color w:val="1C3A36"/>
                <w:sz w:val="17"/>
              </w:rPr>
              <w:t>2,749</w:t>
            </w:r>
          </w:p>
        </w:tc>
        <w:tc>
          <w:tcPr>
            <w:tcW w:type="dxa" w:w="4464"/>
          </w:tcPr>
          <w:p>
            <w:pPr>
              <w:spacing w:after="20"/>
              <w:jc w:val="right"/>
            </w:pPr>
            <w:r>
              <w:rPr>
                <w:color w:val="1C3A36"/>
                <w:sz w:val="17"/>
              </w:rPr>
              <w:t>disclosed</w:t>
            </w:r>
          </w:p>
        </w:tc>
      </w:tr>
      <w:tr>
        <w:tc>
          <w:tcPr>
            <w:tcW w:type="dxa" w:w="3528"/>
          </w:tcPr>
          <w:p>
            <w:pPr>
              <w:spacing w:after="20"/>
            </w:pPr>
            <w:r>
              <w:rPr>
                <w:color w:val="1C3A36"/>
                <w:sz w:val="17"/>
              </w:rPr>
              <w:t>Four-wall EBITDA per restaurant (USD 000)</w:t>
            </w:r>
          </w:p>
        </w:tc>
        <w:tc>
          <w:tcPr>
            <w:tcW w:type="dxa" w:w="2088"/>
          </w:tcPr>
          <w:p>
            <w:pPr>
              <w:spacing w:after="20"/>
              <w:jc w:val="right"/>
            </w:pPr>
            <w:r>
              <w:rPr>
                <w:color w:val="1C3A36"/>
                <w:sz w:val="17"/>
              </w:rPr>
              <w:t>315</w:t>
            </w:r>
          </w:p>
        </w:tc>
        <w:tc>
          <w:tcPr>
            <w:tcW w:type="dxa" w:w="4464"/>
          </w:tcPr>
          <w:p>
            <w:pPr>
              <w:spacing w:after="20"/>
              <w:jc w:val="right"/>
            </w:pPr>
            <w:r>
              <w:rPr>
                <w:color w:val="1C3A36"/>
                <w:sz w:val="17"/>
              </w:rPr>
              <w:t>the two above</w:t>
            </w:r>
          </w:p>
        </w:tc>
      </w:tr>
      <w:tr>
        <w:tc>
          <w:tcPr>
            <w:tcW w:type="dxa" w:w="3528"/>
          </w:tcPr>
          <w:p>
            <w:pPr>
              <w:spacing w:after="20"/>
            </w:pPr>
            <w:r>
              <w:rPr>
                <w:color w:val="1C3A36"/>
                <w:sz w:val="17"/>
              </w:rPr>
              <w:t>Average capital cost of one restaurant (USD 000)</w:t>
            </w:r>
          </w:p>
        </w:tc>
        <w:tc>
          <w:tcPr>
            <w:tcW w:type="dxa" w:w="2088"/>
          </w:tcPr>
          <w:p>
            <w:pPr>
              <w:spacing w:after="20"/>
              <w:jc w:val="right"/>
            </w:pPr>
            <w:r>
              <w:rPr>
                <w:color w:val="1C3A36"/>
                <w:sz w:val="17"/>
              </w:rPr>
              <w:t>402</w:t>
            </w:r>
          </w:p>
        </w:tc>
        <w:tc>
          <w:tcPr>
            <w:tcW w:type="dxa" w:w="4464"/>
          </w:tcPr>
          <w:p>
            <w:pPr>
              <w:spacing w:after="20"/>
              <w:jc w:val="right"/>
            </w:pPr>
            <w:r>
              <w:rPr>
                <w:color w:val="1C3A36"/>
                <w:sz w:val="17"/>
              </w:rPr>
              <w:t>disclosed, across 356 openings</w:t>
            </w:r>
          </w:p>
        </w:tc>
      </w:tr>
      <w:tr>
        <w:tc>
          <w:tcPr>
            <w:tcW w:type="dxa" w:w="3528"/>
          </w:tcPr>
          <w:p>
            <w:pPr>
              <w:spacing w:after="20"/>
            </w:pPr>
            <w:r>
              <w:rPr>
                <w:color w:val="1C3A36"/>
                <w:sz w:val="17"/>
              </w:rPr>
              <w:t>Cash return on the cost of one restaurant</w:t>
            </w:r>
          </w:p>
        </w:tc>
        <w:tc>
          <w:tcPr>
            <w:tcW w:type="dxa" w:w="2088"/>
          </w:tcPr>
          <w:p>
            <w:pPr>
              <w:spacing w:after="20"/>
              <w:jc w:val="right"/>
            </w:pPr>
            <w:r>
              <w:rPr>
                <w:color w:val="1C3A36"/>
                <w:sz w:val="17"/>
              </w:rPr>
              <w:t>78%</w:t>
            </w:r>
          </w:p>
        </w:tc>
        <w:tc>
          <w:tcPr>
            <w:tcW w:type="dxa" w:w="4464"/>
          </w:tcPr>
          <w:p>
            <w:pPr>
              <w:spacing w:after="20"/>
              <w:jc w:val="right"/>
            </w:pPr>
            <w:r>
              <w:rPr>
                <w:color w:val="1C3A36"/>
                <w:sz w:val="17"/>
              </w:rPr>
              <w:t>the two above</w:t>
            </w:r>
          </w:p>
        </w:tc>
      </w:tr>
      <w:tr>
        <w:tc>
          <w:tcPr>
            <w:tcW w:type="dxa" w:w="3528"/>
          </w:tcPr>
          <w:p>
            <w:pPr>
              <w:spacing w:after="20"/>
            </w:pPr>
            <w:r>
              <w:rPr>
                <w:color w:val="1C3A36"/>
                <w:sz w:val="17"/>
              </w:rPr>
              <w:t>Less corporate overhead (USD m)</w:t>
            </w:r>
          </w:p>
        </w:tc>
        <w:tc>
          <w:tcPr>
            <w:tcW w:type="dxa" w:w="2088"/>
          </w:tcPr>
          <w:p>
            <w:pPr>
              <w:spacing w:after="20"/>
              <w:jc w:val="right"/>
            </w:pPr>
            <w:r>
              <w:rPr>
                <w:color w:val="1C3A36"/>
                <w:sz w:val="17"/>
              </w:rPr>
              <w:t>(174)</w:t>
            </w:r>
          </w:p>
        </w:tc>
        <w:tc>
          <w:tcPr>
            <w:tcW w:type="dxa" w:w="4464"/>
          </w:tcPr>
          <w:p>
            <w:pPr>
              <w:spacing w:after="20"/>
              <w:jc w:val="right"/>
            </w:pPr>
            <w:r>
              <w:rPr>
                <w:color w:val="1C3A36"/>
                <w:sz w:val="17"/>
              </w:rPr>
              <w:t>general and administrative expenses less their depreciation share</w:t>
            </w:r>
          </w:p>
        </w:tc>
      </w:tr>
      <w:tr>
        <w:tc>
          <w:tcPr>
            <w:tcW w:type="dxa" w:w="3528"/>
          </w:tcPr>
          <w:p>
            <w:pPr>
              <w:spacing w:after="20"/>
            </w:pPr>
            <w:r>
              <w:rPr>
                <w:color w:val="1C3A36"/>
                <w:sz w:val="17"/>
              </w:rPr>
              <w:t>Less maintenance capital expenditure (USD m)</w:t>
            </w:r>
          </w:p>
        </w:tc>
        <w:tc>
          <w:tcPr>
            <w:tcW w:type="dxa" w:w="2088"/>
          </w:tcPr>
          <w:p>
            <w:pPr>
              <w:spacing w:after="20"/>
              <w:jc w:val="right"/>
            </w:pPr>
            <w:r>
              <w:rPr>
                <w:color w:val="1C3A36"/>
                <w:sz w:val="17"/>
              </w:rPr>
              <w:t>(45)</w:t>
            </w:r>
          </w:p>
        </w:tc>
        <w:tc>
          <w:tcPr>
            <w:tcW w:type="dxa" w:w="4464"/>
          </w:tcPr>
          <w:p>
            <w:pPr>
              <w:spacing w:after="20"/>
              <w:jc w:val="right"/>
            </w:pPr>
            <w:r>
              <w:rPr>
                <w:color w:val="1C3A36"/>
                <w:sz w:val="17"/>
              </w:rPr>
              <w:t>the derived maintenance rate on FY2026 revenue</w:t>
            </w:r>
          </w:p>
        </w:tc>
      </w:tr>
      <w:tr>
        <w:tc>
          <w:tcPr>
            <w:tcW w:type="dxa" w:w="3528"/>
          </w:tcPr>
          <w:p>
            <w:pPr>
              <w:spacing w:after="20"/>
            </w:pPr>
            <w:r>
              <w:rPr>
                <w:color w:val="1C3A36"/>
                <w:sz w:val="17"/>
              </w:rPr>
              <w:t>Less lease payments (USD m)</w:t>
            </w:r>
          </w:p>
        </w:tc>
        <w:tc>
          <w:tcPr>
            <w:tcW w:type="dxa" w:w="2088"/>
          </w:tcPr>
          <w:p>
            <w:pPr>
              <w:spacing w:after="20"/>
              <w:jc w:val="right"/>
            </w:pPr>
            <w:r>
              <w:rPr>
                <w:color w:val="1C3A36"/>
                <w:sz w:val="17"/>
              </w:rPr>
              <w:t>(248)</w:t>
            </w:r>
          </w:p>
        </w:tc>
        <w:tc>
          <w:tcPr>
            <w:tcW w:type="dxa" w:w="4464"/>
          </w:tcPr>
          <w:p>
            <w:pPr>
              <w:spacing w:after="20"/>
              <w:jc w:val="right"/>
            </w:pPr>
            <w:r>
              <w:rPr>
                <w:color w:val="1C3A36"/>
                <w:sz w:val="17"/>
              </w:rPr>
              <w:t>the disclosed rent bill on FY2026 revenue</w:t>
            </w:r>
          </w:p>
        </w:tc>
      </w:tr>
      <w:tr>
        <w:tc>
          <w:tcPr>
            <w:tcW w:type="dxa" w:w="3528"/>
          </w:tcPr>
          <w:p>
            <w:pPr>
              <w:spacing w:after="20"/>
            </w:pPr>
            <w:r>
              <w:rPr>
                <w:color w:val="1C3A36"/>
                <w:sz w:val="17"/>
              </w:rPr>
              <w:t>Owner cash earnings after tax (USD m)</w:t>
            </w:r>
          </w:p>
        </w:tc>
        <w:tc>
          <w:tcPr>
            <w:tcW w:type="dxa" w:w="2088"/>
          </w:tcPr>
          <w:p>
            <w:pPr>
              <w:spacing w:after="20"/>
              <w:jc w:val="right"/>
            </w:pPr>
            <w:r>
              <w:rPr>
                <w:color w:val="1C3A36"/>
                <w:sz w:val="17"/>
              </w:rPr>
              <w:t>339</w:t>
            </w:r>
          </w:p>
        </w:tc>
        <w:tc>
          <w:tcPr>
            <w:tcW w:type="dxa" w:w="4464"/>
          </w:tcPr>
          <w:p>
            <w:pPr>
              <w:spacing w:after="20"/>
              <w:jc w:val="right"/>
            </w:pPr>
            <w:r>
              <w:rPr>
                <w:color w:val="1C3A36"/>
                <w:sz w:val="17"/>
              </w:rPr>
              <w:t>the lines above, taxed</w:t>
            </w:r>
          </w:p>
        </w:tc>
      </w:tr>
      <w:tr>
        <w:tc>
          <w:tcPr>
            <w:tcW w:type="dxa" w:w="3528"/>
          </w:tcPr>
          <w:p>
            <w:pPr>
              <w:spacing w:after="20"/>
            </w:pPr>
            <w:r>
              <w:rPr>
                <w:color w:val="1C3A36"/>
                <w:sz w:val="17"/>
              </w:rPr>
              <w:t>Capitalisation rate</w:t>
            </w:r>
          </w:p>
        </w:tc>
        <w:tc>
          <w:tcPr>
            <w:tcW w:type="dxa" w:w="2088"/>
          </w:tcPr>
          <w:p>
            <w:pPr>
              <w:spacing w:after="20"/>
              <w:jc w:val="right"/>
            </w:pPr>
            <w:r>
              <w:rPr>
                <w:color w:val="1C3A36"/>
                <w:sz w:val="17"/>
              </w:rPr>
              <w:t>8.2%</w:t>
            </w:r>
          </w:p>
        </w:tc>
        <w:tc>
          <w:tcPr>
            <w:tcW w:type="dxa" w:w="4464"/>
          </w:tcPr>
          <w:p>
            <w:pPr>
              <w:spacing w:after="20"/>
              <w:jc w:val="right"/>
            </w:pPr>
            <w:r>
              <w:rPr>
                <w:color w:val="1C3A36"/>
                <w:sz w:val="17"/>
              </w:rPr>
              <w:t>the terminal cost of equity less two points for the growth in the estate</w:t>
            </w:r>
          </w:p>
        </w:tc>
      </w:tr>
      <w:tr>
        <w:tc>
          <w:tcPr>
            <w:tcW w:type="dxa" w:w="3528"/>
          </w:tcPr>
          <w:p>
            <w:pPr>
              <w:spacing w:after="20"/>
            </w:pPr>
            <w:r>
              <w:rPr>
                <w:color w:val="1C3A36"/>
                <w:sz w:val="17"/>
              </w:rPr>
              <w:t>Business value (USD m)</w:t>
            </w:r>
          </w:p>
        </w:tc>
        <w:tc>
          <w:tcPr>
            <w:tcW w:type="dxa" w:w="2088"/>
          </w:tcPr>
          <w:p>
            <w:pPr>
              <w:spacing w:after="20"/>
              <w:jc w:val="right"/>
            </w:pPr>
            <w:r>
              <w:rPr>
                <w:color w:val="1C3A36"/>
                <w:sz w:val="17"/>
              </w:rPr>
              <w:t>3,341</w:t>
            </w:r>
          </w:p>
        </w:tc>
        <w:tc>
          <w:tcPr>
            <w:tcW w:type="dxa" w:w="4464"/>
          </w:tcPr>
          <w:p>
            <w:pPr>
              <w:spacing w:after="20"/>
              <w:jc w:val="right"/>
            </w:pPr>
            <w:r>
              <w:rPr>
                <w:color w:val="1C3A36"/>
                <w:sz w:val="17"/>
              </w:rPr>
              <w:t>owner cash earnings capitalised</w:t>
            </w:r>
          </w:p>
        </w:tc>
      </w:tr>
      <w:tr>
        <w:tc>
          <w:tcPr>
            <w:tcW w:type="dxa" w:w="3528"/>
          </w:tcPr>
          <w:p>
            <w:pPr>
              <w:spacing w:after="20"/>
            </w:pPr>
            <w:r>
              <w:rPr>
                <w:color w:val="1C3A36"/>
                <w:sz w:val="17"/>
              </w:rPr>
              <w:t>Plus cash and deposits, less minorities (USD m)</w:t>
            </w:r>
          </w:p>
        </w:tc>
        <w:tc>
          <w:tcPr>
            <w:tcW w:type="dxa" w:w="2088"/>
          </w:tcPr>
          <w:p>
            <w:pPr>
              <w:spacing w:after="20"/>
              <w:jc w:val="right"/>
            </w:pPr>
            <w:r>
              <w:rPr>
                <w:color w:val="1C3A36"/>
                <w:sz w:val="17"/>
              </w:rPr>
              <w:t>416</w:t>
            </w:r>
          </w:p>
        </w:tc>
        <w:tc>
          <w:tcPr>
            <w:tcW w:type="dxa" w:w="4464"/>
          </w:tcPr>
          <w:p>
            <w:pPr>
              <w:spacing w:after="20"/>
              <w:jc w:val="right"/>
            </w:pPr>
            <w:r>
              <w:rPr>
                <w:color w:val="1C3A36"/>
                <w:sz w:val="17"/>
              </w:rPr>
              <w:t>disclosed</w:t>
            </w:r>
          </w:p>
        </w:tc>
      </w:tr>
      <w:tr>
        <w:tc>
          <w:tcPr>
            <w:tcW w:type="dxa" w:w="3528"/>
            <w:shd w:val="clear" w:color="auto" w:fill="F6F1E6"/>
          </w:tcPr>
          <w:p>
            <w:pPr>
              <w:spacing w:after="20"/>
            </w:pPr>
            <w:r>
              <w:rPr>
                <w:b/>
                <w:color w:val="1C3A36"/>
                <w:sz w:val="17"/>
              </w:rPr>
              <w:t>Value per share (AED)</w:t>
            </w:r>
          </w:p>
        </w:tc>
        <w:tc>
          <w:tcPr>
            <w:tcW w:type="dxa" w:w="2088"/>
            <w:shd w:val="clear" w:color="auto" w:fill="F6F1E6"/>
          </w:tcPr>
          <w:p>
            <w:pPr>
              <w:spacing w:after="20"/>
              <w:jc w:val="right"/>
            </w:pPr>
            <w:r>
              <w:rPr>
                <w:b/>
                <w:color w:val="1C3A36"/>
                <w:sz w:val="17"/>
              </w:rPr>
              <w:t>1.64</w:t>
            </w:r>
          </w:p>
        </w:tc>
        <w:tc>
          <w:tcPr>
            <w:tcW w:type="dxa" w:w="4464"/>
            <w:shd w:val="clear" w:color="auto" w:fill="F6F1E6"/>
          </w:tcPr>
          <w:p>
            <w:pPr>
              <w:spacing w:after="20"/>
              <w:jc w:val="right"/>
            </w:pPr>
            <w:r>
              <w:rPr>
                <w:b/>
                <w:color w:val="1C3A36"/>
                <w:sz w:val="17"/>
              </w:rPr>
            </w:r>
          </w:p>
        </w:tc>
      </w:tr>
      <w:tr>
        <w:tc>
          <w:tcPr>
            <w:tcW w:type="dxa" w:w="3528"/>
          </w:tcPr>
          <w:p>
            <w:pPr>
              <w:spacing w:after="20"/>
            </w:pPr>
            <w:r>
              <w:rPr>
                <w:color w:val="1C3A36"/>
                <w:sz w:val="17"/>
              </w:rPr>
              <w:t>Named sensitivity</w:t>
            </w:r>
          </w:p>
        </w:tc>
        <w:tc>
          <w:tcPr>
            <w:tcW w:type="dxa" w:w="2088"/>
          </w:tcPr>
          <w:p>
            <w:pPr>
              <w:spacing w:after="20"/>
              <w:jc w:val="right"/>
            </w:pPr>
            <w:r>
              <w:rPr>
                <w:color w:val="1C3A36"/>
                <w:sz w:val="17"/>
              </w:rPr>
              <w:t>AED 1.45 – 1.81</w:t>
            </w:r>
          </w:p>
        </w:tc>
        <w:tc>
          <w:tcPr>
            <w:tcW w:type="dxa" w:w="4464"/>
          </w:tcPr>
          <w:p>
            <w:pPr>
              <w:spacing w:after="20"/>
              <w:jc w:val="right"/>
            </w:pPr>
            <w:r>
              <w:rPr>
                <w:color w:val="1C3A36"/>
                <w:sz w:val="17"/>
              </w:rPr>
              <w:t>capitalisation rate 150 basis points higher to 100 lower</w:t>
            </w:r>
          </w:p>
        </w:tc>
      </w:tr>
    </w:tbl>
    <w:p>
      <w:pPr>
        <w:spacing w:after="40"/>
      </w:pPr>
    </w:p>
    <w:p>
      <w:pPr>
        <w:spacing w:after="80" w:before="200"/>
      </w:pPr>
      <w:r>
        <w:rPr>
          <w:b/>
          <w:i w:val="0"/>
          <w:color w:val="1C3A36"/>
          <w:sz w:val="24"/>
        </w:rPr>
        <w:t>C.2 continued — Expert 2, the working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2088"/>
        <w:gridCol w:w="4464"/>
      </w:tblGrid>
      <w:tr>
        <w:tc>
          <w:tcPr>
            <w:tcW w:type="dxa" w:w="3528"/>
            <w:shd w:val="clear" w:color="auto" w:fill="EAF0EE"/>
          </w:tcPr>
          <w:p>
            <w:pPr>
              <w:spacing w:after="20"/>
            </w:pPr>
            <w:r>
              <w:rPr>
                <w:b/>
                <w:color w:val="1C3A36"/>
                <w:sz w:val="17"/>
              </w:rPr>
              <w:t>Line</w:t>
            </w:r>
          </w:p>
        </w:tc>
        <w:tc>
          <w:tcPr>
            <w:tcW w:type="dxa" w:w="2088"/>
            <w:shd w:val="clear" w:color="auto" w:fill="EAF0EE"/>
          </w:tcPr>
          <w:p>
            <w:pPr>
              <w:spacing w:after="20"/>
            </w:pPr>
            <w:r>
              <w:rPr>
                <w:b/>
                <w:color w:val="1C3A36"/>
                <w:sz w:val="17"/>
              </w:rPr>
              <w:t>Value</w:t>
            </w:r>
          </w:p>
        </w:tc>
        <w:tc>
          <w:tcPr>
            <w:tcW w:type="dxa" w:w="4464"/>
            <w:shd w:val="clear" w:color="auto" w:fill="EAF0EE"/>
          </w:tcPr>
          <w:p>
            <w:pPr>
              <w:spacing w:after="20"/>
            </w:pPr>
            <w:r>
              <w:rPr>
                <w:b/>
                <w:color w:val="1C3A36"/>
                <w:sz w:val="17"/>
              </w:rPr>
              <w:t>Where it comes from</w:t>
            </w:r>
          </w:p>
        </w:tc>
      </w:tr>
      <w:tr>
        <w:tc>
          <w:tcPr>
            <w:tcW w:type="dxa" w:w="3528"/>
          </w:tcPr>
          <w:p>
            <w:pPr>
              <w:spacing w:after="20"/>
            </w:pPr>
            <w:r>
              <w:rPr>
                <w:color w:val="1C3A36"/>
                <w:sz w:val="17"/>
              </w:rPr>
              <w:t>Dividend declared against FY2025 (USD m)</w:t>
            </w:r>
          </w:p>
        </w:tc>
        <w:tc>
          <w:tcPr>
            <w:tcW w:type="dxa" w:w="2088"/>
          </w:tcPr>
          <w:p>
            <w:pPr>
              <w:spacing w:after="20"/>
              <w:jc w:val="right"/>
            </w:pPr>
            <w:r>
              <w:rPr>
                <w:color w:val="1C3A36"/>
                <w:sz w:val="17"/>
              </w:rPr>
              <w:t>201.6</w:t>
            </w:r>
          </w:p>
        </w:tc>
        <w:tc>
          <w:tcPr>
            <w:tcW w:type="dxa" w:w="4464"/>
          </w:tcPr>
          <w:p>
            <w:pPr>
              <w:spacing w:after="20"/>
              <w:jc w:val="right"/>
            </w:pPr>
            <w:r>
              <w:rPr>
                <w:color w:val="1C3A36"/>
                <w:sz w:val="17"/>
              </w:rPr>
              <w:t>disclosed — 91.99% of net profit</w:t>
            </w:r>
          </w:p>
        </w:tc>
      </w:tr>
      <w:tr>
        <w:tc>
          <w:tcPr>
            <w:tcW w:type="dxa" w:w="3528"/>
          </w:tcPr>
          <w:p>
            <w:pPr>
              <w:spacing w:after="20"/>
            </w:pPr>
            <w:r>
              <w:rPr>
                <w:color w:val="1C3A36"/>
                <w:sz w:val="17"/>
              </w:rPr>
              <w:t>Shares outstanding (million)</w:t>
            </w:r>
          </w:p>
        </w:tc>
        <w:tc>
          <w:tcPr>
            <w:tcW w:type="dxa" w:w="2088"/>
          </w:tcPr>
          <w:p>
            <w:pPr>
              <w:spacing w:after="20"/>
              <w:jc w:val="right"/>
            </w:pPr>
            <w:r>
              <w:rPr>
                <w:color w:val="1C3A36"/>
                <w:sz w:val="17"/>
              </w:rPr>
              <w:t>8,399</w:t>
            </w:r>
          </w:p>
        </w:tc>
        <w:tc>
          <w:tcPr>
            <w:tcW w:type="dxa" w:w="4464"/>
          </w:tcPr>
          <w:p>
            <w:pPr>
              <w:spacing w:after="20"/>
              <w:jc w:val="right"/>
            </w:pPr>
            <w:r>
              <w:rPr>
                <w:color w:val="1C3A36"/>
                <w:sz w:val="17"/>
              </w:rPr>
              <w:t>disclosed, net of treasury</w:t>
            </w:r>
          </w:p>
        </w:tc>
      </w:tr>
      <w:tr>
        <w:tc>
          <w:tcPr>
            <w:tcW w:type="dxa" w:w="3528"/>
          </w:tcPr>
          <w:p>
            <w:pPr>
              <w:spacing w:after="20"/>
            </w:pPr>
            <w:r>
              <w:rPr>
                <w:color w:val="1C3A36"/>
                <w:sz w:val="17"/>
              </w:rPr>
              <w:t>Dividend per share (USD)</w:t>
            </w:r>
          </w:p>
        </w:tc>
        <w:tc>
          <w:tcPr>
            <w:tcW w:type="dxa" w:w="2088"/>
          </w:tcPr>
          <w:p>
            <w:pPr>
              <w:spacing w:after="20"/>
              <w:jc w:val="right"/>
            </w:pPr>
            <w:r>
              <w:rPr>
                <w:color w:val="1C3A36"/>
                <w:sz w:val="17"/>
              </w:rPr>
              <w:t>0.0240</w:t>
            </w:r>
          </w:p>
        </w:tc>
        <w:tc>
          <w:tcPr>
            <w:tcW w:type="dxa" w:w="4464"/>
          </w:tcPr>
          <w:p>
            <w:pPr>
              <w:spacing w:after="20"/>
              <w:jc w:val="right"/>
            </w:pPr>
            <w:r>
              <w:rPr>
                <w:color w:val="1C3A36"/>
                <w:sz w:val="17"/>
              </w:rPr>
              <w:t>the two above</w:t>
            </w:r>
          </w:p>
        </w:tc>
      </w:tr>
      <w:tr>
        <w:tc>
          <w:tcPr>
            <w:tcW w:type="dxa" w:w="3528"/>
          </w:tcPr>
          <w:p>
            <w:pPr>
              <w:spacing w:after="20"/>
            </w:pPr>
            <w:r>
              <w:rPr>
                <w:color w:val="1C3A36"/>
                <w:sz w:val="17"/>
              </w:rPr>
              <w:t>Growth assumed</w:t>
            </w:r>
          </w:p>
        </w:tc>
        <w:tc>
          <w:tcPr>
            <w:tcW w:type="dxa" w:w="2088"/>
          </w:tcPr>
          <w:p>
            <w:pPr>
              <w:spacing w:after="20"/>
              <w:jc w:val="right"/>
            </w:pPr>
            <w:r>
              <w:rPr>
                <w:color w:val="1C3A36"/>
                <w:sz w:val="17"/>
              </w:rPr>
              <w:t>3.0%</w:t>
            </w:r>
          </w:p>
        </w:tc>
        <w:tc>
          <w:tcPr>
            <w:tcW w:type="dxa" w:w="4464"/>
          </w:tcPr>
          <w:p>
            <w:pPr>
              <w:spacing w:after="20"/>
              <w:jc w:val="right"/>
            </w:pPr>
            <w:r>
              <w:rPr>
                <w:color w:val="1C3A36"/>
                <w:sz w:val="17"/>
              </w:rPr>
              <w:t>the same long-run rate the cash-flow model uses</w:t>
            </w:r>
          </w:p>
        </w:tc>
      </w:tr>
      <w:tr>
        <w:tc>
          <w:tcPr>
            <w:tcW w:type="dxa" w:w="3528"/>
          </w:tcPr>
          <w:p>
            <w:pPr>
              <w:spacing w:after="20"/>
            </w:pPr>
            <w:r>
              <w:rPr>
                <w:color w:val="1C3A36"/>
                <w:sz w:val="17"/>
              </w:rPr>
              <w:t>Cost of equity</w:t>
            </w:r>
          </w:p>
        </w:tc>
        <w:tc>
          <w:tcPr>
            <w:tcW w:type="dxa" w:w="2088"/>
          </w:tcPr>
          <w:p>
            <w:pPr>
              <w:spacing w:after="20"/>
              <w:jc w:val="right"/>
            </w:pPr>
            <w:r>
              <w:rPr>
                <w:color w:val="1C3A36"/>
                <w:sz w:val="17"/>
              </w:rPr>
              <w:t>10.22%</w:t>
            </w:r>
          </w:p>
        </w:tc>
        <w:tc>
          <w:tcPr>
            <w:tcW w:type="dxa" w:w="4464"/>
          </w:tcPr>
          <w:p>
            <w:pPr>
              <w:spacing w:after="20"/>
              <w:jc w:val="right"/>
            </w:pPr>
            <w:r>
              <w:rPr>
                <w:color w:val="1C3A36"/>
                <w:sz w:val="17"/>
              </w:rPr>
              <w:t>the terminal cost of equity</w:t>
            </w:r>
          </w:p>
        </w:tc>
      </w:tr>
      <w:tr>
        <w:tc>
          <w:tcPr>
            <w:tcW w:type="dxa" w:w="3528"/>
          </w:tcPr>
          <w:p>
            <w:pPr>
              <w:spacing w:after="20"/>
            </w:pPr>
            <w:r>
              <w:rPr>
                <w:color w:val="1C3A36"/>
                <w:sz w:val="17"/>
              </w:rPr>
              <w:t>Value per share (USD)</w:t>
            </w:r>
          </w:p>
        </w:tc>
        <w:tc>
          <w:tcPr>
            <w:tcW w:type="dxa" w:w="2088"/>
          </w:tcPr>
          <w:p>
            <w:pPr>
              <w:spacing w:after="20"/>
              <w:jc w:val="right"/>
            </w:pPr>
            <w:r>
              <w:rPr>
                <w:color w:val="1C3A36"/>
                <w:sz w:val="17"/>
              </w:rPr>
              <w:t>0.3391</w:t>
            </w:r>
          </w:p>
        </w:tc>
        <w:tc>
          <w:tcPr>
            <w:tcW w:type="dxa" w:w="4464"/>
          </w:tcPr>
          <w:p>
            <w:pPr>
              <w:spacing w:after="20"/>
              <w:jc w:val="right"/>
            </w:pPr>
            <w:r>
              <w:rPr>
                <w:color w:val="1C3A36"/>
                <w:sz w:val="17"/>
              </w:rPr>
              <w:t>the dividend grown one year, capitalised</w:t>
            </w:r>
          </w:p>
        </w:tc>
      </w:tr>
      <w:tr>
        <w:tc>
          <w:tcPr>
            <w:tcW w:type="dxa" w:w="3528"/>
            <w:shd w:val="clear" w:color="auto" w:fill="F6F1E6"/>
          </w:tcPr>
          <w:p>
            <w:pPr>
              <w:spacing w:after="20"/>
            </w:pPr>
            <w:r>
              <w:rPr>
                <w:b/>
                <w:color w:val="1C3A36"/>
                <w:sz w:val="17"/>
              </w:rPr>
              <w:t>Value per share (AED)</w:t>
            </w:r>
          </w:p>
        </w:tc>
        <w:tc>
          <w:tcPr>
            <w:tcW w:type="dxa" w:w="2088"/>
            <w:shd w:val="clear" w:color="auto" w:fill="F6F1E6"/>
          </w:tcPr>
          <w:p>
            <w:pPr>
              <w:spacing w:after="20"/>
              <w:jc w:val="right"/>
            </w:pPr>
            <w:r>
              <w:rPr>
                <w:b/>
                <w:color w:val="1C3A36"/>
                <w:sz w:val="17"/>
              </w:rPr>
              <w:t>1.25</w:t>
            </w:r>
          </w:p>
        </w:tc>
        <w:tc>
          <w:tcPr>
            <w:tcW w:type="dxa" w:w="4464"/>
            <w:shd w:val="clear" w:color="auto" w:fill="F6F1E6"/>
          </w:tcPr>
          <w:p>
            <w:pPr>
              <w:spacing w:after="20"/>
              <w:jc w:val="right"/>
            </w:pPr>
            <w:r>
              <w:rPr>
                <w:b/>
                <w:color w:val="1C3A36"/>
                <w:sz w:val="17"/>
              </w:rPr>
            </w:r>
          </w:p>
        </w:tc>
      </w:tr>
      <w:tr>
        <w:tc>
          <w:tcPr>
            <w:tcW w:type="dxa" w:w="3528"/>
          </w:tcPr>
          <w:p>
            <w:pPr>
              <w:spacing w:after="20"/>
            </w:pPr>
            <w:r>
              <w:rPr>
                <w:color w:val="1C3A36"/>
                <w:sz w:val="17"/>
              </w:rPr>
              <w:t>Named sensitivity</w:t>
            </w:r>
          </w:p>
        </w:tc>
        <w:tc>
          <w:tcPr>
            <w:tcW w:type="dxa" w:w="2088"/>
          </w:tcPr>
          <w:p>
            <w:pPr>
              <w:spacing w:after="20"/>
              <w:jc w:val="right"/>
            </w:pPr>
            <w:r>
              <w:rPr>
                <w:color w:val="1C3A36"/>
                <w:sz w:val="17"/>
              </w:rPr>
              <w:t>AED 0.95 – 1.61</w:t>
            </w:r>
          </w:p>
        </w:tc>
        <w:tc>
          <w:tcPr>
            <w:tcW w:type="dxa" w:w="4464"/>
          </w:tcPr>
          <w:p>
            <w:pPr>
              <w:spacing w:after="20"/>
              <w:jc w:val="right"/>
            </w:pPr>
            <w:r>
              <w:rPr>
                <w:color w:val="1C3A36"/>
                <w:sz w:val="17"/>
              </w:rPr>
              <w:t>growth 2% with the cost of equity a point higher, against growth 4% with it 50 basis points lower</w:t>
            </w:r>
          </w:p>
        </w:tc>
      </w:tr>
    </w:tbl>
    <w:p>
      <w:pPr>
        <w:spacing w:after="40"/>
      </w:pPr>
    </w:p>
    <w:p>
      <w:pPr>
        <w:spacing w:after="80" w:before="200"/>
      </w:pPr>
      <w:r>
        <w:rPr>
          <w:b/>
          <w:i w:val="0"/>
          <w:color w:val="1C3A36"/>
          <w:sz w:val="24"/>
        </w:rPr>
        <w:t>C.3 continued — Expert 3, the working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2088"/>
        <w:gridCol w:w="4464"/>
      </w:tblGrid>
      <w:tr>
        <w:tc>
          <w:tcPr>
            <w:tcW w:type="dxa" w:w="3528"/>
            <w:shd w:val="clear" w:color="auto" w:fill="EAF0EE"/>
          </w:tcPr>
          <w:p>
            <w:pPr>
              <w:spacing w:after="20"/>
            </w:pPr>
            <w:r>
              <w:rPr>
                <w:b/>
                <w:color w:val="1C3A36"/>
                <w:sz w:val="17"/>
              </w:rPr>
              <w:t>Line</w:t>
            </w:r>
          </w:p>
        </w:tc>
        <w:tc>
          <w:tcPr>
            <w:tcW w:type="dxa" w:w="2088"/>
            <w:shd w:val="clear" w:color="auto" w:fill="EAF0EE"/>
          </w:tcPr>
          <w:p>
            <w:pPr>
              <w:spacing w:after="20"/>
            </w:pPr>
            <w:r>
              <w:rPr>
                <w:b/>
                <w:color w:val="1C3A36"/>
                <w:sz w:val="17"/>
              </w:rPr>
              <w:t>Value</w:t>
            </w:r>
          </w:p>
        </w:tc>
        <w:tc>
          <w:tcPr>
            <w:tcW w:type="dxa" w:w="4464"/>
            <w:shd w:val="clear" w:color="auto" w:fill="EAF0EE"/>
          </w:tcPr>
          <w:p>
            <w:pPr>
              <w:spacing w:after="20"/>
            </w:pPr>
            <w:r>
              <w:rPr>
                <w:b/>
                <w:color w:val="1C3A36"/>
                <w:sz w:val="17"/>
              </w:rPr>
              <w:t>Where it comes from</w:t>
            </w:r>
          </w:p>
        </w:tc>
      </w:tr>
      <w:tr>
        <w:tc>
          <w:tcPr>
            <w:tcW w:type="dxa" w:w="3528"/>
          </w:tcPr>
          <w:p>
            <w:pPr>
              <w:spacing w:after="20"/>
            </w:pPr>
            <w:r>
              <w:rPr>
                <w:color w:val="1C3A36"/>
                <w:sz w:val="17"/>
              </w:rPr>
              <w:t>NOPAT, FY2026E (USD m)</w:t>
            </w:r>
          </w:p>
        </w:tc>
        <w:tc>
          <w:tcPr>
            <w:tcW w:type="dxa" w:w="2088"/>
          </w:tcPr>
          <w:p>
            <w:pPr>
              <w:spacing w:after="20"/>
              <w:jc w:val="right"/>
            </w:pPr>
            <w:r>
              <w:rPr>
                <w:color w:val="1C3A36"/>
                <w:sz w:val="17"/>
              </w:rPr>
              <w:t>318</w:t>
            </w:r>
          </w:p>
        </w:tc>
        <w:tc>
          <w:tcPr>
            <w:tcW w:type="dxa" w:w="4464"/>
          </w:tcPr>
          <w:p>
            <w:pPr>
              <w:spacing w:after="20"/>
              <w:jc w:val="right"/>
            </w:pPr>
            <w:r>
              <w:rPr>
                <w:color w:val="1C3A36"/>
                <w:sz w:val="17"/>
              </w:rPr>
              <w:t>the cash-flow model</w:t>
            </w:r>
          </w:p>
        </w:tc>
      </w:tr>
      <w:tr>
        <w:tc>
          <w:tcPr>
            <w:tcW w:type="dxa" w:w="3528"/>
          </w:tcPr>
          <w:p>
            <w:pPr>
              <w:spacing w:after="20"/>
            </w:pPr>
            <w:r>
              <w:rPr>
                <w:color w:val="1C3A36"/>
                <w:sz w:val="17"/>
              </w:rPr>
              <w:t>Invested capital, FY2026E (USD m)</w:t>
            </w:r>
          </w:p>
        </w:tc>
        <w:tc>
          <w:tcPr>
            <w:tcW w:type="dxa" w:w="2088"/>
          </w:tcPr>
          <w:p>
            <w:pPr>
              <w:spacing w:after="20"/>
              <w:jc w:val="right"/>
            </w:pPr>
            <w:r>
              <w:rPr>
                <w:color w:val="1C3A36"/>
                <w:sz w:val="17"/>
              </w:rPr>
              <w:t>772</w:t>
            </w:r>
          </w:p>
        </w:tc>
        <w:tc>
          <w:tcPr>
            <w:tcW w:type="dxa" w:w="4464"/>
          </w:tcPr>
          <w:p>
            <w:pPr>
              <w:spacing w:after="20"/>
              <w:jc w:val="right"/>
            </w:pPr>
            <w:r>
              <w:rPr>
                <w:color w:val="1C3A36"/>
                <w:sz w:val="17"/>
              </w:rPr>
              <w:t>owned assets, right-of-use assets and working capital</w:t>
            </w:r>
          </w:p>
        </w:tc>
      </w:tr>
      <w:tr>
        <w:tc>
          <w:tcPr>
            <w:tcW w:type="dxa" w:w="3528"/>
          </w:tcPr>
          <w:p>
            <w:pPr>
              <w:spacing w:after="20"/>
            </w:pPr>
            <w:r>
              <w:rPr>
                <w:color w:val="1C3A36"/>
                <w:sz w:val="17"/>
              </w:rPr>
              <w:t>Return on invested capital</w:t>
            </w:r>
          </w:p>
        </w:tc>
        <w:tc>
          <w:tcPr>
            <w:tcW w:type="dxa" w:w="2088"/>
          </w:tcPr>
          <w:p>
            <w:pPr>
              <w:spacing w:after="20"/>
              <w:jc w:val="right"/>
            </w:pPr>
            <w:r>
              <w:rPr>
                <w:color w:val="1C3A36"/>
                <w:sz w:val="17"/>
              </w:rPr>
              <w:t>41.1%</w:t>
            </w:r>
          </w:p>
        </w:tc>
        <w:tc>
          <w:tcPr>
            <w:tcW w:type="dxa" w:w="4464"/>
          </w:tcPr>
          <w:p>
            <w:pPr>
              <w:spacing w:after="20"/>
              <w:jc w:val="right"/>
            </w:pPr>
            <w:r>
              <w:rPr>
                <w:color w:val="1C3A36"/>
                <w:sz w:val="17"/>
              </w:rPr>
              <w:t>the two above</w:t>
            </w:r>
          </w:p>
        </w:tc>
      </w:tr>
      <w:tr>
        <w:tc>
          <w:tcPr>
            <w:tcW w:type="dxa" w:w="3528"/>
          </w:tcPr>
          <w:p>
            <w:pPr>
              <w:spacing w:after="20"/>
            </w:pPr>
            <w:r>
              <w:rPr>
                <w:color w:val="1C3A36"/>
                <w:sz w:val="17"/>
              </w:rPr>
              <w:t>Cost of capital</w:t>
            </w:r>
          </w:p>
        </w:tc>
        <w:tc>
          <w:tcPr>
            <w:tcW w:type="dxa" w:w="2088"/>
          </w:tcPr>
          <w:p>
            <w:pPr>
              <w:spacing w:after="20"/>
              <w:jc w:val="right"/>
            </w:pPr>
            <w:r>
              <w:rPr>
                <w:color w:val="1C3A36"/>
                <w:sz w:val="17"/>
              </w:rPr>
              <w:t>9.73%</w:t>
            </w:r>
          </w:p>
        </w:tc>
        <w:tc>
          <w:tcPr>
            <w:tcW w:type="dxa" w:w="4464"/>
          </w:tcPr>
          <w:p>
            <w:pPr>
              <w:spacing w:after="20"/>
              <w:jc w:val="right"/>
            </w:pPr>
            <w:r>
              <w:rPr>
                <w:color w:val="1C3A36"/>
                <w:sz w:val="17"/>
              </w:rPr>
              <w:t>built in section 1.8</w:t>
            </w:r>
          </w:p>
        </w:tc>
      </w:tr>
      <w:tr>
        <w:tc>
          <w:tcPr>
            <w:tcW w:type="dxa" w:w="3528"/>
          </w:tcPr>
          <w:p>
            <w:pPr>
              <w:spacing w:after="20"/>
            </w:pPr>
            <w:r>
              <w:rPr>
                <w:color w:val="1C3A36"/>
                <w:sz w:val="17"/>
              </w:rPr>
              <w:t>The spread</w:t>
            </w:r>
          </w:p>
        </w:tc>
        <w:tc>
          <w:tcPr>
            <w:tcW w:type="dxa" w:w="2088"/>
          </w:tcPr>
          <w:p>
            <w:pPr>
              <w:spacing w:after="20"/>
              <w:jc w:val="right"/>
            </w:pPr>
            <w:r>
              <w:rPr>
                <w:color w:val="1C3A36"/>
                <w:sz w:val="17"/>
              </w:rPr>
              <w:t>31.4%</w:t>
            </w:r>
          </w:p>
        </w:tc>
        <w:tc>
          <w:tcPr>
            <w:tcW w:type="dxa" w:w="4464"/>
          </w:tcPr>
          <w:p>
            <w:pPr>
              <w:spacing w:after="20"/>
              <w:jc w:val="right"/>
            </w:pPr>
            <w:r>
              <w:rPr>
                <w:color w:val="1C3A36"/>
                <w:sz w:val="17"/>
              </w:rPr>
              <w:t>the return above the cost — the whole case in one number</w:t>
            </w:r>
          </w:p>
        </w:tc>
      </w:tr>
      <w:tr>
        <w:tc>
          <w:tcPr>
            <w:tcW w:type="dxa" w:w="3528"/>
          </w:tcPr>
          <w:p>
            <w:pPr>
              <w:spacing w:after="20"/>
            </w:pPr>
            <w:r>
              <w:rPr>
                <w:color w:val="1C3A36"/>
                <w:sz w:val="17"/>
              </w:rPr>
              <w:t>Value of current profit (USD m)</w:t>
            </w:r>
          </w:p>
        </w:tc>
        <w:tc>
          <w:tcPr>
            <w:tcW w:type="dxa" w:w="2088"/>
          </w:tcPr>
          <w:p>
            <w:pPr>
              <w:spacing w:after="20"/>
              <w:jc w:val="right"/>
            </w:pPr>
            <w:r>
              <w:rPr>
                <w:color w:val="1C3A36"/>
                <w:sz w:val="17"/>
              </w:rPr>
              <w:t>3,261</w:t>
            </w:r>
          </w:p>
        </w:tc>
        <w:tc>
          <w:tcPr>
            <w:tcW w:type="dxa" w:w="4464"/>
          </w:tcPr>
          <w:p>
            <w:pPr>
              <w:spacing w:after="20"/>
              <w:jc w:val="right"/>
            </w:pPr>
            <w:r>
              <w:rPr>
                <w:color w:val="1C3A36"/>
                <w:sz w:val="17"/>
              </w:rPr>
              <w:t>NOPAT capitalised at the terminal cost of capital</w:t>
            </w:r>
          </w:p>
        </w:tc>
      </w:tr>
      <w:tr>
        <w:tc>
          <w:tcPr>
            <w:tcW w:type="dxa" w:w="3528"/>
          </w:tcPr>
          <w:p>
            <w:pPr>
              <w:spacing w:after="20"/>
            </w:pPr>
            <w:r>
              <w:rPr>
                <w:color w:val="1C3A36"/>
                <w:sz w:val="17"/>
              </w:rPr>
              <w:t>Value of future growth (USD m)</w:t>
            </w:r>
          </w:p>
        </w:tc>
        <w:tc>
          <w:tcPr>
            <w:tcW w:type="dxa" w:w="2088"/>
          </w:tcPr>
          <w:p>
            <w:pPr>
              <w:spacing w:after="20"/>
              <w:jc w:val="right"/>
            </w:pPr>
            <w:r>
              <w:rPr>
                <w:color w:val="1C3A36"/>
                <w:sz w:val="17"/>
              </w:rPr>
              <w:t>1,155</w:t>
            </w:r>
          </w:p>
        </w:tc>
        <w:tc>
          <w:tcPr>
            <w:tcW w:type="dxa" w:w="4464"/>
          </w:tcPr>
          <w:p>
            <w:pPr>
              <w:spacing w:after="20"/>
              <w:jc w:val="right"/>
            </w:pPr>
            <w:r>
              <w:rPr>
                <w:color w:val="1C3A36"/>
                <w:sz w:val="17"/>
              </w:rPr>
              <w:t>the present value of the spread on capital not yet invested</w:t>
            </w:r>
          </w:p>
        </w:tc>
      </w:tr>
      <w:tr>
        <w:tc>
          <w:tcPr>
            <w:tcW w:type="dxa" w:w="3528"/>
          </w:tcPr>
          <w:p>
            <w:pPr>
              <w:spacing w:after="20"/>
            </w:pPr>
            <w:r>
              <w:rPr>
                <w:color w:val="1C3A36"/>
                <w:sz w:val="17"/>
              </w:rPr>
              <w:t>Enterprise value (USD m)</w:t>
            </w:r>
          </w:p>
        </w:tc>
        <w:tc>
          <w:tcPr>
            <w:tcW w:type="dxa" w:w="2088"/>
          </w:tcPr>
          <w:p>
            <w:pPr>
              <w:spacing w:after="20"/>
              <w:jc w:val="right"/>
            </w:pPr>
            <w:r>
              <w:rPr>
                <w:color w:val="1C3A36"/>
                <w:sz w:val="17"/>
              </w:rPr>
              <w:t>4,415</w:t>
            </w:r>
          </w:p>
        </w:tc>
        <w:tc>
          <w:tcPr>
            <w:tcW w:type="dxa" w:w="4464"/>
          </w:tcPr>
          <w:p>
            <w:pPr>
              <w:spacing w:after="20"/>
              <w:jc w:val="right"/>
            </w:pPr>
            <w:r>
              <w:rPr>
                <w:color w:val="1C3A36"/>
                <w:sz w:val="17"/>
              </w:rPr>
              <w:t>the two above</w:t>
            </w:r>
          </w:p>
        </w:tc>
      </w:tr>
      <w:tr>
        <w:tc>
          <w:tcPr>
            <w:tcW w:type="dxa" w:w="3528"/>
            <w:shd w:val="clear" w:color="auto" w:fill="F6F1E6"/>
          </w:tcPr>
          <w:p>
            <w:pPr>
              <w:spacing w:after="20"/>
            </w:pPr>
            <w:r>
              <w:rPr>
                <w:b/>
                <w:color w:val="1C3A36"/>
                <w:sz w:val="17"/>
              </w:rPr>
              <w:t>Value per share (AED)</w:t>
            </w:r>
          </w:p>
        </w:tc>
        <w:tc>
          <w:tcPr>
            <w:tcW w:type="dxa" w:w="2088"/>
            <w:shd w:val="clear" w:color="auto" w:fill="F6F1E6"/>
          </w:tcPr>
          <w:p>
            <w:pPr>
              <w:spacing w:after="20"/>
              <w:jc w:val="right"/>
            </w:pPr>
            <w:r>
              <w:rPr>
                <w:b/>
                <w:color w:val="1C3A36"/>
                <w:sz w:val="17"/>
              </w:rPr>
              <w:t>1.83</w:t>
            </w:r>
          </w:p>
        </w:tc>
        <w:tc>
          <w:tcPr>
            <w:tcW w:type="dxa" w:w="4464"/>
            <w:shd w:val="clear" w:color="auto" w:fill="F6F1E6"/>
          </w:tcPr>
          <w:p>
            <w:pPr>
              <w:spacing w:after="20"/>
              <w:jc w:val="right"/>
            </w:pPr>
            <w:r>
              <w:rPr>
                <w:b/>
                <w:color w:val="1C3A36"/>
                <w:sz w:val="17"/>
              </w:rPr>
              <w:t>after the same bridge</w:t>
            </w:r>
          </w:p>
        </w:tc>
      </w:tr>
      <w:tr>
        <w:tc>
          <w:tcPr>
            <w:tcW w:type="dxa" w:w="3528"/>
          </w:tcPr>
          <w:p>
            <w:pPr>
              <w:spacing w:after="20"/>
            </w:pPr>
            <w:r>
              <w:rPr>
                <w:color w:val="1C3A36"/>
                <w:sz w:val="17"/>
              </w:rPr>
              <w:t>Named sensitivity</w:t>
            </w:r>
          </w:p>
        </w:tc>
        <w:tc>
          <w:tcPr>
            <w:tcW w:type="dxa" w:w="2088"/>
          </w:tcPr>
          <w:p>
            <w:pPr>
              <w:spacing w:after="20"/>
              <w:jc w:val="right"/>
            </w:pPr>
            <w:r>
              <w:rPr>
                <w:color w:val="1C3A36"/>
                <w:sz w:val="17"/>
              </w:rPr>
              <w:t>AED 1.18 – 2.20</w:t>
            </w:r>
          </w:p>
        </w:tc>
        <w:tc>
          <w:tcPr>
            <w:tcW w:type="dxa" w:w="4464"/>
          </w:tcPr>
          <w:p>
            <w:pPr>
              <w:spacing w:after="20"/>
              <w:jc w:val="right"/>
            </w:pPr>
            <w:r>
              <w:rPr>
                <w:color w:val="1C3A36"/>
                <w:sz w:val="17"/>
              </w:rPr>
              <w:t>no value from future growth at all, against the growth term 18% higher</w:t>
            </w:r>
          </w:p>
        </w:tc>
      </w:tr>
    </w:tbl>
    <w:p>
      <w:pPr>
        <w:spacing w:after="40"/>
      </w:pPr>
    </w:p>
    <w:p>
      <w:pPr>
        <w:spacing w:after="80" w:before="200"/>
      </w:pPr>
      <w:r>
        <w:rPr>
          <w:b/>
          <w:i w:val="0"/>
          <w:color w:val="1C3A36"/>
          <w:sz w:val="24"/>
        </w:rPr>
        <w:t>C.4  Cross-examination</w:t>
      </w:r>
    </w:p>
    <w:p>
      <w:pPr>
        <w:spacing w:after="60" w:before="0"/>
      </w:pPr>
      <w:r>
        <w:rPr>
          <w:b/>
          <w:i w:val="0"/>
          <w:color w:val="1C3A36"/>
          <w:sz w:val="21"/>
        </w:rPr>
        <w:t xml:space="preserve">Expert 2 to Expert 1. </w:t>
      </w:r>
      <w:r>
        <w:rPr>
          <w:b w:val="0"/>
          <w:i/>
          <w:color w:val="1C3A36"/>
          <w:sz w:val="21"/>
        </w:rPr>
        <w:t>"You capitalise four-wall EBITDA less an overhead allocation. But four-wall EBITDA is reported by the company on its own definition, and it excludes the corporate cost of running 2,700 restaurants across twelve tax jurisdictions. Your overhead deduction is a single line taken from the general and administrative note. Are you confident that is the whole of it?"</w:t>
      </w:r>
    </w:p>
    <w:p>
      <w:pPr>
        <w:spacing w:after="160" w:before="0"/>
      </w:pPr>
      <w:r>
        <w:rPr>
          <w:b w:val="0"/>
          <w:i w:val="0"/>
          <w:color w:val="1C3A36"/>
          <w:sz w:val="20"/>
        </w:rPr>
        <w:t>CONCEDED in part. The general and administrative note is the whole of the disclosed above-restaurant cost, but the selling and marketing line also contains shared costs the company says are allocated on floor space, and some of those are corporate. Expert 1's value is therefore an upper bound on this method. It is the highest of the three, which is consistent with that concession.</w:t>
      </w:r>
    </w:p>
    <w:p>
      <w:pPr>
        <w:spacing w:after="60" w:before="0"/>
      </w:pPr>
      <w:r>
        <w:rPr>
          <w:b/>
          <w:i w:val="0"/>
          <w:color w:val="1C3A36"/>
          <w:sz w:val="21"/>
        </w:rPr>
        <w:t xml:space="preserve">Expert 1 to Expert 2. </w:t>
      </w:r>
      <w:r>
        <w:rPr>
          <w:b w:val="0"/>
          <w:i/>
          <w:color w:val="1C3A36"/>
          <w:sz w:val="21"/>
        </w:rPr>
        <w:t>"You value the company on the dividend it happens to pay. It paid 92% of earnings last year because it had nothing better to do with the cash. If it finds something better — and it has just bought two brands — your value falls even though the business has improved. That is backwards."</w:t>
      </w:r>
    </w:p>
    <w:p>
      <w:pPr>
        <w:spacing w:after="160" w:before="0"/>
      </w:pPr>
      <w:r>
        <w:rPr>
          <w:b w:val="0"/>
          <w:i w:val="0"/>
          <w:color w:val="1C3A36"/>
          <w:sz w:val="20"/>
        </w:rPr>
        <w:t>REJECTED, with a caveat. The dividend is capitalised with a growth rate attached; redirecting cash into restaurants that earn 56% on capital would raise the growth term and offset the lower payout. The caveat is that the method cannot see that trade happening until the dividend actually grows, so it lags. Expert 2's value is the lowest of the three, which is the price of that lag.</w:t>
      </w:r>
    </w:p>
    <w:p>
      <w:pPr>
        <w:spacing w:after="60" w:before="0"/>
      </w:pPr>
      <w:r>
        <w:rPr>
          <w:b/>
          <w:i w:val="0"/>
          <w:color w:val="1C3A36"/>
          <w:sz w:val="21"/>
        </w:rPr>
        <w:t xml:space="preserve">Expert 3 to both. </w:t>
      </w:r>
      <w:r>
        <w:rPr>
          <w:b w:val="0"/>
          <w:i/>
          <w:color w:val="1C3A36"/>
          <w:sz w:val="21"/>
        </w:rPr>
        <w:t>"Both of you value the estate as it stands. Neither of you asks whether the return on capital survives the next 600 restaurants. Americana is opening into progressively less prime sites — that is what a maturing estate does — and the payback table the company publishes already shows Pizza Hut, Krispy Kreme and the growth brands at over five years against KFC at 2.4."</w:t>
      </w:r>
    </w:p>
    <w:p>
      <w:pPr>
        <w:spacing w:after="160" w:before="0"/>
      </w:pPr>
      <w:r>
        <w:rPr>
          <w:b w:val="0"/>
          <w:i w:val="0"/>
          <w:color w:val="1C3A36"/>
          <w:sz w:val="20"/>
        </w:rPr>
        <w:t>CONCEDED, and it is the sharpest point in the panel. The published payback data does show the marginal restaurant earning materially less than the average one. Expert 3's method is the only one of the three that prices this explicitly, through the spread on incremental capital. It is why his value sits between the other two rather than at an extreme.</w:t>
      </w:r>
    </w:p>
    <w:p>
      <w:pPr>
        <w:spacing w:after="60" w:before="0"/>
      </w:pPr>
      <w:r>
        <w:rPr>
          <w:b/>
          <w:i w:val="0"/>
          <w:color w:val="1C3A36"/>
          <w:sz w:val="21"/>
        </w:rPr>
        <w:t xml:space="preserve">Expert 2 to Expert 3. </w:t>
      </w:r>
      <w:r>
        <w:rPr>
          <w:b w:val="0"/>
          <w:i/>
          <w:color w:val="1C3A36"/>
          <w:sz w:val="21"/>
        </w:rPr>
        <w:t>"Your invested capital is 70% right-of-use assets — an accounting construction whose size depends on lease-term judgements the auditor flags as a key matter. Your return on invested capital is therefore an artefact of a judgement, not a fact."</w:t>
      </w:r>
    </w:p>
    <w:p>
      <w:pPr>
        <w:spacing w:after="160" w:before="0"/>
      </w:pPr>
      <w:r>
        <w:rPr>
          <w:b w:val="0"/>
          <w:i w:val="0"/>
          <w:color w:val="1C3A36"/>
          <w:sz w:val="20"/>
        </w:rPr>
        <w:t>CONCEDED. It is why the study computes the lease treatment both ways in section 4. The reassuring finding is that the two readings differ by under two per cent once each is built consistently, so this particular objection turns out not to move the answer.</w:t>
      </w:r>
    </w:p>
    <w:p>
      <w:pPr>
        <w:spacing w:after="80" w:before="200"/>
      </w:pPr>
      <w:r>
        <w:rPr>
          <w:b/>
          <w:i w:val="0"/>
          <w:color w:val="1C3A36"/>
          <w:sz w:val="24"/>
        </w:rPr>
        <w:t>C.5  The three in one room</w:t>
      </w:r>
    </w:p>
    <w:p>
      <w:pPr>
        <w:spacing w:after="120" w:before="0"/>
      </w:pPr>
      <w:r>
        <w:rPr>
          <w:b w:val="0"/>
          <w:i w:val="0"/>
          <w:color w:val="1C3A36"/>
          <w:sz w:val="21"/>
        </w:rPr>
        <w:t>Put together, the three agree on more than their numbers suggest. All three think the restaurant estate earns a genuine, wide return on the capital it consumes — 56% on incremental capital, a three-year average payback, a cash return on the cost of a restaurant of about 78%. None of them disputes that. What they disagree about is what an outside minority shareholder gets from it.</w:t>
      </w:r>
    </w:p>
    <w:p>
      <w:pPr>
        <w:spacing w:after="120" w:before="0"/>
      </w:pPr>
      <w:r>
        <w:rPr>
          <w:b w:val="0"/>
          <w:i w:val="0"/>
          <w:color w:val="1C3A36"/>
          <w:sz w:val="21"/>
        </w:rPr>
        <w:t>Expert 1 says: everything, eventually, because the cash is real and the estate is growing. Expert 2 says: only what is handed over, and what is handed over is a 4% yield growing at three points a year, which is worth what a 4% yield growing at three points a year is worth. Expert 3 says: the estate's return is the right thing to look at, but you have to ask what it will be on the NEXT restaurant, not the average one — and the company's own payback disclosure says the answer is less.</w:t>
      </w:r>
    </w:p>
    <w:p>
      <w:pPr>
        <w:spacing w:after="120" w:before="0"/>
      </w:pPr>
      <w:r>
        <w:rPr>
          <w:b w:val="0"/>
          <w:i w:val="0"/>
          <w:color w:val="1C3A36"/>
          <w:sz w:val="21"/>
        </w:rPr>
        <w:t>The panel median is AED 1.64, BELOW both the weighted central value of AED 2.14 and the market price of AED 2.39. That is worth stating plainly rather than smoothing away: the three methods that pay closest attention to what a minority shareholder actually receives, and to what the marginal restaurant earns, come out lower than the four-lens weighting does. The four-lens result leans on the cash-flow model, which values the whole firm and assumes the margin gain holds. The panel leans on distributions and on incremental returns. Both are in the report.</w:t>
      </w:r>
    </w:p>
    <w:p>
      <w:pPr>
        <w:spacing w:after="80" w:before="200"/>
      </w:pPr>
      <w:r>
        <w:rPr>
          <w:b/>
          <w:i w:val="0"/>
          <w:color w:val="1C3A36"/>
          <w:sz w:val="24"/>
        </w:rPr>
        <w:t>C.6  Where they diverge, and which assumption drives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6336"/>
      </w:tblGrid>
      <w:tr>
        <w:tc>
          <w:tcPr>
            <w:tcW w:type="dxa" w:w="2232"/>
            <w:shd w:val="clear" w:color="auto" w:fill="EAF0EE"/>
          </w:tcPr>
          <w:p>
            <w:pPr>
              <w:spacing w:after="20"/>
            </w:pPr>
            <w:r>
              <w:rPr>
                <w:b/>
                <w:color w:val="1C3A36"/>
                <w:sz w:val="17"/>
              </w:rPr>
              <w:t>Pair</w:t>
            </w:r>
          </w:p>
        </w:tc>
        <w:tc>
          <w:tcPr>
            <w:tcW w:type="dxa" w:w="1512"/>
            <w:shd w:val="clear" w:color="auto" w:fill="EAF0EE"/>
          </w:tcPr>
          <w:p>
            <w:pPr>
              <w:spacing w:after="20"/>
            </w:pPr>
            <w:r>
              <w:rPr>
                <w:b/>
                <w:color w:val="1C3A36"/>
                <w:sz w:val="17"/>
              </w:rPr>
              <w:t>Gap (AED)</w:t>
            </w:r>
          </w:p>
        </w:tc>
        <w:tc>
          <w:tcPr>
            <w:tcW w:type="dxa" w:w="6336"/>
            <w:shd w:val="clear" w:color="auto" w:fill="EAF0EE"/>
          </w:tcPr>
          <w:p>
            <w:pPr>
              <w:spacing w:after="20"/>
            </w:pPr>
            <w:r>
              <w:rPr>
                <w:b/>
                <w:color w:val="1C3A36"/>
                <w:sz w:val="17"/>
              </w:rPr>
              <w:t>The assumption that drives it</w:t>
            </w:r>
          </w:p>
        </w:tc>
      </w:tr>
      <w:tr>
        <w:tc>
          <w:tcPr>
            <w:tcW w:type="dxa" w:w="2232"/>
          </w:tcPr>
          <w:p>
            <w:pPr>
              <w:spacing w:after="20"/>
            </w:pPr>
            <w:r>
              <w:rPr>
                <w:color w:val="1C3A36"/>
                <w:sz w:val="17"/>
              </w:rPr>
              <w:t>Expert 1 vs Expert 2</w:t>
            </w:r>
          </w:p>
        </w:tc>
        <w:tc>
          <w:tcPr>
            <w:tcW w:type="dxa" w:w="1512"/>
          </w:tcPr>
          <w:p>
            <w:pPr>
              <w:spacing w:after="20"/>
              <w:jc w:val="right"/>
            </w:pPr>
            <w:r>
              <w:rPr>
                <w:color w:val="1C3A36"/>
                <w:sz w:val="17"/>
              </w:rPr>
              <w:t>0.40</w:t>
            </w:r>
          </w:p>
        </w:tc>
        <w:tc>
          <w:tcPr>
            <w:tcW w:type="dxa" w:w="6336"/>
          </w:tcPr>
          <w:p>
            <w:pPr>
              <w:spacing w:after="20"/>
              <w:jc w:val="right"/>
            </w:pPr>
            <w:r>
              <w:rPr>
                <w:color w:val="1C3A36"/>
                <w:sz w:val="17"/>
              </w:rPr>
              <w:t>whether value accrues to the firm or only to the dividend. Expert 1 capitalises all owner cash earnings; Expert 2 capitalises only the declared distribution, which is about 60% of it.</w:t>
            </w:r>
          </w:p>
        </w:tc>
      </w:tr>
      <w:tr>
        <w:tc>
          <w:tcPr>
            <w:tcW w:type="dxa" w:w="2232"/>
          </w:tcPr>
          <w:p>
            <w:pPr>
              <w:spacing w:after="20"/>
            </w:pPr>
            <w:r>
              <w:rPr>
                <w:color w:val="1C3A36"/>
                <w:sz w:val="17"/>
              </w:rPr>
              <w:t>Expert 1 vs Expert 3</w:t>
            </w:r>
          </w:p>
        </w:tc>
        <w:tc>
          <w:tcPr>
            <w:tcW w:type="dxa" w:w="1512"/>
          </w:tcPr>
          <w:p>
            <w:pPr>
              <w:spacing w:after="20"/>
              <w:jc w:val="right"/>
            </w:pPr>
            <w:r>
              <w:rPr>
                <w:color w:val="1C3A36"/>
                <w:sz w:val="17"/>
              </w:rPr>
              <w:t>-0.19</w:t>
            </w:r>
          </w:p>
        </w:tc>
        <w:tc>
          <w:tcPr>
            <w:tcW w:type="dxa" w:w="6336"/>
          </w:tcPr>
          <w:p>
            <w:pPr>
              <w:spacing w:after="20"/>
              <w:jc w:val="right"/>
            </w:pPr>
            <w:r>
              <w:rPr>
                <w:color w:val="1C3A36"/>
                <w:sz w:val="17"/>
              </w:rPr>
              <w:t>the return on the NEXT restaurant. Expert 1 applies the portfolio average; Expert 3 prices a spread that narrows as the estate matures.</w:t>
            </w:r>
          </w:p>
        </w:tc>
      </w:tr>
      <w:tr>
        <w:tc>
          <w:tcPr>
            <w:tcW w:type="dxa" w:w="2232"/>
          </w:tcPr>
          <w:p>
            <w:pPr>
              <w:spacing w:after="20"/>
            </w:pPr>
            <w:r>
              <w:rPr>
                <w:color w:val="1C3A36"/>
                <w:sz w:val="17"/>
              </w:rPr>
              <w:t>Expert 3 vs Expert 2</w:t>
            </w:r>
          </w:p>
        </w:tc>
        <w:tc>
          <w:tcPr>
            <w:tcW w:type="dxa" w:w="1512"/>
          </w:tcPr>
          <w:p>
            <w:pPr>
              <w:spacing w:after="20"/>
              <w:jc w:val="right"/>
            </w:pPr>
            <w:r>
              <w:rPr>
                <w:color w:val="1C3A36"/>
                <w:sz w:val="17"/>
              </w:rPr>
              <w:t>0.59</w:t>
            </w:r>
          </w:p>
        </w:tc>
        <w:tc>
          <w:tcPr>
            <w:tcW w:type="dxa" w:w="6336"/>
          </w:tcPr>
          <w:p>
            <w:pPr>
              <w:spacing w:after="20"/>
              <w:jc w:val="right"/>
            </w:pPr>
            <w:r>
              <w:rPr>
                <w:color w:val="1C3A36"/>
                <w:sz w:val="17"/>
              </w:rPr>
              <w:t>reinvestment. Expert 3 gives credit for growth funded from retained cash; Expert 2 treats retained cash as value that has not yet reached the shareholder.</w:t>
            </w:r>
          </w:p>
        </w:tc>
      </w:tr>
    </w:tbl>
    <w:p>
      <w:pPr>
        <w:spacing w:after="40"/>
      </w:pPr>
    </w:p>
    <w:p>
      <w:r>
        <w:br w:type="page"/>
      </w:r>
    </w:p>
    <w:p>
      <w:pPr>
        <w:spacing w:after="120" w:before="280"/>
      </w:pPr>
      <w:r>
        <w:rPr>
          <w:b/>
          <w:i w:val="0"/>
          <w:color w:val="1C3A36"/>
          <w:sz w:val="30"/>
        </w:rPr>
        <w:t>About this study</w:t>
      </w:r>
    </w:p>
    <w:p>
      <w:pPr>
        <w:spacing w:after="120" w:before="0"/>
      </w:pPr>
      <w:r>
        <w:rPr>
          <w:b w:val="0"/>
          <w:i w:val="0"/>
          <w:color w:val="1C3A36"/>
          <w:sz w:val="21"/>
        </w:rPr>
        <w:t>Testahil publishes independent valuation studies and calibrated probability ranges. Every study is built the same way: the company's own filings first, a model built from drivers rather than growth rates, several independent methods rather than one, and an explicit account of what would prove the study wrong.</w:t>
      </w:r>
    </w:p>
    <w:p>
      <w:pPr>
        <w:spacing w:after="120" w:before="0"/>
      </w:pPr>
      <w:r>
        <w:rPr>
          <w:b w:val="0"/>
          <w:i w:val="0"/>
          <w:color w:val="1C3A36"/>
          <w:sz w:val="21"/>
        </w:rPr>
        <w:t>The historical figures here come from Americana Restaurants' own audited consolidated financial statements for 2022 through 2025, its reviewed interim statements for the first quarter and first half of 2026, and its own earnings presentations and releases — all read from the company's investor-relations library. Outside data appears only as a cross-check and is labelled where it appears. Every input, with its value, its date and where it came from, is listed in the companion bibliography document. The companion workbook contains the model itself: 897 live formula cells, so a reader can change a driver and watch it reprice.</w:t>
      </w:r>
    </w:p>
    <w:p>
      <w:pPr>
        <w:spacing w:after="120" w:before="0"/>
      </w:pPr>
      <w:r>
        <w:rPr>
          <w:b w:val="0"/>
          <w:i w:val="0"/>
          <w:color w:val="1C3A36"/>
          <w:sz w:val="21"/>
        </w:rPr>
        <w:t>This study was checked before release. Every formula cell in the workbook was recalculated independently of the software that wrote it and reconciled against the model that produced it — 897 of 897 agree, with none unresolved and none unchecked. Each of 28 drivers was then changed in the delivered file and the whole workbook re-evaluated, to confirm the headline value moves in the direction it should; a further 71 inputs were swept to confirm none of them is inert.</w:t>
      </w:r>
    </w:p>
    <w:p>
      <w:pPr>
        <w:spacing w:after="120" w:before="280"/>
      </w:pPr>
      <w:r>
        <w:rPr>
          <w:b/>
          <w:i w:val="0"/>
          <w:color w:val="1C3A36"/>
          <w:sz w:val="30"/>
        </w:rPr>
        <w:t>Disclosure</w:t>
      </w:r>
    </w:p>
    <w:p>
      <w:pPr>
        <w:spacing w:after="120" w:before="0"/>
      </w:pPr>
      <w:r>
        <w:rPr>
          <w:b w:val="0"/>
          <w:i w:val="0"/>
          <w:color w:val="1C3A36"/>
          <w:sz w:val="21"/>
        </w:rPr>
        <w:t>This document is educational analysis. It is not investment advice, not a recommendation, and not an offer or solicitation to buy or sell any security. It contains no rating and no price target; what it contains is a range of values produced by explicit methods from stated assumptions, and a separate statistical description of price dispersion.</w:t>
      </w:r>
    </w:p>
    <w:p>
      <w:pPr>
        <w:spacing w:after="120" w:before="0"/>
      </w:pPr>
      <w:r>
        <w:rPr>
          <w:b w:val="0"/>
          <w:i w:val="0"/>
          <w:color w:val="1C3A36"/>
          <w:sz w:val="21"/>
        </w:rPr>
        <w:t>Valuation is not measurement. Every figure beyond the audited history is a model output that depends on assumptions a reasonable person could disagree with, and the study says where those disagreements would lead. Past performance is not a guide to future results. The value of shares can fall as well as rise. Readers should form their own view and, where appropriate, take professional advice.</w:t>
      </w:r>
    </w:p>
    <w:p>
      <w:pPr>
        <w:spacing w:after="120" w:before="0"/>
      </w:pPr>
      <w:r>
        <w:rPr>
          <w:b w:val="0"/>
          <w:i w:val="0"/>
          <w:color w:val="1C3A36"/>
          <w:sz w:val="21"/>
        </w:rPr>
        <w:t>Testahil holds no position in Americana Restaurants International PLC and has no business relationship with the company. No part of this study was reviewed by the company before publication.</w:t>
      </w:r>
    </w:p>
    <w:p>
      <w:pPr>
        <w:spacing w:after="120" w:before="0"/>
      </w:pPr>
      <w:r>
        <w:rPr>
          <w:b w:val="0"/>
          <w:i w:val="0"/>
          <w:color w:val="6E7B77"/>
          <w:sz w:val="19"/>
        </w:rPr>
        <w:t>Prices and market data are as at the close of 7 August 2026. Company financial data is as reported in the audited statements to 31 December 2025 and the reviewed interim statements to 30 June 2026. Country risk premiums are the January 2026 edition. Study date: 9 August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